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42E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25-A-1657-ASTMH</w:t>
      </w:r>
    </w:p>
    <w:p w14:paraId="4846AD3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5A6F32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Assessing the effects of attractive sugar baits on host seeking mosquitoes around human occupied bednets</w:t>
      </w:r>
    </w:p>
    <w:p w14:paraId="76F422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Insecticide-treated nets are the primary malaria prevention tool in Africa but are negatively impacted by the widespread pyrethroid resistance and increased outdoor biting. Attractive targeted sugar baits (ASB) have shown potential complementary tools, even in areas with high resistance. However, no studies have been done to assess whether the bednets and ASB position can be combined to maximize the impacts of the two tools together. This study therefore investigated the effects of bait position on mosquito feeding rate on attractive sugar baits and how is mediated by volunteer presence under bednets. A photonic sentry device was used to record the behavior of mosquitoes around the bed net.Attractive sugar baits were placed in varying positions; at the top, medium, and bottom parts of the bed net. Over a period of 40 days, 200 starved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were released in a chamber each evening. The following morning, mosquitoes were recaptured using a Prokopack aspirator, killed, and examined under a microscope for the presence of green dye, indicating feeding on ASB.The results showed an interaction between volunteer and baits position on feeding rates. When a human volunteer was introduced under the bed net, the feeding rate was high at the bottom 25%, less at the middle 15%, and 11% at the top. Additionally, mosquito distribution under bed net depends on baits and human volunteer.In conclusion, the position of baits and the presence of a human volunteer significantly affect mosquito feeding rates. Placing the baits at the bottom of the bed net, particularly when a human is present, results in higher feeding rates. Additionally, the distribution of mosquitoes around the bed net was influenced by the presence of baits and human volunteers. Therefore, this study recommends placing ASB at the bottom of bed nets for maximum effectiveness.</w:t>
      </w:r>
    </w:p>
    <w:p w14:paraId="0ED573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25-A-1659-ASTMH</w:t>
      </w:r>
    </w:p>
    <w:p w14:paraId="2DB78D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75AA22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Immunity to Human Coronaviruses and Cross-Reactivity to SARS-CoV-2 Prior to the COVID-19 Pandemic in The Gambia</w:t>
      </w:r>
    </w:p>
    <w:p w14:paraId="1AE75F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Despite high SARS-CoV-2 incidence in Africa, disease severity was surprisingly low in many countries. A potential hypothesis is the presence of cross-reactive immunity due to prior exposure to human coronaviruses (HCoVs). We aimed to understand the evolution of SARS-CoV-2 binding antibody responses, neutralizing and other effector antibody response in pre-pandemic and COVID-19 pandemic samples. Serum samples collected prior to the pandemic (n=825) and during the first four COVID-19 waves (2021-2022) in The Gambia (n=349 individuals) were analysed for binding and functional antibody responses using ELISAs, pseudovirus neutralization, ADCC and MSD assays specific to S and N proteins of Human coronaviruses. 21% of pre-pandemic samples were reactive to SARS-CoV-2 N protein, compared to 4% reactivity to S protein. Pre-pandemic N-reactivity increased with age, with 28% of adults &gt;50 years showing seropositivity. Seasonal coronaviruses showed high S and N antibody reactivity, but this did not correlate with SARS-COV-2 N reactivity in pre-pandemic samples. There was no neutralising activity in S IgG reactive pre-pandemic sera however, N IgG reactive pre-pandemic samples demonstrated ADCC activity. This was higher than in pandemic serum samples and driven by a greater IgG3 predominance in pre-pandemic compared to pandemic N-IgG. Cumulative exposure to viral infection with age in The Gambia likely resulted in a large proportion of adults possessing anti-SARS-CoV-2 nucleocapsid IgG antibodies prior to the COVID-19 pandemic. The source of this cross-reactivity is unclear, but resulted in functional anti-COVID-19 ADCC activity in older adults in The Gambia.</w:t>
      </w:r>
    </w:p>
    <w:p w14:paraId="395105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25-A-1660-ASTMH</w:t>
      </w:r>
    </w:p>
    <w:p w14:paraId="743C3F7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465C37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The Outsiders - Exploring the phylogenetic relationship of understudied </w:t>
      </w:r>
      <w:r w:rsidRPr="00FE5D1C">
        <w:rPr>
          <w:rFonts w:ascii="Calibri" w:eastAsia="Times New Roman" w:hAnsi="Calibri" w:cs="Calibri"/>
          <w:b/>
          <w:bCs/>
          <w:i/>
          <w:iCs/>
          <w:color w:val="000000"/>
          <w:kern w:val="0"/>
          <w:sz w:val="22"/>
          <w:szCs w:val="22"/>
          <w14:ligatures w14:val="none"/>
        </w:rPr>
        <w:t>Anopheles</w:t>
      </w:r>
      <w:r w:rsidRPr="00FE5D1C">
        <w:rPr>
          <w:rFonts w:ascii="Calibri" w:eastAsia="Times New Roman" w:hAnsi="Calibri" w:cs="Calibri"/>
          <w:b/>
          <w:bCs/>
          <w:color w:val="000000"/>
          <w:kern w:val="0"/>
          <w:sz w:val="22"/>
          <w:szCs w:val="22"/>
          <w14:ligatures w14:val="none"/>
        </w:rPr>
        <w:t> mosquitoes in Zambia</w:t>
      </w:r>
    </w:p>
    <w:p w14:paraId="5ACA70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Outdoor biting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mosquitoes such as </w:t>
      </w:r>
      <w:r w:rsidRPr="00FE5D1C">
        <w:rPr>
          <w:rFonts w:ascii="Calibri" w:eastAsia="Times New Roman" w:hAnsi="Calibri" w:cs="Calibri"/>
          <w:i/>
          <w:iCs/>
          <w:color w:val="000000"/>
          <w:kern w:val="0"/>
          <w:sz w:val="22"/>
          <w:szCs w:val="22"/>
          <w14:ligatures w14:val="none"/>
        </w:rPr>
        <w:t>Anopheles coustani</w:t>
      </w:r>
      <w:r w:rsidRPr="00FE5D1C">
        <w:rPr>
          <w:rFonts w:ascii="Calibri" w:eastAsia="Times New Roman" w:hAnsi="Calibri" w:cs="Calibri"/>
          <w:color w:val="000000"/>
          <w:kern w:val="0"/>
          <w:sz w:val="22"/>
          <w:szCs w:val="22"/>
          <w14:ligatures w14:val="none"/>
        </w:rPr>
        <w:t> are of increasing interest due to their role in sustaining malaria transmission. Though previously considered less significant to transmission due to their zoophillic and exophilic tendencies, several of these understudied species are now recognized as locally important or primary vectors in regions of sub-Saharan Africa. These mosquitoes may undermine the impact of mitigation strategies primarily targeting indoor biting and resting mosquitoes. However, morphological and molecular identification can be challenging for less studied mosquito taxa due to their cryptic morphological features and the dearth of available reference sequences in databases. Hence it is imperative to accurately link morphological identification with molecular data. Mitochondrial genomes have proved to be robust in resolving species identification, population structure and phylogenies in metazoans when compared to commonly used molecular barcodes. Here, we (i) produced high quality reference sequence data for representative understudied mosquito species to (ii) better understand the phylogenetic relationships between under- and well-studied vectors of malaria. Using shallow shotgun sequencing, single mosquito specimens from select understudied taxa were sequenced (2x150 bp) to a depth of 13.3 million reads for mitochondrial genome assembly. Phylogenetic analyses were performed on the concatenated protein coding genes of the mitogenomes using the Bayesian Evolutionary Analysis by Sampling Trees 2 software. This pilot study generated eight new complete mitogenomes with an average length 15,358 bp and AT content of 77.1 % and were comparable to other anophelines with 37 genes. Bayesian inference analysis yielded 3 main clades representing the </w:t>
      </w:r>
      <w:r w:rsidRPr="00FE5D1C">
        <w:rPr>
          <w:rFonts w:ascii="Calibri" w:eastAsia="Times New Roman" w:hAnsi="Calibri" w:cs="Calibri"/>
          <w:i/>
          <w:iCs/>
          <w:color w:val="000000"/>
          <w:kern w:val="0"/>
          <w:sz w:val="22"/>
          <w:szCs w:val="22"/>
          <w14:ligatures w14:val="none"/>
        </w:rPr>
        <w:t>Cellia,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Myzomyia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Myzcorhynchus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Neocellia</w:t>
      </w:r>
      <w:r w:rsidRPr="00FE5D1C">
        <w:rPr>
          <w:rFonts w:ascii="Calibri" w:eastAsia="Times New Roman" w:hAnsi="Calibri" w:cs="Calibri"/>
          <w:color w:val="000000"/>
          <w:kern w:val="0"/>
          <w:sz w:val="22"/>
          <w:szCs w:val="22"/>
          <w14:ligatures w14:val="none"/>
        </w:rPr>
        <w:t> series in the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Cellia</w:t>
      </w:r>
      <w:r w:rsidRPr="00FE5D1C">
        <w:rPr>
          <w:rFonts w:ascii="Calibri" w:eastAsia="Times New Roman" w:hAnsi="Calibri" w:cs="Calibri"/>
          <w:color w:val="000000"/>
          <w:kern w:val="0"/>
          <w:sz w:val="22"/>
          <w:szCs w:val="22"/>
          <w14:ligatures w14:val="none"/>
        </w:rPr>
        <w:t> subgenera. These findings not only support the taxonomic grouping of mosquitoes belonging to the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genus based on morphological characteristics but can also provide information for more precise and refined interventions for malaria control.</w:t>
      </w:r>
    </w:p>
    <w:p w14:paraId="2353B5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25-A-1661-ASTMH</w:t>
      </w:r>
    </w:p>
    <w:p w14:paraId="5D654F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Other Bacterial Infections</w:t>
      </w:r>
    </w:p>
    <w:p w14:paraId="12A9AC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Investigating the role of </w:t>
      </w:r>
      <w:r w:rsidRPr="00FE5D1C">
        <w:rPr>
          <w:rFonts w:ascii="Calibri" w:eastAsia="Times New Roman" w:hAnsi="Calibri" w:cs="Calibri"/>
          <w:b/>
          <w:bCs/>
          <w:i/>
          <w:iCs/>
          <w:color w:val="000000"/>
          <w:kern w:val="0"/>
          <w:sz w:val="22"/>
          <w:szCs w:val="22"/>
          <w14:ligatures w14:val="none"/>
        </w:rPr>
        <w:t>dacC</w:t>
      </w:r>
      <w:r w:rsidRPr="00FE5D1C">
        <w:rPr>
          <w:rFonts w:ascii="Calibri" w:eastAsia="Times New Roman" w:hAnsi="Calibri" w:cs="Calibri"/>
          <w:b/>
          <w:bCs/>
          <w:color w:val="000000"/>
          <w:kern w:val="0"/>
          <w:sz w:val="22"/>
          <w:szCs w:val="22"/>
          <w14:ligatures w14:val="none"/>
        </w:rPr>
        <w:t> in Q Fever Pathogenesis</w:t>
      </w:r>
    </w:p>
    <w:p w14:paraId="124550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Q fever is a zoonotic disease caused by </w:t>
      </w:r>
      <w:r w:rsidRPr="00FE5D1C">
        <w:rPr>
          <w:rFonts w:ascii="Calibri" w:eastAsia="Times New Roman" w:hAnsi="Calibri" w:cs="Calibri"/>
          <w:i/>
          <w:iCs/>
          <w:color w:val="000000"/>
          <w:kern w:val="0"/>
          <w:sz w:val="22"/>
          <w:szCs w:val="22"/>
          <w14:ligatures w14:val="none"/>
        </w:rPr>
        <w:t>Coxiella burnetii</w:t>
      </w:r>
      <w:r w:rsidRPr="00FE5D1C">
        <w:rPr>
          <w:rFonts w:ascii="Calibri" w:eastAsia="Times New Roman" w:hAnsi="Calibri" w:cs="Calibri"/>
          <w:color w:val="000000"/>
          <w:kern w:val="0"/>
          <w:sz w:val="22"/>
          <w:szCs w:val="22"/>
          <w14:ligatures w14:val="none"/>
        </w:rPr>
        <w:t>, an obligate intracellular bacterium. In humans, it presents as a severe respiratory illness that is usually self-limiting, but rarely can cause chronic endocarditis. In domestic ruminants, infection usually results in spontaneous abortions. The bacterium exists in two forms: the small cell variant (SCV) and large cell variant (LCV). The SCV is the extracellular form that is found in the environment, resistant to environmental stress, and incapable of replication. The LCV is intracellular, metabolically active and replicates inside human alveolar macrophages. There are two virulence factors that have been described in detail since the discovery of </w:t>
      </w:r>
      <w:r w:rsidRPr="00FE5D1C">
        <w:rPr>
          <w:rFonts w:ascii="Calibri" w:eastAsia="Times New Roman" w:hAnsi="Calibri" w:cs="Calibri"/>
          <w:i/>
          <w:iCs/>
          <w:color w:val="000000"/>
          <w:kern w:val="0"/>
          <w:sz w:val="22"/>
          <w:szCs w:val="22"/>
          <w14:ligatures w14:val="none"/>
        </w:rPr>
        <w:t>Coxiella</w:t>
      </w:r>
      <w:r w:rsidRPr="00FE5D1C">
        <w:rPr>
          <w:rFonts w:ascii="Calibri" w:eastAsia="Times New Roman" w:hAnsi="Calibri" w:cs="Calibri"/>
          <w:color w:val="000000"/>
          <w:kern w:val="0"/>
          <w:sz w:val="22"/>
          <w:szCs w:val="22"/>
          <w14:ligatures w14:val="none"/>
        </w:rPr>
        <w:t> in the 1930s: the lipopolysaccharide and the type IVb secretion system (T4BSS). Research has been greatly hindered by the intracellular nature of the organism. The development of an axenic medium and genetic tools has improved studies on the pathogenesis of Q fever. The goal of our research is to identify novel virulence factors required for intracellular replication. We have identified a gene (</w:t>
      </w:r>
      <w:r w:rsidRPr="00FE5D1C">
        <w:rPr>
          <w:rFonts w:ascii="Calibri" w:eastAsia="Times New Roman" w:hAnsi="Calibri" w:cs="Calibri"/>
          <w:i/>
          <w:iCs/>
          <w:color w:val="000000"/>
          <w:kern w:val="0"/>
          <w:sz w:val="22"/>
          <w:szCs w:val="22"/>
          <w14:ligatures w14:val="none"/>
        </w:rPr>
        <w:t>cbu1261</w:t>
      </w:r>
      <w:r w:rsidRPr="00FE5D1C">
        <w:rPr>
          <w:rFonts w:ascii="Calibri" w:eastAsia="Times New Roman" w:hAnsi="Calibri" w:cs="Calibri"/>
          <w:color w:val="000000"/>
          <w:kern w:val="0"/>
          <w:sz w:val="22"/>
          <w:szCs w:val="22"/>
          <w14:ligatures w14:val="none"/>
        </w:rPr>
        <w:t>) that is required for replication in primary macrophages and Vero cells. The </w:t>
      </w:r>
      <w:r w:rsidRPr="00FE5D1C">
        <w:rPr>
          <w:rFonts w:ascii="Calibri" w:eastAsia="Times New Roman" w:hAnsi="Calibri" w:cs="Calibri"/>
          <w:i/>
          <w:iCs/>
          <w:color w:val="000000"/>
          <w:kern w:val="0"/>
          <w:sz w:val="22"/>
          <w:szCs w:val="22"/>
          <w14:ligatures w14:val="none"/>
        </w:rPr>
        <w:t>cbu1261</w:t>
      </w:r>
      <w:r w:rsidRPr="00FE5D1C">
        <w:rPr>
          <w:rFonts w:ascii="Calibri" w:eastAsia="Times New Roman" w:hAnsi="Calibri" w:cs="Calibri"/>
          <w:color w:val="000000"/>
          <w:kern w:val="0"/>
          <w:sz w:val="22"/>
          <w:szCs w:val="22"/>
          <w14:ligatures w14:val="none"/>
        </w:rPr>
        <w:t> gene encodes for penicillin-binding protein 6, a DD-carboxypeptidase involved in bacterial cell wall maturation. We have data demonstrating that cell wall mutants of </w:t>
      </w:r>
      <w:r w:rsidRPr="00FE5D1C">
        <w:rPr>
          <w:rFonts w:ascii="Calibri" w:eastAsia="Times New Roman" w:hAnsi="Calibri" w:cs="Calibri"/>
          <w:i/>
          <w:iCs/>
          <w:color w:val="000000"/>
          <w:kern w:val="0"/>
          <w:sz w:val="22"/>
          <w:szCs w:val="22"/>
          <w14:ligatures w14:val="none"/>
        </w:rPr>
        <w:t>C. burnetii</w:t>
      </w:r>
      <w:r w:rsidRPr="00FE5D1C">
        <w:rPr>
          <w:rFonts w:ascii="Calibri" w:eastAsia="Times New Roman" w:hAnsi="Calibri" w:cs="Calibri"/>
          <w:color w:val="000000"/>
          <w:kern w:val="0"/>
          <w:sz w:val="22"/>
          <w:szCs w:val="22"/>
          <w14:ligatures w14:val="none"/>
        </w:rPr>
        <w:t>, like our </w:t>
      </w:r>
      <w:r w:rsidRPr="00FE5D1C">
        <w:rPr>
          <w:rFonts w:ascii="Calibri" w:eastAsia="Times New Roman" w:hAnsi="Calibri" w:cs="Calibri"/>
          <w:i/>
          <w:iCs/>
          <w:color w:val="000000"/>
          <w:kern w:val="0"/>
          <w:sz w:val="22"/>
          <w:szCs w:val="22"/>
          <w14:ligatures w14:val="none"/>
        </w:rPr>
        <w:t>cbu1261</w:t>
      </w:r>
      <w:r w:rsidRPr="00FE5D1C">
        <w:rPr>
          <w:rFonts w:ascii="Calibri" w:eastAsia="Times New Roman" w:hAnsi="Calibri" w:cs="Calibri"/>
          <w:color w:val="000000"/>
          <w:kern w:val="0"/>
          <w:sz w:val="22"/>
          <w:szCs w:val="22"/>
          <w14:ligatures w14:val="none"/>
        </w:rPr>
        <w:t> transposon mutant, do not survive in macrophages or Vero cells. Our experiments involve genetic complementation of the transposon mutant and a gene-deletion mutant via chromosomal integration of the wild-type gene. We will confirm restoration of wild-type function of CBU1261 through cell culture in macrophages and Vero cells. We will also perform various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assays to determine the function of CBU1261. Through these experiments, we aim to characterize CBU1261 as a novel virulence factor of </w:t>
      </w:r>
      <w:r w:rsidRPr="00FE5D1C">
        <w:rPr>
          <w:rFonts w:ascii="Calibri" w:eastAsia="Times New Roman" w:hAnsi="Calibri" w:cs="Calibri"/>
          <w:i/>
          <w:iCs/>
          <w:color w:val="000000"/>
          <w:kern w:val="0"/>
          <w:sz w:val="22"/>
          <w:szCs w:val="22"/>
          <w14:ligatures w14:val="none"/>
        </w:rPr>
        <w:t>C. burnetii</w:t>
      </w:r>
      <w:r w:rsidRPr="00FE5D1C">
        <w:rPr>
          <w:rFonts w:ascii="Calibri" w:eastAsia="Times New Roman" w:hAnsi="Calibri" w:cs="Calibri"/>
          <w:color w:val="000000"/>
          <w:kern w:val="0"/>
          <w:sz w:val="22"/>
          <w:szCs w:val="22"/>
          <w14:ligatures w14:val="none"/>
        </w:rPr>
        <w:t>, and gain a better understanding of the cell wall’s role in </w:t>
      </w:r>
      <w:r w:rsidRPr="00FE5D1C">
        <w:rPr>
          <w:rFonts w:ascii="Calibri" w:eastAsia="Times New Roman" w:hAnsi="Calibri" w:cs="Calibri"/>
          <w:i/>
          <w:iCs/>
          <w:color w:val="000000"/>
          <w:kern w:val="0"/>
          <w:sz w:val="22"/>
          <w:szCs w:val="22"/>
          <w14:ligatures w14:val="none"/>
        </w:rPr>
        <w:t>C. burnetii</w:t>
      </w:r>
      <w:r w:rsidRPr="00FE5D1C">
        <w:rPr>
          <w:rFonts w:ascii="Calibri" w:eastAsia="Times New Roman" w:hAnsi="Calibri" w:cs="Calibri"/>
          <w:color w:val="000000"/>
          <w:kern w:val="0"/>
          <w:sz w:val="22"/>
          <w:szCs w:val="22"/>
          <w14:ligatures w14:val="none"/>
        </w:rPr>
        <w:t> survival and infection.</w:t>
      </w:r>
    </w:p>
    <w:p w14:paraId="082C83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25-A-1663-ASTMH</w:t>
      </w:r>
    </w:p>
    <w:p w14:paraId="2ECEED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537080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Leveraging Thrombocytopenia as a Diagnostic Cue: Improving Malaria Detection through Laboratory Culture Change</w:t>
      </w:r>
    </w:p>
    <w:p w14:paraId="1DF5D6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Leveraging Thrombocytopenia as a Diagnostic Cue: Improving Malaria Detection through Laboratory Culture Change</w:t>
      </w:r>
      <w:r w:rsidRPr="00FE5D1C">
        <w:rPr>
          <w:rFonts w:ascii="Calibri" w:eastAsia="Times New Roman" w:hAnsi="Calibri" w:cs="Calibri"/>
          <w:color w:val="000000"/>
          <w:kern w:val="0"/>
          <w:sz w:val="22"/>
          <w:szCs w:val="22"/>
          <w14:ligatures w14:val="none"/>
        </w:rPr>
        <w:t>Malaria remains a significant public health challenge, with missed diagnoses contributing to preventable morbidity and mortality. Traditional diagnostic methods often rely on clinical suspicion and laboratory confirmation, but subtle clinical signs or a lack of explicit testing requests can lead to missed cases. A research study conducted from January to July 2021 by one of our laboratory staff members for a bachelor’s degree award titled “</w:t>
      </w:r>
      <w:r w:rsidRPr="00FE5D1C">
        <w:rPr>
          <w:rFonts w:ascii="Calibri" w:eastAsia="Times New Roman" w:hAnsi="Calibri" w:cs="Calibri"/>
          <w:b/>
          <w:bCs/>
          <w:color w:val="000000"/>
          <w:kern w:val="0"/>
          <w:sz w:val="22"/>
          <w:szCs w:val="22"/>
          <w14:ligatures w14:val="none"/>
        </w:rPr>
        <w:t>Relationship between Thrombocytopenia and Plasmodium Falciparum Malaria infection among patients attending Moi County and Referral Hospital Voi, Kenya</w:t>
      </w:r>
      <w:r w:rsidRPr="00FE5D1C">
        <w:rPr>
          <w:rFonts w:ascii="Calibri" w:eastAsia="Times New Roman" w:hAnsi="Calibri" w:cs="Calibri"/>
          <w:color w:val="000000"/>
          <w:kern w:val="0"/>
          <w:sz w:val="22"/>
          <w:szCs w:val="22"/>
          <w14:ligatures w14:val="none"/>
        </w:rPr>
        <w:t>” identified a potential diagnostic link between thrombocytopenia and malaria infection. This led to the development of a quality improvement initiative from August to December 2021 which integrated thrombocytopenia screening into routine laboratory practices, prompting automatic malaria blood smears when thrombocytopenia was flagged, regardless of clinician request. Over this 5-month period, the approach identified 4 malaria cases out of the total 22 that were identified in that period. The 4 represent cases that may have otherwise been overlooked. This reduced diagnostic turnaround time (TAT) and received positive feedback from clinicians hence improving collaboration between laboratory and clinical teams. Since the implementation of this system, the number of malaria cases identified increased from 40 in 2022 to 69 in 2023 and 91 in 2024. This indicates a consecutive 72.5% and 31.88% increase in malaria detection rate. The initiative has since been formally adopted as part of standard laboratory procedures, demonstrating the effectiveness of integrating flagged Full Blood Count Results into diagnostic workflows and suggesting that this approach could improve malaria diagnosis in similar settings.</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Note:</w:t>
      </w:r>
      <w:r w:rsidRPr="00FE5D1C">
        <w:rPr>
          <w:rFonts w:ascii="Calibri" w:eastAsia="Times New Roman" w:hAnsi="Calibri" w:cs="Calibri"/>
          <w:color w:val="000000"/>
          <w:kern w:val="0"/>
          <w:sz w:val="22"/>
          <w:szCs w:val="22"/>
          <w14:ligatures w14:val="none"/>
        </w:rPr>
        <w:t> The surge in malaria cases in June 2024 can be attributed to the El-nino rains experienced in the country while malaria cases rise in January from endemic rural influx.</w:t>
      </w:r>
    </w:p>
    <w:p w14:paraId="7B44C4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25-A-1665-ASTMH</w:t>
      </w:r>
    </w:p>
    <w:p w14:paraId="1829DB7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18D617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Phenotypic assessment of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molecular markers associated with malaria chemoprevention in Senegal</w:t>
      </w:r>
    </w:p>
    <w:p w14:paraId="684553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Sulfadoxine-pyrimethamine (SP) has been in use for chemoprevention in Senegal for intermittent preventive treatment in pregnancy and seasonal malaria chemoprevention. SP resistance occurs via the accumulation of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dihydrofolate reductase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and dihydropteroate synthetase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mutations. Using whole genome sequence data from samples collected from malaria-infected individuals across Senegal (2006-2022), we observed near fixation of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triple mutant (N51I, C59R, S108N) and fluctuating frequencies of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S436A and A437G mutations over time. The impact of these mutations on drug resistance and fitness phenotypes in natural isolates is unclear. Therefore, we classified natural parasite isolates by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(S436A, A437G) and </w:t>
      </w:r>
      <w:r w:rsidRPr="00FE5D1C">
        <w:rPr>
          <w:rFonts w:ascii="Calibri" w:eastAsia="Times New Roman" w:hAnsi="Calibri" w:cs="Calibri"/>
          <w:i/>
          <w:iCs/>
          <w:color w:val="000000"/>
          <w:kern w:val="0"/>
          <w:sz w:val="22"/>
          <w:szCs w:val="22"/>
          <w14:ligatures w14:val="none"/>
        </w:rPr>
        <w:t>Pfdhfr </w:t>
      </w:r>
      <w:r w:rsidRPr="00FE5D1C">
        <w:rPr>
          <w:rFonts w:ascii="Calibri" w:eastAsia="Times New Roman" w:hAnsi="Calibri" w:cs="Calibri"/>
          <w:color w:val="000000"/>
          <w:kern w:val="0"/>
          <w:sz w:val="22"/>
          <w:szCs w:val="22"/>
          <w14:ligatures w14:val="none"/>
        </w:rPr>
        <w:t>(‘triple’) alleles, then culture-adapted and phenotyped these parasites for antimalarial drug susceptibility (EC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and fitness. Our data showed that </w:t>
      </w:r>
      <w:r w:rsidRPr="00FE5D1C">
        <w:rPr>
          <w:rFonts w:ascii="Calibri" w:eastAsia="Times New Roman" w:hAnsi="Calibri" w:cs="Calibri"/>
          <w:i/>
          <w:iCs/>
          <w:color w:val="000000"/>
          <w:kern w:val="0"/>
          <w:sz w:val="22"/>
          <w:szCs w:val="22"/>
          <w14:ligatures w14:val="none"/>
        </w:rPr>
        <w:t>Pfdhfr </w:t>
      </w:r>
      <w:r w:rsidRPr="00FE5D1C">
        <w:rPr>
          <w:rFonts w:ascii="Calibri" w:eastAsia="Times New Roman" w:hAnsi="Calibri" w:cs="Calibri"/>
          <w:color w:val="000000"/>
          <w:kern w:val="0"/>
          <w:sz w:val="22"/>
          <w:szCs w:val="22"/>
          <w14:ligatures w14:val="none"/>
        </w:rPr>
        <w:t>triple allele parasites were significantly more resistant to pyrimethamine (PYR) compared to </w:t>
      </w:r>
      <w:r w:rsidRPr="00FE5D1C">
        <w:rPr>
          <w:rFonts w:ascii="Calibri" w:eastAsia="Times New Roman" w:hAnsi="Calibri" w:cs="Calibri"/>
          <w:i/>
          <w:iCs/>
          <w:color w:val="000000"/>
          <w:kern w:val="0"/>
          <w:sz w:val="22"/>
          <w:szCs w:val="22"/>
          <w14:ligatures w14:val="none"/>
        </w:rPr>
        <w:t>Pfdhfr </w:t>
      </w:r>
      <w:r w:rsidRPr="00FE5D1C">
        <w:rPr>
          <w:rFonts w:ascii="Calibri" w:eastAsia="Times New Roman" w:hAnsi="Calibri" w:cs="Calibri"/>
          <w:color w:val="000000"/>
          <w:kern w:val="0"/>
          <w:sz w:val="22"/>
          <w:szCs w:val="22"/>
          <w14:ligatures w14:val="none"/>
        </w:rPr>
        <w:t>wildtype (WT) parasites (p&lt;0.0001). A 6.1-fold range in EC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phenotypes among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triple allele parasites (9.5 - 58.1 μM) suggests that more than just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mutations determine PYR resistance. For sulfadoxine (SDX) resistance,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A437G parasites were significantly more resistant compared to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WT parasites (p=0.0006), while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S436A parasites were not more resistant compared to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WT parasites (p&gt;0.99). Additionally, no significant difference was found between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S436A + A437G parasites and those with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A437G mutations alone (p=0.77), suggesting that A437G is key for enhancing SDX resistance, but S436A is not. Pairwise competitive growth assays revealed a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S436A + A437G containing parasite as the most fit, suggesting that S436A could be a compensatory mutation. Assessing these mutations in an isogenic background will be used to determine the causal role of </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mutations in drug resistance and fitness, predict the evolutionary trajectory of SP resistance, and provide molecular markers for ongoing surveillance to monitor and guide the use of SP-based interventions.</w:t>
      </w:r>
    </w:p>
    <w:p w14:paraId="4355F7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25-A-1668-ASTMH</w:t>
      </w:r>
    </w:p>
    <w:p w14:paraId="54095E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06695F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Gut Microbiome Disruptions in Postpartum Anemia, Unraveling Microbial Signatures in Nutritionally Vulnerable Lactating Mothers From Pakistan</w:t>
      </w:r>
    </w:p>
    <w:p w14:paraId="138F0D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Anemia remains the most prevalent nutrition-related disorder among pregnant women in developing countries, significantly affecting maternal and child health. However, postpartum anemia, particularly in low-resource settings, remains underexplored despite its association with impaired quality of life, reduced cognitive function, emotional instability, and other significant health challenges in women of reproductive age. This study investigates the impact of postpartum anemia on the gut microbial ecology of lactating women from a peri-urban setting in Pakistan. Stool samples from a randomized subset of 150 lactating women were collected from Mumta Lactating Women Trial. Maternal stool samples were profiled using shotgun metagenomic sequencing. Bray-Curtis dissimilarity and PCoA highlighted distinguishing features of anemic gut microbiomes. Generalized linear models (GLM) determined associations between anemia and microbial abundances, while Random Forest (RF) modeling identified predictive microbiome signatures. Of 150 collected samples, 144 (healthy: 36, anemic: 108) passed QC. Shannon diversity analysis revealed significantly reduced microbial diversity in anemic mothers (p = 0.0063), indicating taxonomic dysbiosis. Prevotella copri and other Prevotella species were enriched in healthy mothers. Beta-diversity analysis (PERMANOVA, p = 0.083) suggested moderate ecological disruptions in anemia. Among the 742 identified species, </w:t>
      </w:r>
      <w:r w:rsidRPr="00FE5D1C">
        <w:rPr>
          <w:rFonts w:ascii="Calibri" w:eastAsia="Times New Roman" w:hAnsi="Calibri" w:cs="Calibri"/>
          <w:i/>
          <w:iCs/>
          <w:color w:val="000000"/>
          <w:kern w:val="0"/>
          <w:sz w:val="22"/>
          <w:szCs w:val="22"/>
          <w14:ligatures w14:val="none"/>
        </w:rPr>
        <w:t>Escherichia coli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Bifidobacterium longum</w:t>
      </w:r>
      <w:r w:rsidRPr="00FE5D1C">
        <w:rPr>
          <w:rFonts w:ascii="Calibri" w:eastAsia="Times New Roman" w:hAnsi="Calibri" w:cs="Calibri"/>
          <w:color w:val="000000"/>
          <w:kern w:val="0"/>
          <w:sz w:val="22"/>
          <w:szCs w:val="22"/>
          <w14:ligatures w14:val="none"/>
        </w:rPr>
        <w:t> were notable contributors to subject microbial community structure. Differential abundance analysis revealed ~15 species, including </w:t>
      </w:r>
      <w:r w:rsidRPr="00FE5D1C">
        <w:rPr>
          <w:rFonts w:ascii="Calibri" w:eastAsia="Times New Roman" w:hAnsi="Calibri" w:cs="Calibri"/>
          <w:i/>
          <w:iCs/>
          <w:color w:val="000000"/>
          <w:kern w:val="0"/>
          <w:sz w:val="22"/>
          <w:szCs w:val="22"/>
          <w14:ligatures w14:val="none"/>
        </w:rPr>
        <w:t>Acetatifactor spp.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Olsenella spp.</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Parabacteroides distasonis</w:t>
      </w:r>
      <w:r w:rsidRPr="00FE5D1C">
        <w:rPr>
          <w:rFonts w:ascii="Calibri" w:eastAsia="Times New Roman" w:hAnsi="Calibri" w:cs="Calibri"/>
          <w:color w:val="000000"/>
          <w:kern w:val="0"/>
          <w:sz w:val="22"/>
          <w:szCs w:val="22"/>
          <w14:ligatures w14:val="none"/>
        </w:rPr>
        <w:t>, that were enriched in healthy mothers, whereas dysbiosis in anemic mothers was characterized by reduced abundance of these key taxa. RF modeling (AUC = 0.814) identified Acetatifactor spp., Prevotella spp., and Olsenella spp. as top predictive biomarkers of postpartum anemia in Mothers from Pakistan. These findings highlight the potential of microbiome-targeted interventions for anemia management in low-resource settings.</w:t>
      </w:r>
    </w:p>
    <w:p w14:paraId="71FA6A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25-A-1669-ASTMH</w:t>
      </w:r>
    </w:p>
    <w:p w14:paraId="2EC20B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653C09EA" w14:textId="210DA64B"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Biodegradable and biocompatible micellar lipid-polymer nanoparticles as a new approach to enhance oral delivery of a repurposed antimalarial drug miconazole</w:t>
      </w:r>
    </w:p>
    <w:p w14:paraId="4B5549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emergence of resistance parasites to currently approved first-line antimalarials highlights the need for new approaches such as drug repurposing to enhance malaria treatment. Miconazole, an antimycotic drug, has been reported to be experimentally effective in malaria treatment. However, the drug is limited by poor dissolution in aqueous medium and degradation in harsh gastrointestinal tract (GIT) environments. Solidified reverse micellar solution (SRMS)-based technology and chitosan-coated nanoplatforms protect drugs against GIT degradation and improve their dissolution and therapeutic effects. However, SRMS-based chitosan-coated nano-sized antimalarial miconazole has not been investigated. Thus, the aim of this study was to develop miconazole-loaded chitosan-coated SRMS-based solid lipid nanoparticles (SLNs) for oral malaria treatment. The formulations were prepared from optimized SRMS with or without chitosan by high-shear melt-homogenization, and thereafter evaluated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for physicochemical performance, stability and safety. Further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antimalarial activity was performed using a standard curative protocol in Wistar mice infected with </w:t>
      </w:r>
      <w:r w:rsidRPr="00FE5D1C">
        <w:rPr>
          <w:rFonts w:ascii="Calibri" w:eastAsia="Times New Roman" w:hAnsi="Calibri" w:cs="Calibri"/>
          <w:i/>
          <w:iCs/>
          <w:color w:val="000000"/>
          <w:kern w:val="0"/>
          <w:sz w:val="22"/>
          <w:szCs w:val="22"/>
          <w14:ligatures w14:val="none"/>
        </w:rPr>
        <w:t>Plasmodium berghei</w:t>
      </w:r>
      <w:r w:rsidRPr="00FE5D1C">
        <w:rPr>
          <w:rFonts w:ascii="Calibri" w:eastAsia="Times New Roman" w:hAnsi="Calibri" w:cs="Calibri"/>
          <w:color w:val="000000"/>
          <w:kern w:val="0"/>
          <w:sz w:val="22"/>
          <w:szCs w:val="22"/>
          <w14:ligatures w14:val="none"/>
        </w:rPr>
        <w:t>, while hematological parameters were ascertained </w:t>
      </w:r>
      <w:r w:rsidRPr="00FE5D1C">
        <w:rPr>
          <w:rFonts w:ascii="Calibri" w:eastAsia="Times New Roman" w:hAnsi="Calibri" w:cs="Calibri"/>
          <w:i/>
          <w:iCs/>
          <w:color w:val="000000"/>
          <w:kern w:val="0"/>
          <w:sz w:val="22"/>
          <w:szCs w:val="22"/>
          <w14:ligatures w14:val="none"/>
        </w:rPr>
        <w:t>vis-a-vis </w:t>
      </w:r>
      <w:r w:rsidRPr="00FE5D1C">
        <w:rPr>
          <w:rFonts w:ascii="Calibri" w:eastAsia="Times New Roman" w:hAnsi="Calibri" w:cs="Calibri"/>
          <w:color w:val="000000"/>
          <w:kern w:val="0"/>
          <w:sz w:val="22"/>
          <w:szCs w:val="22"/>
          <w14:ligatures w14:val="none"/>
        </w:rPr>
        <w:t xml:space="preserve">controls. Results revealed enhanced drug loading in the formulations, as well as compatibility of the drug and excipients used in preparing the formulations. The optimized formulation (chitosan-coated SLNs) was stable, nanomeric, had good encapsulation efficiency, demonstrated minimal toxicity on Caco-2 cells, exhibited controlled drug release compared with fast release of miconazole suspension, and gave significantly (p&lt;0.05) greater antimalarial activity than miconazole suspension. This novel lipid-polymer nanotool designed with biocompatible and biodegradable excipients improved the pharmacodynamics of miconazole </w:t>
      </w:r>
      <w:r w:rsidRPr="00FE5D1C">
        <w:rPr>
          <w:rFonts w:ascii="Calibri" w:eastAsia="Times New Roman" w:hAnsi="Calibri" w:cs="Calibri"/>
          <w:color w:val="000000"/>
          <w:kern w:val="0"/>
          <w:sz w:val="22"/>
          <w:szCs w:val="22"/>
          <w14:ligatures w14:val="none"/>
        </w:rPr>
        <w:lastRenderedPageBreak/>
        <w:t>against </w:t>
      </w:r>
      <w:r w:rsidRPr="00FE5D1C">
        <w:rPr>
          <w:rFonts w:ascii="Calibri" w:eastAsia="Times New Roman" w:hAnsi="Calibri" w:cs="Calibri"/>
          <w:i/>
          <w:iCs/>
          <w:color w:val="000000"/>
          <w:kern w:val="0"/>
          <w:sz w:val="22"/>
          <w:szCs w:val="22"/>
          <w14:ligatures w14:val="none"/>
        </w:rPr>
        <w:t>Plasmodium berghei </w:t>
      </w:r>
      <w:r w:rsidRPr="00FE5D1C">
        <w:rPr>
          <w:rFonts w:ascii="Calibri" w:eastAsia="Times New Roman" w:hAnsi="Calibri" w:cs="Calibri"/>
          <w:color w:val="000000"/>
          <w:kern w:val="0"/>
          <w:sz w:val="22"/>
          <w:szCs w:val="22"/>
          <w14:ligatures w14:val="none"/>
        </w:rPr>
        <w:t>malaria. Thus, SRMS-based chitosan-coated SLNs encapsulating miconazole could be pursued as a novel alternative for improved oral malaria treatment.</w:t>
      </w:r>
    </w:p>
    <w:p w14:paraId="21E7DD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25-A-1670-ASTMH</w:t>
      </w:r>
    </w:p>
    <w:p w14:paraId="572F8C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5621E7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Prevalence of P. falciparum antifolate drug resistance markers and association with parasite clearance failure among pregnant women receiving chemoprevention with sulphadoxine-pyrimethamine in Busia, Uganda</w:t>
      </w:r>
    </w:p>
    <w:p w14:paraId="6DBDDF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health problem in sub-Saharan Africa, where about 94% of global malaria morbidity and mortality occur. Nearly all malaria-endemic African countries recommend intermittent preventive treatment in pregnancy (IPTp) with monthly sulphadoxine-pyrimethamine (SP), but there is concern that drug resistance will compromise its efficacy. Five mutations in Plasmodium falciparum dihydrofolate reductase (DHFR N51I, C59R, and S108N) and dihydropteroate synthase (DHPS A437G + K540E) that mediate increasing levels of resistance to pyrimethamine and sulphadoxine, respectively, are now widespread in East Africa. Two additional mutations, PfDHFR 164L and PfDHPS 581G, have been increasing in prevalence in Uganda and are associated with higher-level resistance to SP. We sought to determine the prevalence of P. falciparum high-level antifolate drug resistance markers, the impact of IPTp with SP on selection of these mutations, and associations between the resistance markers and the clearance of asymptomatic P. falciparum infections in women who received chemoprevention with SP in Busia, Uganda in between December 2020 to July 2024. This retrospective cohort study was nested in a randomized controlled trial comparing monthly SP vs monthly Dihydro-artemisinin piperaquine (DP) vs SP+DP for IPTp. The sub-study included HIV-negative pregnant women who received monthly IPTp with SP or SP+DP and had asymptomatic parasitemia before or after the initiation of chemoprevention. 787 samples collected before initiation of chemoprevention and 618 collected after initiation of chemoprevention were sequenced using the Mad4Hatter deep sequencing platform, including sequencing of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genes and analysis of microsatellites to distinguish infecting P. falciparum strains. Considering samples collected before initiation of chemoprevention</w:t>
      </w:r>
      <w:r w:rsidRPr="00FE5D1C">
        <w:rPr>
          <w:rFonts w:ascii="Cambria Math" w:eastAsia="Times New Roman" w:hAnsi="Cambria Math" w:cs="Cambria Math"/>
          <w:color w:val="000000"/>
          <w:kern w:val="0"/>
          <w:sz w:val="22"/>
          <w:szCs w:val="22"/>
          <w14:ligatures w14:val="none"/>
        </w:rPr>
        <w:t>⋯</w:t>
      </w:r>
      <w:r w:rsidRPr="00FE5D1C">
        <w:rPr>
          <w:rFonts w:ascii="Calibri" w:eastAsia="Times New Roman" w:hAnsi="Calibri" w:cs="Calibri"/>
          <w:color w:val="000000"/>
          <w:kern w:val="0"/>
          <w:sz w:val="22"/>
          <w:szCs w:val="22"/>
          <w14:ligatures w14:val="none"/>
        </w:rPr>
        <w:t>..[Give the results!]. Considering</w:t>
      </w:r>
      <w:r w:rsidRPr="00FE5D1C">
        <w:rPr>
          <w:rFonts w:ascii="Cambria Math" w:eastAsia="Times New Roman" w:hAnsi="Cambria Math" w:cs="Cambria Math"/>
          <w:color w:val="000000"/>
          <w:kern w:val="0"/>
          <w:sz w:val="22"/>
          <w:szCs w:val="22"/>
          <w14:ligatures w14:val="none"/>
        </w:rPr>
        <w:t>⋯</w:t>
      </w:r>
      <w:r w:rsidRPr="00FE5D1C">
        <w:rPr>
          <w:rFonts w:ascii="Calibri" w:eastAsia="Times New Roman" w:hAnsi="Calibri" w:cs="Calibri"/>
          <w:color w:val="000000"/>
          <w:kern w:val="0"/>
          <w:sz w:val="22"/>
          <w:szCs w:val="22"/>
          <w14:ligatures w14:val="none"/>
        </w:rPr>
        <w:t>..[I hope that more data is available before the deadline] Findings from this study will guide policy to utilize SP or other drugs to prevent malaria during pregnancy in Africa.</w:t>
      </w:r>
    </w:p>
    <w:p w14:paraId="284536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25-A-1671-ASTMH</w:t>
      </w:r>
    </w:p>
    <w:p w14:paraId="023C78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64F5EE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Assessing the Sustainability of Cambodia's Malaria Health Response</w:t>
      </w:r>
    </w:p>
    <w:p w14:paraId="49B8AB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Cambodia has committed to achieving malaria elimination by 2025. Achieving malaria elimination and certification, and preventing re-establishment, will require a domestically owned and financed health system that can continue malaria-related activities, even with an expected decline in donor and partner support. Cambodia's National Center for Parasitology, Entomology, and Malaria Control (CNM) conducted a sustainability assessment in 2024 to identify progress and challenges that need to be addressed to ensure malaria elimination can be achieved and sustained. The assessment consisted of a desk review and interviews with 41 stakeholders representing national, subnational, external partner, and donor perspectives. Interviews were conducted in 3 provinces selected based on case burden and partner management: Kampong Speu (high burden, managed by CNM), Banteay Meanchey (low burden, managed by CNM), and Battambang (low burden, not directly managed by CNM). Thematic analysis was used to analyze the data collected and identify key themes. The assessment identified insights and opportunities related to 7 domains of the malaria health response: service delivery, health workforce, surveillance, stock management, vector control, political will, and financing. The assessment found that Cambodia is well-positioned to continue implementing its malaria activities as planned through 2026. While there is optimism about securing some external funding post-2026, this is expected to be much lower. Key strategies that were identified to support this transition included finalizing and implementing prevention of re-establishment guidelines, increasing domestic financing for malaria, and developing </w:t>
      </w:r>
      <w:r w:rsidRPr="00FE5D1C">
        <w:rPr>
          <w:rFonts w:ascii="Calibri" w:eastAsia="Times New Roman" w:hAnsi="Calibri" w:cs="Calibri"/>
          <w:color w:val="000000"/>
          <w:kern w:val="0"/>
          <w:sz w:val="22"/>
          <w:szCs w:val="22"/>
          <w14:ligatures w14:val="none"/>
        </w:rPr>
        <w:lastRenderedPageBreak/>
        <w:t>and implementing inter-ministerial plans for integrating malaria services that still needed post-certification (e.g., health workforce, surveillance, supply chain) into the broader health system. By taking proactive steps to foster collaboration, enhance local capacity, and strengthen domestic financing, Cambodia can ensure the sustainability of its achievements and continue to progress towards its goal of a malaria-free future.</w:t>
      </w:r>
    </w:p>
    <w:p w14:paraId="4C8EB6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25-A-1672-ASTMH</w:t>
      </w:r>
    </w:p>
    <w:p w14:paraId="19E912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1D7AF69C" w14:textId="23B15EDE"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Monitoring the</w:t>
      </w:r>
      <w:r w:rsidRPr="00FE5D1C">
        <w:rPr>
          <w:rFonts w:ascii="Calibri" w:eastAsia="Times New Roman" w:hAnsi="Calibri" w:cs="Calibri"/>
          <w:i/>
          <w:iCs/>
          <w:color w:val="000000"/>
          <w:kern w:val="0"/>
          <w:sz w:val="22"/>
          <w:szCs w:val="22"/>
          <w14:ligatures w14:val="none"/>
        </w:rPr>
        <w:t> s</w:t>
      </w:r>
      <w:r w:rsidRPr="00FE5D1C">
        <w:rPr>
          <w:rFonts w:ascii="Calibri" w:eastAsia="Times New Roman" w:hAnsi="Calibri" w:cs="Calibri"/>
          <w:color w:val="000000"/>
          <w:kern w:val="0"/>
          <w:sz w:val="22"/>
          <w:szCs w:val="22"/>
          <w14:ligatures w14:val="none"/>
        </w:rPr>
        <w:t>usceptibility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to Artesunate-Mefloquine in malaria-endemic regions of Vietnam</w:t>
      </w:r>
    </w:p>
    <w:p w14:paraId="11538A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emergence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resistance to dihydroartemisinin-piperaquine has driven treatment failure rates above 50% in Central Highland of Vietnam, highlighting the urgent need for safe, effective, and accessible alternative artemisinin-based combination therapies (ACTs). To address this, we evaluated the therapeutic efficacy of artesunate-mefloquine in treating uncomplicated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malaria. Between 2019 and 2021, 112 patients with uncomplicated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malaria were enrolled and received a 3-day artesunate-mefloquine regimen. Of these, 107 participants completed the 42-day follow-up and achieved treatment success, defined by adequate clinical and parasitological response. Adverse events following drug administration, including dizziness, nausea, headache, and abdominal pain, were infrequent, mild, and self-limiting. Throughout the follow-up period, all hematological and biochemical parameters remained within normal ranges for the study patients. The median parasite clearance half-life was 6.3 hours, with 85% of cases exceeding 5 hours. Molecular analysis showed that approximately 95% of parasites harbored the </w:t>
      </w:r>
      <w:r w:rsidRPr="00FE5D1C">
        <w:rPr>
          <w:rFonts w:ascii="Calibri" w:eastAsia="Times New Roman" w:hAnsi="Calibri" w:cs="Calibri"/>
          <w:i/>
          <w:iCs/>
          <w:color w:val="000000"/>
          <w:kern w:val="0"/>
          <w:sz w:val="22"/>
          <w:szCs w:val="22"/>
          <w14:ligatures w14:val="none"/>
        </w:rPr>
        <w:t>pfK13 </w:t>
      </w:r>
      <w:r w:rsidRPr="00FE5D1C">
        <w:rPr>
          <w:rFonts w:ascii="Calibri" w:eastAsia="Times New Roman" w:hAnsi="Calibri" w:cs="Calibri"/>
          <w:color w:val="000000"/>
          <w:kern w:val="0"/>
          <w:sz w:val="22"/>
          <w:szCs w:val="22"/>
          <w14:ligatures w14:val="none"/>
        </w:rPr>
        <w:t>C580Y mutation, a validated marker associated with artemisinin resistance, while all parasites carried a single copy of the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gene, suggesting mefloquine sensitivity. These findings indicated that, despite partial artemisinin resistance in most parasites, all patients were fully cured, highlighting the high efficacy of mefloquine. Therefore, artesunate-mefloquine remains a highly effective, safe, and well-tolerated alternative in areas affected by dihydroartemisinin-piperaquine treatment failure. Given the high prevalence of artemisinin-resistant parasites, ongoing surveillance of treatment efficacy is crucial to prevent further resistance spread, maintain ACT effectiveness, and guide regional malaria control policies.</w:t>
      </w:r>
    </w:p>
    <w:p w14:paraId="4CFAE3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25-A-1674-ASTMH</w:t>
      </w:r>
    </w:p>
    <w:p w14:paraId="4FEA7C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71C898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Implementation of a Rapid Point-Of-Care Syphilis Testing Program for Pregnant Women Presenting to Ikoba Health Center in Uganda</w:t>
      </w:r>
    </w:p>
    <w:p w14:paraId="3794E3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Congenital syphilis remains one of the most prevalent congenital infections globally, despite being preventable and treatable. This study aimed to implement a rapid syphilis point-of-care testing program to enhance detection and treatment of syphilis during pregnancy. Methods: The study was conducted at Ikoba Health Center, Hoima, Uganda in November, 2024. We utilized the Syphilis Strip Test (Pranaa Bio Inc. Oscar Medicare Pvt Ltd, New Delhi) for point-of-care testing. Additionally, we screened the sexual partners. Pregnant women and sexual partners with positive test results received penicillin treatment. Results: We tested a total of 109 pregnant women, with a mean age of 28.1 years (range: 17-43). Of these women, 81 (74.3%) have been tested previously for syphilis, and 44 (40.3%) reported a previous history of syphilis. A total of 31 (27.2%) women tested positive for syphilis, 14 (31.8%) with prior history of syphilis and, 17 (26.1%) without a prior or unknown history of syphilis. Conclusions: The prevalence of untreated syphilis among our pregnant population was significantly higher than the 0.1% threshold recommended by WHO for routine screening. These findings underscore the critical importance of implementing rapid point-of-care syphilis in antenatal care settings in this region.</w:t>
      </w:r>
    </w:p>
    <w:p w14:paraId="65E400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25-A-1675-ASTMH</w:t>
      </w:r>
    </w:p>
    <w:p w14:paraId="76FD40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Clinical Tropical Medicine</w:t>
      </w:r>
    </w:p>
    <w:p w14:paraId="6C94FA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Point of Care Ultrasound (POCUS): Making Waves in Global Health</w:t>
      </w:r>
    </w:p>
    <w:p w14:paraId="2A4DC6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There is mounting evidence supporting the role of POCUS to optimize patient outcomes across a wide spectrum of medical settings. Advancements in technology have made ultrasound devices increasingly portable and user-friendly, so they are viable for general practitioners working in remote environments. Emergency Medicine has pioneered many POCUS applications, and their protocols often translate well to field locations. Key examinations include cardiac, extended focused assessment in trauma (eFAST), musculoskeletal/ soft tissue, ocular, and volume assessments. Additionally, obstetric POCUS has proven lifesaving by enabling clinicians to confirm intrauterine pregnancy—reducing concern for ectopic pregnancy—as well as assessing viability, gestational age, and fetal presentation, which can inform the need for cesarean delivery. More recently, studies have demonstrated benefits of using POCUS for evaluating and managing many infectious diseases, including several of the major neglected tropical diseases. While POCUS may not always provide a definitive diagnosis, it serves as a relatively affordable and noninvasive tool that enhances patient care, especially when other diagnostic options are unavailable. For example, in cases of viral hemorrhagic fever or malaria, certain ultrasound findings can precede clinical indicators of severe disease, allowing for earlier triage and intervention. Additionally, POCUS has utility in diagnosing many diseases that are often suspected late, and following significant morbidity from complications, including amebiasis, Chagas disease, echinococcosis, filariasis, hepatitis B, melioidosis, rheumatic heart disease, schistosomiasis, tuberculosis, typhoid fever, and visceral leishmaniasis. Mastering POCUS requires dedicated training, but its potential benefits for improving patient outcomes are immeasurable. This presentation will provide clinicians with a brief overview of this powerful tool, with the goal of inspiring further interest. Together we will explore the potential that POCUS holds for informing high-quality care in resource-limited tropical locations.</w:t>
      </w:r>
    </w:p>
    <w:p w14:paraId="04CC5F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25-A-1677-ASTMH</w:t>
      </w:r>
    </w:p>
    <w:p w14:paraId="2F73AF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40D9D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Safety profile, clinical responses and outcomes from a first-in-human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Typhimurium controlled human infection model</w:t>
      </w:r>
    </w:p>
    <w:p w14:paraId="1972F0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Invasive nontyphoidal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(iNTS) serovars are a major cause of community-acquired bloodstream infections in sub-Saharan Africa (sSA).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Typhimurium (STm) is responsible for the majority of cases and is associated with an estimated 15% case fatality rate. Several candidate iNTS vaccines are in development, but tools to accelerate evaluation are needed. We aimed to establish a first-in-human STm controlled human infection model (CHIM) to investigate disease pathogenesis and support candidate vaccine assessment. In this double-blind, randomised, dose-escalation study, healthy UK adults (18-50y) received oral challenge with one of two STm strains: ST19 (4/74), a global diarrhoeal strain, or ST313 (D23580), an invasive sSA strain. The primary objective was to determine the minimum infectious dose (CFU) required for 60-75% of participants to develop systemic salmonellosis (defined as bacteraemia and/or fever &gt;38°C for &gt;12h). Secondary objectives included characterising clinical, microbiological, and immunological responses. Dose adjustments followed a continual reassessment method within predefined safety thresholds. Fifty participants (23 male; mean age 28) were randomised 1:1 to receive STm 4/74 or D23580 across three dose levels (10³ CFU = 10; 10⁴ CFU = 10; 10⁵ CFU = 30). At 10⁵ CFU, 16/30 (53.3%) met the primary endpoint (8/15 per strain). Of these, 26/30 developed gastrointestinal colonisation, 11/30 gastroenteritis, and 7/30 severe gastroenteritis. Dose escalation beyond 10⁵ CFU was not pursued following safety committee advice. Symptom profiles demonstrated dose responsiveness and were comparable between strains. Fever, headache, malaise, and abdominal pain were the most frequently reported symptoms. We have successfully established a novel STm CHIM that meets safety criteria, can provide insights into disease pathogenesis, and offers a valuable platform for evaluating iNTS candidate vaccines.</w:t>
      </w:r>
    </w:p>
    <w:p w14:paraId="699214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25-A-1678-ASTMH</w:t>
      </w:r>
    </w:p>
    <w:p w14:paraId="243AD8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Malaria - Immunology</w:t>
      </w:r>
    </w:p>
    <w:p w14:paraId="009C8D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Parasitological and Immunological Determinants of Afebrile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 infections In Southern Mozambique: A Prospective Cohort</w:t>
      </w:r>
    </w:p>
    <w:p w14:paraId="10E50E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Afebrile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infections have a debilitating impact on health and represent a hidden source of transmission that compromise malaria elimination. Understanding the dynamics and biological factors of subclinical infections can guide the use of interventions against this silent reservoir. In this study, afebrile Mozambicans in a low transmission region were screened from 2020 to 2023 for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infection using a rapid diagnostic test (RDT). After microscopic confirmation, cases were followed for 28 days (daily for the first 4 days and weekly until day 28), with blood samples and basic clinical-demographic information collected at every visit. Antimalarial treatment was administered either upon reaching the end of the follow-up period or in response to clinical symptoms occurring before day 28. Parasite densities, presence of new parasite genotypes and antibodies against recombinant antigens derived from PfEMP1 domains as well as merozoite antigens were determined using quantitative real time PCR (18 sRNA), multiplex targeted amplicon sequencing of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microhaplotypes and quantitative suspension array technology, respectively. Among the 14563 individuals screened, 186 had an RDT-confirmed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infection, 177 were followed and 150 of them had at least 3 visits on days 7, 14, 21 and 28. Eighteen of the 150 participants (12%) spontaneously cleared the infection and 12 (8%) developed fever during the follow-up. 26 (17%) reduced parasite densities to low levels, whereas 77 (51%) and 17 (11%) sustained medium or high-density infections, respectively. Mixed-effects models showed that higher parasite densities were associated with younger age, the presence of new genotypes and lower IgGs against group B PfEMP1 antigens. In contrast, IgGs were not associated with the</w:t>
      </w:r>
      <w:r w:rsidRPr="00FE5D1C">
        <w:rPr>
          <w:rFonts w:ascii="Calibri" w:eastAsia="Times New Roman" w:hAnsi="Calibri" w:cs="Calibri"/>
          <w:color w:val="000000"/>
          <w:kern w:val="0"/>
          <w:sz w:val="22"/>
          <w:szCs w:val="22"/>
          <w14:ligatures w14:val="none"/>
        </w:rPr>
        <w:br/>
        <w:t>development of fever. These results suggest that antibodies against PfEMP1 mediate antiparasitic immunity while other factors likely underlie anti-disease immunity.</w:t>
      </w:r>
    </w:p>
    <w:p w14:paraId="3E70BE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25-A-1681-ASTMH</w:t>
      </w:r>
    </w:p>
    <w:p w14:paraId="064B9D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1DD6B7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Genomic Epidemiology and Antimicrobial Resistance Profile of Shigella isolated from Diarrhea diseases in under-five children in Blantyre, Malawi</w:t>
      </w:r>
    </w:p>
    <w:p w14:paraId="513C27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Shigellosis poses a significant threat to under-five children, and the escalating antimicrobial Resistance (AMR) in Shigella complicates management</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Whole Genome Sequence Analysis (WGSA) has advanced understanding of AMR and transmission dynamics; however, WGS data from </w:t>
      </w:r>
      <w:r w:rsidRPr="00FE5D1C">
        <w:rPr>
          <w:rFonts w:ascii="Calibri" w:eastAsia="Times New Roman" w:hAnsi="Calibri" w:cs="Calibri"/>
          <w:i/>
          <w:iCs/>
          <w:color w:val="000000"/>
          <w:kern w:val="0"/>
          <w:sz w:val="22"/>
          <w:szCs w:val="22"/>
          <w14:ligatures w14:val="none"/>
        </w:rPr>
        <w:t>Shigella</w:t>
      </w:r>
      <w:r w:rsidRPr="00FE5D1C">
        <w:rPr>
          <w:rFonts w:ascii="Calibri" w:eastAsia="Times New Roman" w:hAnsi="Calibri" w:cs="Calibri"/>
          <w:color w:val="000000"/>
          <w:kern w:val="0"/>
          <w:sz w:val="22"/>
          <w:szCs w:val="22"/>
          <w14:ligatures w14:val="none"/>
        </w:rPr>
        <w:t> in southern Africa remains scarce. In this study, we hypothesized that unique local transmission dynamics in Malawi yield distinct genomic and AMR profiles among Shigella species. As part of the Enterics For Global Health Shigella surveillance study (2022-2023), we performed WGSA on 27 </w:t>
      </w:r>
      <w:r w:rsidRPr="00FE5D1C">
        <w:rPr>
          <w:rFonts w:ascii="Calibri" w:eastAsia="Times New Roman" w:hAnsi="Calibri" w:cs="Calibri"/>
          <w:i/>
          <w:iCs/>
          <w:color w:val="000000"/>
          <w:kern w:val="0"/>
          <w:sz w:val="22"/>
          <w:szCs w:val="22"/>
          <w14:ligatures w14:val="none"/>
        </w:rPr>
        <w:t>Shigella</w:t>
      </w:r>
      <w:r w:rsidRPr="00FE5D1C">
        <w:rPr>
          <w:rFonts w:ascii="Calibri" w:eastAsia="Times New Roman" w:hAnsi="Calibri" w:cs="Calibri"/>
          <w:color w:val="000000"/>
          <w:kern w:val="0"/>
          <w:sz w:val="22"/>
          <w:szCs w:val="22"/>
          <w14:ligatures w14:val="none"/>
        </w:rPr>
        <w:t> isolates from children presenting with diarrhea at a health centre in Malawi. Serotyping, AMR profiling, and phylogenetic analysis revealed distinct geographical and genetic patterns among </w:t>
      </w:r>
      <w:r w:rsidRPr="00FE5D1C">
        <w:rPr>
          <w:rFonts w:ascii="Calibri" w:eastAsia="Times New Roman" w:hAnsi="Calibri" w:cs="Calibri"/>
          <w:i/>
          <w:iCs/>
          <w:color w:val="000000"/>
          <w:kern w:val="0"/>
          <w:sz w:val="22"/>
          <w:szCs w:val="22"/>
          <w14:ligatures w14:val="none"/>
        </w:rPr>
        <w:t>S. sonnei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 flexneri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 boydii, with s</w:t>
      </w:r>
      <w:r w:rsidRPr="00FE5D1C">
        <w:rPr>
          <w:rFonts w:ascii="Calibri" w:eastAsia="Times New Roman" w:hAnsi="Calibri" w:cs="Calibri"/>
          <w:color w:val="000000"/>
          <w:kern w:val="0"/>
          <w:sz w:val="22"/>
          <w:szCs w:val="22"/>
          <w14:ligatures w14:val="none"/>
        </w:rPr>
        <w:t>ixteen AMR genes linked to ten antimicrobial classes and multiple mobile genetic elements identified, highlighting a complex resistance profile.</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These findings provide the first contemporary </w:t>
      </w:r>
      <w:r w:rsidRPr="00FE5D1C">
        <w:rPr>
          <w:rFonts w:ascii="Calibri" w:eastAsia="Times New Roman" w:hAnsi="Calibri" w:cs="Calibri"/>
          <w:i/>
          <w:iCs/>
          <w:color w:val="000000"/>
          <w:kern w:val="0"/>
          <w:sz w:val="22"/>
          <w:szCs w:val="22"/>
          <w14:ligatures w14:val="none"/>
        </w:rPr>
        <w:t>Shigella </w:t>
      </w:r>
      <w:r w:rsidRPr="00FE5D1C">
        <w:rPr>
          <w:rFonts w:ascii="Calibri" w:eastAsia="Times New Roman" w:hAnsi="Calibri" w:cs="Calibri"/>
          <w:color w:val="000000"/>
          <w:kern w:val="0"/>
          <w:sz w:val="22"/>
          <w:szCs w:val="22"/>
          <w14:ligatures w14:val="none"/>
        </w:rPr>
        <w:t>genomic data from a large-scale diarrhea disease surveillance study in Malawi, offering critical baseline information to guide antibiotic treatment and vaccine deployment, with implications for improving efforts to combat Shigellosis in Malawi and similar regions.</w:t>
      </w:r>
    </w:p>
    <w:p w14:paraId="0BCFFA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25-A-1682-ASTMH</w:t>
      </w:r>
    </w:p>
    <w:p w14:paraId="44BF6E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7F0289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ASSESSING RETENTION IN CARE AND FACTORS ASSOCIATED WITH ANTIRETROVIRAL THERAPY AMONG PEOPLE LIVING WITH HIV IN THE UPPER WEST REGION OF GHANA: A RETROSPECTIVE COHORT STUDY</w:t>
      </w:r>
    </w:p>
    <w:p w14:paraId="1F6D23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Antiretroviral therapy (ART) programs that retain people living with HIV (PLWH) in care are essential for maintaining viral suppression, improving health outcomes, and halting the spread of HIV. While ART </w:t>
      </w:r>
      <w:r w:rsidRPr="00FE5D1C">
        <w:rPr>
          <w:rFonts w:ascii="Calibri" w:eastAsia="Times New Roman" w:hAnsi="Calibri" w:cs="Calibri"/>
          <w:color w:val="000000"/>
          <w:kern w:val="0"/>
          <w:sz w:val="22"/>
          <w:szCs w:val="22"/>
          <w14:ligatures w14:val="none"/>
        </w:rPr>
        <w:lastRenderedPageBreak/>
        <w:t>accessibility has improved, retention in care is still low in Ghana. Although several factors account for this, there is limited data to support it. This study assessed the factors influencing retention in care of PLWH in the Upper West Region (UWR) of Ghana. The study used a retrospective cohort design to track 482 PLWH who started ART in 2019 across 14 ART clinics in the UWR of Ghana. Demographic, clinical, and psychological elements linked to retention were accessed by extracting data from the HIV electronic tracker database. The characteristics of the study participants were summarized using descriptive statistics, estimates of retention rates, and relationships between presumed predictors and retention were obtained through Cox Proportional Hazards Regression and Kaplan-Meier Survival Analysis. The results demonstrate that 384/482 (79.7%) of participants remained in care at six months, 354/482(73.4%) at twelve months, 298/482 (61.8%) at twenty-four months, and 260/482 (53.9%) at thirty-six months, indicating a decline in ART retention with time. Age, HIV status disclosure, and viral load suppression are important determinants of retention. Older ages between 50-79 years (HR = 0.29, 95% CI: 0.13-0.61) have a 71% reduced risk of attrition compared with younger age groups. Psychosocial factors were positively associated with retention as HIV status disclosure had HR = 0.50(95%CI 0.29 - 0.88). Unknown viral load status significantly increased the risk of attrition (HR = 6.41, 95% CI: 4.50-9.12). This study has demonstrated that retention rates decrease with time and that retention was significantly predicted by age and viral load status, with better retention rates shown in older PLWH and those aware of their viral load status.</w:t>
      </w:r>
    </w:p>
    <w:p w14:paraId="38E504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25-A-1683-ASTMH</w:t>
      </w:r>
    </w:p>
    <w:p w14:paraId="44DA52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06AA2C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Efficacy of the BiteBarrier transfluthrin emanator against susceptible and resistant malaria and arbovirus vectors in the semi-field system in Tanzania</w:t>
      </w:r>
    </w:p>
    <w:p w14:paraId="497ADF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Controlling mosquito-borne diseases is increasingly challenging due to factors such as outdoor and early biting mosquitoes and logistical or behavioral barriers, particularly in displaced populations where the use and efficacy of core interventions are inadequate. This study evaluated the impact of BiteBarrier, a transfluthrin-based spatial emanator, over eight weeks of aging against multiple mosquito species in semi-field system simulating both indoor and outdoor settings. We assessed the protective efficacy using both landing rate and feeding success methods across five mosquito species, including pyrethroid susceptible Anopheles gambiae sensu stricto (s.s.) and Aedes aegypti, An. gambiae s.s. with knock down resistance (KDR), and pyrethroid resistant An. funestus and Culex quinquefasciatus with upregulation of mixed function oxidases. The results show that the feeding endpoint provides more robust estimates of protective efficacy compared to the landing endpoint. The BiteBarrier provided over 93% (95% CI: 92 - 93) protection indoors and 80% (95% CI: 78 - 81) outdoors against mosquito bites and substantial mortality 47% (95% CI: 43 - 53) indoor and 26% (95% CI: 22 - 30) outdoors, regardless of mosquito species or resistance status. Overall, the BiteBarrier shows potential as a tool for reducing mosquito bites and vectorial capacity, offering protection over at least eight weeks of use for both indoor and outdoor environments.</w:t>
      </w:r>
    </w:p>
    <w:p w14:paraId="09E2F4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25-A-1684-ASTMH</w:t>
      </w:r>
    </w:p>
    <w:p w14:paraId="62D3E6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76314ACB" w14:textId="6691396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Cholera outbreak resulting from untreated water consumption: a case-control study and environmental investigation in the Mifi Health District, West Region-Cameroon, July 2022</w:t>
      </w:r>
    </w:p>
    <w:p w14:paraId="5C0F4B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Diarrheal diseases are a leading cause of death in children under 5 years in Cameroon. Research suggests that climate change would increase the frequency and severity of extreme weather events (floods, drought, heatwaves) leading to contamination of water sources and increased transmission of water-borne diseases. Cholera outbreaks have been increasing in Cameroon since 2018. In 2022, five cholera cases were confirmed in the Mifi health district, West Cameroon Region, marking the first recorded cholera outbreak in this region for the past ten years. A water source was suspected to be contaminated. A multidisciplinary team was deployed to identify the risk factors and investigate water </w:t>
      </w:r>
      <w:r w:rsidRPr="00FE5D1C">
        <w:rPr>
          <w:rFonts w:ascii="Calibri" w:eastAsia="Times New Roman" w:hAnsi="Calibri" w:cs="Calibri"/>
          <w:color w:val="000000"/>
          <w:kern w:val="0"/>
          <w:sz w:val="22"/>
          <w:szCs w:val="22"/>
          <w14:ligatures w14:val="none"/>
        </w:rPr>
        <w:lastRenderedPageBreak/>
        <w:t>contamination.</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We conducted a matched 1:2 case-control study (age and sex). Cases were defined as persons having acute watery diarrhea confirmed by stool culture or an epidemiological link to a laboratory-confirmed case between 08</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May and 17</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July 2022. Controls were persons who did not have diarrhea and were enrolled in the same neighborhood. We described cases by time, place and sociodemographic characteristics (age, sex, state of dehydration, incidence rate, case fatality rate [CFR]). Water was assessed with the WHO water source inspection form and microbiological analysis</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We calculated adjusted odds ratios (aORs) to identify risk factors.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Eighty-two cases were reported, but we identified a total of 172 cases through active case finding from 75% (15/20) health areas [median age: 32 years (IQR: 14-50)]. The incidence rate was 39 cases/100,000 inhabitants, and the CFR was 2.33% (4/172). Fifteen cases (9%) experienced severe dehydration. Untreated water consumption (aOR=13.1; 95% CI: 2.3-75.1) and handwashing without soap (aOR=4.7; 95% CI: 1.6-13.7) were risk factors. Twenty-six percent (8/31) of the water sources tested were classified as very high risk according to WHO criteria.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was not isolated from the water samples.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Sensitizing communities on safe hygiene practices, effects of climate change, and enhancing environmental surveillance of cholera among national guidelines for surveillance could improve cholera control.</w:t>
      </w:r>
    </w:p>
    <w:p w14:paraId="51DAD8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25-A-1685-ASTMH</w:t>
      </w:r>
    </w:p>
    <w:p w14:paraId="53BDE8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379057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Quantifying undetected tuberculosis in Ethiopia using a novel geospatial modelling approach</w:t>
      </w:r>
    </w:p>
    <w:p w14:paraId="376FF1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Tuberculosis (TB) is the leading infectious cause of death globally, with approximately three million cases remaining undetected, thereby contributing to community transmission. Understanding the spatial distribution of undetected TB in high-burden settings is critical for designing and implementing geographically targeted interventions for early detection and control. This study presents the first estimates of numbers of undetected TB cases in Ethiopia at national and local levels. We employed a Bayesian geostatistical modelling framework, incorporating national TB prevalence survey and TB notification data together with climatic and environmental variables, to estimate the number of undetected TB cases at district and national levels. Spatial clustering of undetected TB cases was assessed using Moran’s Index statistic and Local Indicator of Spatial Autocorrelation (LISA). A Bayesian Poisson regression model with conditional autoregressive (CAR) prior structure was developed to identify drivers of the clustering. We estimated a total of 51,041 undetected TB cases (95% CI: 50,599, 51,486) in Ethiopia, with the majority of these cases predicted in the Oromia region (20,440), Amhara region (9,614), and South Ethiopia region (6,061). Spatial clustering of undetected TB cases was observed in districts near international borders, including the Ethiopia-Somalia and Ethiopia-Kenya border regions, as well as in several districts of Southern Ethiopia. The number of undetected TB cases was negatively associated with the proportion of the population with good mass media exposure (Incidence rate ratio (IRR): 0.67 95% CI: 0.56, 0.80) and the proportion of the population with high wealth index (IRR: 0.73, 95% CI: 0.60, 0.90). Our findings revealed a high burden of undetected TB in Ethiopia, with spatial clustering in border regions and areas with limited healthcare access. Targeted TB screening interventions to communities with low socioeconomic status along with improving mass media exposure in these regions, could significantly reduce the burden of undetected TB in Ethiopia.</w:t>
      </w:r>
    </w:p>
    <w:p w14:paraId="5C9BAD6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25-A-1688-ASTMH</w:t>
      </w:r>
    </w:p>
    <w:p w14:paraId="5B58D6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7A2278E0" w14:textId="6C53D438"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Community Engagement for Clinical Decision Support Algorithms in Primary Health Care: Insights from Morogoro, Tanzania</w:t>
      </w:r>
    </w:p>
    <w:p w14:paraId="178423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EEffective community engagement is critical for the success of health research, especially those aimed at improving service delivery. This study outlines engagement activities conducted under the DYNAMIC project, which implemented clinical decision support algorithms (CDSA) to manage sick children in primary healthcare facilities in Morogoro, Tanzania. The goal was to build community trust, facilitate enrollment, and promote uptake of findings. Between May and October 2021, 85 community meetings </w:t>
      </w:r>
      <w:r w:rsidRPr="00FE5D1C">
        <w:rPr>
          <w:rFonts w:ascii="Calibri" w:eastAsia="Times New Roman" w:hAnsi="Calibri" w:cs="Calibri"/>
          <w:color w:val="000000"/>
          <w:kern w:val="0"/>
          <w:sz w:val="22"/>
          <w:szCs w:val="22"/>
          <w14:ligatures w14:val="none"/>
        </w:rPr>
        <w:lastRenderedPageBreak/>
        <w:t>were held across Ifakara Town Council, Ulanga, and Mlimba Districts, engaging 658 participants, including ward and village leaders. The process involved identifying local leaders, securing district approvals, planning meetings, and conducting discussions at village and ward levels. Materials such as flyers, posters, consent forms, and COVID-19 safety guidance were provided, with communication in Swahili. Key themes from participant feedback included concerns about the benefits and risks of CDSA use. Beyond this, participants offered proposals to strengthen healthcare delivery. They urged the research team to conduct regular health education on antibiotic resistance, rational medicine use, and treatment adherence, integrating sessions into village meetings. Gender-sensitive approaches were emphasized, including dedicated platforms like women-only sessions for female caregivers. Participants also raised concerns about pharmacy regulation, advocating for stronger oversight to curb the sale of counterfeit or inappropriate medications and suggesting collaboration with local authorities. This study underscores the importance of community engagement in fostering trust and enhancing research implementation in low-resource settings. It also presents community-driven recommendations to strengthen intervention sustainability, health system responsiveness, and long-term impact.</w:t>
      </w:r>
    </w:p>
    <w:p w14:paraId="43644E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25-A-1689-ASTMH</w:t>
      </w:r>
    </w:p>
    <w:p w14:paraId="7A1670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49DE2C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Burden of Chikungunya and Onyong’nyong Viral Infections in Uganda: A Hospital Based Sentinel Surveillance Study</w:t>
      </w:r>
    </w:p>
    <w:p w14:paraId="6B55B3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Chikungunya virus (CHIKV) and Onyong’nyong virus (ONNV) are mosquito borne alphaviruses grouped under the </w:t>
      </w:r>
      <w:r w:rsidRPr="00FE5D1C">
        <w:rPr>
          <w:rFonts w:ascii="Calibri" w:eastAsia="Times New Roman" w:hAnsi="Calibri" w:cs="Calibri"/>
          <w:i/>
          <w:iCs/>
          <w:color w:val="000000"/>
          <w:kern w:val="0"/>
          <w:sz w:val="22"/>
          <w:szCs w:val="22"/>
          <w14:ligatures w14:val="none"/>
        </w:rPr>
        <w:t>Togaviridae</w:t>
      </w:r>
      <w:r w:rsidRPr="00FE5D1C">
        <w:rPr>
          <w:rFonts w:ascii="Calibri" w:eastAsia="Times New Roman" w:hAnsi="Calibri" w:cs="Calibri"/>
          <w:color w:val="000000"/>
          <w:kern w:val="0"/>
          <w:sz w:val="22"/>
          <w:szCs w:val="22"/>
          <w14:ligatures w14:val="none"/>
        </w:rPr>
        <w:t> family, historically endemic to Africa. Both viruses cause febrile illness accompanied by debilitating joint pain, with CHIKV infections sometimes leading to life threatening complications, particularly in neonates, immunocompromised individuals, and the elderly. Despite their potential public health impact, ONNV infections remain underreported due to limited surveillance and diagnostic challenges, leaving their epidemic potential unclear.</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We conducted sentinel hospital based surveillance in Uganda to assess the occurrence, geographical distribution, and clinical manifestation of CHIKV and ONNV. Serological and molecular diagnostic methods were employed to detect active and recent infections. Epidemiological data were analyzed to characterize clinical manifestations and determine risk factors for severe disease.Preliminary findings reveal no detectable circulation of CHIKV, but suggest continued transmission of ONNV in Uganda. We are analyzing laboratory test results from samples collected over a five year period, 2018 to 2022, from febrile patients who sought care at hospitals across 34 districts, to estimate the annual prevalence, age profiles and geographical distribution of ONNV. Results from these analyses will be presented at the meeting. This study underscores the endemic nature of ONNV in Uganda and the need for enhanced surveillance, improved diagnostic capacity, and targeted public health interventions. Findings will inform clinical management strategies and contribute to preparedness against future outbreaks.</w:t>
      </w:r>
    </w:p>
    <w:p w14:paraId="51E468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25-A-1690-ASTMH</w:t>
      </w:r>
    </w:p>
    <w:p w14:paraId="429976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1450E9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Impact of Schistosomiasis Practical and Precision Assessment to target treatment from counties to districts level in Liberia 2023: A Pilot Project for Schistosomiasis Practical and Precision Assessment</w:t>
      </w:r>
    </w:p>
    <w:p w14:paraId="7F1B4F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Schistosomiasis (SCH) is a parasitic disease caused by infection with the trematode blood-flukes schistosomes. The World Health Assembly resolution 54.19 urges all member states to regularly treat at least 75% of all school-aged children (SAC) at risk of morbidity praziquantel targeting all children two years old in endemic districts with high to moderate risk (&gt;10% and a low-risk &lt;10%,) prevalence. To address this programmatic gap on how to conduct a survey for SCH, a multi-country study entitled, “The Schistosomiasis Oversampling Study” (SOS) was conducted from 2021-2022 to identify the optimal survey sampling method for conducting impact assessments that is feasible for country programs, cost-effective and results in accurate treatment classifications of sub-districts. In May of 2023, the SOS study teams, SCH program managers, international SCH experts, NGO partners, donors, and WHO gathered in </w:t>
      </w:r>
      <w:r w:rsidRPr="00FE5D1C">
        <w:rPr>
          <w:rFonts w:ascii="Calibri" w:eastAsia="Times New Roman" w:hAnsi="Calibri" w:cs="Calibri"/>
          <w:color w:val="000000"/>
          <w:kern w:val="0"/>
          <w:sz w:val="22"/>
          <w:szCs w:val="22"/>
          <w14:ligatures w14:val="none"/>
        </w:rPr>
        <w:lastRenderedPageBreak/>
        <w:t>Nairobi, Kenya to review the results of the SOS and ultimately agreed on a single impact assessment strategy, known as ‘Schistosomiasis Practical and Precision Assessments (SPPA). The method used was to conduct SPPA which comprise of a two-stage approach. This two-stage approach was designed to classify the prevalence of SCH accurately and efficiently among SAC at the sub-district level as </w:t>
      </w:r>
      <w:r w:rsidRPr="00FE5D1C">
        <w:rPr>
          <w:rFonts w:ascii="Calibri" w:eastAsia="Times New Roman" w:hAnsi="Calibri" w:cs="Calibri"/>
          <w:color w:val="000000"/>
          <w:kern w:val="0"/>
          <w:sz w:val="22"/>
          <w:szCs w:val="22"/>
          <w:u w:val="single"/>
          <w14:ligatures w14:val="none"/>
        </w:rPr>
        <w:t>&gt;</w:t>
      </w:r>
      <w:r w:rsidRPr="00FE5D1C">
        <w:rPr>
          <w:rFonts w:ascii="Calibri" w:eastAsia="Times New Roman" w:hAnsi="Calibri" w:cs="Calibri"/>
          <w:color w:val="000000"/>
          <w:kern w:val="0"/>
          <w:sz w:val="22"/>
          <w:szCs w:val="22"/>
          <w14:ligatures w14:val="none"/>
        </w:rPr>
        <w:t>10% or &lt;10% to make a good treatment decision. Practical Assessments (PA) was used in Liberia to conduct the survey at the county level as a test for heterogeneity. The PA aim was to determine if the prevalence of SCH within a district is sufficiently homogenous, such that the </w:t>
      </w:r>
      <w:r w:rsidRPr="00FE5D1C">
        <w:rPr>
          <w:rFonts w:ascii="Calibri" w:eastAsia="Times New Roman" w:hAnsi="Calibri" w:cs="Calibri"/>
          <w:i/>
          <w:iCs/>
          <w:color w:val="000000"/>
          <w:kern w:val="0"/>
          <w:sz w:val="22"/>
          <w:szCs w:val="22"/>
          <w14:ligatures w14:val="none"/>
        </w:rPr>
        <w:t>same </w:t>
      </w:r>
      <w:r w:rsidRPr="00FE5D1C">
        <w:rPr>
          <w:rFonts w:ascii="Calibri" w:eastAsia="Times New Roman" w:hAnsi="Calibri" w:cs="Calibri"/>
          <w:color w:val="000000"/>
          <w:kern w:val="0"/>
          <w:sz w:val="22"/>
          <w:szCs w:val="22"/>
          <w14:ligatures w14:val="none"/>
        </w:rPr>
        <w:t>treatment decision would be appropriate for all districts within the counties. The PA selected 15-schools x 30 SAC 10-14yrs, with a sample size of 450 SAC per county. This survey was conducted in four counties (Bong, Lofa, Maryland and Nimba) based on their endemicity. The study results revealed that SCH prevalence is above &gt;10% in the four counties. A total of 800 cases for Kato Katz for S. Masoni were positive out of the total of 1,800 participants and 103 urine filtrations for S. haematobium cases were positive. Therefore, treatment of SCH needs to be continued in all endemic counties in Liberia.</w:t>
      </w:r>
    </w:p>
    <w:p w14:paraId="55B3DD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25-A-1691-ASTMH</w:t>
      </w:r>
    </w:p>
    <w:p w14:paraId="703981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691FAB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Evaluating social capital and support networks of 2382 people with tuberculosis (PTB): a cross-sectional survey nested within the community-randomised controlled CRESIPT trial, Peru</w:t>
      </w:r>
    </w:p>
    <w:p w14:paraId="7F11522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 </w:t>
      </w:r>
      <w:r w:rsidRPr="00FE5D1C">
        <w:rPr>
          <w:rFonts w:ascii="Calibri" w:eastAsia="Times New Roman" w:hAnsi="Calibri" w:cs="Calibri"/>
          <w:color w:val="000000"/>
          <w:kern w:val="0"/>
          <w:sz w:val="22"/>
          <w:szCs w:val="22"/>
          <w14:ligatures w14:val="none"/>
        </w:rPr>
        <w:t>Tuberculosis (TB) is a social disease linked with poverty, marginalisation and social isolation leading to low social capital which predicts poor health. To end TB, National TB Programmes (NTP) need to tackle social inequalities which perpetuate and exacerbate TB illness, including poor social capital. </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CRESIPT was a non-blinded, community-randomized controlled trial undertaken between 2012-22 in 32 impoverished communities in Lima, Peru. Communities received either standard of care (SoC) from Peru’s NTP or the same SoC plus a socioeconomic intervention of conditional cash transfers and peer-led support. All PTB ≥15-years old completed the World Bank’s “Shortened and Adapted Social Capital and Perceived Safety Assessment Tool” (SASCAT) questionnaire at recruitment to quantify their social capital. Quantitative analyses summarised the emotional, financial and learning support gained from social networks of PTB at recruitment in 2016-19. </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2382 PTB completed the SASCAT: median age was 31 (range 15-96) and 64.1% (1527/2382) were male. Overall, 2259/2382 (94.37%) received support from social networks (median 3, range 0-27, max 57). PTB relied primarily on family for emotional (2092/2382, 87.8%) and financial (1834/2382, 77.0%) support to mitigate the psychological and socioeconomic impact of TB. PTB’s secondary sources of emotional (998/2382, 41.9%), learning (537/2382, 22.5%), and financial (306/2382, 12.9%) support were friends. Neighbours also provided considerable emotional (446/2382, 18.7%) and learning (233/2382, 9.8%) support.14.48% PTB gained support from community groups. Religious authorities provided limited emotional (106/2382, 4.45%) and learning support (46/2382, 1.93%). Food Aid groups provided a minority with emotional support (23/2382, 0.97%). </w:t>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In impoverished communities of Lima, Peru, PTB relied primarily on support from family and friends. A collaborative approach is needed to increase support from other sources such as community groups to enhance social capital for PTB.</w:t>
      </w:r>
    </w:p>
    <w:p w14:paraId="568A12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25-A-1694-ASTMH</w:t>
      </w:r>
    </w:p>
    <w:p w14:paraId="09F046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61E04E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Oral Cholera Vaccination Campaigns in Humanitarian Crises: Implementation Among Rohingya Refugees in Cox’s Bazar, Bangladesh</w:t>
      </w:r>
    </w:p>
    <w:p w14:paraId="7539D2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xml:space="preserve"> In late 2017, over 700,000 Rohingya Myanmar nationals (RMNs) fled into Cox’s Bazar, Bangladesh, creating one of the world’s largest humanitarian crises. The overcrowded, unsanitary living conditions significantly increased vulnerability to communicable diseases, including cholera. Recognizing the risk, the Government of Bangladesh (GoB), in collaboration with the International Centre for Diarrhoeal Disease Research, Bangladesh (icddr,b) and international partners, initiated oral cholera vaccination (OCV) campaigns as a preventive measure. This report outlines the implementation and </w:t>
      </w:r>
      <w:r w:rsidRPr="00FE5D1C">
        <w:rPr>
          <w:rFonts w:ascii="Calibri" w:eastAsia="Times New Roman" w:hAnsi="Calibri" w:cs="Calibri"/>
          <w:color w:val="000000"/>
          <w:kern w:val="0"/>
          <w:sz w:val="22"/>
          <w:szCs w:val="22"/>
          <w14:ligatures w14:val="none"/>
        </w:rPr>
        <w:lastRenderedPageBreak/>
        <w:t>delivery of these campaigns during the crisis.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Seven OCV campaigns were conducted from October 2017 to December 2021. The campaigns utilized diverse strategies, including fixed-site mass vaccination, mobile teams, house-to-house visits, and a rolling camp approach. Community mobilization was facilitated through local leaders, or Majhis, to ensure participation and outreach.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Over the course of seven campaigns, 900,000 RMNs and 528,297 individuals from the host population were vaccinated, resulting in the administration of 4,661,187 OCV doses. This included 3,765,499 doses for RMNs and 895,688 doses for the host community. Vaccine acceptance was high, achieving coverage rates between 87% and 108% across different campaigns. The intervention successfully prevented cholera outbreaks in both refugee camps and surrounding host communities, accompanied by a marked decline in acute watery diarrhea cases. Despite these successes, challenges such as vaccine shortages and inaccurate population estimations were encountered.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The implementation of OCV campaigns in complex humanitarian crisis settings is both feasible and effective. To sustain these achievements and prevent future cholera outbreaks, a multisectoral approach integrating vaccination, WASH interventions, robust surveillance systems, and case management is essential for refugee camps and adjacent host communities.</w:t>
      </w:r>
    </w:p>
    <w:p w14:paraId="464870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25-A-1695-ASTMH</w:t>
      </w:r>
    </w:p>
    <w:p w14:paraId="640972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5986C0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Whole Transcriptomic Analysis reveals Key Metabolic genes involved in Insecticide-Resistant </w:t>
      </w:r>
      <w:r w:rsidRPr="00FE5D1C">
        <w:rPr>
          <w:rFonts w:ascii="Calibri" w:eastAsia="Times New Roman" w:hAnsi="Calibri" w:cs="Calibri"/>
          <w:b/>
          <w:bCs/>
          <w:i/>
          <w:iCs/>
          <w:color w:val="000000"/>
          <w:kern w:val="0"/>
          <w:sz w:val="22"/>
          <w:szCs w:val="22"/>
          <w14:ligatures w14:val="none"/>
        </w:rPr>
        <w:t>An. gambiae s.s</w:t>
      </w:r>
      <w:r w:rsidRPr="00FE5D1C">
        <w:rPr>
          <w:rFonts w:ascii="Calibri" w:eastAsia="Times New Roman" w:hAnsi="Calibri" w:cs="Calibri"/>
          <w:b/>
          <w:bCs/>
          <w:color w:val="000000"/>
          <w:kern w:val="0"/>
          <w:sz w:val="22"/>
          <w:szCs w:val="22"/>
          <w14:ligatures w14:val="none"/>
        </w:rPr>
        <w:t> from coastal Ghana</w:t>
      </w:r>
    </w:p>
    <w:p w14:paraId="218A28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 the World Health Organization African Region continues to take giant strides towards malaria elimination, insecticide resistance remains a major threat to sustained transmission reduction. Even though studies have reported resistance in the malaria vector population in Ghana, the intensity and mechanisms of resistance are poorly understood. Here, we used WHO bioassays to characterize phenotypic resistance and employed whole transcriptomic analysis to unravel the mechanisms of insecticide resistance in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s.s </w:t>
      </w:r>
      <w:r w:rsidRPr="00FE5D1C">
        <w:rPr>
          <w:rFonts w:ascii="Calibri" w:eastAsia="Times New Roman" w:hAnsi="Calibri" w:cs="Calibri"/>
          <w:color w:val="000000"/>
          <w:kern w:val="0"/>
          <w:sz w:val="22"/>
          <w:szCs w:val="22"/>
          <w14:ligatures w14:val="none"/>
        </w:rPr>
        <w:t>population in the coastal zone of Ghana.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larvae were sampled in Opeibea, Teshie, Damfa and Teshie locations along the coastal communities and raised to 2-5-day-old adult F</w:t>
      </w:r>
      <w:r w:rsidRPr="00FE5D1C">
        <w:rPr>
          <w:rFonts w:ascii="Calibri" w:eastAsia="Times New Roman" w:hAnsi="Calibri" w:cs="Calibri"/>
          <w:color w:val="000000"/>
          <w:kern w:val="0"/>
          <w:sz w:val="22"/>
          <w:szCs w:val="22"/>
          <w:vertAlign w:val="subscript"/>
          <w14:ligatures w14:val="none"/>
        </w:rPr>
        <w:t>0</w:t>
      </w:r>
      <w:r w:rsidRPr="00FE5D1C">
        <w:rPr>
          <w:rFonts w:ascii="Calibri" w:eastAsia="Times New Roman" w:hAnsi="Calibri" w:cs="Calibri"/>
          <w:color w:val="000000"/>
          <w:kern w:val="0"/>
          <w:sz w:val="22"/>
          <w:szCs w:val="22"/>
          <w14:ligatures w14:val="none"/>
        </w:rPr>
        <w:t> generation, which was used to undertake insecticide susceptibility tests. We further performed PBO synergist and intensity bioassays in the same vector populations.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Illumina RNA-sequencing was performed on a pool of specimens phenotyped as 1) Resistant, 2) susceptible strain and 3) unexposed to elucidate the molecular mechanisms underlying these phenotypes. High intensity of resistance to deltamethrin and permethrin at 1x, 5x, and 10x concentrations and resistance to pirimiphos-methyl (0.25%) were recorded. Pre-exposure to 4% PBO did not restore susceptibility to pyrethroids. The average mortality rates for deltamethrin and permethrin at 1x, 5x, and 10x concentrations were 4%, 20%, 40% and 3%, 7%, 63%, respectively. Pirimiphos-methyl (0.25%), 4% PBO + deltamethrin (0.05%), and 4% PBO + permethrin (0.75%) yielded AMRs of 71%, 46%, and 47%, respectively. The top genes associated with resistance to multiple insecticides included Cytochrome P450s genes (CYP6M3, CYP6Z3, CYP6M2, CYP9K1, CYP4D22 and CYP6P5), glutathione S-transferases (GSTD3, GSTE5), carboxylesterases (COEAE5G), salivary gland proteins (SG3 and D7r1), and a variety of cuticular proteins. These findings suggest metabolic and cuticular resistance are important resistance mechanisms in coastal Ghana, and PBO dual active bed nets may not fully mitigate pyrethroid resistance, highlighting the need to introduce other next-generation dual active nets.</w:t>
      </w:r>
    </w:p>
    <w:p w14:paraId="4C425F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25-A-1697-ASTMH</w:t>
      </w:r>
    </w:p>
    <w:p w14:paraId="2960EB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063371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Evaluation of Consumer Health Information about Monkeypox on X - Formerly Twitter</w:t>
      </w:r>
    </w:p>
    <w:p w14:paraId="7EA6BB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Mpox poses a great health burden and public health concern, especially with its resurgence in 2022, as 99,176 confirmed cases have been documented across 116 countries. Previous studies have evaluated the quality of health information about Mpox on other social media platforms, however, this study evaluated the quality and reliability of Mpox-related health information on X. Five search terms (#Mpox, </w:t>
      </w:r>
      <w:r w:rsidRPr="00FE5D1C">
        <w:rPr>
          <w:rFonts w:ascii="Calibri" w:eastAsia="Times New Roman" w:hAnsi="Calibri" w:cs="Calibri"/>
          <w:color w:val="000000"/>
          <w:kern w:val="0"/>
          <w:sz w:val="22"/>
          <w:szCs w:val="22"/>
          <w14:ligatures w14:val="none"/>
        </w:rPr>
        <w:lastRenderedPageBreak/>
        <w:t>#Monkeypox, #Mpoxvaccine, #MpoxOutbreak, and #MonkeypoxVaccine) were searched on X on a single day in November 2024, with 279 final tweets retrieved. Using the World Health Organization and Centers for Disease Control and Prevention factsheets, a questionnaire was designed to evaluate these posts for accuracy. The reliability and quality of the posts were then evaluated using the Reliability Score (RS) and the Global Quality Score (GQS), respectively, by two independent reviewers. Descriptive and statistical analysis were performed using IBM SPSS 25.0 with significance set at p &lt; 0.05. Most of the posts were made by non-health professionals (69.2%). About 45.2% of the tweets had below 100 retweets. One-third (30%) were rated as very low quality, while only 11.8% were rated as very high quality. The posts by health professionals had a higher quality (Mean GQS=2.82+/-1.33) compared to those by non-health professionals (Mean GQS=2.51+/-1.35); however, this was not significant (p=0.154). Almost half of the posts (45.2%) had very low to low reliability. Posts with higher engagements had low scores of GQS (r=-1.57, p=0.009) and RS (r=-1.57, p=0.005). The quality and reliability of Mpox-related health information available on X is low and generally not acceptable. As misinformation spreads faster, public health bodies, healthcare providers, and social media platforms must work together to develop effective ways of promoting reliable information on X and other social media platforms.</w:t>
      </w:r>
    </w:p>
    <w:p w14:paraId="5D707F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25-A-1698-ASTMH</w:t>
      </w:r>
    </w:p>
    <w:p w14:paraId="3FE9F1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0CF14C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Rise of bottled water as a main drinking water source in Jamaica and Trinidad and Tobago</w:t>
      </w:r>
    </w:p>
    <w:p w14:paraId="1FFFB6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Over time, bottled water has replaced piped water as the main source of drinking water for households in the Dominican Republic and is now the most common drinking water source in that country, including across all wealth quintiles. To what extent similar patterns are occurring in other Caribbean island countries is not well known. This study determined the change over time in main drinking water sources in Jamaica and Trinidad and Tobago. Analyses were conducted on nationally representative household data from the Multiple Indicator Cluster Survey available for the years 2005, 2011, and 2022 from Jamaica and for 2006, 2011, and 2022 from Trinidad and Tobago. For Jamaica, reliance on piped water to the premise as the main drinking water source dropped 17.3% (from 69.8% to 52.5%) between the years 2005-2022, while during the same time period bottled water rose 25.0% (from 5.6% to 30.6%). This rise replaced all of the drop in piped water to premise, as well as drops noted in reliance on rainwater and other sources. For Trinidad and Tobago, reliance on piped water to the premise as the main drinking water source dropped 20.5% (from 83.0% to 62.5%) between the years 2006-2022, while during the same time period bottled water rose 20.2% (from 2.2% to 22.4%). This increase accounted for almost all of the drop in piped water to premise. Bottled water use increased in all wealth quintiles for both countries over time, with the highest quintile reaching 50.0% in 2022 for Trinidad and Tobago. If the trend lines between 2011 and 2022 continue linearly, the majority of households will be relying on bottled water by 2041 and 2033 for Jamaica and Trinidad and Tobago, respectively. Although starting later and not (yet) reaching the heights seen in the Dominican Republic, there are similar steep increases in the reliance on bottled water as the main drinking water source in both Jamaica and Trinidad and Tobago. The potential normalization of this pattern within the population may decrease the expectation that potable water ought to be available from piped water source on premise, with an associated decrease in a press for responsible institutions to meet such an expectation.</w:t>
      </w:r>
    </w:p>
    <w:p w14:paraId="3019E6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25-A-1699-ASTMH</w:t>
      </w:r>
    </w:p>
    <w:p w14:paraId="6CB49F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85A7A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Lola regulates immunity gene expression in </w:t>
      </w:r>
      <w:r w:rsidRPr="00FE5D1C">
        <w:rPr>
          <w:rFonts w:ascii="Calibri" w:eastAsia="Times New Roman" w:hAnsi="Calibri" w:cs="Calibri"/>
          <w:b/>
          <w:bCs/>
          <w:i/>
          <w:iCs/>
          <w:color w:val="000000"/>
          <w:kern w:val="0"/>
          <w:sz w:val="22"/>
          <w:szCs w:val="22"/>
          <w14:ligatures w14:val="none"/>
        </w:rPr>
        <w:t>Anopheles albimanus </w:t>
      </w:r>
      <w:r w:rsidRPr="00FE5D1C">
        <w:rPr>
          <w:rFonts w:ascii="Calibri" w:eastAsia="Times New Roman" w:hAnsi="Calibri" w:cs="Calibri"/>
          <w:b/>
          <w:bCs/>
          <w:color w:val="000000"/>
          <w:kern w:val="0"/>
          <w:sz w:val="22"/>
          <w:szCs w:val="22"/>
          <w14:ligatures w14:val="none"/>
        </w:rPr>
        <w:t>midgut</w:t>
      </w:r>
    </w:p>
    <w:p w14:paraId="721A98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Anopheles mosquitoes are a potential transmitter of viruses and parasites that cause human diseases. A. albimanus is among the main malaria vectors in Mexico and Latin America. Mosquitoes' ability to transmit pathogens (vectorial competence) is directly related to their genetics and immunity. Recent reports revealed a potential role of various transcription factors, such as Serpent, Lola and Deaf1, in </w:t>
      </w:r>
      <w:r w:rsidRPr="00FE5D1C">
        <w:rPr>
          <w:rFonts w:ascii="Calibri" w:eastAsia="Times New Roman" w:hAnsi="Calibri" w:cs="Calibri"/>
          <w:i/>
          <w:iCs/>
          <w:color w:val="000000"/>
          <w:kern w:val="0"/>
          <w:sz w:val="22"/>
          <w:szCs w:val="22"/>
          <w14:ligatures w14:val="none"/>
        </w:rPr>
        <w:t>A. gambiae </w:t>
      </w:r>
      <w:r w:rsidRPr="00FE5D1C">
        <w:rPr>
          <w:rFonts w:ascii="Calibri" w:eastAsia="Times New Roman" w:hAnsi="Calibri" w:cs="Calibri"/>
          <w:color w:val="000000"/>
          <w:kern w:val="0"/>
          <w:sz w:val="22"/>
          <w:szCs w:val="22"/>
          <w14:ligatures w14:val="none"/>
        </w:rPr>
        <w:t xml:space="preserve">immunity. We showed that Lola participates in the mosquito's innate immune response by </w:t>
      </w:r>
      <w:r w:rsidRPr="00FE5D1C">
        <w:rPr>
          <w:rFonts w:ascii="Calibri" w:eastAsia="Times New Roman" w:hAnsi="Calibri" w:cs="Calibri"/>
          <w:color w:val="000000"/>
          <w:kern w:val="0"/>
          <w:sz w:val="22"/>
          <w:szCs w:val="22"/>
          <w14:ligatures w14:val="none"/>
        </w:rPr>
        <w:lastRenderedPageBreak/>
        <w:t>regulating the expression of some antimicrobial peptides (AMPs) in </w:t>
      </w:r>
      <w:r w:rsidRPr="00FE5D1C">
        <w:rPr>
          <w:rFonts w:ascii="Calibri" w:eastAsia="Times New Roman" w:hAnsi="Calibri" w:cs="Calibri"/>
          <w:i/>
          <w:iCs/>
          <w:color w:val="000000"/>
          <w:kern w:val="0"/>
          <w:sz w:val="22"/>
          <w:szCs w:val="22"/>
          <w14:ligatures w14:val="none"/>
        </w:rPr>
        <w:t>A. albimanus.</w:t>
      </w:r>
      <w:r w:rsidRPr="00FE5D1C">
        <w:rPr>
          <w:rFonts w:ascii="Calibri" w:eastAsia="Times New Roman" w:hAnsi="Calibri" w:cs="Calibri"/>
          <w:color w:val="000000"/>
          <w:kern w:val="0"/>
          <w:sz w:val="22"/>
          <w:szCs w:val="22"/>
          <w14:ligatures w14:val="none"/>
        </w:rPr>
        <w:t> Lola is evolutionarily conserved in vector mosquito species</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We found </w:t>
      </w:r>
      <w:r w:rsidRPr="00FE5D1C">
        <w:rPr>
          <w:rFonts w:ascii="Calibri" w:eastAsia="Times New Roman" w:hAnsi="Calibri" w:cs="Calibri"/>
          <w:i/>
          <w:iCs/>
          <w:color w:val="000000"/>
          <w:kern w:val="0"/>
          <w:sz w:val="22"/>
          <w:szCs w:val="22"/>
          <w14:ligatures w14:val="none"/>
        </w:rPr>
        <w:t>lola </w:t>
      </w:r>
      <w:r w:rsidRPr="00FE5D1C">
        <w:rPr>
          <w:rFonts w:ascii="Calibri" w:eastAsia="Times New Roman" w:hAnsi="Calibri" w:cs="Calibri"/>
          <w:color w:val="000000"/>
          <w:kern w:val="0"/>
          <w:sz w:val="22"/>
          <w:szCs w:val="22"/>
          <w14:ligatures w14:val="none"/>
        </w:rPr>
        <w:t>expression in the midgut, fat body, hemocytes, head, Malpighian tubules, and ovaries. Microbial challenge upregulates its expression in the fat body, hemocytes, and proventriculus. The dsRNA-mediated silencing of </w:t>
      </w:r>
      <w:r w:rsidRPr="00FE5D1C">
        <w:rPr>
          <w:rFonts w:ascii="Calibri" w:eastAsia="Times New Roman" w:hAnsi="Calibri" w:cs="Calibri"/>
          <w:i/>
          <w:iCs/>
          <w:color w:val="000000"/>
          <w:kern w:val="0"/>
          <w:sz w:val="22"/>
          <w:szCs w:val="22"/>
          <w14:ligatures w14:val="none"/>
        </w:rPr>
        <w:t>the lola</w:t>
      </w:r>
      <w:r w:rsidRPr="00FE5D1C">
        <w:rPr>
          <w:rFonts w:ascii="Calibri" w:eastAsia="Times New Roman" w:hAnsi="Calibri" w:cs="Calibri"/>
          <w:color w:val="000000"/>
          <w:kern w:val="0"/>
          <w:sz w:val="22"/>
          <w:szCs w:val="22"/>
          <w14:ligatures w14:val="none"/>
        </w:rPr>
        <w:t> gene decreased the expression of some AMPs, including cecropin (CecA), gambicin 1 (Gamb1) and defensin 1 (Def1) after an immune challenge in the midgut. Transcriptomic analysis by RNA-seq of the midgut of </w:t>
      </w:r>
      <w:r w:rsidRPr="00FE5D1C">
        <w:rPr>
          <w:rFonts w:ascii="Calibri" w:eastAsia="Times New Roman" w:hAnsi="Calibri" w:cs="Calibri"/>
          <w:i/>
          <w:iCs/>
          <w:color w:val="000000"/>
          <w:kern w:val="0"/>
          <w:sz w:val="22"/>
          <w:szCs w:val="22"/>
          <w14:ligatures w14:val="none"/>
        </w:rPr>
        <w:t>lola</w:t>
      </w:r>
      <w:r w:rsidRPr="00FE5D1C">
        <w:rPr>
          <w:rFonts w:ascii="Calibri" w:eastAsia="Times New Roman" w:hAnsi="Calibri" w:cs="Calibri"/>
          <w:color w:val="000000"/>
          <w:kern w:val="0"/>
          <w:sz w:val="22"/>
          <w:szCs w:val="22"/>
          <w14:ligatures w14:val="none"/>
        </w:rPr>
        <w:t>-attenuated mosquitoes revealed that fewer genes are induced upon immune challenge than the control. Bioinformatics analysis of the regions upstream of CecA, Gamb1, and Def1 transcription start site revealed Lola-type binding sites; these motifs are similar to the </w:t>
      </w:r>
      <w:r w:rsidRPr="00FE5D1C">
        <w:rPr>
          <w:rFonts w:ascii="Calibri" w:eastAsia="Times New Roman" w:hAnsi="Calibri" w:cs="Calibri"/>
          <w:i/>
          <w:iCs/>
          <w:color w:val="000000"/>
          <w:kern w:val="0"/>
          <w:sz w:val="22"/>
          <w:szCs w:val="22"/>
          <w14:ligatures w14:val="none"/>
        </w:rPr>
        <w:t>Drosophila</w:t>
      </w:r>
      <w:r w:rsidRPr="00FE5D1C">
        <w:rPr>
          <w:rFonts w:ascii="Calibri" w:eastAsia="Times New Roman" w:hAnsi="Calibri" w:cs="Calibri"/>
          <w:color w:val="000000"/>
          <w:kern w:val="0"/>
          <w:sz w:val="22"/>
          <w:szCs w:val="22"/>
          <w14:ligatures w14:val="none"/>
        </w:rPr>
        <w:t>-derived Lola factor binding sites. To investigate the regulation of Defensin 1, we next cloned the promoter region, which contains Lola-type binding sites and mutant promoters upstream from a reporter gene. This work presents the first evidence of the direct participation of factor Lola in the innate immune response of mosquitoes.</w:t>
      </w:r>
    </w:p>
    <w:p w14:paraId="0154A2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25-A-1700-ASTMH</w:t>
      </w:r>
    </w:p>
    <w:p w14:paraId="26DF33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5BD31E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Hidden Challenge: hrp2/3 Gene Deletions and Malaria Diagnosis in Southern Ethiopia</w:t>
      </w:r>
    </w:p>
    <w:p w14:paraId="4D5685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rapid diagnostic tests (mRDTs), particularly HRP2-based assays, have enhanced case management and surveillance in resource-limited settings like Ethiopia, where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dominates. However, emerging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gene deletions threaten diagnostic accuracy. This cross-sectional study evaluated the performance of SD Bioline HRP-2 (Pf) and pLDH (Pv) RDTs against microscopy and assessed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deletion prevalence across southern Ethiopia’s transmission gradient. From March to June 2021, 5,792 febrile patients were screened at 18 health centers, with 18% (1,045; 95% CI: 17.0-19.1%) microscopy-confirmed as malaria-positive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59.65%). The RDTs showed high sensitivity (96.7% for Plasmodium spp., 95.5% for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yet 6% (39/649) of microscopy-positive cases were RDT-negative. Molecular analysis of 143 samples revealed 32.87% (46/143) harbored </w:t>
      </w:r>
      <w:r w:rsidRPr="00FE5D1C">
        <w:rPr>
          <w:rFonts w:ascii="Calibri" w:eastAsia="Times New Roman" w:hAnsi="Calibri" w:cs="Calibri"/>
          <w:i/>
          <w:iCs/>
          <w:color w:val="000000"/>
          <w:kern w:val="0"/>
          <w:sz w:val="22"/>
          <w:szCs w:val="22"/>
          <w14:ligatures w14:val="none"/>
        </w:rPr>
        <w:t>pfhrp2/</w:t>
      </w:r>
      <w:r w:rsidRPr="00FE5D1C">
        <w:rPr>
          <w:rFonts w:ascii="Calibri" w:eastAsia="Times New Roman" w:hAnsi="Calibri" w:cs="Calibri"/>
          <w:color w:val="000000"/>
          <w:kern w:val="0"/>
          <w:sz w:val="22"/>
          <w:szCs w:val="22"/>
          <w14:ligatures w14:val="none"/>
        </w:rPr>
        <w:t>3 deletions: 2.8% (4/143) lacked </w:t>
      </w:r>
      <w:r w:rsidRPr="00FE5D1C">
        <w:rPr>
          <w:rFonts w:ascii="Calibri" w:eastAsia="Times New Roman" w:hAnsi="Calibri" w:cs="Calibri"/>
          <w:i/>
          <w:iCs/>
          <w:color w:val="000000"/>
          <w:kern w:val="0"/>
          <w:sz w:val="22"/>
          <w:szCs w:val="22"/>
          <w14:ligatures w14:val="none"/>
        </w:rPr>
        <w:t>pfhrp2</w:t>
      </w:r>
      <w:r w:rsidRPr="00FE5D1C">
        <w:rPr>
          <w:rFonts w:ascii="Calibri" w:eastAsia="Times New Roman" w:hAnsi="Calibri" w:cs="Calibri"/>
          <w:color w:val="000000"/>
          <w:kern w:val="0"/>
          <w:sz w:val="22"/>
          <w:szCs w:val="22"/>
          <w14:ligatures w14:val="none"/>
        </w:rPr>
        <w:t>, while 29.37% (42/143) had </w:t>
      </w:r>
      <w:r w:rsidRPr="00FE5D1C">
        <w:rPr>
          <w:rFonts w:ascii="Calibri" w:eastAsia="Times New Roman" w:hAnsi="Calibri" w:cs="Calibri"/>
          <w:i/>
          <w:iCs/>
          <w:color w:val="000000"/>
          <w:kern w:val="0"/>
          <w:sz w:val="22"/>
          <w:szCs w:val="22"/>
          <w14:ligatures w14:val="none"/>
        </w:rPr>
        <w:t>pfhrp3</w:t>
      </w:r>
      <w:r w:rsidRPr="00FE5D1C">
        <w:rPr>
          <w:rFonts w:ascii="Calibri" w:eastAsia="Times New Roman" w:hAnsi="Calibri" w:cs="Calibri"/>
          <w:color w:val="000000"/>
          <w:kern w:val="0"/>
          <w:sz w:val="22"/>
          <w:szCs w:val="22"/>
          <w14:ligatures w14:val="none"/>
        </w:rPr>
        <w:t> deletions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Immunoassays confirmed HRP2 antigen absence in 21.7% (31/143) of cases. Given the high prevalence of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deletions observed and the implications for malaria case detection and surveillance, our results strongly support the recent policy shift in Ethiopia to discontinue HRP2-based RDTs and regular follow-up and genomic characterization of the strains.</w:t>
      </w:r>
    </w:p>
    <w:p w14:paraId="0B4DBE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25-A-1701-ASTMH</w:t>
      </w:r>
    </w:p>
    <w:p w14:paraId="4098A7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3B5F8D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 NOVO PEPTIDE VACCINE DESIGN TARGETING PLASMODIUM FALCIPARUM MEROZOITE SURFACE PROTEIN 38 (MSP38)</w:t>
      </w:r>
    </w:p>
    <w:p w14:paraId="5BCE09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development of effective malaria vaccines remains an urgent global health priority, with Plasmodium falciparum merozoite surface proteins (MSPs) representing promising targets. During invasion, MSP1 serves as the central component of a multiprotein complex formed through interactions with MSP3, MSP6, MSp7, MSPDBL1, MSPDBL2 and crucially MSP38. Targeting MSP38 offers strategic advantages over polymorphic MSP1 through its conserved interaction interfaces and critical role in complex stabilization. Our integrated computational pipeline began with systematic database mining of UNIPROT, NCBI and PubMed to characterize Plasmodium falciparum surface proteins. Molecular dynamics simulation was performed using NAMD, with structural visualization and analysis conducted in ChimeraX. Current work is advancing de novo peptide design using Rosetta engineering protocol to develop structured binders targeting MSP38 dynamic features. From 26 candidate surface proteins identified, 6 merozoite surface proteins were prioritized through hierarchical evaluation of their structural and functional properties with MSP38 emerging as the lead target. Structural analysis revealed multiple conserved pockets exhibiting phosphorylation accessible loops, extensive polar networks, and hydrophobic cores. These sites displayed coordinated flexibility during simulations, with large-scale conformational changes exposing transient binding surfaces. Allosteric communication </w:t>
      </w:r>
      <w:r w:rsidRPr="00FE5D1C">
        <w:rPr>
          <w:rFonts w:ascii="Calibri" w:eastAsia="Times New Roman" w:hAnsi="Calibri" w:cs="Calibri"/>
          <w:color w:val="000000"/>
          <w:kern w:val="0"/>
          <w:sz w:val="22"/>
          <w:szCs w:val="22"/>
          <w14:ligatures w14:val="none"/>
        </w:rPr>
        <w:lastRenderedPageBreak/>
        <w:t>between distal regions was identified through cross-correlation analysis, while ensemble-based approaches demonstrated the necessity of multi-stage targeting strategies. This work establishes MSP38 as a compelling malaria vaccine target through its unique combination of conserved functional domains and exploitable structural properties. Our integrated approach provides a reliable framework for structure-guided vaccine development against this essential invasion complex component offering a promising alternative to current MSP1 focused strategies.</w:t>
      </w:r>
    </w:p>
    <w:p w14:paraId="0A4756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25-A-1702-ASTMH</w:t>
      </w:r>
    </w:p>
    <w:p w14:paraId="6DCCF3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6AA112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vaccine awareness and its Acceptance among Mothers of Under-Five Children at Primary Health Care Centres in Osun State, Nigeria.</w:t>
      </w:r>
    </w:p>
    <w:p w14:paraId="4049B8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According to the World Health Organization (WHO), malaria is a life-threatening disease that is transmitted to people through the bites of infected female Anopheles mosquitoes (WHO 2019). The disease is one of the leading causes of death and ill health in many developing countries, children under 5 years are mostly affected and vulnerable. Malaria vaccines, including RTS,S/AS01 and R21/Matrix-M, have been recommended by the World Health Organization (WHO) to complement existing control strategies. However, awareness and acceptance among caregivers, especially mothers of under-five children, are crucial for successful implementation. This study assesses malaria vaccine awareness and acceptance among mothers attending Primary Health Care Centers(PHC) in Osun State, Nigeria. This study aimed to determine the awareness and acceptance of malaria vaccines among mothers of under-five children attending Primary Health Care Centers in Osun State, Nigeria. A descriptive cross-sectional study was conducted among mothers of under-five children in selected PHC in Osogbo, Osun State. Respondents were selected using a multistage sampling technique. The study questionnaire was locally developed, validated, and pretested. Data were collected using a structured self-administered questionnaire. The data obtained from this research was processed (cleaned and entered) and analyzed using SPSS version 25.0. The study included 357 mothers. Only 1.7% had heard about malaria vaccines, and 1.1% were aware of ongoing vaccine trials. Healthcare providers (88.8%) were the main source of information. While 84.9% believed malaria vaccines could reduce the disease burden, only 16.2% knew the eligibility criteria. Regarding acceptability, 63.6% were willing to vaccinate. Awareness of malaria vaccines among mothers in PHC in Osun State is remarkably low, despite a relatively high acceptance rate. Fear of adverse reactions and sociocultural beliefs were the main barriers. Targeted health education, community engagement, and policy-driven interventions are crucial to improving awareness and increasing vaccine uptake for effective malaria control.</w:t>
      </w:r>
    </w:p>
    <w:p w14:paraId="6749FD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25-A-1703-ASTMH</w:t>
      </w:r>
    </w:p>
    <w:p w14:paraId="1C9797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7E8F3B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Risk Factors for Pneumonia / Influenza Mortality in the Canadian Army of the First World War</w:t>
      </w:r>
    </w:p>
    <w:p w14:paraId="57DF8A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Canadian Army of the First World War deployed &gt; 400,000 soldiers to Europe between 1914-1921 of which 52,000 died in combat and &gt;5000 died of other causes mostly disease. Many disease deaths were due to pneumonia / influenza (1487 PI fatalities) particularly during the influenza pandemic of late 1918. Canadian records stating the cause of PI death were entered into a database and compared by age, rank, country of birth, province of recruitment and time in the military. 66% of all PI deaths occurred in Canada prior to deployment. Most Canadian soldiers who died of PI were born in Canada especially during the pandemic despite the large representation of those born in other parts of the British Commonwealth. Because of the conscription laws of 1917, an increased number of Quebec soldiers were recruited in 1918 and these were at particular risk of death during the influenza pandemic. There was increased PI mortality in Newfoundland soldiers in August 1918 that may have been an early wave of the influenza pandemic. Mortality during the pandemic by Province varied by a factor of four and was highest in rural provinces such as Newfoundland and British Columbia as well as Quebec. The estimated PI mortality rate by year of recruitment was more uniform in the Canadian Army that that seen in the </w:t>
      </w:r>
      <w:r w:rsidRPr="00FE5D1C">
        <w:rPr>
          <w:rFonts w:ascii="Calibri" w:eastAsia="Times New Roman" w:hAnsi="Calibri" w:cs="Calibri"/>
          <w:color w:val="000000"/>
          <w:kern w:val="0"/>
          <w:sz w:val="22"/>
          <w:szCs w:val="22"/>
          <w14:ligatures w14:val="none"/>
        </w:rPr>
        <w:lastRenderedPageBreak/>
        <w:t>comparable Australian Army: 1914 0.25%; 1915 0.21%; 1916 0.19%; 1917 0.20%; 1918 0.28%. Peak age at death was 22 years consistent with the age profile of the military and did not indicate any effect from exposure to the previous 1890 pandemic. The majority of deaths were in private soldiers who were most at risk; officers suffered 4.6% of all PI deaths and 12.6% were in non-commissioned officers. Canadian soldiers PI mortality experience was comparable to their British comrades and much less than what was experienced by the US Army across the border. A comparable number of USA soldiers just from the state of Indiana died during the influenza pandemic as in the entire Canadian Army despite it being at least four times larger in size. Pandemic influenza remains a risk to military populations that is only partially controlled by annual influenza immunization.</w:t>
      </w:r>
    </w:p>
    <w:p w14:paraId="35D971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25-A-1706-ASTMH</w:t>
      </w:r>
    </w:p>
    <w:p w14:paraId="71DCD3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3FBBA2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Antimicrobial-resistant bacteria from post-mortem culture isolates in Child Health and Mortality Prevention Surveillance (CHAMPS) Kenya.</w:t>
      </w:r>
    </w:p>
    <w:p w14:paraId="1C47ED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Antimicrobial resistance (AMR) is an increasing global health threat, especially among children residing in low-resource, poor settings. The Child Health and Mortality Prevention Surveillance (CHAMPS) Network conducts child mortality surveillance in sub-Saharan Africa and South Asia using the minimally invasive tissue sampling (MITS) technique to identify causes of death. Here, we describe AMR patterns in blood culture isolates among deceased children aged &lt;5 years enrolled in the CHAMPS Kenya. Blood culture samples were incubated in the BACTEC machine for five days; positive samples were then inoculated on Blood Agar, Chocolate Agar, and MacConkey Agar culture plates and incubated for 18-24 hours. Bacterial plates with growth were tested by the Gram Stain technique to identify bacterial morphology. Biochemical tests were performed to identify the pathogens, and Antimicrobial susceptibility testing was performed using the Kirby-Bauer Disk diffusion method. From 01 /01, 2021, to 12 /31, 2023, we enrolled a total of</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634 decedent children aged 1- 59 months in CHAMPS Kenya; 190 (30.0%) stillbirths, 179 (28.2%) neonatal, and 265 (41.8%). In total, 150 (23.7%) samples were BACTEC-positive. The most commonly identified pathogens were </w:t>
      </w:r>
      <w:r w:rsidRPr="00FE5D1C">
        <w:rPr>
          <w:rFonts w:ascii="Calibri" w:eastAsia="Times New Roman" w:hAnsi="Calibri" w:cs="Calibri"/>
          <w:i/>
          <w:iCs/>
          <w:color w:val="000000"/>
          <w:kern w:val="0"/>
          <w:sz w:val="22"/>
          <w:szCs w:val="22"/>
          <w14:ligatures w14:val="none"/>
        </w:rPr>
        <w:t>Escherichia coli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Klebsiella pneumoniae,</w:t>
      </w:r>
      <w:r w:rsidRPr="00FE5D1C">
        <w:rPr>
          <w:rFonts w:ascii="Calibri" w:eastAsia="Times New Roman" w:hAnsi="Calibri" w:cs="Calibri"/>
          <w:color w:val="000000"/>
          <w:kern w:val="0"/>
          <w:sz w:val="22"/>
          <w:szCs w:val="22"/>
          <w14:ligatures w14:val="none"/>
        </w:rPr>
        <w:t> identified in 32.0% (48/150) and 26.0% (39/150) of the enrolled cases, respectively. In general, AMR data were available for 87 cases; AMR-related sepsis predominantly accounted for 66.7% (56/84), 91.7% (44/48) of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isolates were resistant to Ampicillin and Sulfamethoxazole Trimethoprim, and 100% of </w:t>
      </w:r>
      <w:r w:rsidRPr="00FE5D1C">
        <w:rPr>
          <w:rFonts w:ascii="Calibri" w:eastAsia="Times New Roman" w:hAnsi="Calibri" w:cs="Calibri"/>
          <w:i/>
          <w:iCs/>
          <w:color w:val="000000"/>
          <w:kern w:val="0"/>
          <w:sz w:val="22"/>
          <w:szCs w:val="22"/>
          <w14:ligatures w14:val="none"/>
        </w:rPr>
        <w:t>K. pneumoniae isolates </w:t>
      </w:r>
      <w:r w:rsidRPr="00FE5D1C">
        <w:rPr>
          <w:rFonts w:ascii="Calibri" w:eastAsia="Times New Roman" w:hAnsi="Calibri" w:cs="Calibri"/>
          <w:color w:val="000000"/>
          <w:kern w:val="0"/>
          <w:sz w:val="22"/>
          <w:szCs w:val="22"/>
          <w14:ligatures w14:val="none"/>
        </w:rPr>
        <w:t>were resistant to Ampicillin. AMR did not differ by age group, but across antibiotic classes, it was twice as prevalent in rural than urban areas. Multi-drug resistance against third-generation cephalosporins 42.5% (37/87), Penicillin 95.4% (83/87), and fluoroquinolones 29.9% (26/87) were observed to be common in rural compared to urban areas. The observed high prevalence of AMR-related sepsis, </w:t>
      </w:r>
      <w:r w:rsidRPr="00FE5D1C">
        <w:rPr>
          <w:rFonts w:ascii="Calibri" w:eastAsia="Times New Roman" w:hAnsi="Calibri" w:cs="Calibri"/>
          <w:i/>
          <w:iCs/>
          <w:color w:val="000000"/>
          <w:kern w:val="0"/>
          <w:sz w:val="22"/>
          <w:szCs w:val="22"/>
          <w14:ligatures w14:val="none"/>
        </w:rPr>
        <w:t>Escherichia coli,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Klebsiella pneumoniae</w:t>
      </w:r>
      <w:r w:rsidRPr="00FE5D1C">
        <w:rPr>
          <w:rFonts w:ascii="Calibri" w:eastAsia="Times New Roman" w:hAnsi="Calibri" w:cs="Calibri"/>
          <w:color w:val="000000"/>
          <w:kern w:val="0"/>
          <w:sz w:val="22"/>
          <w:szCs w:val="22"/>
          <w14:ligatures w14:val="none"/>
        </w:rPr>
        <w:t> supports the need for increased monitoring to guide urgent mitigation measures.</w:t>
      </w:r>
    </w:p>
    <w:p w14:paraId="0E734BC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25-A-1707-ASTMH</w:t>
      </w:r>
    </w:p>
    <w:p w14:paraId="782F87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52713A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Challenges and enablers of caregiver adherence to RTS,S vaccination schedules in Ghana</w:t>
      </w:r>
    </w:p>
    <w:p w14:paraId="5CF0F0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Objective:</w:t>
      </w:r>
      <w:r w:rsidRPr="00FE5D1C">
        <w:rPr>
          <w:rFonts w:ascii="Calibri" w:eastAsia="Times New Roman" w:hAnsi="Calibri" w:cs="Calibri"/>
          <w:color w:val="000000"/>
          <w:kern w:val="0"/>
          <w:sz w:val="22"/>
          <w:szCs w:val="22"/>
          <w14:ligatures w14:val="none"/>
        </w:rPr>
        <w:t>The World Health Organization (WHO) recommended the use of the RTS,S/AS01 malaria vaccine for children in regions with moderate to high Plasmodium falciparum transmission after a pilot study confirmed the vaccine’s safety, its significant reduction in severe, life-threatening malaria, and its ability to be administered effectively within standard childhood vaccination settings. This study examined the challenges and enablers of adherence to RTS,S vaccination schedules by primary caregivers (PCGs) in Ghana. </w:t>
      </w:r>
      <w:r w:rsidRPr="00FE5D1C">
        <w:rPr>
          <w:rFonts w:ascii="Calibri" w:eastAsia="Times New Roman" w:hAnsi="Calibri" w:cs="Calibri"/>
          <w:b/>
          <w:bCs/>
          <w:color w:val="000000"/>
          <w:kern w:val="0"/>
          <w:sz w:val="22"/>
          <w:szCs w:val="22"/>
          <w14:ligatures w14:val="none"/>
        </w:rPr>
        <w:t>Methodology:</w:t>
      </w:r>
      <w:r w:rsidRPr="00FE5D1C">
        <w:rPr>
          <w:rFonts w:ascii="Calibri" w:eastAsia="Times New Roman" w:hAnsi="Calibri" w:cs="Calibri"/>
          <w:color w:val="000000"/>
          <w:kern w:val="0"/>
          <w:sz w:val="22"/>
          <w:szCs w:val="22"/>
          <w14:ligatures w14:val="none"/>
        </w:rPr>
        <w:t>A qualitative panel research (QPR) design was used in this study, where a cohort of PCGs was followed for two years and interviewed on three different occasions. Completed transcripts of 45 PCGs and 24 health professionals were imported into NVivo 12 for theme categorization and analysis.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xml:space="preserve">Enablers of adherence were benefits of the RTS, S vaccine, trust in the health system and health workers, spousal support, and caregivers’ perceptions about the </w:t>
      </w:r>
      <w:r w:rsidRPr="00FE5D1C">
        <w:rPr>
          <w:rFonts w:ascii="Calibri" w:eastAsia="Times New Roman" w:hAnsi="Calibri" w:cs="Calibri"/>
          <w:color w:val="000000"/>
          <w:kern w:val="0"/>
          <w:sz w:val="22"/>
          <w:szCs w:val="22"/>
          <w14:ligatures w14:val="none"/>
        </w:rPr>
        <w:lastRenderedPageBreak/>
        <w:t>vaccination schedule. Challenges to adherence were economic and social activities, forgetfulness of the schedules, adverse events following immunization (AEFI), and inability to read the vaccination schedules. </w:t>
      </w:r>
      <w:r w:rsidRPr="00FE5D1C">
        <w:rPr>
          <w:rFonts w:ascii="Calibri" w:eastAsia="Times New Roman" w:hAnsi="Calibri" w:cs="Calibri"/>
          <w:b/>
          <w:bCs/>
          <w:color w:val="000000"/>
          <w:kern w:val="0"/>
          <w:sz w:val="22"/>
          <w:szCs w:val="22"/>
          <w14:ligatures w14:val="none"/>
        </w:rPr>
        <w:t>Conclusions:</w:t>
      </w:r>
      <w:r w:rsidRPr="00FE5D1C">
        <w:rPr>
          <w:rFonts w:ascii="Calibri" w:eastAsia="Times New Roman" w:hAnsi="Calibri" w:cs="Calibri"/>
          <w:color w:val="000000"/>
          <w:kern w:val="0"/>
          <w:sz w:val="22"/>
          <w:szCs w:val="22"/>
          <w14:ligatures w14:val="none"/>
        </w:rPr>
        <w:t>Adherence to the RTS, S malaria vaccine schedule largely depends on caregivers' trust in its ability to reduce the risk of malaria. This trust, fostered through effective education and communication between caregivers and health workers, plays a key role in addressing concerns about the vaccine. Accessibility to vaccination centers is also vital, as transportation challenges can impede adherence.</w:t>
      </w:r>
    </w:p>
    <w:p w14:paraId="22444A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25-A-1709-ASTMH</w:t>
      </w:r>
    </w:p>
    <w:p w14:paraId="30E661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113EF0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Immunomodulatory potential of Soluble Human Leukocyte Antigen G on IgG response to malaria vaccine candidate antigens in pregnant women.</w:t>
      </w:r>
    </w:p>
    <w:p w14:paraId="369E8F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 leukocyte antigen G (HLA-G) is a non-classical molecule of the major histocompatibility complex class Ib and downregulates immune response to the foetus during pregnancy. It is also involved in induction of immune tolerance to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antigens </w:t>
      </w:r>
      <w:r w:rsidRPr="00FE5D1C">
        <w:rPr>
          <w:rFonts w:ascii="Calibri" w:eastAsia="Times New Roman" w:hAnsi="Calibri" w:cs="Calibri"/>
          <w:i/>
          <w:iCs/>
          <w:color w:val="000000"/>
          <w:kern w:val="0"/>
          <w:sz w:val="22"/>
          <w:szCs w:val="22"/>
          <w14:ligatures w14:val="none"/>
        </w:rPr>
        <w:t>in utero</w:t>
      </w:r>
      <w:r w:rsidRPr="00FE5D1C">
        <w:rPr>
          <w:rFonts w:ascii="Calibri" w:eastAsia="Times New Roman" w:hAnsi="Calibri" w:cs="Calibri"/>
          <w:color w:val="000000"/>
          <w:kern w:val="0"/>
          <w:sz w:val="22"/>
          <w:szCs w:val="22"/>
          <w14:ligatures w14:val="none"/>
        </w:rPr>
        <w:t>. Consequently,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parasites evade their host, leading to inadequate malaria vaccine induced immunity in exposed individuals. This study determined the association of vaccine induced IgG responses and sHLA-G levels of pregnant women at ANC and delivery. We also compared its levels in mother and cord plasma pairs and identified factors that could affect sHLA-G in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Schistosoma haematobium</w:t>
      </w:r>
      <w:r w:rsidRPr="00FE5D1C">
        <w:rPr>
          <w:rFonts w:ascii="Calibri" w:eastAsia="Times New Roman" w:hAnsi="Calibri" w:cs="Calibri"/>
          <w:color w:val="000000"/>
          <w:kern w:val="0"/>
          <w:sz w:val="22"/>
          <w:szCs w:val="22"/>
          <w14:ligatures w14:val="none"/>
        </w:rPr>
        <w:t> infected pregnant women.</w:t>
      </w:r>
      <w:r w:rsidRPr="00FE5D1C">
        <w:rPr>
          <w:rFonts w:ascii="Calibri" w:eastAsia="Times New Roman" w:hAnsi="Calibri" w:cs="Calibri"/>
          <w:color w:val="000000"/>
          <w:kern w:val="0"/>
          <w:sz w:val="22"/>
          <w:szCs w:val="22"/>
          <w14:ligatures w14:val="none"/>
        </w:rPr>
        <w:br/>
        <w:t>This cross-sectional study was conducted in Adidome and Battor Hospitals in the Volta Region of Ghana. A total of 157 pregnant women were recruited, 81 at ANC and 76 at delivery.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infections at ANC and delivery were detected by qPCR. Urine samples were filtered and microscopy was done to identify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infections. IgG response to five malaria vaccine candidates and sHLA-G was quantified by ELISA. Furthermore, this study determined the association between sHLA-G levels and IgG response to malaria vaccine antigens by a multivariable regression model. All statistical analysis was performed at p&lt; 0.05. Mean sHLA-G levels at ANC was 25 ± 2 ng/µl and at delivery, 30 ± 2 ng/µl. A negative linear correlation of sHLA-G and anti-GLURP-R0 IgG response was seen at ANC and a positive correlation was observed for maternal and cord plasma sHLA-G levels. Furthermore, at delivery, a positive association between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infection and sHLA-G levels was observed and levels were found to decrease with IPTp and ITN use. sHLA-G levels were associated with decreased anti-GLURP-R0 IgG response. This outcome is crucial for designing and testing of malaria vaccine candidates in semi-immune individuals. Maternal sHLA-G could contribute to immune tolerance observed in pregnancy associated malaria, leading to higher malaria susceptibility during infancy. Nonetheless, IPTp and ITN play vital roles in reducing malaria during pregnancy.</w:t>
      </w:r>
    </w:p>
    <w:p w14:paraId="7BFFE2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25-A-1710-ASTMH</w:t>
      </w:r>
    </w:p>
    <w:p w14:paraId="229F1E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4D746E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Drivers of Delayed Care-Seeking Among Children Aged 6-35 Months with Medically Attended Diarrhea: Findings from the Enterics for Global Health (EFGH)-Shigella Study</w:t>
      </w:r>
    </w:p>
    <w:p w14:paraId="06CDA2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Diarrheal disease remains a leading cause of morbidity and mortality among children under five, particularly in low- and middle-income countries. Delayed healthcare-seeking worsens disease severity and increases complications. Understanding factors influencing delays is crucial for improving timely care. This study examines host, clinical, and sociodemographic factors associated with delayed care-seeking (≥2 days after symptom onset) among children aged 6-35 months across seven study sites. We conducted a cross-sectional analysis within the Enterics For Global Health-Shigella surveillance study (2022–2024), enrolling children with diarrhea at health facilities in Malawi, Mali, The Gambia, Kenya, Bangladesh, Pakistan, and Peru. Data on demographic, clinical, and care-seeking characteristics were analyzed using modified Poisson regression with generalized estimating equations, adjusting for study site. Among 8,938 enrolled children, 46% were aged 12-23 months, and 54% were male. Delayed care-</w:t>
      </w:r>
      <w:r w:rsidRPr="00FE5D1C">
        <w:rPr>
          <w:rFonts w:ascii="Calibri" w:eastAsia="Times New Roman" w:hAnsi="Calibri" w:cs="Calibri"/>
          <w:color w:val="000000"/>
          <w:kern w:val="0"/>
          <w:sz w:val="22"/>
          <w:szCs w:val="22"/>
          <w14:ligatures w14:val="none"/>
        </w:rPr>
        <w:lastRenderedPageBreak/>
        <w:t>seeking was associated with prior visits to pharmacies/drug sellers (PR: 1.25, 95% CI: 1.19–1.31), community health workers (PR: 1.36, 95% CI: 1.24–1.49), and traditional healers (PR: 1.32, 95% CI: 1.20–1.45). Clinical severity markers such as dehydration (PR: 1.11, 95% CI: 1.06–1.17), dysentery (PR: 1.15, 95% CI: 1.10–1.20), and severe diarrhea (GEMS-MSD: PR: 1.14, 95% CI: 1.10–1.19; MVS: PR: 1.18, 95% CI: 1.14–1.22) were significantly linked to delays. Sensitivity analyses confirmed these associations using a ≥4-day delay threshold. Delayed care-seeking is influenced by prior healthcare choices, clinical severity, and sociodemographic factors. Strengthening health education, improving healthcare access, and addressing cost and distance barriers may reduce delays and improve outcomes. Targeted interventions are needed to promote timely care and reduce diarrheal morbidity and mortality in high-burden settings.</w:t>
      </w:r>
    </w:p>
    <w:p w14:paraId="19CF76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25-A-1711-ASTMH</w:t>
      </w:r>
    </w:p>
    <w:p w14:paraId="47044C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0B09E4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Bilharzia morbidity profiles in a context of zoonotic hybridisation between human and animal species</w:t>
      </w:r>
    </w:p>
    <w:p w14:paraId="158CAF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Across West Africa, co-infections between human urogenital </w:t>
      </w:r>
      <w:r w:rsidRPr="00FE5D1C">
        <w:rPr>
          <w:rFonts w:ascii="Calibri" w:eastAsia="Times New Roman" w:hAnsi="Calibri" w:cs="Calibri"/>
          <w:i/>
          <w:iCs/>
          <w:color w:val="000000"/>
          <w:kern w:val="0"/>
          <w:sz w:val="22"/>
          <w:szCs w:val="22"/>
          <w14:ligatures w14:val="none"/>
        </w:rPr>
        <w:t>Schistosoma haematobium</w:t>
      </w:r>
      <w:r w:rsidRPr="00FE5D1C">
        <w:rPr>
          <w:rFonts w:ascii="Calibri" w:eastAsia="Times New Roman" w:hAnsi="Calibri" w:cs="Calibri"/>
          <w:color w:val="000000"/>
          <w:kern w:val="0"/>
          <w:sz w:val="22"/>
          <w:szCs w:val="22"/>
          <w14:ligatures w14:val="none"/>
        </w:rPr>
        <w:t> and human intestinal </w:t>
      </w:r>
      <w:r w:rsidRPr="00FE5D1C">
        <w:rPr>
          <w:rFonts w:ascii="Calibri" w:eastAsia="Times New Roman" w:hAnsi="Calibri" w:cs="Calibri"/>
          <w:i/>
          <w:iCs/>
          <w:color w:val="000000"/>
          <w:kern w:val="0"/>
          <w:sz w:val="22"/>
          <w:szCs w:val="22"/>
          <w14:ligatures w14:val="none"/>
        </w:rPr>
        <w:t>Schistosoma mansoni</w:t>
      </w:r>
      <w:r w:rsidRPr="00FE5D1C">
        <w:rPr>
          <w:rFonts w:ascii="Calibri" w:eastAsia="Times New Roman" w:hAnsi="Calibri" w:cs="Calibri"/>
          <w:color w:val="000000"/>
          <w:kern w:val="0"/>
          <w:sz w:val="22"/>
          <w:szCs w:val="22"/>
          <w14:ligatures w14:val="none"/>
        </w:rPr>
        <w:t>, as well as infections with viable hybrids between human urogenital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and intestinal livestock </w:t>
      </w:r>
      <w:r w:rsidRPr="00FE5D1C">
        <w:rPr>
          <w:rFonts w:ascii="Calibri" w:eastAsia="Times New Roman" w:hAnsi="Calibri" w:cs="Calibri"/>
          <w:i/>
          <w:iCs/>
          <w:color w:val="000000"/>
          <w:kern w:val="0"/>
          <w:sz w:val="22"/>
          <w:szCs w:val="22"/>
          <w14:ligatures w14:val="none"/>
        </w:rPr>
        <w:t>Schistosoma bovis</w:t>
      </w:r>
      <w:r w:rsidRPr="00FE5D1C">
        <w:rPr>
          <w:rFonts w:ascii="Calibri" w:eastAsia="Times New Roman" w:hAnsi="Calibri" w:cs="Calibri"/>
          <w:color w:val="000000"/>
          <w:kern w:val="0"/>
          <w:sz w:val="22"/>
          <w:szCs w:val="22"/>
          <w14:ligatures w14:val="none"/>
        </w:rPr>
        <w:t> are prevalent. Morbidity profiles are known to be influenced by mixed S</w:t>
      </w:r>
      <w:r w:rsidRPr="00FE5D1C">
        <w:rPr>
          <w:rFonts w:ascii="Calibri" w:eastAsia="Times New Roman" w:hAnsi="Calibri" w:cs="Calibri"/>
          <w:i/>
          <w:iCs/>
          <w:color w:val="000000"/>
          <w:kern w:val="0"/>
          <w:sz w:val="22"/>
          <w:szCs w:val="22"/>
          <w14:ligatures w14:val="none"/>
        </w:rPr>
        <w:t>. haematobium</w:t>
      </w:r>
      <w:r w:rsidRPr="00FE5D1C">
        <w:rPr>
          <w:rFonts w:ascii="Calibri" w:eastAsia="Times New Roman" w:hAnsi="Calibri" w:cs="Calibri"/>
          <w:color w:val="000000"/>
          <w:kern w:val="0"/>
          <w:sz w:val="22"/>
          <w:szCs w:val="22"/>
          <w14:ligatures w14:val="none"/>
        </w:rPr>
        <w:t> with </w:t>
      </w:r>
      <w:r w:rsidRPr="00FE5D1C">
        <w:rPr>
          <w:rFonts w:ascii="Calibri" w:eastAsia="Times New Roman" w:hAnsi="Calibri" w:cs="Calibri"/>
          <w:i/>
          <w:iCs/>
          <w:color w:val="000000"/>
          <w:kern w:val="0"/>
          <w:sz w:val="22"/>
          <w:szCs w:val="22"/>
          <w14:ligatures w14:val="none"/>
        </w:rPr>
        <w:t>S. mansoni </w:t>
      </w:r>
      <w:r w:rsidRPr="00FE5D1C">
        <w:rPr>
          <w:rFonts w:ascii="Calibri" w:eastAsia="Times New Roman" w:hAnsi="Calibri" w:cs="Calibri"/>
          <w:color w:val="000000"/>
          <w:kern w:val="0"/>
          <w:sz w:val="22"/>
          <w:szCs w:val="22"/>
          <w14:ligatures w14:val="none"/>
        </w:rPr>
        <w:t>coinfections, but the impact of </w:t>
      </w:r>
      <w:r w:rsidRPr="00FE5D1C">
        <w:rPr>
          <w:rFonts w:ascii="Calibri" w:eastAsia="Times New Roman" w:hAnsi="Calibri" w:cs="Calibri"/>
          <w:i/>
          <w:iCs/>
          <w:color w:val="000000"/>
          <w:kern w:val="0"/>
          <w:sz w:val="22"/>
          <w:szCs w:val="22"/>
          <w14:ligatures w14:val="none"/>
        </w:rPr>
        <w:t>S. haematobium-S. bovis</w:t>
      </w:r>
      <w:r w:rsidRPr="00FE5D1C">
        <w:rPr>
          <w:rFonts w:ascii="Calibri" w:eastAsia="Times New Roman" w:hAnsi="Calibri" w:cs="Calibri"/>
          <w:color w:val="000000"/>
          <w:kern w:val="0"/>
          <w:sz w:val="22"/>
          <w:szCs w:val="22"/>
          <w14:ligatures w14:val="none"/>
        </w:rPr>
        <w:t> hybrid infection on morbidity remains unknown.</w:t>
      </w:r>
      <w:r w:rsidRPr="00FE5D1C">
        <w:rPr>
          <w:rFonts w:ascii="Calibri" w:eastAsia="Times New Roman" w:hAnsi="Calibri" w:cs="Calibri"/>
          <w:b/>
          <w:bCs/>
          <w:color w:val="000000"/>
          <w:kern w:val="0"/>
          <w:sz w:val="22"/>
          <w:szCs w:val="22"/>
          <w14:ligatures w14:val="none"/>
        </w:rPr>
        <w:t> Methods</w:t>
      </w:r>
      <w:r w:rsidRPr="00FE5D1C">
        <w:rPr>
          <w:rFonts w:ascii="Calibri" w:eastAsia="Times New Roman" w:hAnsi="Calibri" w:cs="Calibri"/>
          <w:color w:val="000000"/>
          <w:kern w:val="0"/>
          <w:sz w:val="22"/>
          <w:szCs w:val="22"/>
          <w14:ligatures w14:val="none"/>
        </w:rPr>
        <w:t>Two surveys were conducted from May to August 2016 and from October 2017 to January 2018 Across three regions in Senegal (Richard Toll/ Barkedji/Dakar) in children (n=1326) and adults (n=304). Morbidity indicators of intestinal and urogenital schistosomiasis, measured using ultrasound of the liver and urogenital tract, anaemia and haematuria profiles, were assessed for each individual according to the infecting species combination and intensity. Doppler echocardiography was used to measure the heart chambers. Pulmonary arterial systolic pressure was assessed by tricuspid regurgitation flow (n=250).</w:t>
      </w:r>
      <w:r w:rsidRPr="00FE5D1C">
        <w:rPr>
          <w:rFonts w:ascii="Calibri" w:eastAsia="Times New Roman" w:hAnsi="Calibri" w:cs="Calibri"/>
          <w:b/>
          <w:bCs/>
          <w:color w:val="000000"/>
          <w:kern w:val="0"/>
          <w:sz w:val="22"/>
          <w:szCs w:val="22"/>
          <w14:ligatures w14:val="none"/>
        </w:rPr>
        <w:t> Findings</w:t>
      </w:r>
      <w:r w:rsidRPr="00FE5D1C">
        <w:rPr>
          <w:rFonts w:ascii="Calibri" w:eastAsia="Times New Roman" w:hAnsi="Calibri" w:cs="Calibri"/>
          <w:color w:val="000000"/>
          <w:kern w:val="0"/>
          <w:sz w:val="22"/>
          <w:szCs w:val="22"/>
          <w14:ligatures w14:val="none"/>
        </w:rPr>
        <w:t>Hepatomegaly was significantly higher, whilst the number of ureter lesions significantly lower in </w:t>
      </w:r>
      <w:r w:rsidRPr="00FE5D1C">
        <w:rPr>
          <w:rFonts w:ascii="Calibri" w:eastAsia="Times New Roman" w:hAnsi="Calibri" w:cs="Calibri"/>
          <w:i/>
          <w:iCs/>
          <w:color w:val="000000"/>
          <w:kern w:val="0"/>
          <w:sz w:val="22"/>
          <w:szCs w:val="22"/>
          <w14:ligatures w14:val="none"/>
        </w:rPr>
        <w:t>S. haematobium-S. bovis </w:t>
      </w:r>
      <w:r w:rsidRPr="00FE5D1C">
        <w:rPr>
          <w:rFonts w:ascii="Calibri" w:eastAsia="Times New Roman" w:hAnsi="Calibri" w:cs="Calibri"/>
          <w:color w:val="000000"/>
          <w:kern w:val="0"/>
          <w:sz w:val="22"/>
          <w:szCs w:val="22"/>
          <w14:ligatures w14:val="none"/>
        </w:rPr>
        <w:t>hybrid infections compared to single species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infections (controlling for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 co-infections). Haematuria and lesions of the urogenital tract were positively associated with presence and intensity of </w:t>
      </w:r>
      <w:r w:rsidRPr="00FE5D1C">
        <w:rPr>
          <w:rFonts w:ascii="Calibri" w:eastAsia="Times New Roman" w:hAnsi="Calibri" w:cs="Calibri"/>
          <w:i/>
          <w:iCs/>
          <w:color w:val="000000"/>
          <w:kern w:val="0"/>
          <w:sz w:val="22"/>
          <w:szCs w:val="22"/>
          <w14:ligatures w14:val="none"/>
        </w:rPr>
        <w:t>S. haematobium </w:t>
      </w:r>
      <w:r w:rsidRPr="00FE5D1C">
        <w:rPr>
          <w:rFonts w:ascii="Calibri" w:eastAsia="Times New Roman" w:hAnsi="Calibri" w:cs="Calibri"/>
          <w:color w:val="000000"/>
          <w:kern w:val="0"/>
          <w:sz w:val="22"/>
          <w:szCs w:val="22"/>
          <w14:ligatures w14:val="none"/>
        </w:rPr>
        <w:t>or </w:t>
      </w:r>
      <w:r w:rsidRPr="00FE5D1C">
        <w:rPr>
          <w:rFonts w:ascii="Calibri" w:eastAsia="Times New Roman" w:hAnsi="Calibri" w:cs="Calibri"/>
          <w:i/>
          <w:iCs/>
          <w:color w:val="000000"/>
          <w:kern w:val="0"/>
          <w:sz w:val="22"/>
          <w:szCs w:val="22"/>
          <w14:ligatures w14:val="none"/>
        </w:rPr>
        <w:t>S. haematobium-S. bovis </w:t>
      </w:r>
      <w:r w:rsidRPr="00FE5D1C">
        <w:rPr>
          <w:rFonts w:ascii="Calibri" w:eastAsia="Times New Roman" w:hAnsi="Calibri" w:cs="Calibri"/>
          <w:color w:val="000000"/>
          <w:kern w:val="0"/>
          <w:sz w:val="22"/>
          <w:szCs w:val="22"/>
          <w14:ligatures w14:val="none"/>
        </w:rPr>
        <w:t>urogenital schistosomiasis. The heart of the school-aged child in endemic area is characterized by larger cavitary dimensions. The average pulmonary systolic arterial pressure was greater in Richard-Toll: 26.38 ± 3.16 mmHg versus 21.82 ± 1.73 mmHg in Dakar (p &lt; 0.001). There was a correletion between pulmonary systolic arterial pressure and presence of hematuria, anemia and parasitological positivity.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The results of our study show the impact of parasite hybridization on bilharzian morbidity. Further studies with larger numbers will be needed to confirm our results.</w:t>
      </w:r>
    </w:p>
    <w:p w14:paraId="512DA2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25-A-1712-ASTMH</w:t>
      </w:r>
    </w:p>
    <w:p w14:paraId="5EC36C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0A29F9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Multidisciplinary Pathway for Pediatric Screening for Congenital Chagas Disease in a Non-Endemic Setting</w:t>
      </w:r>
    </w:p>
    <w:p w14:paraId="074569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Chagas disease, caused by the parasite Trypanosoma cruzi, is endemic to South America, Central America and Mexico. Vertical transmission is estimated to occur in approximately 5% of pregnancies and passes undetected in the absence of infant testing. This can occur if the mother’s Chagas diagnosis is not known or if infant testing is overlooked, and is a critical missed opportunity as cure rates and treatment tolerability are most favorable in children. In the United Kingdom, pregnant women at risk of Chagas and their children often experience barriers in accessing testing, risking lifelong complications. In response to recognized challenges for the Latin American community in accessing timely Chagas screening for their children in London, we piloted and evaluated a multidisciplinary adult-pediatric pathway, including a dedicated screening clinic for children of women diagnosed with Chagas. Barriers to accessing prior testing were also explored. Between June and September 2023, 28 children were </w:t>
      </w:r>
      <w:r w:rsidRPr="00FE5D1C">
        <w:rPr>
          <w:rFonts w:ascii="Calibri" w:eastAsia="Times New Roman" w:hAnsi="Calibri" w:cs="Calibri"/>
          <w:color w:val="000000"/>
          <w:kern w:val="0"/>
          <w:sz w:val="22"/>
          <w:szCs w:val="22"/>
          <w14:ligatures w14:val="none"/>
        </w:rPr>
        <w:lastRenderedPageBreak/>
        <w:t>referred. Of these, 23 (82%) attended the clinic, and 22 (78.6%) were tested. One (aged 16, born in a London hospital) was diagnosed with congenital Chagas. Both professionals and service users reported a positive experience, and perceived the service to be beneficial. Reported barriers to prior access to testing included challenges attending appointments due to work-related or transportation issues, language barriers, insufficient social support, lack of awareness about the disease, and lack of access to T. cruzi serological testing in some settings. This pilot project in a non-endemic setting, now incorporated into routine clinical care in our clinic, highlights the feasibility and importance of making T cruzi testing available to all the children of women identified with Chagas. Robust and efficient multidisciplinary pathways with bespoke adaptations are essential to promoting an inclusive health approach in communities experiencing health inequalities.</w:t>
      </w:r>
    </w:p>
    <w:p w14:paraId="0CF6E3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25-A-1714-ASTMH</w:t>
      </w:r>
    </w:p>
    <w:p w14:paraId="768C70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Babesiosis and Lyme Disease</w:t>
      </w:r>
    </w:p>
    <w:p w14:paraId="04CD74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Diversity of Ticks and Molecular Identification of Tick-Borne Pathogens in Dogs from Rural Communities of Lagos State,Nigeria</w:t>
      </w:r>
    </w:p>
    <w:p w14:paraId="590C5E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Ticks are obligatory ectoparasitic hematophagous arthropods capable of transmitting a wide range of microorganisms of medical and veterinary importance globally. There is limited knowledge of tick-borne diseases in dogs in Lagos. This study investigated the occurrence of tick infestations and the prevalence of tick-borne pathogens in rural Lagos State, Nigeria. Ticks were collected from dogs in Ojo and Badagry Local Government Areas of Lagos State, Nigeria, and morphologically identified, as well as PCR for tick-borne pathogens. Questionnaires were administered to dog owners to assess risk factors associated with ticks and tick-borne pathogens. A total of 165 ticks (87 females; 78 males) were collected and microscopically identified to be </w:t>
      </w:r>
      <w:r w:rsidRPr="00FE5D1C">
        <w:rPr>
          <w:rFonts w:ascii="Calibri" w:eastAsia="Times New Roman" w:hAnsi="Calibri" w:cs="Calibri"/>
          <w:i/>
          <w:iCs/>
          <w:color w:val="000000"/>
          <w:kern w:val="0"/>
          <w:sz w:val="22"/>
          <w:szCs w:val="22"/>
          <w14:ligatures w14:val="none"/>
        </w:rPr>
        <w:t>Rhipicephalus, </w:t>
      </w:r>
      <w:r w:rsidRPr="00FE5D1C">
        <w:rPr>
          <w:rFonts w:ascii="Calibri" w:eastAsia="Times New Roman" w:hAnsi="Calibri" w:cs="Calibri"/>
          <w:color w:val="000000"/>
          <w:kern w:val="0"/>
          <w:sz w:val="22"/>
          <w:szCs w:val="22"/>
          <w14:ligatures w14:val="none"/>
        </w:rPr>
        <w:t>138 (83.6%,), </w:t>
      </w:r>
      <w:r w:rsidRPr="00FE5D1C">
        <w:rPr>
          <w:rFonts w:ascii="Calibri" w:eastAsia="Times New Roman" w:hAnsi="Calibri" w:cs="Calibri"/>
          <w:i/>
          <w:iCs/>
          <w:color w:val="000000"/>
          <w:kern w:val="0"/>
          <w:sz w:val="22"/>
          <w:szCs w:val="22"/>
          <w14:ligatures w14:val="none"/>
        </w:rPr>
        <w:t>Haemaphysalis</w:t>
      </w:r>
      <w:r w:rsidRPr="00FE5D1C">
        <w:rPr>
          <w:rFonts w:ascii="Calibri" w:eastAsia="Times New Roman" w:hAnsi="Calibri" w:cs="Calibri"/>
          <w:color w:val="000000"/>
          <w:kern w:val="0"/>
          <w:sz w:val="22"/>
          <w:szCs w:val="22"/>
          <w14:ligatures w14:val="none"/>
        </w:rPr>
        <w:t> 20 (12.1%), and </w:t>
      </w:r>
      <w:r w:rsidRPr="00FE5D1C">
        <w:rPr>
          <w:rFonts w:ascii="Calibri" w:eastAsia="Times New Roman" w:hAnsi="Calibri" w:cs="Calibri"/>
          <w:i/>
          <w:iCs/>
          <w:color w:val="000000"/>
          <w:kern w:val="0"/>
          <w:sz w:val="22"/>
          <w:szCs w:val="22"/>
          <w14:ligatures w14:val="none"/>
        </w:rPr>
        <w:t>Hyalomma</w:t>
      </w:r>
      <w:r w:rsidRPr="00FE5D1C">
        <w:rPr>
          <w:rFonts w:ascii="Calibri" w:eastAsia="Times New Roman" w:hAnsi="Calibri" w:cs="Calibri"/>
          <w:color w:val="000000"/>
          <w:kern w:val="0"/>
          <w:sz w:val="22"/>
          <w:szCs w:val="22"/>
          <w14:ligatures w14:val="none"/>
        </w:rPr>
        <w:t> 7 (4.2%) and the overall prevalence of tick-borne pathogens was </w:t>
      </w:r>
      <w:r w:rsidRPr="00FE5D1C">
        <w:rPr>
          <w:rFonts w:ascii="Calibri" w:eastAsia="Times New Roman" w:hAnsi="Calibri" w:cs="Calibri"/>
          <w:i/>
          <w:iCs/>
          <w:color w:val="000000"/>
          <w:kern w:val="0"/>
          <w:sz w:val="22"/>
          <w:szCs w:val="22"/>
          <w14:ligatures w14:val="none"/>
        </w:rPr>
        <w:t>B. vogeli </w:t>
      </w:r>
      <w:r w:rsidRPr="00FE5D1C">
        <w:rPr>
          <w:rFonts w:ascii="Calibri" w:eastAsia="Times New Roman" w:hAnsi="Calibri" w:cs="Calibri"/>
          <w:color w:val="000000"/>
          <w:kern w:val="0"/>
          <w:sz w:val="22"/>
          <w:szCs w:val="22"/>
          <w14:ligatures w14:val="none"/>
        </w:rPr>
        <w:t>30.0%</w:t>
      </w:r>
      <w:r w:rsidRPr="00FE5D1C">
        <w:rPr>
          <w:rFonts w:ascii="Calibri" w:eastAsia="Times New Roman" w:hAnsi="Calibri" w:cs="Calibri"/>
          <w:i/>
          <w:iCs/>
          <w:color w:val="000000"/>
          <w:kern w:val="0"/>
          <w:sz w:val="22"/>
          <w:szCs w:val="22"/>
          <w14:ligatures w14:val="none"/>
        </w:rPr>
        <w:t>, H. canis</w:t>
      </w:r>
      <w:r w:rsidRPr="00FE5D1C">
        <w:rPr>
          <w:rFonts w:ascii="Calibri" w:eastAsia="Times New Roman" w:hAnsi="Calibri" w:cs="Calibri"/>
          <w:color w:val="000000"/>
          <w:kern w:val="0"/>
          <w:sz w:val="22"/>
          <w:szCs w:val="22"/>
          <w14:ligatures w14:val="none"/>
        </w:rPr>
        <w:t> 40.0% and </w:t>
      </w:r>
      <w:r w:rsidRPr="00FE5D1C">
        <w:rPr>
          <w:rFonts w:ascii="Calibri" w:eastAsia="Times New Roman" w:hAnsi="Calibri" w:cs="Calibri"/>
          <w:i/>
          <w:iCs/>
          <w:color w:val="000000"/>
          <w:kern w:val="0"/>
          <w:sz w:val="22"/>
          <w:szCs w:val="22"/>
          <w14:ligatures w14:val="none"/>
        </w:rPr>
        <w:t>E. canis </w:t>
      </w:r>
      <w:r w:rsidRPr="00FE5D1C">
        <w:rPr>
          <w:rFonts w:ascii="Calibri" w:eastAsia="Times New Roman" w:hAnsi="Calibri" w:cs="Calibri"/>
          <w:color w:val="000000"/>
          <w:kern w:val="0"/>
          <w:sz w:val="22"/>
          <w:szCs w:val="22"/>
          <w14:ligatures w14:val="none"/>
        </w:rPr>
        <w:t>100%. All three pathogens </w:t>
      </w:r>
      <w:r w:rsidRPr="00FE5D1C">
        <w:rPr>
          <w:rFonts w:ascii="Calibri" w:eastAsia="Times New Roman" w:hAnsi="Calibri" w:cs="Calibri"/>
          <w:i/>
          <w:iCs/>
          <w:color w:val="000000"/>
          <w:kern w:val="0"/>
          <w:sz w:val="22"/>
          <w:szCs w:val="22"/>
          <w14:ligatures w14:val="none"/>
        </w:rPr>
        <w:t>B. vogeli, H. canis,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E. canis</w:t>
      </w:r>
      <w:r w:rsidRPr="00FE5D1C">
        <w:rPr>
          <w:rFonts w:ascii="Calibri" w:eastAsia="Times New Roman" w:hAnsi="Calibri" w:cs="Calibri"/>
          <w:color w:val="000000"/>
          <w:kern w:val="0"/>
          <w:sz w:val="22"/>
          <w:szCs w:val="22"/>
          <w14:ligatures w14:val="none"/>
        </w:rPr>
        <w:t> were present in ticks collected from Ojo LGA, but only </w:t>
      </w:r>
      <w:r w:rsidRPr="00FE5D1C">
        <w:rPr>
          <w:rFonts w:ascii="Calibri" w:eastAsia="Times New Roman" w:hAnsi="Calibri" w:cs="Calibri"/>
          <w:i/>
          <w:iCs/>
          <w:color w:val="000000"/>
          <w:kern w:val="0"/>
          <w:sz w:val="22"/>
          <w:szCs w:val="22"/>
          <w14:ligatures w14:val="none"/>
        </w:rPr>
        <w:t>E. canis</w:t>
      </w:r>
      <w:r w:rsidRPr="00FE5D1C">
        <w:rPr>
          <w:rFonts w:ascii="Calibri" w:eastAsia="Times New Roman" w:hAnsi="Calibri" w:cs="Calibri"/>
          <w:color w:val="000000"/>
          <w:kern w:val="0"/>
          <w:sz w:val="22"/>
          <w:szCs w:val="22"/>
          <w14:ligatures w14:val="none"/>
        </w:rPr>
        <w:t> was found in Badagry LGA. This study highlights a significant presence of tick-borne pathogens in Lagos State, with </w:t>
      </w:r>
      <w:r w:rsidRPr="00FE5D1C">
        <w:rPr>
          <w:rFonts w:ascii="Calibri" w:eastAsia="Times New Roman" w:hAnsi="Calibri" w:cs="Calibri"/>
          <w:i/>
          <w:iCs/>
          <w:color w:val="000000"/>
          <w:kern w:val="0"/>
          <w:sz w:val="22"/>
          <w:szCs w:val="22"/>
          <w14:ligatures w14:val="none"/>
        </w:rPr>
        <w:t>E. canis</w:t>
      </w:r>
      <w:r w:rsidRPr="00FE5D1C">
        <w:rPr>
          <w:rFonts w:ascii="Calibri" w:eastAsia="Times New Roman" w:hAnsi="Calibri" w:cs="Calibri"/>
          <w:color w:val="000000"/>
          <w:kern w:val="0"/>
          <w:sz w:val="22"/>
          <w:szCs w:val="22"/>
          <w14:ligatures w14:val="none"/>
        </w:rPr>
        <w:t> showing a wider geographic distribution. These findings emphasize the need for improved awareness, surveillance, and tick control strategies to reduce the risk of pathogen transmission to dogs and, potentially, humans in rural Nigeria.</w:t>
      </w:r>
    </w:p>
    <w:p w14:paraId="4AA468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25-A-1717-ASTMH</w:t>
      </w:r>
    </w:p>
    <w:p w14:paraId="2043FB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6B1E7B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Mapping of insecticide resistance variants in malaria vectors in Burkina Faso</w:t>
      </w:r>
    </w:p>
    <w:p w14:paraId="0B72BE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 The intensive use of insecticide-based control tools has led to the rapid evolution of resistant phenotypes to these chemical compounds. Understanding these adaptive processes at the genomic level is essential to inform and guide the development and the deployment of effective vector control interventions. </w:t>
      </w:r>
      <w:r w:rsidRPr="00FE5D1C">
        <w:rPr>
          <w:rFonts w:ascii="Calibri" w:eastAsia="Times New Roman" w:hAnsi="Calibri" w:cs="Calibri"/>
          <w:b/>
          <w:bCs/>
          <w:color w:val="000000"/>
          <w:kern w:val="0"/>
          <w:sz w:val="22"/>
          <w:szCs w:val="22"/>
          <w14:ligatures w14:val="none"/>
        </w:rPr>
        <w:t>Methodology:</w:t>
      </w:r>
      <w:r w:rsidRPr="00FE5D1C">
        <w:rPr>
          <w:rFonts w:ascii="Calibri" w:eastAsia="Times New Roman" w:hAnsi="Calibri" w:cs="Calibri"/>
          <w:color w:val="000000"/>
          <w:kern w:val="0"/>
          <w:sz w:val="22"/>
          <w:szCs w:val="22"/>
          <w14:ligatures w14:val="none"/>
        </w:rPr>
        <w:t> The entire genomes of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mosquitoes collected in 2022 from 8 sites in Burkina Faso were sequenced as part of the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1000 Genomes Project. The genomic data were analyzed at the MalariaGEN Resource Center using a wide range of genomic analysis methods.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Pyrethroid resistance variants and haplotypes were identified at high frequencies, including the major resistance mutations </w:t>
      </w:r>
      <w:r w:rsidRPr="00FE5D1C">
        <w:rPr>
          <w:rFonts w:ascii="Calibri" w:eastAsia="Times New Roman" w:hAnsi="Calibri" w:cs="Calibri"/>
          <w:i/>
          <w:iCs/>
          <w:color w:val="000000"/>
          <w:kern w:val="0"/>
          <w:sz w:val="22"/>
          <w:szCs w:val="22"/>
          <w14:ligatures w14:val="none"/>
        </w:rPr>
        <w:t>vgsc-995F, vgsc-995S, vgsc-402L, vgsc-1527T</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vgsc-1570Y</w:t>
      </w:r>
      <w:r w:rsidRPr="00FE5D1C">
        <w:rPr>
          <w:rFonts w:ascii="Calibri" w:eastAsia="Times New Roman" w:hAnsi="Calibri" w:cs="Calibri"/>
          <w:color w:val="000000"/>
          <w:kern w:val="0"/>
          <w:sz w:val="22"/>
          <w:szCs w:val="22"/>
          <w14:ligatures w14:val="none"/>
        </w:rPr>
        <w:t>. The genetic structure showed five diplotype groups in An. coluzzii populations carrying the major variants, in particular the homozygotes </w:t>
      </w:r>
      <w:r w:rsidRPr="00FE5D1C">
        <w:rPr>
          <w:rFonts w:ascii="Calibri" w:eastAsia="Times New Roman" w:hAnsi="Calibri" w:cs="Calibri"/>
          <w:i/>
          <w:iCs/>
          <w:color w:val="000000"/>
          <w:kern w:val="0"/>
          <w:sz w:val="22"/>
          <w:szCs w:val="22"/>
          <w14:ligatures w14:val="none"/>
        </w:rPr>
        <w:t>vgsc-995F/vgsc-995F</w:t>
      </w:r>
      <w:r w:rsidRPr="00FE5D1C">
        <w:rPr>
          <w:rFonts w:ascii="Calibri" w:eastAsia="Times New Roman" w:hAnsi="Calibri" w:cs="Calibri"/>
          <w:color w:val="000000"/>
          <w:kern w:val="0"/>
          <w:sz w:val="22"/>
          <w:szCs w:val="22"/>
          <w14:ligatures w14:val="none"/>
        </w:rPr>
        <w:t> (23.27% [111/477]) and </w:t>
      </w:r>
      <w:r w:rsidRPr="00FE5D1C">
        <w:rPr>
          <w:rFonts w:ascii="Calibri" w:eastAsia="Times New Roman" w:hAnsi="Calibri" w:cs="Calibri"/>
          <w:i/>
          <w:iCs/>
          <w:color w:val="000000"/>
          <w:kern w:val="0"/>
          <w:sz w:val="22"/>
          <w:szCs w:val="22"/>
          <w14:ligatures w14:val="none"/>
        </w:rPr>
        <w:t>vgsc-402L+1527T/vgsc-402L+1527T</w:t>
      </w:r>
      <w:r w:rsidRPr="00FE5D1C">
        <w:rPr>
          <w:rFonts w:ascii="Calibri" w:eastAsia="Times New Roman" w:hAnsi="Calibri" w:cs="Calibri"/>
          <w:color w:val="000000"/>
          <w:kern w:val="0"/>
          <w:sz w:val="22"/>
          <w:szCs w:val="22"/>
          <w14:ligatures w14:val="none"/>
        </w:rPr>
        <w:t> (27.59% [101/477]) and the triple heterozygote </w:t>
      </w:r>
      <w:r w:rsidRPr="00FE5D1C">
        <w:rPr>
          <w:rFonts w:ascii="Calibri" w:eastAsia="Times New Roman" w:hAnsi="Calibri" w:cs="Calibri"/>
          <w:i/>
          <w:iCs/>
          <w:color w:val="000000"/>
          <w:kern w:val="0"/>
          <w:sz w:val="22"/>
          <w:szCs w:val="22"/>
          <w14:ligatures w14:val="none"/>
        </w:rPr>
        <w:t>vgsc-995F+402L+1527T/vgsc-995L+402V+1527I</w:t>
      </w:r>
      <w:r w:rsidRPr="00FE5D1C">
        <w:rPr>
          <w:rFonts w:ascii="Calibri" w:eastAsia="Times New Roman" w:hAnsi="Calibri" w:cs="Calibri"/>
          <w:color w:val="000000"/>
          <w:kern w:val="0"/>
          <w:sz w:val="22"/>
          <w:szCs w:val="22"/>
          <w14:ligatures w14:val="none"/>
        </w:rPr>
        <w:t> (45.07% [215/477]) with increasing frequency. A group of individuals was found to carry the alleles combination vgsc-995F and </w:t>
      </w:r>
      <w:r w:rsidRPr="00FE5D1C">
        <w:rPr>
          <w:rFonts w:ascii="Calibri" w:eastAsia="Times New Roman" w:hAnsi="Calibri" w:cs="Calibri"/>
          <w:i/>
          <w:iCs/>
          <w:color w:val="000000"/>
          <w:kern w:val="0"/>
          <w:sz w:val="22"/>
          <w:szCs w:val="22"/>
          <w14:ligatures w14:val="none"/>
        </w:rPr>
        <w:t>vgsc-1527T</w:t>
      </w:r>
      <w:r w:rsidRPr="00FE5D1C">
        <w:rPr>
          <w:rFonts w:ascii="Calibri" w:eastAsia="Times New Roman" w:hAnsi="Calibri" w:cs="Calibri"/>
          <w:color w:val="000000"/>
          <w:kern w:val="0"/>
          <w:sz w:val="22"/>
          <w:szCs w:val="22"/>
          <w14:ligatures w14:val="none"/>
        </w:rPr>
        <w:t> and not the 402L, suggesting a linkage break in the double mutant </w:t>
      </w:r>
      <w:r w:rsidRPr="00FE5D1C">
        <w:rPr>
          <w:rFonts w:ascii="Calibri" w:eastAsia="Times New Roman" w:hAnsi="Calibri" w:cs="Calibri"/>
          <w:i/>
          <w:iCs/>
          <w:color w:val="000000"/>
          <w:kern w:val="0"/>
          <w:sz w:val="22"/>
          <w:szCs w:val="22"/>
          <w14:ligatures w14:val="none"/>
        </w:rPr>
        <w:t>vgsc-402L+1527T</w:t>
      </w:r>
      <w:r w:rsidRPr="00FE5D1C">
        <w:rPr>
          <w:rFonts w:ascii="Calibri" w:eastAsia="Times New Roman" w:hAnsi="Calibri" w:cs="Calibri"/>
          <w:color w:val="000000"/>
          <w:kern w:val="0"/>
          <w:sz w:val="22"/>
          <w:szCs w:val="22"/>
          <w14:ligatures w14:val="none"/>
        </w:rPr>
        <w:t>. Other insecticide resistance associated variants such as copy number variations and SNPs (</w:t>
      </w:r>
      <w:r w:rsidRPr="00FE5D1C">
        <w:rPr>
          <w:rFonts w:ascii="Calibri" w:eastAsia="Times New Roman" w:hAnsi="Calibri" w:cs="Calibri"/>
          <w:i/>
          <w:iCs/>
          <w:color w:val="000000"/>
          <w:kern w:val="0"/>
          <w:sz w:val="22"/>
          <w:szCs w:val="22"/>
          <w14:ligatures w14:val="none"/>
        </w:rPr>
        <w:t>Ace1-G280S</w:t>
      </w:r>
      <w:r w:rsidRPr="00FE5D1C">
        <w:rPr>
          <w:rFonts w:ascii="Calibri" w:eastAsia="Times New Roman" w:hAnsi="Calibri" w:cs="Calibri"/>
          <w:color w:val="000000"/>
          <w:kern w:val="0"/>
          <w:sz w:val="22"/>
          <w:szCs w:val="22"/>
          <w14:ligatures w14:val="none"/>
        </w:rPr>
        <w:t xml:space="preserve">) in ACE1 gene, cytochrome p450s, esterases and glutathione S-transferases were identified at high frequencies in the same mosquito populations, indicating the intensity and diversity of resistance mechanisms in the </w:t>
      </w:r>
      <w:r w:rsidRPr="00FE5D1C">
        <w:rPr>
          <w:rFonts w:ascii="Calibri" w:eastAsia="Times New Roman" w:hAnsi="Calibri" w:cs="Calibri"/>
          <w:color w:val="000000"/>
          <w:kern w:val="0"/>
          <w:sz w:val="22"/>
          <w:szCs w:val="22"/>
          <w14:ligatures w14:val="none"/>
        </w:rPr>
        <w:lastRenderedPageBreak/>
        <w:t>country.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The study underscores the extent and spread of insecticide resistance variants in Burkina Faso. It highlights the importance of genomic surveillance of malaria vectors to monitor and detect new resistance variants and to understand the evolutionary processes in vector populations.</w:t>
      </w:r>
    </w:p>
    <w:p w14:paraId="4BF67E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25-A-1718-ASTMH</w:t>
      </w:r>
    </w:p>
    <w:p w14:paraId="4A56E0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1E3FB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Safety and Immunogenicity of Second Typhoid Conjugate Vaccine After 5-6 Years in Burkinabe Children</w:t>
      </w:r>
    </w:p>
    <w:p w14:paraId="22265C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 fever remains a significant public health concern in endemic regions lacking clean water and proper sanitation. While WHO recommends a single dose of typhoid conjugate vaccine (TCV) for children </w:t>
      </w:r>
      <w:r w:rsidRPr="00FE5D1C">
        <w:rPr>
          <w:rFonts w:ascii="Calibri" w:eastAsia="Times New Roman" w:hAnsi="Calibri" w:cs="Calibri"/>
          <w:color w:val="000000"/>
          <w:kern w:val="0"/>
          <w:sz w:val="22"/>
          <w:szCs w:val="22"/>
          <w:u w:val="single"/>
          <w14:ligatures w14:val="none"/>
        </w:rPr>
        <w:t>&gt; </w:t>
      </w:r>
      <w:r w:rsidRPr="00FE5D1C">
        <w:rPr>
          <w:rFonts w:ascii="Calibri" w:eastAsia="Times New Roman" w:hAnsi="Calibri" w:cs="Calibri"/>
          <w:color w:val="000000"/>
          <w:kern w:val="0"/>
          <w:sz w:val="22"/>
          <w:szCs w:val="22"/>
          <w14:ligatures w14:val="none"/>
        </w:rPr>
        <w:t>6 months in endemic areas, questions remain about durability and the need for booster doses, particularly in young children. This study evaluated safety and immunogenicity of a second dose of TCV, 5-6 years after a first dose administered at 9-23 months of age in Burkinabe children. We conducted the clinical trial in Ouagadougou, Burkina Faso, enrolling children who previously participated in a Phase 2 trial that randomly assigned TCV (Vi-TT) or control at the 9-23 months of age. Notably, our study design incorporated two different TCV formulations: Vi-TT for the primary vaccination and Vi-CRM for the booster dose. Participants who initially received TCV were given a second dose of TCV (Vi-CRM), while those who initially received a control vaccine were given their first TCV dose (Vi-CRM) at 6-7 years of age. Serum samples were collected before and 28 days after vaccination to assess anti-Vi IgG antibody levels. Safety was monitored through active and passive surveillance, with solicited adverse events recorded for 7 days and unsolicited and serious adverse events assessed for 28 days post-vaccination. 147 children were enrolled and vaccinated with Vi-CRM. Analysis is ongoing to compare safety and immunogenicity between groups. Geometric mean titers of anti-Vi IgG antibody, seroconversion rates (≥4-fold rise from baseline), and geometric mean fold rises are being assessed. Complete results will be presented. This study provides important data on safety and immunogenicity of a second dose of TCV in Burkinabe children. Findings will inform optimal TCV strategies in endemic regions, particularly the need for a booster dose in children vaccinated during early childhood. As the first study to administer two different TCV formulations, results will contribute to evidence supporting WHO recommendations for TCV implementation in high-burden countries.</w:t>
      </w:r>
    </w:p>
    <w:p w14:paraId="34AA60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25-A-1719-ASTMH</w:t>
      </w:r>
    </w:p>
    <w:p w14:paraId="074C68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194A31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Molecular Characterization of fungi populations among individuals with filarial lymphedema in Southern Ghana</w:t>
      </w:r>
    </w:p>
    <w:p w14:paraId="4E5732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u w:val="single"/>
          <w14:ligatures w14:val="none"/>
        </w:rPr>
        <w:t>MOLECULAR CHARACTERIZATION OF FUNGI POPULATIONS AMONG INDIVIDUALS WITH FILARIAL LYMPHEDEMA IN SOUTHERN GHANA</w:t>
      </w:r>
      <w:r w:rsidRPr="00FE5D1C">
        <w:rPr>
          <w:rFonts w:ascii="Calibri" w:eastAsia="Times New Roman" w:hAnsi="Calibri" w:cs="Calibri"/>
          <w:color w:val="000000"/>
          <w:kern w:val="0"/>
          <w:sz w:val="22"/>
          <w:szCs w:val="22"/>
          <w14:ligatures w14:val="none"/>
        </w:rPr>
        <w:br/>
        <w:t>Despite the significant burden of lymphatic filariasis and its associated chronic wounds, the fungal component of the wound microbiome remains poorly understood. Previous study has primarily focused on bacterial pathogens, neglecting the potential role of fungi in wound pathogenesis and progression. A comprehensive understanding of the microbial landscape, especially the overlooked fungal component is crucial for developing effective prevention and treatment strategies. In a cross-sectional study, a total of 63 individuals were sampled from eight LF-hyperendemic communities within the Ahanta West District in Ghana: Dixcove, Achowa, Busua, Butre, Asemkow, Ampatano, Princess Town, and Akatakyi. Skin and wound swabs were collected from each participant in December 2021 to February 2022 and subjected to standard culture-based techniques. Fungal isolates were identified, and their DNA was extracted for PCR amplification of the ITS region. Sequencing was done using the Oxford Nanopore platform. Here, 24 distinct fungal species at different frequencies were identified from 9 different genera: </w:t>
      </w:r>
      <w:r w:rsidRPr="00FE5D1C">
        <w:rPr>
          <w:rFonts w:ascii="Calibri" w:eastAsia="Times New Roman" w:hAnsi="Calibri" w:cs="Calibri"/>
          <w:i/>
          <w:iCs/>
          <w:color w:val="000000"/>
          <w:kern w:val="0"/>
          <w:sz w:val="22"/>
          <w:szCs w:val="22"/>
          <w14:ligatures w14:val="none"/>
        </w:rPr>
        <w:t>Cladosporium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Aspergillus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Periconia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Penicillium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Candida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Lasiodiplodia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Acrophialophora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Zygosporium</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Trichoderma. Cladosporium </w:t>
      </w:r>
      <w:r w:rsidRPr="00FE5D1C">
        <w:rPr>
          <w:rFonts w:ascii="Calibri" w:eastAsia="Times New Roman" w:hAnsi="Calibri" w:cs="Calibri"/>
          <w:color w:val="000000"/>
          <w:kern w:val="0"/>
          <w:sz w:val="22"/>
          <w:szCs w:val="22"/>
          <w14:ligatures w14:val="none"/>
        </w:rPr>
        <w:t>spp</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was the most prevalent, accounting for 30% of isolates, followed by </w:t>
      </w:r>
      <w:r w:rsidRPr="00FE5D1C">
        <w:rPr>
          <w:rFonts w:ascii="Calibri" w:eastAsia="Times New Roman" w:hAnsi="Calibri" w:cs="Calibri"/>
          <w:i/>
          <w:iCs/>
          <w:color w:val="000000"/>
          <w:kern w:val="0"/>
          <w:sz w:val="22"/>
          <w:szCs w:val="22"/>
          <w14:ligatures w14:val="none"/>
        </w:rPr>
        <w:t>Aspergillus </w:t>
      </w:r>
      <w:r w:rsidRPr="00FE5D1C">
        <w:rPr>
          <w:rFonts w:ascii="Calibri" w:eastAsia="Times New Roman" w:hAnsi="Calibri" w:cs="Calibri"/>
          <w:color w:val="000000"/>
          <w:kern w:val="0"/>
          <w:sz w:val="22"/>
          <w:szCs w:val="22"/>
          <w14:ligatures w14:val="none"/>
        </w:rPr>
        <w:t>spp</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(28.6%), </w:t>
      </w:r>
      <w:r w:rsidRPr="00FE5D1C">
        <w:rPr>
          <w:rFonts w:ascii="Calibri" w:eastAsia="Times New Roman" w:hAnsi="Calibri" w:cs="Calibri"/>
          <w:i/>
          <w:iCs/>
          <w:color w:val="000000"/>
          <w:kern w:val="0"/>
          <w:sz w:val="22"/>
          <w:szCs w:val="22"/>
          <w14:ligatures w14:val="none"/>
        </w:rPr>
        <w:t>Periconia</w:t>
      </w:r>
      <w:r w:rsidRPr="00FE5D1C">
        <w:rPr>
          <w:rFonts w:ascii="Calibri" w:eastAsia="Times New Roman" w:hAnsi="Calibri" w:cs="Calibri"/>
          <w:color w:val="000000"/>
          <w:kern w:val="0"/>
          <w:sz w:val="22"/>
          <w:szCs w:val="22"/>
          <w14:ligatures w14:val="none"/>
        </w:rPr>
        <w:t> spp. (14.3%), </w:t>
      </w:r>
      <w:r w:rsidRPr="00FE5D1C">
        <w:rPr>
          <w:rFonts w:ascii="Calibri" w:eastAsia="Times New Roman" w:hAnsi="Calibri" w:cs="Calibri"/>
          <w:i/>
          <w:iCs/>
          <w:color w:val="000000"/>
          <w:kern w:val="0"/>
          <w:sz w:val="22"/>
          <w:szCs w:val="22"/>
          <w14:ligatures w14:val="none"/>
        </w:rPr>
        <w:t>Penicillium</w:t>
      </w:r>
      <w:r w:rsidRPr="00FE5D1C">
        <w:rPr>
          <w:rFonts w:ascii="Calibri" w:eastAsia="Times New Roman" w:hAnsi="Calibri" w:cs="Calibri"/>
          <w:color w:val="000000"/>
          <w:kern w:val="0"/>
          <w:sz w:val="22"/>
          <w:szCs w:val="22"/>
          <w14:ligatures w14:val="none"/>
        </w:rPr>
        <w:t> spp. (12.9%), and </w:t>
      </w:r>
      <w:r w:rsidRPr="00FE5D1C">
        <w:rPr>
          <w:rFonts w:ascii="Calibri" w:eastAsia="Times New Roman" w:hAnsi="Calibri" w:cs="Calibri"/>
          <w:i/>
          <w:iCs/>
          <w:color w:val="000000"/>
          <w:kern w:val="0"/>
          <w:sz w:val="22"/>
          <w:szCs w:val="22"/>
          <w14:ligatures w14:val="none"/>
        </w:rPr>
        <w:t>Candida</w:t>
      </w:r>
      <w:r w:rsidRPr="00FE5D1C">
        <w:rPr>
          <w:rFonts w:ascii="Calibri" w:eastAsia="Times New Roman" w:hAnsi="Calibri" w:cs="Calibri"/>
          <w:color w:val="000000"/>
          <w:kern w:val="0"/>
          <w:sz w:val="22"/>
          <w:szCs w:val="22"/>
          <w14:ligatures w14:val="none"/>
        </w:rPr>
        <w:t xml:space="preserve"> spp. (8.6%). A smaller proportion of isolates </w:t>
      </w:r>
      <w:r w:rsidRPr="00FE5D1C">
        <w:rPr>
          <w:rFonts w:ascii="Calibri" w:eastAsia="Times New Roman" w:hAnsi="Calibri" w:cs="Calibri"/>
          <w:color w:val="000000"/>
          <w:kern w:val="0"/>
          <w:sz w:val="22"/>
          <w:szCs w:val="22"/>
          <w14:ligatures w14:val="none"/>
        </w:rPr>
        <w:lastRenderedPageBreak/>
        <w:t>represented </w:t>
      </w:r>
      <w:r w:rsidRPr="00FE5D1C">
        <w:rPr>
          <w:rFonts w:ascii="Calibri" w:eastAsia="Times New Roman" w:hAnsi="Calibri" w:cs="Calibri"/>
          <w:i/>
          <w:iCs/>
          <w:color w:val="000000"/>
          <w:kern w:val="0"/>
          <w:sz w:val="22"/>
          <w:szCs w:val="22"/>
          <w14:ligatures w14:val="none"/>
        </w:rPr>
        <w:t>Lasiodiplodia</w:t>
      </w:r>
      <w:r w:rsidRPr="00FE5D1C">
        <w:rPr>
          <w:rFonts w:ascii="Calibri" w:eastAsia="Times New Roman" w:hAnsi="Calibri" w:cs="Calibri"/>
          <w:color w:val="000000"/>
          <w:kern w:val="0"/>
          <w:sz w:val="22"/>
          <w:szCs w:val="22"/>
          <w14:ligatures w14:val="none"/>
        </w:rPr>
        <w:t> spp., </w:t>
      </w:r>
      <w:r w:rsidRPr="00FE5D1C">
        <w:rPr>
          <w:rFonts w:ascii="Calibri" w:eastAsia="Times New Roman" w:hAnsi="Calibri" w:cs="Calibri"/>
          <w:i/>
          <w:iCs/>
          <w:color w:val="000000"/>
          <w:kern w:val="0"/>
          <w:sz w:val="22"/>
          <w:szCs w:val="22"/>
          <w14:ligatures w14:val="none"/>
        </w:rPr>
        <w:t>Acrophialophora</w:t>
      </w:r>
      <w:r w:rsidRPr="00FE5D1C">
        <w:rPr>
          <w:rFonts w:ascii="Calibri" w:eastAsia="Times New Roman" w:hAnsi="Calibri" w:cs="Calibri"/>
          <w:color w:val="000000"/>
          <w:kern w:val="0"/>
          <w:sz w:val="22"/>
          <w:szCs w:val="22"/>
          <w14:ligatures w14:val="none"/>
        </w:rPr>
        <w:t> spp., </w:t>
      </w:r>
      <w:r w:rsidRPr="00FE5D1C">
        <w:rPr>
          <w:rFonts w:ascii="Calibri" w:eastAsia="Times New Roman" w:hAnsi="Calibri" w:cs="Calibri"/>
          <w:i/>
          <w:iCs/>
          <w:color w:val="000000"/>
          <w:kern w:val="0"/>
          <w:sz w:val="22"/>
          <w:szCs w:val="22"/>
          <w14:ligatures w14:val="none"/>
        </w:rPr>
        <w:t>Zygosporium</w:t>
      </w:r>
      <w:r w:rsidRPr="00FE5D1C">
        <w:rPr>
          <w:rFonts w:ascii="Calibri" w:eastAsia="Times New Roman" w:hAnsi="Calibri" w:cs="Calibri"/>
          <w:color w:val="000000"/>
          <w:kern w:val="0"/>
          <w:sz w:val="22"/>
          <w:szCs w:val="22"/>
          <w14:ligatures w14:val="none"/>
        </w:rPr>
        <w:t> spp., and </w:t>
      </w:r>
      <w:r w:rsidRPr="00FE5D1C">
        <w:rPr>
          <w:rFonts w:ascii="Calibri" w:eastAsia="Times New Roman" w:hAnsi="Calibri" w:cs="Calibri"/>
          <w:i/>
          <w:iCs/>
          <w:color w:val="000000"/>
          <w:kern w:val="0"/>
          <w:sz w:val="22"/>
          <w:szCs w:val="22"/>
          <w14:ligatures w14:val="none"/>
        </w:rPr>
        <w:t>Trichoderma</w:t>
      </w:r>
      <w:r w:rsidRPr="00FE5D1C">
        <w:rPr>
          <w:rFonts w:ascii="Calibri" w:eastAsia="Times New Roman" w:hAnsi="Calibri" w:cs="Calibri"/>
          <w:color w:val="000000"/>
          <w:kern w:val="0"/>
          <w:sz w:val="22"/>
          <w:szCs w:val="22"/>
          <w14:ligatures w14:val="none"/>
        </w:rPr>
        <w:t> spp., each comprising 1.4% of the total isolates. Notably, only 2 out of the 16 patients did not present with mixed fungal infections in their wounds. The identification of fungal pathogens, including the potential for polymicrobial infections within the LF wound environment, underscores the need for more effective treatment protocols for these complex wounds. Comprehensive wound management will help mitigate the development of antibiotic resistance, a growing concern in chronic wound care.</w:t>
      </w:r>
    </w:p>
    <w:p w14:paraId="023A88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25-A-1720-ASTMH</w:t>
      </w:r>
    </w:p>
    <w:p w14:paraId="1AA615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70A1DC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Investigating Opportunities for Targeted Larval Source Management in Rural Communities Where Malaria Transmission is Dominated by </w:t>
      </w:r>
      <w:r w:rsidRPr="00FE5D1C">
        <w:rPr>
          <w:rFonts w:ascii="Calibri" w:eastAsia="Times New Roman" w:hAnsi="Calibri" w:cs="Calibri"/>
          <w:i/>
          <w:iCs/>
          <w:color w:val="000000"/>
          <w:kern w:val="0"/>
          <w:sz w:val="22"/>
          <w:szCs w:val="22"/>
          <w14:ligatures w14:val="none"/>
        </w:rPr>
        <w:t>Anopheles funestus</w:t>
      </w:r>
    </w:p>
    <w:p w14:paraId="0C88F5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persistent in Africa, requiring innovative strategies beyond widely used interventions such as insecticide-treated nets and indoor residual spraying. This study investigated opportunities for expanding larval source management (LSM) in rural endemic settings. To set the foundation, we performed a meta-analysis investigating the roles of different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species in driving malaria transmission across east and southern Africa. This analysis revealed a shift towards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becoming the dominant malaria vector in the region (with higher infection in 58% of sites and contributed most to EIR in 63%). Subsequent field studies in south-eastern Tanzania confirmed the dominance of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accounting for &gt;95% of local transmission. Although we also found abundant aquatic habitats, &lt;20% harbored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which preferred identifiable and long-lasting habitats, unlike </w:t>
      </w:r>
      <w:r w:rsidRPr="00FE5D1C">
        <w:rPr>
          <w:rFonts w:ascii="Calibri" w:eastAsia="Times New Roman" w:hAnsi="Calibri" w:cs="Calibri"/>
          <w:i/>
          <w:iCs/>
          <w:color w:val="000000"/>
          <w:kern w:val="0"/>
          <w:sz w:val="22"/>
          <w:szCs w:val="22"/>
          <w14:ligatures w14:val="none"/>
        </w:rPr>
        <w:t>An. arabiensis </w:t>
      </w:r>
      <w:r w:rsidRPr="00FE5D1C">
        <w:rPr>
          <w:rFonts w:ascii="Calibri" w:eastAsia="Times New Roman" w:hAnsi="Calibri" w:cs="Calibri"/>
          <w:color w:val="000000"/>
          <w:kern w:val="0"/>
          <w:sz w:val="22"/>
          <w:szCs w:val="22"/>
          <w14:ligatures w14:val="none"/>
        </w:rPr>
        <w:t>with variable preferences. Infested habitat surface area fell from ~70% to &lt;30% in the dry season, suggesting LSM potential during this period. We then compared larval development and larvicide efficacy against both species in semi-field and field settings. Results indicated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larvae, having longer aquatic development (~2 weeks), were more susceptible to frequent (weekly) larviciding. Also, habitat characteristics, particularly shading, influenced larvicide efficacy, emphasizing environmental considerations. Finally, mathematical simulations using the EMOD platform integrated field and semi-field data to predict the broader impact of LSM. Scenarios varied in timing, coverage, and frequency. With ~40% ITN coverage, blanket biweekly larviciding at 80% coverage over 5 months reduced transmission by &gt;75%, though such coverage is difficult to achieve in practice. Alternatively, targeting only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may offer a more feasible strategy, cutting transmission by &gt;60%. This four-step analysis provides a compelling case suggesting that expanding species targeted LSM, especially where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dominates transmission could significantly improve malaria control in rural endemic areas.</w:t>
      </w:r>
    </w:p>
    <w:p w14:paraId="7D41137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25-A-1721-ASTMH</w:t>
      </w:r>
    </w:p>
    <w:p w14:paraId="44939B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6DB353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Does the extent of private facility deliveries explain regional variation in Caesarean Sections in the Dominican Republic?</w:t>
      </w:r>
    </w:p>
    <w:p w14:paraId="139626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Regional variation in caesarean section (C-section) rates can be substantial. What factors might contribute to this variation may be informative for addressing excessively high C-section rates. The Dominican Republic (DR) has one of the highest C-section rates in the world, far exceeding WHO recommendations. There is also marked regional variation in the C-section rate within the DR, estimated at over 30% in 2019. It was hypothesized that this regional variation may be explained by variation in deliveries between private and public health facilities, given that private deliveries have been strongly associated with C-section deliveries. It was further hypothesized that this explanatory relationship might particularly apply to C-sections decided upon before the onset of labor, a proxy for elective C-sections. The sample for this study was derived from a nationally representative household survey (the 2019 DR Multiple Indicator Cluster Survey). The study sample was composed of 3,218 women who had had a singleton birth in the two-year period prior to the survey. The prevalence of C-section births in this sample was 64.2% with regional variation ranging from 45.0% to 76.9%. The overall C-section rates were </w:t>
      </w:r>
      <w:r w:rsidRPr="00FE5D1C">
        <w:rPr>
          <w:rFonts w:ascii="Calibri" w:eastAsia="Times New Roman" w:hAnsi="Calibri" w:cs="Calibri"/>
          <w:color w:val="000000"/>
          <w:kern w:val="0"/>
          <w:sz w:val="22"/>
          <w:szCs w:val="22"/>
          <w14:ligatures w14:val="none"/>
        </w:rPr>
        <w:lastRenderedPageBreak/>
        <w:t>90.8% versus 47.1% in private versus public health facilities, respectively. For C-sections decided upon prior to labor pain onset, the rates were 72.0% versus 31.8%, in private versus public health facilities respectively. In a fully adjusted binomial logistic regression model, regions remained a significant predictor of total C-section births but not for C-sections decided upon prior to labor pain onset. Delivering in a private versus public facility had the highest odds ratios in fully adjusted models for predicting all C-section births and C-section births decided upon prior to labor pain onset. Future studies should examine the processes within private health facilities that may contribute to such high rates of C-sections, with a particular focus on C-sections decided upon before labor pain onset.</w:t>
      </w:r>
    </w:p>
    <w:p w14:paraId="025FD6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25-A-1723-ASTMH</w:t>
      </w:r>
    </w:p>
    <w:p w14:paraId="31C0FA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536158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Gateways to Tuberculosis Care in Nigeria; Perspectives of Oyo State Healthcare Providers</w:t>
      </w:r>
    </w:p>
    <w:p w14:paraId="588DC7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Abstract: Objectives: We assessed the main gateways to Tuberculosis (TB) care in Nigeria from the perspectives of healthcare workers in Oyo state. We conducted a cross-sectional study from June to August 2024. Study Design: This comprised 277 healthcare professionals interviewed with a modified version of the Primary Care Assessment Tool (PCATool) designed to evaluate TB care services. Methods: Variables are questions on the gateway to health services and access to diagnosis. Qualitative variables and Quantitative variables were analyzed through absolute andrelative frequency, position, and variability measures, respectively, and compared among the types of healthcare services using the Kruskal Wallis or ANOVA test. Results: The main gateways to TB care in Oyo state that offer preventive TB control services (93.5%) are PHCs and Emergency departments. Actions offered across all services were screening presumptive cases (92.4%) and sputum tests (91.7%). Chemist shops(72.9%) and PHC centers (67.5%) were the first places patients go when they present TB symptoms. For “access to diagnosis”, the indicator “visit the healthcare center closer to their house for TB diagnosis” and three others present the lowest mean score.Conclusions: PHC was a major point of access to TB diagnosis and TB care services. Self-medication was identified before commencing care. TB diagnosis and treatment should be up-tuned, and adequate information about visiting PHCs as a priority should be provided to the community to discourage self-medication. PHC should be structured in such a way that patients can visit those nearer to their residences.Policymakers can implement this to improve care services.</w:t>
      </w:r>
    </w:p>
    <w:p w14:paraId="523C82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25-A-1725-ASTMH</w:t>
      </w:r>
    </w:p>
    <w:p w14:paraId="7670F8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6709D1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Real-time haemodynamic assessment in dengue shock using continuous physiological monitoring</w:t>
      </w:r>
    </w:p>
    <w:p w14:paraId="7EB5C5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remains a major challenge due to its high burden and the need for early detection of clinical deterioration. Emerging evidence suggests that photoplethysmography (PPG), a low-cost, portable technology, could help assess fluid-volume status and detect hemodynamic instability before vital signs change. This approach enables real-time, non-invasive monitoring of at-risk patients and is suitable for deployment in low- and middle-income countries. We therefore evaluated PPG monitoring using wearable devices in patients with dengue shock by analysing the changes during fluid resuscitation, relationship with hemodynamic parameters, and ability to predict recurrent shock.</w:t>
      </w:r>
      <w:r w:rsidRPr="00FE5D1C">
        <w:rPr>
          <w:rFonts w:ascii="Calibri" w:eastAsia="Times New Roman" w:hAnsi="Calibri" w:cs="Calibri"/>
          <w:color w:val="000000"/>
          <w:kern w:val="0"/>
          <w:sz w:val="22"/>
          <w:szCs w:val="22"/>
          <w14:ligatures w14:val="none"/>
        </w:rPr>
        <w:br/>
        <w:t>Prospective studies were conducted at the Hospital for Tropical Diseases, Ho Chi Minh City, Vietnam, during 2020 - 2024. Upon enrollment, paediatric patients with dengue shock were monitored continuously using wearable devices during their ICU stay. Cluster bootstrapping logistic regression was used to assess the associations between PPG-derived principal components (PCs) and recurrent shock outcome.</w:t>
      </w:r>
      <w:r w:rsidRPr="00FE5D1C">
        <w:rPr>
          <w:rFonts w:ascii="Calibri" w:eastAsia="Times New Roman" w:hAnsi="Calibri" w:cs="Calibri"/>
          <w:color w:val="000000"/>
          <w:kern w:val="0"/>
          <w:sz w:val="22"/>
          <w:szCs w:val="22"/>
          <w14:ligatures w14:val="none"/>
        </w:rPr>
        <w:br/>
        <w:t xml:space="preserve">Of 114 enrolled patients, 100 had acceptable PPG signals for final analyses. The median age was 11 years (IQR 9, 12) and 49% of patients were female. Recurrent shock outcome occurred in 30/100 patients. During the 48-hour resuscitation period, trajectories of PC1, PC2, PC5, and PC6 differed between patients with and without recurrent shock. PC2 appeared to reflect real-time intravascular volume changes, with a moderate correlation with stroke volume index (rho: 0.48, 95%CI: 0.31, 0.62), </w:t>
      </w:r>
      <w:r w:rsidRPr="00FE5D1C">
        <w:rPr>
          <w:rFonts w:ascii="Calibri" w:eastAsia="Times New Roman" w:hAnsi="Calibri" w:cs="Calibri"/>
          <w:color w:val="000000"/>
          <w:kern w:val="0"/>
          <w:sz w:val="22"/>
          <w:szCs w:val="22"/>
          <w14:ligatures w14:val="none"/>
        </w:rPr>
        <w:lastRenderedPageBreak/>
        <w:t>while other PCs were less influenced by fluid infusion. A combination of four PCs could predict recurrent shock within 12 hours from measurement with a AUC of 0.81 (95%CI: 0.58, 0.94).</w:t>
      </w:r>
      <w:r w:rsidRPr="00FE5D1C">
        <w:rPr>
          <w:rFonts w:ascii="Calibri" w:eastAsia="Times New Roman" w:hAnsi="Calibri" w:cs="Calibri"/>
          <w:color w:val="000000"/>
          <w:kern w:val="0"/>
          <w:sz w:val="22"/>
          <w:szCs w:val="22"/>
          <w14:ligatures w14:val="none"/>
        </w:rPr>
        <w:br/>
        <w:t>In summary, continuous PPG monitoring using low-cost wearable devices shows promise for real-time assessment of haemodynamics in dengue. This technology could enhance dengue management and improve clinical prioritisation in resource-limited settings</w:t>
      </w:r>
    </w:p>
    <w:p w14:paraId="1E6F68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25-A-1726-ASTMH</w:t>
      </w:r>
    </w:p>
    <w:p w14:paraId="33015C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564148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Controlling Rate of Release of Tsetse Fly Repellent Blend by Encapsulating in beta-Cyclodextrin Nanoparticles</w:t>
      </w:r>
    </w:p>
    <w:p w14:paraId="21848C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Tsetse fies are major vectors of African trypanosomiasis, with devastating medical andveterinary consequences in sub-Saharan region of Africa. Insect repellents are promising toolfor control of tsetse flies in the region. A four-component tsetse-repellent blend (δ-nonalactone,heptanoic acid, 4-methylguaiacol, and geranyl acetone) that we formulated and optimized wasen-capsulated in β -cyclodextrin for a slow controlled release. Here, we explored variousmethods of micro-encapsulating (kneading, co-precipitation, heating, or freeze-drying) tsetsefly repellent blend in β-cyclodextrin nanoparticles. We assessed release kinetics of the blendsand individual compounds using gas chromatography linked with fame ionization detector andevaluated laboratory and field responses (repellence) of the flies by the encapsulated blends.We compared individual performances of releases kinetics of the encapsulated blend relativeto non-encapsulated composites. Overall, kneading, co-precipitation, heating, and freeze-drying micro-encapsulation techniques retained 72.0%, 61.0%, 59.5%, and 57.3% of the blend,respectively. Release rates of blends in 400-and 200-microns thick polythene sachets were 6.73and 11.82 mg/h, respectively, significantly higher (p &lt; 0.05) than that of the kneadedencapsulated blend (5.35 mg/h). Laboratory and field responses of tsetse flies to the un-encapsulated native (sachet) and kneaded encapsulated odor blends confirmed our laboratoryfindings. Micro-encapsulation technology of repellent odors can be used for controlled releaseof active molecules in order to give an extended protection period, potentially reducingoperational cost in programs for control of tsetse flies and related insect vectors.</w:t>
      </w:r>
    </w:p>
    <w:p w14:paraId="75089A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25-A-1727-ASTMH</w:t>
      </w:r>
    </w:p>
    <w:p w14:paraId="660AEA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4BD7A0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i/>
          <w:iCs/>
          <w:color w:val="000000"/>
          <w:kern w:val="0"/>
          <w:sz w:val="22"/>
          <w:szCs w:val="22"/>
          <w14:ligatures w14:val="none"/>
        </w:rPr>
        <w:t>Tackling Drug Resistance in Malaria Treatment in Rwanda: Advancing Multiple First-Line Therapies as a Strategic Response</w:t>
      </w:r>
    </w:p>
    <w:p w14:paraId="2A2293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Resistance to artemisinin combination therapies (ACTs) by Plasmodium falciparum has become a critical issue, particularly with the rise of pfkelch13 mutations linked to delayed parasite clearance in Rwanda. Artemisinin partial resistance (ART-R) has also spread in sub-Saharan Africa, including Tanzania, Uganda, and the Horn of Africa, highlighting the need for urgent action to safeguard malaria treatments.Data from 2022 revealed over 50% pfkelch13 mutations in three Rwandan provinces, with R561H mutations prevalent in Kigali and Eastern Province and A675V mutations at 20-30% in Western Province near the DRC border. In response, Rwanda launched a 2024 strategy deploying three ACTs—Artemether-Lumefantrine (AL), Dihydro-Artemisinin-Piperaquine (DHP), and Pyronaridine-Artesunate (ASPY)—in a multi-first line treatment (MFT) approach. These treatments are rotated annually across three regional blocks, supported by routine surveillance to guide adjustments.The MFT approach, with drug rotation every 1-2 years, improves treatment outcomes and slows resistance evolution by increasing drug diversity. Novel strategies like triple ACTs or sequential therapies offer additional potential to curb resistance.Urgent implementation of MFT policies alongside cross-border surveillance is essential to address resistance effectively. Such measures not only reduce treatment failures but also ensure the continued efficacy of malaria therapies, protecting public health in affected regions.</w:t>
      </w:r>
    </w:p>
    <w:p w14:paraId="0B8215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25-A-1728-ASTMH</w:t>
      </w:r>
    </w:p>
    <w:p w14:paraId="1880CF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Malaria - Epidemiology</w:t>
      </w:r>
    </w:p>
    <w:p w14:paraId="20A2A4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Duffy Status and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Malaria: Implications for Susceptibility and Hidden Reservoirs</w:t>
      </w:r>
    </w:p>
    <w:p w14:paraId="1A9442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 </w:t>
      </w:r>
      <w:r w:rsidRPr="00FE5D1C">
        <w:rPr>
          <w:rFonts w:ascii="Calibri" w:eastAsia="Times New Roman" w:hAnsi="Calibri" w:cs="Calibri"/>
          <w:color w:val="000000"/>
          <w:kern w:val="0"/>
          <w:sz w:val="22"/>
          <w:szCs w:val="22"/>
          <w14:ligatures w14:val="none"/>
        </w:rPr>
        <w:t>The interaction between the </w:t>
      </w:r>
      <w:r w:rsidRPr="00FE5D1C">
        <w:rPr>
          <w:rFonts w:ascii="Calibri" w:eastAsia="Times New Roman" w:hAnsi="Calibri" w:cs="Calibri"/>
          <w:i/>
          <w:iCs/>
          <w:color w:val="000000"/>
          <w:kern w:val="0"/>
          <w:sz w:val="22"/>
          <w:szCs w:val="22"/>
          <w14:ligatures w14:val="none"/>
        </w:rPr>
        <w:t>Plasmodium vivax </w:t>
      </w:r>
      <w:r w:rsidRPr="00FE5D1C">
        <w:rPr>
          <w:rFonts w:ascii="Calibri" w:eastAsia="Times New Roman" w:hAnsi="Calibri" w:cs="Calibri"/>
          <w:color w:val="000000"/>
          <w:kern w:val="0"/>
          <w:sz w:val="22"/>
          <w:szCs w:val="22"/>
          <w14:ligatures w14:val="none"/>
        </w:rPr>
        <w:t>Duffy-binding protein and the corresponding Duffy Antigen Receptor for Chemokines (DARC) is primarily responsible for the invasion of reticulocytes by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w:t>
      </w:r>
      <w:r w:rsidRPr="00FE5D1C">
        <w:rPr>
          <w:rFonts w:ascii="Calibri" w:eastAsia="Times New Roman" w:hAnsi="Calibri" w:cs="Calibri"/>
          <w:color w:val="000000"/>
          <w:kern w:val="0"/>
          <w:sz w:val="22"/>
          <w:szCs w:val="22"/>
          <w14:ligatures w14:val="none"/>
        </w:rPr>
        <w:t>. The Duffy-negative host phenotype, highly prevalent in sub-Saharan Africa, is caused by a single point mutation in the GATA-1 transcription factor binding site of the DARC gene promoter. The aim of this study was to assess the Duffy status of patients with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 from different study sites in Ethiopia. </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A cross-sectional study was conducted at five varying eco-epidemiological malaria endemic sites in Ethiopia. Outpatients who were diagnosed with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 (pure and mixed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by microscopy and Rapid Diagnostic Test (RDT) were subjected to PCR genotyping at the DARC promoter. The associations between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 host genotypes and other factors were evaluated. </w:t>
      </w:r>
      <w:r w:rsidRPr="00FE5D1C">
        <w:rPr>
          <w:rFonts w:ascii="Calibri" w:eastAsia="Times New Roman" w:hAnsi="Calibri" w:cs="Calibri"/>
          <w:b/>
          <w:bCs/>
          <w:color w:val="000000"/>
          <w:kern w:val="0"/>
          <w:sz w:val="22"/>
          <w:szCs w:val="22"/>
          <w14:ligatures w14:val="none"/>
        </w:rPr>
        <w:t>Result: </w:t>
      </w:r>
      <w:r w:rsidRPr="00FE5D1C">
        <w:rPr>
          <w:rFonts w:ascii="Calibri" w:eastAsia="Times New Roman" w:hAnsi="Calibri" w:cs="Calibri"/>
          <w:color w:val="000000"/>
          <w:kern w:val="0"/>
          <w:sz w:val="22"/>
          <w:szCs w:val="22"/>
          <w14:ligatures w14:val="none"/>
        </w:rPr>
        <w:t>In total, 361 patients with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 were included in the study. Patients with pure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infections accounted for 89.8% (324/361), while the remaining 10.2% (37/361) had mixed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 </w:t>
      </w:r>
      <w:r w:rsidRPr="00FE5D1C">
        <w:rPr>
          <w:rFonts w:ascii="Calibri" w:eastAsia="Times New Roman" w:hAnsi="Calibri" w:cs="Calibri"/>
          <w:color w:val="000000"/>
          <w:kern w:val="0"/>
          <w:sz w:val="22"/>
          <w:szCs w:val="22"/>
          <w14:ligatures w14:val="none"/>
        </w:rPr>
        <w:t>infections. About 95.6% (345/361) of the participants were Duffy-positives (21.2% homozygous and 78.8%, heterozygous) and 4.4% (16/361) were Duffy-negatives. The mean asexual parasite density in homozygous and heterozygous Duffy-positives was 12,165 p/μl (IQR25-75: 1,640-24,234 p/μl) and11,655 p/μl (IQR25-75: 1,676-14,065 p/μl), respectively, significantly higher than that in Duffy-negatives (1,227p/μl; IQR25-75: 539-1,732p/μl). </w:t>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This study confirms that Duffy-negativity does not provide complete protection against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 The development of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w:t>
      </w:r>
      <w:r w:rsidRPr="00FE5D1C">
        <w:rPr>
          <w:rFonts w:ascii="Calibri" w:eastAsia="Times New Roman" w:hAnsi="Calibri" w:cs="Calibri"/>
          <w:color w:val="000000"/>
          <w:kern w:val="0"/>
          <w:sz w:val="22"/>
          <w:szCs w:val="22"/>
          <w14:ligatures w14:val="none"/>
        </w:rPr>
        <w:t>-specific elimination strategies, including alternative antimalarial vaccines should be facilitated by a better understanding of the epidemiological landscape of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malaria in Africa. More importantly, low parasitemia associated with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vivax </w:t>
      </w:r>
      <w:r w:rsidRPr="00FE5D1C">
        <w:rPr>
          <w:rFonts w:ascii="Calibri" w:eastAsia="Times New Roman" w:hAnsi="Calibri" w:cs="Calibri"/>
          <w:color w:val="000000"/>
          <w:kern w:val="0"/>
          <w:sz w:val="22"/>
          <w:szCs w:val="22"/>
          <w14:ligatures w14:val="none"/>
        </w:rPr>
        <w:t>infections in Duffy-negative patients may represent hidden reservoirs of transmission in Ethiopia.</w:t>
      </w:r>
    </w:p>
    <w:p w14:paraId="44B62E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25-A-1730-ASTMH</w:t>
      </w:r>
    </w:p>
    <w:p w14:paraId="1C159B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03E96E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Study of genomic factors associated with the decline in praziquantel efficacy in Mali.</w:t>
      </w:r>
    </w:p>
    <w:p w14:paraId="2D3A5F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Abstract</w:t>
      </w:r>
      <w:r w:rsidRPr="00FE5D1C">
        <w:rPr>
          <w:rFonts w:ascii="Calibri" w:eastAsia="Times New Roman" w:hAnsi="Calibri" w:cs="Calibri"/>
          <w:color w:val="000000"/>
          <w:kern w:val="0"/>
          <w:sz w:val="22"/>
          <w:szCs w:val="22"/>
          <w14:ligatures w14:val="none"/>
        </w:rPr>
        <w:t>Schistosomiasis is a major parasitic disease in both human and veterinary medicine, predominantly found in tropical and subtropical regions. It is caused by flatworms of the </w:t>
      </w:r>
      <w:r w:rsidRPr="00FE5D1C">
        <w:rPr>
          <w:rFonts w:ascii="Calibri" w:eastAsia="Times New Roman" w:hAnsi="Calibri" w:cs="Calibri"/>
          <w:i/>
          <w:iCs/>
          <w:color w:val="000000"/>
          <w:kern w:val="0"/>
          <w:sz w:val="22"/>
          <w:szCs w:val="22"/>
          <w14:ligatures w14:val="none"/>
        </w:rPr>
        <w:t>Schistosoma</w:t>
      </w:r>
      <w:r w:rsidRPr="00FE5D1C">
        <w:rPr>
          <w:rFonts w:ascii="Calibri" w:eastAsia="Times New Roman" w:hAnsi="Calibri" w:cs="Calibri"/>
          <w:color w:val="000000"/>
          <w:kern w:val="0"/>
          <w:sz w:val="22"/>
          <w:szCs w:val="22"/>
          <w14:ligatures w14:val="none"/>
        </w:rPr>
        <w:t> genus, affecting over 250 million people, primarily in sub-Saharan Africa. Praziquantel (PZQ) is the only available drug for treating and preventing disease. Despite widespread use of PZQ and intensive efforts to eliminate schistosomiasis, the disease persists in certain areas, particularly in Mali. Similarly, hybrid species could create more morbid complications and be less sensitive to PZQ. The aim of this study is twofold: </w:t>
      </w:r>
      <w:r w:rsidRPr="00FE5D1C">
        <w:rPr>
          <w:rFonts w:ascii="Calibri" w:eastAsia="Times New Roman" w:hAnsi="Calibri" w:cs="Calibri"/>
          <w:i/>
          <w:iCs/>
          <w:color w:val="000000"/>
          <w:kern w:val="0"/>
          <w:sz w:val="22"/>
          <w:szCs w:val="22"/>
          <w14:ligatures w14:val="none"/>
        </w:rPr>
        <w:t>(i)</w:t>
      </w:r>
      <w:r w:rsidRPr="00FE5D1C">
        <w:rPr>
          <w:rFonts w:ascii="Calibri" w:eastAsia="Times New Roman" w:hAnsi="Calibri" w:cs="Calibri"/>
          <w:color w:val="000000"/>
          <w:kern w:val="0"/>
          <w:sz w:val="22"/>
          <w:szCs w:val="22"/>
          <w14:ligatures w14:val="none"/>
        </w:rPr>
        <w:t> to assess the reduction in PZQ efficacy and </w:t>
      </w:r>
      <w:r w:rsidRPr="00FE5D1C">
        <w:rPr>
          <w:rFonts w:ascii="Calibri" w:eastAsia="Times New Roman" w:hAnsi="Calibri" w:cs="Calibri"/>
          <w:i/>
          <w:iCs/>
          <w:color w:val="000000"/>
          <w:kern w:val="0"/>
          <w:sz w:val="22"/>
          <w:szCs w:val="22"/>
          <w14:ligatures w14:val="none"/>
        </w:rPr>
        <w:t>(ii)</w:t>
      </w:r>
      <w:r w:rsidRPr="00FE5D1C">
        <w:rPr>
          <w:rFonts w:ascii="Calibri" w:eastAsia="Times New Roman" w:hAnsi="Calibri" w:cs="Calibri"/>
          <w:color w:val="000000"/>
          <w:kern w:val="0"/>
          <w:sz w:val="22"/>
          <w:szCs w:val="22"/>
          <w14:ligatures w14:val="none"/>
        </w:rPr>
        <w:t> to analyze the genetics of the parasites before and after treatment to identify the genetic factors and polymorphisms associated with the reduction in PZQ efficacy (resistance). The study took place in November 2024 in two villages in the Kayes region of Mali: Fangouné Bamanan (Diéma district) and Diakalel (Kayes district), involving 100 children aged 6 to 14 years who were infected with </w:t>
      </w:r>
      <w:r w:rsidRPr="00FE5D1C">
        <w:rPr>
          <w:rFonts w:ascii="Calibri" w:eastAsia="Times New Roman" w:hAnsi="Calibri" w:cs="Calibri"/>
          <w:i/>
          <w:iCs/>
          <w:color w:val="000000"/>
          <w:kern w:val="0"/>
          <w:sz w:val="22"/>
          <w:szCs w:val="22"/>
          <w14:ligatures w14:val="none"/>
        </w:rPr>
        <w:t>Schistosoma haematobium</w:t>
      </w:r>
      <w:r w:rsidRPr="00FE5D1C">
        <w:rPr>
          <w:rFonts w:ascii="Calibri" w:eastAsia="Times New Roman" w:hAnsi="Calibri" w:cs="Calibri"/>
          <w:color w:val="000000"/>
          <w:kern w:val="0"/>
          <w:sz w:val="22"/>
          <w:szCs w:val="22"/>
          <w14:ligatures w14:val="none"/>
        </w:rPr>
        <w:t>. The treatment was administered at a dose of 40 mg/kg of PZQ, and its efficacy was evaluated through parasitological examination of urine samples taken before treatment and three weeks after (20 days). We are currently analyzing the pre- and post-treatment samples using rapid multiplex PCR (Rapid Diagnosis-PCR) and ARMS-PCR (Amplification Refractory Mutation System) to assess the genetic profiles of the parasites (whether hybrid or pure). The sequencing of the TRPMPZQ gene and its orthologs will help identify mutations linked to PZQ resistance. The cure rate observed after three weeks was 53.2% (42 out of 79). A total of 1456 miracidia were collected before treatment (Day 0), and 391 miracidia after treatment (Day 20). A total of 36.4% of hybrids were recorded (55/151) at pre-treatment and 66.6% (20/30) at post-treatment. Our preliminary results show that hybrid parasites are more sensitive to PZQ than pure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This study will identify the mutations associated with resistance to PZQ and provide solutions for improving treatments to eliminate schistosomiasis.</w:t>
      </w:r>
    </w:p>
    <w:p w14:paraId="33812D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25-A-1733-ASTMH</w:t>
      </w:r>
    </w:p>
    <w:p w14:paraId="7DC3F0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60F2B224" w14:textId="67016433"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Integrating Mental Health within Case Management for people affected by skin Neglected Tropical Diseases: The role of CHWs in Liberia</w:t>
      </w:r>
    </w:p>
    <w:p w14:paraId="59A8F9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Liberia has a robust Community Health Worker (CHW) program, with a focus on neglected tropical diseases (NTDs). CHWs have been shown to expand access to equitable care beyond case detection. Qualitative research conducted by Reducing the Burden of Severe Stigmatizing Skin Diseases (REDRESS) in Grand Gedeh, Lofa and Margibi counties seeks to strengthen holistic care for people affected by skin NTDs through collaborative intervention. REDRESS has a specific focus on supporting CHWs as they deliver integrated case management for people affected, including basic mental health support and stigma reduction. Our findings revealed that mental health support at community level is limited, with many people reaching out to informal providers in the first instance. Mental health care should be extended to remote areas for affected persons and CHWs can play a critical role in extending service access. However,. CHWs expressed need for essential resources to enable their work (provided as part of REDRESS intervention). Through collaborative intervention development, CHW training was modified to include a focus on basic psychosocial support using look listen link strategies, that are essential for identifying, supporting and linking affected persons in need of further mental health support to the health facility for timely care. Initial reflections indicate that CHWs are providing awareness about NTDs and carrying out case detection and referral. CHWs appreciated the inclusion of mental health within training enabling them to relate more to affected persons and others within the community. CHWs can play a vital role in extending care for people affected by skin NTDs, including psychosocial support. Our findings showed that CHWs are committed to supporting the affected person in ensuring that they have access to care and treatment and dispelling myths and stigma against them. CHW programmes should seek to provide both training and practical support, through supportive supervision.</w:t>
      </w:r>
    </w:p>
    <w:p w14:paraId="428034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25-A-1734-ASTMH</w:t>
      </w:r>
    </w:p>
    <w:p w14:paraId="4B5A93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6CE88D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Mpox disease outbreak investigation findings in Busia County, Kenya (February 2025)</w:t>
      </w:r>
    </w:p>
    <w:p w14:paraId="308D76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An outbreak of Mpox was reported in August 2024 with an upsurge recorded in January 2025. Mpox is an infectious viral disease characterised by painful rashes, enlarged lymph nodes, fever, headache, muscle aches and back pain. Mpox virus belong to Poxviridae family, Orthopoxvirus genus, classified into Clade I and Clade ll (virulent). The disease is endemic in Central and West Africa. Mpox virus' incubation period is 2-21 days, transmitted through direct contacts, contaminated fomites and from pregnant mother to child. Mpox is also zoonotic, spread from infected animals to humans. The aim of the investigation was to conduct detailed case investigation, contact tracing and determining source of Mpox infection in Busia county.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A detailed case investigation through interviews to four Mpox patients reported in Busia County, Kenya were undertaken in January and February 2025 through case investigation and contacts tracking forms. Additional information on cases and contacts were obtained from hospital records within the county.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There were 4 Mpox cases; 1 case in August 2024 and 3 cases in January 2025. Mean age and standard deviation of cases were 32 and 6 years respectively, distributed proportionately between males (50%) and females (50%). Mpox cases presented with fever lasting 5.5 days. There were 107 contacts among them health care workers 38 (35.5%) and contact rate was 26.8 persons per case. Patients' occupations were; saloonists (50%), businessmen (25%) and track drivers (25%). The County had tested 18 suspected cases with 4 cases turning out positive, a positivity rate of 22.2%. Source of infections was importation from Uganda and Democratic republic of Congo (50%) and locally (50%) within the county.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Mpox affected both males and females, with individuals between 18-50 years of age at higher risk. Mpox spread in Busia county due importation for new cases and local spread from within the county. Health care workers were exposed and risked contracting Mpox disease from patients. Hence, availability and usage of personal protective equipment were essential in prevention and control of Mpox disease.</w:t>
      </w:r>
    </w:p>
    <w:p w14:paraId="3DFCB5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25-A-1735-ASTMH</w:t>
      </w:r>
    </w:p>
    <w:p w14:paraId="22D2B9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Systemic Infections</w:t>
      </w:r>
    </w:p>
    <w:p w14:paraId="092986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Prevalence and Factors Associated with Prehospital Delays in Seeking Care Among Sepsis Patients in Kilimanjaro Region, Tanzania, 2021-2023.</w:t>
      </w:r>
    </w:p>
    <w:p w14:paraId="1913EB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Sepsis is a major cause of mortality globally, with a disproportionate burden in sub-Saharan Africa. In sepsis, early recognition and management are crucial. However, pre-hospital delays in seeking care among sepsis patients remain a substantial challenge in low-resource settings, contributing to high mortality. Here we examined the prevalence and associated factors of pre-hospital delays in a cohort of sepsis patients in Tanzania. Patients aged 10 years and above with suspected infection and at least two systemic inflammatory response syndrome (SIRS) vital signs criteria were enrolled from emergency, outpatient departments and inpatient wards. Prehospital delay was defined as waiting more than 24 hours to seek medical care after the onset of WHO defined severe symptoms. Multivariable logistic regression was performed to identify factors associated with pre-hospital delays. Among 499 participants, the median (IQR) age was 42 (28,57) years, and 292 (58.5%) were females. Overall, 133 (26.7%) patients experienced pre-hospital delays. Delays were significantly associated with male sex (AOR = 1.61; 95% CI = 1.02-2.55), lack of medical insurance (AOR = 3.47; 95% CI = 2.09-5.74), presence of comorbidities (AOR = 2.41; 95% CI = 1.52-3.84), and being in the lowest third of the wealth index (AOR = 2.51; 95% CI = 1.26-4.98). The findings highlight a need for public health interventions to improve healthcare seeking behaviour by increasing community awareness of severity signs and enhancing healthcare accessibility. Addressing these barriers may reduce prehospital delays and improve outcomes for sepsis patients in resource-limited settings.</w:t>
      </w:r>
    </w:p>
    <w:p w14:paraId="2C3059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25-A-1737-ASTMH</w:t>
      </w:r>
    </w:p>
    <w:p w14:paraId="55DE08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41F925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Impact of Seasonal Malaria Chemoprevention on Hospital Mortality Among Children Under Five in Chad: A Spatio-temporal Analysis Using Fixed Effects Modeling</w:t>
      </w:r>
    </w:p>
    <w:p w14:paraId="0E21EF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Malaria remains the leading cause of death among children under five in Chad. In 2015, Chad introduced Seasonal Malaria Chemoprevention (SMC) to mitigate this burden in high-transmission areas.</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We conducted a quasi-experimental evaluation of the SMC impact in eight health districts (four intervention and four control) between 2014 and 2016. Mortality and incidence data were extracted from the national health information system and combined with meteorological data and population denominators. We employed a fixed-effects difference-in-differences model to assess impact on hospital mortality. A time-series projection (AR model) was developed to estimate trends up to 2024.</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A significant reduction of 1.494 deaths per 100,000 children was observed in intervention districts (p &lt; 0.01). The decline in mortality was consistent across the rainy seasons post-introduction. Projections show sustained impact through 2024. Spatial clustering analysis using Kulldorff's statistic supported geographic targeting of the intervention.</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Conclusions:</w:t>
      </w:r>
      <w:r w:rsidRPr="00FE5D1C">
        <w:rPr>
          <w:rFonts w:ascii="Calibri" w:eastAsia="Times New Roman" w:hAnsi="Calibri" w:cs="Calibri"/>
          <w:color w:val="000000"/>
          <w:kern w:val="0"/>
          <w:sz w:val="22"/>
          <w:szCs w:val="22"/>
          <w14:ligatures w14:val="none"/>
        </w:rPr>
        <w:t> SMC significantly reduces malaria-related hospital mortality among children under five in Chad. This evidence supports sustained funding and scaling up of the intervention to reach all eligible areas in the Sahel.</w:t>
      </w:r>
    </w:p>
    <w:p w14:paraId="46EC2A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25-A-1741-ASTMH</w:t>
      </w:r>
    </w:p>
    <w:p w14:paraId="6D2955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65B8D6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Developing, Sustaining and Growing a Multi-Stakeholder Partnership For Multi-Jurisdictional, Health Surveillance Projects: Lessons Learned From an Academic-Nonprofit Partnership To Evaluate The Burden of Post COVID Conditions in the USA</w:t>
      </w:r>
    </w:p>
    <w:p w14:paraId="7F11E9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The use of health information exchange (HIE) as data sources for passive and/or active public health surveillance is limited. Our team pioneered using multi-jurisdictional, multi-setting (i.e., city-wide and state-wide), HIE data by developing an academic-nonprofit partnership (ANPP) to achieve active and passive surveillance for tracking post-COVID conditions (PCC), probably a first in the field. Here, we elucidate the lessons learned in the process. Specifically, we describe a. strengths and opportunities that ANPP presented in developing, sustaining, and growing a multi-jurisdictional, health surveillance project; b. challenges and lessons learned; and c. strategies developed to move forward. Strengths and opportunities included broader and stronger perspectives derived from strong collaboration between academic, non-profit, and other organizations that created opportunities of surveillance of a condition such as PCC, which is still not fully understood. Challenges included fulfillment of varied legal and regulatory requirements of data collection in different jurisdictions (e.g., State-level and organizational-level data sharing agreements, ethical clearance), frequent changes in legal requirements (e.g., access to death data), complex data environment (e.g., establishing separate schemas with permission structures), changing communication strategies to cater to different partners, and coordinating with teams in different time zones. While initial set up of the partnerships might be time and effort consuming due to extensive legal and regulatory requirements, we learned that having to set up data environments and establishing communication protocols, continued efforts to betterment can yield improved surveillance. Strategies developed included replacing large team meetings with frequent, focused working groups; frequent ANPP communication; inter-team data quality control; retrospective meetings to drive continuous quality improvement; and submitting monthly written report to track progress and ensure accountability.</w:t>
      </w:r>
    </w:p>
    <w:p w14:paraId="6D2BFE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25-A-1745-ASTMH</w:t>
      </w:r>
    </w:p>
    <w:p w14:paraId="4BC6BED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Pathogenesis and Animal Models</w:t>
      </w:r>
    </w:p>
    <w:p w14:paraId="2293F7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Soluble triggering receptor expressed on myeloid cells 1 is associated with hemoconcentration and endothelial activation in children and young adults with dengue virus infection in the Philippines</w:t>
      </w:r>
    </w:p>
    <w:p w14:paraId="219927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Triggering receptor expressed on myeloid cells 1 (TREM1) is a cell-surface receptor expressed on neutrophils that amplifies the inflammatory response. Dengue virus (DENV) infection is characterized by systemic inflammation, endothelial activation, and vascular leakage. We investigated circulating soluble TREM-1 (sTREM-1) levels in 244 children and young adults aged 1-26 years with dengue fever presenting to an outpatient clinic in the Philippines. Elevated sTREM-1 (≥130 pg/mL) was associated with hemoconcentration, a hallmark of vascular leakage (odds ratio (OR) 3.8, 95%CI 1.6-10, p=0.0020). In turn, hemoconcentration was associated with hospitalization (OR 4.2, 95%CI 1.0-38, p=0.0497) and higher volume of intravenous fluid required for resuscitation (p=0.019). Elevated inflammation marker TNF (≥5 pg/mL) was associated with increased sTREM-1 levels (p=0.0014). Endothelial activation markers angiopoietin-2 (Ang-2), soluble FMS-like tyrosine kinase-1 (sFlt-1), and soluble vascular cell adhesion molecule 1 (sVCAM-1) were correlated with sTREM-1 levels (p&lt;0.0001 for all three comparisons). Our findings suggest that sTREM-1 may be a clinically informative marker of neutrophil activation, associated with hemoconcentration, systemic inflammation, and endothelial activation in dengue fever.</w:t>
      </w:r>
    </w:p>
    <w:p w14:paraId="0B9DFA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25-A-1746-ASTMH</w:t>
      </w:r>
    </w:p>
    <w:p w14:paraId="46A6AC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033627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Secondary dengue virus infection is associated with hypotension and endothelial activation in an outpatient cohort from the Philippines</w:t>
      </w:r>
    </w:p>
    <w:p w14:paraId="4F8FFC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Secondary dengue virus (DENV) infection is a known risk factor for severe clinical manifestations. Antibody-dependent enhancement of viral pathogenesis explains this phenomenon; however, the underlying mechanisms remain incompletely defined. </w:t>
      </w:r>
      <w:r w:rsidRPr="00FE5D1C">
        <w:rPr>
          <w:rFonts w:ascii="Calibri" w:eastAsia="Times New Roman" w:hAnsi="Calibri" w:cs="Calibri"/>
          <w:i/>
          <w:iCs/>
          <w:color w:val="000000"/>
          <w:kern w:val="0"/>
          <w:sz w:val="22"/>
          <w:szCs w:val="22"/>
          <w14:ligatures w14:val="none"/>
        </w:rPr>
        <w:t>Objectives</w:t>
      </w:r>
      <w:r w:rsidRPr="00FE5D1C">
        <w:rPr>
          <w:rFonts w:ascii="Calibri" w:eastAsia="Times New Roman" w:hAnsi="Calibri" w:cs="Calibri"/>
          <w:color w:val="000000"/>
          <w:kern w:val="0"/>
          <w:sz w:val="22"/>
          <w:szCs w:val="22"/>
          <w14:ligatures w14:val="none"/>
        </w:rPr>
        <w:t xml:space="preserve"> To compare the frequency of hypotension, endothelial activation, systemic inflammation, and thrombocytopenia in patients with primary and secondary DENV infection. This was a cross-sectional study among children and young </w:t>
      </w:r>
      <w:r w:rsidRPr="00FE5D1C">
        <w:rPr>
          <w:rFonts w:ascii="Calibri" w:eastAsia="Times New Roman" w:hAnsi="Calibri" w:cs="Calibri"/>
          <w:color w:val="000000"/>
          <w:kern w:val="0"/>
          <w:sz w:val="22"/>
          <w:szCs w:val="22"/>
          <w14:ligatures w14:val="none"/>
        </w:rPr>
        <w:lastRenderedPageBreak/>
        <w:t>adults aged 1-26 years conducted at an outpatient clinic in the Philippines. Secondary infection was defined by the presence of detectable anti-DENV IgG antibodies at presentation. Clinical data and hematologic parameters were recorded. Plasma concentration of circulating markers of endothelial activation and inflammation were quantified by Luminex® assay. Among 244 patients (median age 9 years, 40% female), 93 (38%) were IgG positive. Secondary infection was associated with a 2.2-fold increased odds (95% CI, 1.1-4.1) of hypotension compared to primary infection. Endothelial activation, quantified using a composite index of six endothelial markers (Ang1, Ang2, sTie2, sFlt1, sICAM1, and sEndoglin), was significantly higher in secondary infection (P&lt;0.001). Platelet counts were lower in secondary infection (170 ×10</w:t>
      </w:r>
      <w:r w:rsidRPr="00FE5D1C">
        <w:rPr>
          <w:rFonts w:ascii="Calibri" w:eastAsia="Times New Roman" w:hAnsi="Calibri" w:cs="Calibri"/>
          <w:color w:val="000000"/>
          <w:kern w:val="0"/>
          <w:sz w:val="22"/>
          <w:szCs w:val="22"/>
          <w:vertAlign w:val="superscript"/>
          <w14:ligatures w14:val="none"/>
        </w:rPr>
        <w:t>9</w:t>
      </w:r>
      <w:r w:rsidRPr="00FE5D1C">
        <w:rPr>
          <w:rFonts w:ascii="Calibri" w:eastAsia="Times New Roman" w:hAnsi="Calibri" w:cs="Calibri"/>
          <w:color w:val="000000"/>
          <w:kern w:val="0"/>
          <w:sz w:val="22"/>
          <w:szCs w:val="22"/>
          <w14:ligatures w14:val="none"/>
        </w:rPr>
        <w:t>/L vs 230 ×10</w:t>
      </w:r>
      <w:r w:rsidRPr="00FE5D1C">
        <w:rPr>
          <w:rFonts w:ascii="Calibri" w:eastAsia="Times New Roman" w:hAnsi="Calibri" w:cs="Calibri"/>
          <w:color w:val="000000"/>
          <w:kern w:val="0"/>
          <w:sz w:val="22"/>
          <w:szCs w:val="22"/>
          <w:vertAlign w:val="superscript"/>
          <w14:ligatures w14:val="none"/>
        </w:rPr>
        <w:t>9</w:t>
      </w:r>
      <w:r w:rsidRPr="00FE5D1C">
        <w:rPr>
          <w:rFonts w:ascii="Calibri" w:eastAsia="Times New Roman" w:hAnsi="Calibri" w:cs="Calibri"/>
          <w:color w:val="000000"/>
          <w:kern w:val="0"/>
          <w:sz w:val="22"/>
          <w:szCs w:val="22"/>
          <w14:ligatures w14:val="none"/>
        </w:rPr>
        <w:t>/L, P&lt;0.0001). IL-10 levels were elevated in secondary infection (76 pg/mL vs 33 pg/mL, P&lt;0.001). Systemic inflammation, quantified using a composite index of four plasma markers (TNF, CXCL8/IL-8, CXCL10/IP-10, PCT), correlated with endothelial activation (τ=0.39, P&lt;0.001) and IL-10 (τ=0.32, P&lt;0.0001). Endothelial activation, IL-10-mediated immune dysregulation, and platelet depletion are associated with transient vascular hyperpermeability in secondary DENV infection.</w:t>
      </w:r>
    </w:p>
    <w:p w14:paraId="61C6BC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25-A-1747-ASTMH</w:t>
      </w:r>
    </w:p>
    <w:p w14:paraId="2044CE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Pathogenesis and Animal Models</w:t>
      </w:r>
    </w:p>
    <w:p w14:paraId="0AA64A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Acute kidney injury and electrolyte abnormalities in Ebola virus disease: retrospective analysis of cases from the Democratic Republic of the Congo</w:t>
      </w:r>
    </w:p>
    <w:p w14:paraId="2882D6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Acute kidney injury in Ebola virus disease (EVD) has been reported, but its association with electrolyte disorders and mortality remains poorly defined. We conducted a retrospective study of patients admitted to two EVD treatment units, over an eight-month period in 2019, during a large EVD epidemic in the Democratic Republic of the Congo. We analyzed 341 patients (median age 30 years, 58% female) with 2,472 creatinine measurements (median 11, IQR 3-15, per patient). Creatinine near the time of admission was median 88 µmol/L (IQR 62-210) and 168 patients (49%) had acute kidney injury (AKI). Longitudinal trends in creatinine levels differed markedly between fatal and non-fatal cases. In a Cox proportional hazards model with creatinine (fold-change above baseline) as a time-varying covariate, and adjusting for other prognostic factors, each doubling of the creatinine above baseline was associated with a 1.9-fold (1.6-2.3) higher hazard of death (p&lt;0.0001). Disorders of sodium (hyponatremia 64%, hypernatremia 2.1%), potassium (hypokalemia 17%, hyperkalemia 23%), and calcium (hypocalcemia 4.1%, hypercalcemia 19%) at admission were common. Hyponatremia, hypernatremia, hypokalemia, and hypocalcemia were associated with AKI (p&lt;0.05 for all comparisons). In univariate analyses, mortality was associated with extremes of electrolyte levels (“U-shaped” mortality curve); however, in multivariable models adjusting for renal function and other covariates, abnormal electrolytes were no longer statistically significant predictors of mortality. In summary, AKI is associated with mortality in EVD patients, independent of electrolyte abnormalities. Clinical trials to study the mortality benefit of renal replacement therapy in EVD, though undoubtedly challenging, may be warranted.</w:t>
      </w:r>
    </w:p>
    <w:p w14:paraId="3E7732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25-A-1749-ASTMH</w:t>
      </w:r>
    </w:p>
    <w:p w14:paraId="7DE171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4CD848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Genomic surveillance of neglected Plasmodium species from high malaria transmission areas in Senegal</w:t>
      </w:r>
    </w:p>
    <w:p w14:paraId="20708D3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While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remains the primary focus of malaria research and control efforts in Africa, non-falciparum species—including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 ovale curtisi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 ovale wallikeri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malariae</w:t>
      </w:r>
      <w:r w:rsidRPr="00FE5D1C">
        <w:rPr>
          <w:rFonts w:ascii="Calibri" w:eastAsia="Times New Roman" w:hAnsi="Calibri" w:cs="Calibri"/>
          <w:color w:val="000000"/>
          <w:kern w:val="0"/>
          <w:sz w:val="22"/>
          <w:szCs w:val="22"/>
          <w14:ligatures w14:val="none"/>
        </w:rPr>
        <w:t>—are often overlooked, despite their contribution to malaria-related morbidity and mortality. In West Africa, data on the epidemiology, biology, and genomic diversity of these species are scarce, owing to limited diagnostic capabilities, typically low parasitaemia, frequent co-infections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and limited clinical recognition of their impact. Our ongoing study in high-transmission regions of Senegal has confirmed the circulation of these non-</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xml:space="preserve"> species among febrile patients and their role in </w:t>
      </w:r>
      <w:r w:rsidRPr="00FE5D1C">
        <w:rPr>
          <w:rFonts w:ascii="Calibri" w:eastAsia="Times New Roman" w:hAnsi="Calibri" w:cs="Calibri"/>
          <w:color w:val="000000"/>
          <w:kern w:val="0"/>
          <w:sz w:val="22"/>
          <w:szCs w:val="22"/>
          <w14:ligatures w14:val="none"/>
        </w:rPr>
        <w:lastRenderedPageBreak/>
        <w:t>severe malaria outcomes, both as mono-infections and in combination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To better understand the diversity and transmission of non-</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parasites, the Institut Pasteur de Dakar and the London School of Hygiene &amp; Tropical Medicine have launched Senegal’s first whole-genome sequencing initiative for these species. Using selective whole genome amplification on PCR-confirmed samples, we are overcoming critical technical barriers to enable high-resolution genomic analyses. Our bioinformatics pipelines will explore genetic diversity, population structure, drug resistance markers, and transmission networks, providing new insights into the origins and dynamics of non-falciparum malaria in the region. Results—anticipated ahead of ASTMH 2025—will inform improved diagnostic tools, treatment guidelines, and surveillance strategies, while advocating for the inclusion of non-</w:t>
      </w:r>
      <w:r w:rsidRPr="00FE5D1C">
        <w:rPr>
          <w:rFonts w:ascii="Calibri" w:eastAsia="Times New Roman" w:hAnsi="Calibri" w:cs="Calibri"/>
          <w:i/>
          <w:iCs/>
          <w:color w:val="000000"/>
          <w:kern w:val="0"/>
          <w:sz w:val="22"/>
          <w:szCs w:val="22"/>
          <w14:ligatures w14:val="none"/>
        </w:rPr>
        <w:t>falciparum </w:t>
      </w:r>
      <w:r w:rsidRPr="00FE5D1C">
        <w:rPr>
          <w:rFonts w:ascii="Calibri" w:eastAsia="Times New Roman" w:hAnsi="Calibri" w:cs="Calibri"/>
          <w:color w:val="000000"/>
          <w:kern w:val="0"/>
          <w:sz w:val="22"/>
          <w:szCs w:val="22"/>
          <w14:ligatures w14:val="none"/>
        </w:rPr>
        <w:t>species in national and regional malaria elimination agendas. This initiative underscores the urgency of adopting a comprehensive approach to malaria eradication in West Africa—one that recognises the full spectrum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and addresses their complex interactions with mosquito vectors and human hosts.</w:t>
      </w:r>
    </w:p>
    <w:p w14:paraId="18E681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25-A-1750-ASTMH</w:t>
      </w:r>
    </w:p>
    <w:p w14:paraId="5DEFA6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4DDF03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Determining the infectious causes of acute febrile illness in rural Laos, Thailand, and Bangladesh; a prospective hospital-based study</w:t>
      </w:r>
    </w:p>
    <w:p w14:paraId="7F9452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infectious causes of febrile illness are poorly understood in rural and remote communities of South and Southeast Asia, especially with declining malaria incidence and insufficient diagnostic capacity for non-Plasmodial pathogens. To better understand the epidemiology of acute febrile illness (AFI), we prospectively enrolled over 7,000 consecutive patients of all ages presenting with acute fever to 10 rural hospitals in four sites in Bangladesh, Laos, and Thailand (n=2). Blood cultures and malaria rapid tests were conducted at presentation wherever possible. Acute and convalescent blood samples were collected and analysed with multiplex qPCR and bead-based immunoassays for the diagnosis of dengue, Japanese encephalitis, Chikungunya, scrub typhus, rickettsiosis, leptospirosis, melioidosis, and typhoid fever. We determined seropositivity cut-offs using Receiver Operating Characteristic (ROC) curves and finite mixture models. A diagnostic algorithm integrating molecular, culture, and serological results was used to construct microbiological case definitions. A total of 7,242 AFI episodes between August 2022 and May 2024 were enrolled in the study (Chiang-rai, Thailand = 2333; Tak, Thailand = 1874; Laos = 1598; Bangladesh = 1469). In Thailand and Laos, the most common diagnosis was of dengue; in Bangladesh, the most common diagnosis was of malaria. Melioidosis was associated with the highest mortality in Laos, accounting for 32% of the 34 deaths in the site study population; the case fatality rate of culture-confirmed melioidosis was 48%. In Chiang Rai, Thailand, scrub typhus was the second most common diagnosis (n=103), and serology-based diagnostics identified an additional 80 probable scrub typhus cases. To our knowledge, this is the largest fever aetiology study of rural populations in South and Southeast Asia to date. Our study suggests that melioidosis and scrub typhus, two highly neglected tropical diseases, are responsible for a significant share of febrile mortality and morbidity in the region.</w:t>
      </w:r>
    </w:p>
    <w:p w14:paraId="781DBA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25-A-1751-ASTMH</w:t>
      </w:r>
    </w:p>
    <w:p w14:paraId="27850C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3639EF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Cultural Influences on Maternal and Household Health in a Multiple-Disease Burden Context: An Ethnographic Study of Pastoral Communities in Baringo County, Kenya</w:t>
      </w:r>
    </w:p>
    <w:p w14:paraId="67B4A5D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Pokot women in Baringo County, Kenya, face a multiple-disease burden of neglected tropical diseases (NTDs) and sexual and reproductive health (SRH) conditions, with visceral leishmaniasis, obstetric fistula, and female genital mutilation/cutting serving as key tracer conditions. As primary caregivers, they build homes, manage households, and raise children while navigating restricted reproductive rights and limited healthcare access. This study employs an interpretive phenomenological framework to explore their decision-making in healthcare, experiences of disease-related stigma, and challenges in maternal and household health. Using interviews, focus group discussions, and field observations, the findings </w:t>
      </w:r>
      <w:r w:rsidRPr="00FE5D1C">
        <w:rPr>
          <w:rFonts w:ascii="Calibri" w:eastAsia="Times New Roman" w:hAnsi="Calibri" w:cs="Calibri"/>
          <w:color w:val="000000"/>
          <w:kern w:val="0"/>
          <w:sz w:val="22"/>
          <w:szCs w:val="22"/>
          <w14:ligatures w14:val="none"/>
        </w:rPr>
        <w:lastRenderedPageBreak/>
        <w:t>offer insights to inform community outreach, improve maternal health facilities, and empower women. Ultimately, this research deepens the understanding of cultural influences on maternal health outcomes and supports efforts to enhance women's health autonomy.</w:t>
      </w:r>
    </w:p>
    <w:p w14:paraId="184B02C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25-A-1752-ASTMH</w:t>
      </w:r>
    </w:p>
    <w:p w14:paraId="10B70F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Diagnosis and New Detection Tools (Including Leishmania and Trypanosomes)</w:t>
      </w:r>
    </w:p>
    <w:p w14:paraId="59E7B3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Cerebral toxoplasmosis mimicking lupus cerebritis in a patient with systemic lupus erythematosus</w:t>
      </w:r>
    </w:p>
    <w:p w14:paraId="28CEB9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Cerebral toxoplasmosis primarily affects immunocompromised individuals, classically those living with advanced human immunodeficiency virus (HIV) infection. Toxoplasmosis has also been well described in individuals immunocompromised from rheumatologic conditions, such as systemic lupus erythematosus (SLE). We present a case of cerebral toxoplasmosis in a</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43-year-old woman of Ecuadorian origin with SLE, complicated by lupus nephritis, who was admitted to our hospital with acute fever, headache and confusion. Her immunosuppression was comprised of prednisone 30mg daily. MRI brain with contrast showed several rim-enhancing and nodular enhancing lesions through supra-tentorial region. She underwent biopsy of the brain lesion; histopathology demonstrated several blood vessel walls with a thick infiltrate of necrotic cells, which were suspected to be lymphoid cells. The overall appearance was felt to be consistent with vasculitis. Microbiologic investigations, including bacterial culture, fungal culture, mycobacterial culture and microscopy for </w:t>
      </w:r>
      <w:r w:rsidRPr="00FE5D1C">
        <w:rPr>
          <w:rFonts w:ascii="Calibri" w:eastAsia="Times New Roman" w:hAnsi="Calibri" w:cs="Calibri"/>
          <w:i/>
          <w:iCs/>
          <w:color w:val="000000"/>
          <w:kern w:val="0"/>
          <w:sz w:val="22"/>
          <w:szCs w:val="22"/>
          <w14:ligatures w14:val="none"/>
        </w:rPr>
        <w:t>Toxoplasma</w:t>
      </w:r>
      <w:r w:rsidRPr="00FE5D1C">
        <w:rPr>
          <w:rFonts w:ascii="Calibri" w:eastAsia="Times New Roman" w:hAnsi="Calibri" w:cs="Calibri"/>
          <w:color w:val="000000"/>
          <w:kern w:val="0"/>
          <w:sz w:val="22"/>
          <w:szCs w:val="22"/>
          <w14:ligatures w14:val="none"/>
        </w:rPr>
        <w:t> were negative. Given concern for vasculitis associated with SLE, the patient was started on high-dose corticosteroids. However, she had clinical and radiographic progression, with development of new cranial nerve deficits and repeat MR head demonstrating rapid growth of her lesions. She therefore underwent open brain biopsy. Histopathology demonstrated </w:t>
      </w:r>
      <w:r w:rsidRPr="00FE5D1C">
        <w:rPr>
          <w:rFonts w:ascii="Calibri" w:eastAsia="Times New Roman" w:hAnsi="Calibri" w:cs="Calibri"/>
          <w:i/>
          <w:iCs/>
          <w:color w:val="000000"/>
          <w:kern w:val="0"/>
          <w:sz w:val="22"/>
          <w:szCs w:val="22"/>
          <w14:ligatures w14:val="none"/>
        </w:rPr>
        <w:t>Toxoplasma</w:t>
      </w:r>
      <w:r w:rsidRPr="00FE5D1C">
        <w:rPr>
          <w:rFonts w:ascii="Calibri" w:eastAsia="Times New Roman" w:hAnsi="Calibri" w:cs="Calibri"/>
          <w:color w:val="000000"/>
          <w:kern w:val="0"/>
          <w:sz w:val="22"/>
          <w:szCs w:val="22"/>
          <w14:ligatures w14:val="none"/>
        </w:rPr>
        <w:t> bradyzoites and </w:t>
      </w:r>
      <w:r w:rsidRPr="00FE5D1C">
        <w:rPr>
          <w:rFonts w:ascii="Calibri" w:eastAsia="Times New Roman" w:hAnsi="Calibri" w:cs="Calibri"/>
          <w:i/>
          <w:iCs/>
          <w:color w:val="000000"/>
          <w:kern w:val="0"/>
          <w:sz w:val="22"/>
          <w:szCs w:val="22"/>
          <w14:ligatures w14:val="none"/>
        </w:rPr>
        <w:t>Toxoplasma </w:t>
      </w:r>
      <w:r w:rsidRPr="00FE5D1C">
        <w:rPr>
          <w:rFonts w:ascii="Calibri" w:eastAsia="Times New Roman" w:hAnsi="Calibri" w:cs="Calibri"/>
          <w:color w:val="000000"/>
          <w:kern w:val="0"/>
          <w:sz w:val="22"/>
          <w:szCs w:val="22"/>
          <w14:ligatures w14:val="none"/>
        </w:rPr>
        <w:t>PCR was positive. The patient was started on trimethoprim-sulfamethoxazole but passed away while on therapy. Given the overlapping presentations of CNS toxoplasmosis and CNS vasculitis, a strong clinical suspicion for both conditions must be maintained.</w:t>
      </w:r>
    </w:p>
    <w:p w14:paraId="1DBF65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25-A-1753-ASTMH</w:t>
      </w:r>
    </w:p>
    <w:p w14:paraId="52A6E1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671B71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Optimization of a novel CAF01 Alum mixed adjuvant approach to improve the efficacy of a killed whole-parasite blood-stage malaria vaccine candidate</w:t>
      </w:r>
    </w:p>
    <w:p w14:paraId="22E0BF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development of an effective malaria vaccine is urgently required. To improve upon the limited and short-term protection induced by subunit vaccines containing single parasite-derived polymorphic proteins, malaria vaccine research is also focused on the development of whole-parasite vaccines. Whole-parasite malaria vaccines include all parasite proteins to promote enhanced protection against malaria. Pre-clinical studies have shown that a killed whole-parasite blood-stage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17X vaccine induces strong CD4+ T-cell dependent protective immunity in a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rodent model of malaria. However, protection is incomplete, with vaccinated mice developing low level parasitemia following blood-stage challenge. A vaccine regimen that utilizes a mixed adjuvant approach comprised of two different adjuvants; CAF01 and Alum, may be an attractive strategy to stimulate complementary immune responses and further improve vaccine efficacy. Using a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rodent model of malaria, initial studies showed superior protection in mice that received killed whole-parasite blood-stage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17X vaccine formulated with the mixed adjuvant approach when compared to CAF01 only. Optimization of the number of vaccine doses was explored using the mixed adjuvant approach. Mice that received three doses of killed whole-parasite blood-stage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xml:space="preserve"> 17X vaccine, formulated with the mixed adjuvant approach or CAF01, had improved survival following blood-stage malaria challenge when compared to mice that received a four-dose regimen formulated with the mixed adjuvant approach. Parasite-specific splenocyte proliferative cellular and IgG responses were induced across the different dose cohorts, with elevated parasite-specific Th2 responses in the four-dose compared to the three-dose cohorts. Further optimization studies investigated the minimum number of doses required for killed whole-parasite </w:t>
      </w:r>
      <w:r w:rsidRPr="00FE5D1C">
        <w:rPr>
          <w:rFonts w:ascii="Calibri" w:eastAsia="Times New Roman" w:hAnsi="Calibri" w:cs="Calibri"/>
          <w:color w:val="000000"/>
          <w:kern w:val="0"/>
          <w:sz w:val="22"/>
          <w:szCs w:val="22"/>
          <w14:ligatures w14:val="none"/>
        </w:rPr>
        <w:lastRenderedPageBreak/>
        <w:t>blood-stage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17X vaccine-mediated protective efficacy. The results of these pre-clinical studies will inform the vaccination approach for clinical evaluation of a killed whole-parasite blood-stage malaria vaccine candidate.</w:t>
      </w:r>
    </w:p>
    <w:p w14:paraId="231C03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25-A-1754-ASTMH</w:t>
      </w:r>
    </w:p>
    <w:p w14:paraId="04ACDB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767C84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Comparison of clinical profile and outcomes of scrub typhus and spotted fever in India: a retrospective cohort study</w:t>
      </w:r>
    </w:p>
    <w:p w14:paraId="21E3F3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Scrub typhus and spotted fever are South Asia's two most common rickettsioses. While scrub typhus has emerged as the leading cause of acute febrile illness in India, data on spotted fever's clinical profile and outcomes remain limited. This study aimed to compare these two infections' clinical features, laboratory parameters, and outcomes. A retrospective cohort study was conducted at a tertiary care hospital in coastal Karnataka, India, from 2017 to 2020. Patients with microbiologically confirmed scrub typhus or spotted fever were included, while those with co-infections or incomplete records were excluded. A total of 646 patients [scrub typhus (537, 83.1%), spotted fever (109, 16.9%)] were analysed. A distinct seasonal pattern was noted (p &lt; 0.001). Patients with scrub typhus were older (mean age 44.9y vs 40.3y, p = 0.006). Rash (26.6% vs 9.9%, p &lt; 0.001) and headache (46.8% vs 34.6%, p = 0.016) were more frequent in spotted fever, whereas eschar was exclusive to scrub typhus (12.5%, p &lt; 0.001). Icterus, splenomegaly, and lymphadenopathy were significantly more common in scrub typhus. Spotted fever patients had higher total leukocyte and platelet counts (p &lt; 0.001). In contrast, scrub typhus patients showed higher levels of liver enzymes (aspartate transaminase, alanine transaminase, alkaline phosphatase) and bilirubin, along with lower serum albumin (p &lt; 0.001). Fourteen-day mortality occurred only in scrub typhus (6.8% vs 0%, p = 0.03). The use of doxycycline and azithromycin was comparable between groups. In conclusion, scrub typhus was associated with more systemic involvement and mortality, while spotted fever presented more prominently with rash and hematologic changes. Recognising these patterns may aid in early diagnosis and tailored management.</w:t>
      </w:r>
    </w:p>
    <w:p w14:paraId="4108B4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25-A-1755-ASTMH</w:t>
      </w:r>
    </w:p>
    <w:p w14:paraId="05EF4B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483081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Low Pfcrt-76T and High Pfdhfr-dhps Quadruple Mutant Genotype Prevalence After 10 years of Seasonal Malaria Chemoprevention with SP plus AQ Implementation in Mali</w:t>
      </w:r>
    </w:p>
    <w:p w14:paraId="07DE82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2012, Seasonal malaria chemoprevention (SMC) is being scaled up in Mali. In 2014, SMC increased the prevalence of molecular markers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 </w:t>
      </w:r>
      <w:r w:rsidRPr="00FE5D1C">
        <w:rPr>
          <w:rFonts w:ascii="Calibri" w:eastAsia="Times New Roman" w:hAnsi="Calibri" w:cs="Calibri"/>
          <w:color w:val="000000"/>
          <w:kern w:val="0"/>
          <w:sz w:val="22"/>
          <w:szCs w:val="22"/>
          <w14:ligatures w14:val="none"/>
        </w:rPr>
        <w:t>resistance to SP in the treated children but not in the non-SMC population. However, the potential development of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resistance to the respective component drugs is a major concern several years after SMC implementation in Mali. Four cross-sectional surveys were conducted before (august 2012) and after (june 2014, july 2019 and august 2022) an implementation of SMC in Mali. Children aged 3-59 months received several rounds of sulfadoxine-pyrimethamine plus amodiaquine</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SP+AQ) over ten malaria seasons. Genotypes of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 dhfr</w:t>
      </w:r>
      <w:r w:rsidRPr="00FE5D1C">
        <w:rPr>
          <w:rFonts w:ascii="Calibri" w:eastAsia="Times New Roman" w:hAnsi="Calibri" w:cs="Calibri"/>
          <w:color w:val="000000"/>
          <w:kern w:val="0"/>
          <w:sz w:val="22"/>
          <w:szCs w:val="22"/>
          <w14:ligatures w14:val="none"/>
        </w:rPr>
        <w:t>-51, 59 and 108,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-437 and 540, </w:t>
      </w:r>
      <w:r w:rsidRPr="00FE5D1C">
        <w:rPr>
          <w:rFonts w:ascii="Calibri" w:eastAsia="Times New Roman" w:hAnsi="Calibri" w:cs="Calibri"/>
          <w:i/>
          <w:iCs/>
          <w:color w:val="000000"/>
          <w:kern w:val="0"/>
          <w:sz w:val="22"/>
          <w:szCs w:val="22"/>
          <w14:ligatures w14:val="none"/>
        </w:rPr>
        <w:t>pfcrt</w:t>
      </w:r>
      <w:r w:rsidRPr="00FE5D1C">
        <w:rPr>
          <w:rFonts w:ascii="Calibri" w:eastAsia="Times New Roman" w:hAnsi="Calibri" w:cs="Calibri"/>
          <w:color w:val="000000"/>
          <w:kern w:val="0"/>
          <w:sz w:val="22"/>
          <w:szCs w:val="22"/>
          <w14:ligatures w14:val="none"/>
        </w:rPr>
        <w:t>-76 and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-86 were analyzed by PCR on DNA from samples collected in SMC population and non-SMC population (november 2014 and august 2022). In the SMC population 191/662 (28.9%) and 85/670 (12.7%), 84/513 (16.4%) and 31/442 (7.0%) of children were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 </w:t>
      </w:r>
      <w:r w:rsidRPr="00FE5D1C">
        <w:rPr>
          <w:rFonts w:ascii="Calibri" w:eastAsia="Times New Roman" w:hAnsi="Calibri" w:cs="Calibri"/>
          <w:color w:val="000000"/>
          <w:kern w:val="0"/>
          <w:sz w:val="22"/>
          <w:szCs w:val="22"/>
          <w14:ligatures w14:val="none"/>
        </w:rPr>
        <w:t>positive by microscopy and were included in the molecular analysis from 2012 to 2014, 2019 and 2022, respectively. In the non-SMC population 220/310 (71%) and 57/424 (13.4%) were analyzed from 2014 to 2022. In SMC population, the prevalence of </w:t>
      </w:r>
      <w:r w:rsidRPr="00FE5D1C">
        <w:rPr>
          <w:rFonts w:ascii="Calibri" w:eastAsia="Times New Roman" w:hAnsi="Calibri" w:cs="Calibri"/>
          <w:i/>
          <w:iCs/>
          <w:color w:val="000000"/>
          <w:kern w:val="0"/>
          <w:sz w:val="22"/>
          <w:szCs w:val="22"/>
          <w14:ligatures w14:val="none"/>
        </w:rPr>
        <w:t>pfdhfr-dhps</w:t>
      </w:r>
      <w:r w:rsidRPr="00FE5D1C">
        <w:rPr>
          <w:rFonts w:ascii="Calibri" w:eastAsia="Times New Roman" w:hAnsi="Calibri" w:cs="Calibri"/>
          <w:color w:val="000000"/>
          <w:kern w:val="0"/>
          <w:sz w:val="22"/>
          <w:szCs w:val="22"/>
          <w14:ligatures w14:val="none"/>
        </w:rPr>
        <w:t> quadruple mutant of SP increased significantly from 57.6% to 75.3%, 100% and 100% (p&lt;0.001) in 2012, 2014, 2019 and 2022, respectively. This prevalence was significantly higher among non-SMC population from 2014 (43.6%) to 2022 (100%), p&lt;0.001. Prevalence of </w:t>
      </w:r>
      <w:r w:rsidRPr="00FE5D1C">
        <w:rPr>
          <w:rFonts w:ascii="Calibri" w:eastAsia="Times New Roman" w:hAnsi="Calibri" w:cs="Calibri"/>
          <w:i/>
          <w:iCs/>
          <w:color w:val="000000"/>
          <w:kern w:val="0"/>
          <w:sz w:val="22"/>
          <w:szCs w:val="22"/>
          <w14:ligatures w14:val="none"/>
        </w:rPr>
        <w:t>pfcrt-76</w:t>
      </w:r>
      <w:r w:rsidRPr="00FE5D1C">
        <w:rPr>
          <w:rFonts w:ascii="Calibri" w:eastAsia="Times New Roman" w:hAnsi="Calibri" w:cs="Calibri"/>
          <w:color w:val="000000"/>
          <w:kern w:val="0"/>
          <w:sz w:val="22"/>
          <w:szCs w:val="22"/>
          <w14:ligatures w14:val="none"/>
        </w:rPr>
        <w:t> was 75.3% to 20.0% in SMC population and 71.2% to 24.4% in non-SMC population from 2014 to 2022, respectively (p&lt;0.001). SMC increased the prevalence of quadruple mutant of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 xml:space="preserve">resistance to SP in the treated children and non-SMC </w:t>
      </w:r>
      <w:r w:rsidRPr="00FE5D1C">
        <w:rPr>
          <w:rFonts w:ascii="Calibri" w:eastAsia="Times New Roman" w:hAnsi="Calibri" w:cs="Calibri"/>
          <w:color w:val="000000"/>
          <w:kern w:val="0"/>
          <w:sz w:val="22"/>
          <w:szCs w:val="22"/>
          <w14:ligatures w14:val="none"/>
        </w:rPr>
        <w:lastRenderedPageBreak/>
        <w:t>population 10-year after SMC scale-up in Mali. In contrast, a low prevalence of pfcrt-76T was observed after several years of SMC implementation in Mali.</w:t>
      </w:r>
    </w:p>
    <w:p w14:paraId="7E34F2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25-A-1756-ASTMH</w:t>
      </w:r>
    </w:p>
    <w:p w14:paraId="504A15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451DB5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Leprosy in Florida</w:t>
      </w:r>
    </w:p>
    <w:p w14:paraId="1FC7ED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Leprosy is caused by the bacteria </w:t>
      </w:r>
      <w:r w:rsidRPr="00FE5D1C">
        <w:rPr>
          <w:rFonts w:ascii="Calibri" w:eastAsia="Times New Roman" w:hAnsi="Calibri" w:cs="Calibri"/>
          <w:i/>
          <w:iCs/>
          <w:color w:val="000000"/>
          <w:kern w:val="0"/>
          <w:sz w:val="22"/>
          <w:szCs w:val="22"/>
          <w14:ligatures w14:val="none"/>
        </w:rPr>
        <w:t>Mycobacterium leprae</w:t>
      </w:r>
      <w:r w:rsidRPr="00FE5D1C">
        <w:rPr>
          <w:rFonts w:ascii="Calibri" w:eastAsia="Times New Roman" w:hAnsi="Calibri" w:cs="Calibri"/>
          <w:color w:val="000000"/>
          <w:kern w:val="0"/>
          <w:sz w:val="22"/>
          <w:szCs w:val="22"/>
          <w14:ligatures w14:val="none"/>
        </w:rPr>
        <w:t> (and rarely by </w:t>
      </w:r>
      <w:r w:rsidRPr="00FE5D1C">
        <w:rPr>
          <w:rFonts w:ascii="Calibri" w:eastAsia="Times New Roman" w:hAnsi="Calibri" w:cs="Calibri"/>
          <w:i/>
          <w:iCs/>
          <w:color w:val="000000"/>
          <w:kern w:val="0"/>
          <w:sz w:val="22"/>
          <w:szCs w:val="22"/>
          <w14:ligatures w14:val="none"/>
        </w:rPr>
        <w:t>M. lepromatosis</w:t>
      </w:r>
      <w:r w:rsidRPr="00FE5D1C">
        <w:rPr>
          <w:rFonts w:ascii="Calibri" w:eastAsia="Times New Roman" w:hAnsi="Calibri" w:cs="Calibri"/>
          <w:color w:val="000000"/>
          <w:kern w:val="0"/>
          <w:sz w:val="22"/>
          <w:szCs w:val="22"/>
          <w14:ligatures w14:val="none"/>
        </w:rPr>
        <w:t>) leading to a constellation of dermatologic and neurologic symptoms depending on the immune response of the host. The route of transmission remains unclear with many hypotheses including human to human transmission via prolonged respiratory exposure, and human exposure to nine-banded armadillos (</w:t>
      </w:r>
      <w:r w:rsidRPr="00FE5D1C">
        <w:rPr>
          <w:rFonts w:ascii="Calibri" w:eastAsia="Times New Roman" w:hAnsi="Calibri" w:cs="Calibri"/>
          <w:i/>
          <w:iCs/>
          <w:color w:val="000000"/>
          <w:kern w:val="0"/>
          <w:sz w:val="22"/>
          <w:szCs w:val="22"/>
          <w14:ligatures w14:val="none"/>
        </w:rPr>
        <w:t>Dasypus novemcinctus</w:t>
      </w:r>
      <w:r w:rsidRPr="00FE5D1C">
        <w:rPr>
          <w:rFonts w:ascii="Calibri" w:eastAsia="Times New Roman" w:hAnsi="Calibri" w:cs="Calibri"/>
          <w:color w:val="000000"/>
          <w:kern w:val="0"/>
          <w:sz w:val="22"/>
          <w:szCs w:val="22"/>
          <w14:ligatures w14:val="none"/>
        </w:rPr>
        <w:t>) either directly or via contaminated soil (e.g. while gardening without gloves). Nine banded armadillos may serve as a reservoir for </w:t>
      </w:r>
      <w:r w:rsidRPr="00FE5D1C">
        <w:rPr>
          <w:rFonts w:ascii="Calibri" w:eastAsia="Times New Roman" w:hAnsi="Calibri" w:cs="Calibri"/>
          <w:i/>
          <w:iCs/>
          <w:color w:val="000000"/>
          <w:kern w:val="0"/>
          <w:sz w:val="22"/>
          <w:szCs w:val="22"/>
          <w14:ligatures w14:val="none"/>
        </w:rPr>
        <w:t>M.leprae</w:t>
      </w:r>
      <w:r w:rsidRPr="00FE5D1C">
        <w:rPr>
          <w:rFonts w:ascii="Calibri" w:eastAsia="Times New Roman" w:hAnsi="Calibri" w:cs="Calibri"/>
          <w:color w:val="000000"/>
          <w:kern w:val="0"/>
          <w:sz w:val="22"/>
          <w:szCs w:val="22"/>
          <w14:ligatures w14:val="none"/>
        </w:rPr>
        <w:t> as this species shares the same genetic strain of </w:t>
      </w:r>
      <w:r w:rsidRPr="00FE5D1C">
        <w:rPr>
          <w:rFonts w:ascii="Calibri" w:eastAsia="Times New Roman" w:hAnsi="Calibri" w:cs="Calibri"/>
          <w:i/>
          <w:iCs/>
          <w:color w:val="000000"/>
          <w:kern w:val="0"/>
          <w:sz w:val="22"/>
          <w:szCs w:val="22"/>
          <w14:ligatures w14:val="none"/>
        </w:rPr>
        <w:t>M.leprae</w:t>
      </w:r>
      <w:r w:rsidRPr="00FE5D1C">
        <w:rPr>
          <w:rFonts w:ascii="Calibri" w:eastAsia="Times New Roman" w:hAnsi="Calibri" w:cs="Calibri"/>
          <w:color w:val="000000"/>
          <w:kern w:val="0"/>
          <w:sz w:val="22"/>
          <w:szCs w:val="22"/>
          <w14:ligatures w14:val="none"/>
        </w:rPr>
        <w:t> found in humans who develop leprosy. Leprosy is a reportable disease in the U.S. that has shown an increase in incidence in Southeastern states such as Florida. In fact, leprosy is now considered endemic to Florida. We aim to investigate the extent of reported cases of leprosy in Florida, evaluating the literature in regards to possible modes of transmission, particularly among individuals who do not have any known history of exposure to an individual with leprosy or known contact with armadillos. Case reports and case series of patients treated for leprosy in Florida searched and analyzed to identify trends in location and possible exposures leading up to onset of symptomatology. Several cases evidenced exposure to armadillo. In individuals without known exposure to another human with leprosy, or recent travel to areas of the world where leprosy is endemic, exposure to contaminated soil while gardening in endemic areas is proposed as a mechanism of infection. The role of the armadillo in soil contamination is plausible. With leprosy’s incidence increasing in Florida, physicians should consider it in the differential diagnose of patients with dermatologic or neurologic symptoms, especially those whose condition continues to decline despite usual antibiotic therapy. Further investigation is necessary to determine the exact mechanism of zoonotic transmission from armadillos to humans.</w:t>
      </w:r>
    </w:p>
    <w:p w14:paraId="53FD7B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25-A-1758-ASTMH</w:t>
      </w:r>
    </w:p>
    <w:p w14:paraId="3E6753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Diversity, Inclusion, Decolonization and Human Rights</w:t>
      </w:r>
    </w:p>
    <w:p w14:paraId="1CF880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Power Imbalances in Tropical Medicine Journals: An Analysis of Editorial Board Representation</w:t>
      </w:r>
    </w:p>
    <w:p w14:paraId="04628F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Shaped by its colonial origins, tropical medicine sustains inequitable power dynamics in global health, sidelining low‐middle-income countries (LMICs) in critical decision-making over research agendas and priorities. While editorial boards of tropical medicine journals dominated by scholars from high-income countries (HICs) risk reinforcing these power imbalances and excluding context-driven expertise from endemic regions. This study examines the diversity of editorial boards across gender, geographic, socioeconomic, and geopolitical dimensions to assess systemic inequities. A systematic search of the National Library of Medicine (NLM) catalogue was conducted between October and December 2024.153 journals were screened for title relevance and, after applying exclusion criteria,24 journals were selected. The data on gender, country of affiliation (classified by World Bank income/regions), and geopolitical groups (G7, G20, BRICS) was extracted from journal and institutional websites. The editorial board comprised 2,226 members 66% male, 31.2% female, and 2.8% were undetermined from 120 nations. Europe and Central Asia had the highest representation at 21.9%, while the Middle East and North Africa was the least represented at 3.4%, with South Asia following at 9.7%, Over half (52.8%) of the members were affiliated with HICs, and geopolitical analysis indicated that 40.3% were from the G7, 67.1% from the G20, and 24.2% from the BRICS. Tropical medicine editorial boards are steeped in systemic inequities that echo colonial legacies. With overrepresentation from HICs and men, limits LMICs perspectives and local expertise. This power imbalance undermines research relevance and ethical integrity by prioritizing Global North agendas over the needs of populations most affected by tropical diseases. To address these disparities, implementation of DEI (Diversity, Equity and Inclusion) strategies, targeted mentorship programs for LMIC researchers, and the transparent, bias-resistant </w:t>
      </w:r>
      <w:r w:rsidRPr="00FE5D1C">
        <w:rPr>
          <w:rFonts w:ascii="Calibri" w:eastAsia="Times New Roman" w:hAnsi="Calibri" w:cs="Calibri"/>
          <w:color w:val="000000"/>
          <w:kern w:val="0"/>
          <w:sz w:val="22"/>
          <w:szCs w:val="22"/>
          <w14:ligatures w14:val="none"/>
        </w:rPr>
        <w:lastRenderedPageBreak/>
        <w:t>recruitment practices will create a more inclusive editorial landscape promoting equity, aligned with global health needs.</w:t>
      </w:r>
    </w:p>
    <w:p w14:paraId="5438BD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25-A-1760-ASTMH</w:t>
      </w:r>
    </w:p>
    <w:p w14:paraId="1FCDDD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37B10E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Optimizing Community Health Workers and Non-biomedical Approaches to Assess the Burden of Soil-transmitted Helminthiasis in a School-aged Population in Rural Rwanda</w:t>
      </w:r>
    </w:p>
    <w:p w14:paraId="1E9096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Soil-transmitted helminths (STHs) remain a major public health problem in many low- and middle-income countries, especially among children. The conventional methods for diagnosing STHs require well-equipped laboratories and trained personnel, often scarce or inaccessible in rural and remote settings. Algorithmic non-biomedical screening tools are a potential strategy for CHWs to ensure rapid detection and referral of children with possible STH infection. We aimed to evaluate the feasibility of a community health worker-led screening program in rural Rwanda. We conducted a cross-sectional study among 746 school-aged children in Musanze district, Rwanda, between August 2021 and November 2022. We used Beta CommScreen, an algorithmic non-biomedical screening tool that collects socio-demographic and symptomatic data, as well as water, sanitation, and hygiene indicators, to assess the risk of STH infection. We used multivariate logistic regression analysis to identify factors associated with presumptive STH infection. We analyzed the data using Stata version 15.1. Of 746 children screened by the SBHA, 322 (43%) reported signs of STH infections, and 220 (29%) were referred to the clinic for treatment, the remaining 102 (14%) recieved deworming medication at school. Having a CHW for routine monitoring and not walking barefoot were associated with lower risk of STH symptoms (OR=0.36, 95% CI: 0.21,0.64) and (OR=0.49, 95% CI:0.08,3.11), respectively. Not washing hands before eating and after using the toilet were associated with possible STH infections (OR=7.40, 95%CI:0.79,68.94) and (OR=3.82, 95%CI:0.37,39.37). However the relationship was not statistically significant. Other factors, including the place of residence and age, were not associated with STH symptoms. We found the CHWs were able to use a simple algorithmic screening tool to identify a high burden of symptoms of possible STH. This CHW-based school screening approach builds on Rwanda’s strong CHW system. Strengthening referrals and school-community health links may further expand disease prevention and treatment.</w:t>
      </w:r>
    </w:p>
    <w:p w14:paraId="2BE2CF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25-A-1761-ASTMH</w:t>
      </w:r>
    </w:p>
    <w:p w14:paraId="374619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174E4F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Assessment of Cambodia’s national malaria surveillance system, 2023</w:t>
      </w:r>
    </w:p>
    <w:p w14:paraId="325253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Cambodia is approaching the final stages of malaria elimination, reporting 1384 cases in 2023 and aiming to eliminate all species of human malaria by 2025. Given the importance of surveillance in control and elimination efforts the National Center for Parasitology, Entomology, and Malaria Control (CNM) assessed its malaria surveillance system to identify strengths and gaps and make recommendations. The WHO Malaria Surveillance System Assessment Toolkit was utilized to evaluate a total of 68 indicators across four primary objectives: Performance, Context and Infrastructure, Technical and Process, and Behavior. Data from 2021-2023 and activities which took place in 2023 under the 2021 edition of the Surveillance for Malaria Elimination Guidelines were utilized. Indicators were evaluated through a quantitative survey completed by subnational staff, a field data quality assessment (DQA) at the service delivery level, a national-level DQA, and a national-level desk review including interviews with CNM staff. The assessment demonstrated strong performance of Cambodia’s surveillance system. Of the core indicators assessed, 82% of Performance (14/19), 77% of Context and Infrastructure (8/13), 79% of Technical and Process (4/7), and 100% of Behavior indicators (3/3) were met. Successes included the improved completeness and timeliness of reporting and case investigation in the previous three years. Key areas for improvement included revising case investigation and updating case classifications, enhancing data cleaning and verification processes to improve data quality, and upgrading the national malaria information system to include unique patient identifiers and enable interoperability with other </w:t>
      </w:r>
      <w:r w:rsidRPr="00FE5D1C">
        <w:rPr>
          <w:rFonts w:ascii="Calibri" w:eastAsia="Times New Roman" w:hAnsi="Calibri" w:cs="Calibri"/>
          <w:color w:val="000000"/>
          <w:kern w:val="0"/>
          <w:sz w:val="22"/>
          <w:szCs w:val="22"/>
          <w14:ligatures w14:val="none"/>
        </w:rPr>
        <w:lastRenderedPageBreak/>
        <w:t>national information systems. CNM is committed to addressing identified areas of improvement. Lessons learned from this assessment informed revisions to the national Surveillance for Malaria Elimination Guidelines, implemented in May 2024. Additionally, the results will be used to guide the design of surveillance-related objectives for Cambodia’s 2026-2035 National Strategic Plan.</w:t>
      </w:r>
    </w:p>
    <w:p w14:paraId="1B5DC2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25-A-1762-ASTMH</w:t>
      </w:r>
    </w:p>
    <w:p w14:paraId="76F083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03E670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Long-term Immunogenicity of Intradermal Japanese Encephalitis Vaccination</w:t>
      </w:r>
    </w:p>
    <w:p w14:paraId="3A6A6C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 </w:t>
      </w:r>
      <w:r w:rsidRPr="00FE5D1C">
        <w:rPr>
          <w:rFonts w:ascii="Calibri" w:eastAsia="Times New Roman" w:hAnsi="Calibri" w:cs="Calibri"/>
          <w:color w:val="000000"/>
          <w:kern w:val="0"/>
          <w:sz w:val="22"/>
          <w:szCs w:val="22"/>
          <w14:ligatures w14:val="none"/>
        </w:rPr>
        <w:t>The high cost of Japanese encephalitis (JE) vaccines has limited uptake among travellers. Fractional intradermal dosing is an effective, lower-cost, dose-sparing strategy demonstrated to induce short-term immunity. We investigated long-term antibody persistence after fractional intradermal dosing of Imojev®, a live recombinant JE vaccine.</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In the JEVID-1 trial, 50 healthy young (18-485 years) adults who were seronegative for JE received a single 0.1 mL intradermal dose (20% of the standard subcutaneous dose) of Imojev®. Neutralising antibody titres were measured at baseline, 28 days, 56 days, and 1-2 years post-vaccination. All participants were tested at 28-56 days. At 1-2 years, 31 participants (62%) returned for serological testing, with a median interval of 1.8 years (IQR 1.4–2.1).</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All participants seroconverted by day 28 and remained seropositive at day 56. At 1-2 years, 93.5% remained seropositive. Geometric mean titres declined 16-fold from 261.7 (95% CI: 187.0–366.2) at day 28 to 16.1 (95% CI: 11.3–22.9) at 1-2 years. All participants were subsequently offered an intramuscular standard-dose booster.</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Conclusions: </w:t>
      </w:r>
      <w:r w:rsidRPr="00FE5D1C">
        <w:rPr>
          <w:rFonts w:ascii="Calibri" w:eastAsia="Times New Roman" w:hAnsi="Calibri" w:cs="Calibri"/>
          <w:color w:val="000000"/>
          <w:kern w:val="0"/>
          <w:sz w:val="22"/>
          <w:szCs w:val="22"/>
          <w14:ligatures w14:val="none"/>
        </w:rPr>
        <w:t>Fractional intradermal Imojev® dosing provides effective short-term immunity and maintains seropositivity in most individuals at 1-2 years. However, antibody titres declined substantially, suggesting the need for monitoring and consideration of booster doses to ensure long-term protection, particularly for travellers with ongoing exposure risk or residents in endemic areas. These findings support the use of fractional dosing for short trips (e.g. ≤4 weeks), during vaccine shortages, and as a dose-sparing strategy for emergency use in outbreak response. Although a significant decline in neutralising antibody levels was observed, cell-mediated immunity—an important component of long-term protection—was not assessed and warrants further investigation.</w:t>
      </w:r>
    </w:p>
    <w:p w14:paraId="1FC3ED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25-A-1763-ASTMH</w:t>
      </w:r>
    </w:p>
    <w:p w14:paraId="3A6936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Other Bacterial Infections</w:t>
      </w:r>
    </w:p>
    <w:p w14:paraId="714C85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Microbiome and genomic epidemiology of Buruli ulcers in southeastern Australia</w:t>
      </w:r>
    </w:p>
    <w:p w14:paraId="1FB85F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Buruli ulcer (BU) is a neglected tropical disease caused by </w:t>
      </w:r>
      <w:r w:rsidRPr="00FE5D1C">
        <w:rPr>
          <w:rFonts w:ascii="Calibri" w:eastAsia="Times New Roman" w:hAnsi="Calibri" w:cs="Calibri"/>
          <w:i/>
          <w:iCs/>
          <w:color w:val="000000"/>
          <w:kern w:val="0"/>
          <w:sz w:val="22"/>
          <w:szCs w:val="22"/>
          <w14:ligatures w14:val="none"/>
        </w:rPr>
        <w:t>Mycobacterium ulcerans</w:t>
      </w:r>
      <w:r w:rsidRPr="00FE5D1C">
        <w:rPr>
          <w:rFonts w:ascii="Calibri" w:eastAsia="Times New Roman" w:hAnsi="Calibri" w:cs="Calibri"/>
          <w:color w:val="000000"/>
          <w:kern w:val="0"/>
          <w:sz w:val="22"/>
          <w:szCs w:val="22"/>
          <w14:ligatures w14:val="none"/>
        </w:rPr>
        <w:t> (MU), leading to a skin infection and possible long-term disabilities or amputation if untreated. Despite its non-tropical climate, BU cases are rising rapidly in southeastern Australia. This study examines the microbiome and genomic epidemiology of BU in the region. Metagenomic analysis (n=30) identified 70 species, with pre-treatment samples showing various </w:t>
      </w:r>
      <w:r w:rsidRPr="00FE5D1C">
        <w:rPr>
          <w:rFonts w:ascii="Calibri" w:eastAsia="Times New Roman" w:hAnsi="Calibri" w:cs="Calibri"/>
          <w:i/>
          <w:iCs/>
          <w:color w:val="000000"/>
          <w:kern w:val="0"/>
          <w:sz w:val="22"/>
          <w:szCs w:val="22"/>
          <w14:ligatures w14:val="none"/>
        </w:rPr>
        <w:t>Cutibacterium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Corynebacterium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Staphylococcus </w:t>
      </w:r>
      <w:r w:rsidRPr="00FE5D1C">
        <w:rPr>
          <w:rFonts w:ascii="Calibri" w:eastAsia="Times New Roman" w:hAnsi="Calibri" w:cs="Calibri"/>
          <w:color w:val="000000"/>
          <w:kern w:val="0"/>
          <w:sz w:val="22"/>
          <w:szCs w:val="22"/>
          <w14:ligatures w14:val="none"/>
        </w:rPr>
        <w:t>species. </w:t>
      </w:r>
      <w:r w:rsidRPr="00FE5D1C">
        <w:rPr>
          <w:rFonts w:ascii="Calibri" w:eastAsia="Times New Roman" w:hAnsi="Calibri" w:cs="Calibri"/>
          <w:i/>
          <w:iCs/>
          <w:color w:val="000000"/>
          <w:kern w:val="0"/>
          <w:sz w:val="22"/>
          <w:szCs w:val="22"/>
          <w14:ligatures w14:val="none"/>
        </w:rPr>
        <w:t>Malassezia restricta</w:t>
      </w:r>
      <w:r w:rsidRPr="00FE5D1C">
        <w:rPr>
          <w:rFonts w:ascii="Calibri" w:eastAsia="Times New Roman" w:hAnsi="Calibri" w:cs="Calibri"/>
          <w:color w:val="000000"/>
          <w:kern w:val="0"/>
          <w:sz w:val="22"/>
          <w:szCs w:val="22"/>
          <w14:ligatures w14:val="none"/>
        </w:rPr>
        <w:t> was observed in treatment samples. Post-treatment samples included common skin commensals like </w:t>
      </w:r>
      <w:r w:rsidRPr="00FE5D1C">
        <w:rPr>
          <w:rFonts w:ascii="Calibri" w:eastAsia="Times New Roman" w:hAnsi="Calibri" w:cs="Calibri"/>
          <w:i/>
          <w:iCs/>
          <w:color w:val="000000"/>
          <w:kern w:val="0"/>
          <w:sz w:val="22"/>
          <w:szCs w:val="22"/>
          <w14:ligatures w14:val="none"/>
        </w:rPr>
        <w:t>Cutibacterium modestum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Staphylococcus epidermidis</w:t>
      </w:r>
      <w:r w:rsidRPr="00FE5D1C">
        <w:rPr>
          <w:rFonts w:ascii="Calibri" w:eastAsia="Times New Roman" w:hAnsi="Calibri" w:cs="Calibri"/>
          <w:color w:val="000000"/>
          <w:kern w:val="0"/>
          <w:sz w:val="22"/>
          <w:szCs w:val="22"/>
          <w14:ligatures w14:val="none"/>
        </w:rPr>
        <w:t>. Alpha diversity indicated severe ulcers exhibit greater microbial diversity than non-severe ulcers, while beta diversity highlighted differences between pre-treatment and treatment samples. Resistance to several classes of drugs was documented; however, resistance was not observed against antibiotics commonly used to treat BU. The 16S long read sequencing conducted on 19 pre-treatment samples identified 18 species, with </w:t>
      </w:r>
      <w:r w:rsidRPr="00FE5D1C">
        <w:rPr>
          <w:rFonts w:ascii="Calibri" w:eastAsia="Times New Roman" w:hAnsi="Calibri" w:cs="Calibri"/>
          <w:i/>
          <w:iCs/>
          <w:color w:val="000000"/>
          <w:kern w:val="0"/>
          <w:sz w:val="22"/>
          <w:szCs w:val="22"/>
          <w14:ligatures w14:val="none"/>
        </w:rPr>
        <w:t>Staphylococcus aureus</w:t>
      </w:r>
      <w:r w:rsidRPr="00FE5D1C">
        <w:rPr>
          <w:rFonts w:ascii="Calibri" w:eastAsia="Times New Roman" w:hAnsi="Calibri" w:cs="Calibri"/>
          <w:color w:val="000000"/>
          <w:kern w:val="0"/>
          <w:sz w:val="22"/>
          <w:szCs w:val="22"/>
          <w14:ligatures w14:val="none"/>
        </w:rPr>
        <w:t> and</w:t>
      </w:r>
      <w:r w:rsidRPr="00FE5D1C">
        <w:rPr>
          <w:rFonts w:ascii="Calibri" w:eastAsia="Times New Roman" w:hAnsi="Calibri" w:cs="Calibri"/>
          <w:i/>
          <w:iCs/>
          <w:color w:val="000000"/>
          <w:kern w:val="0"/>
          <w:sz w:val="22"/>
          <w:szCs w:val="22"/>
          <w14:ligatures w14:val="none"/>
        </w:rPr>
        <w:t> Staphylococcus epidermidis</w:t>
      </w:r>
      <w:r w:rsidRPr="00FE5D1C">
        <w:rPr>
          <w:rFonts w:ascii="Calibri" w:eastAsia="Times New Roman" w:hAnsi="Calibri" w:cs="Calibri"/>
          <w:color w:val="000000"/>
          <w:kern w:val="0"/>
          <w:sz w:val="22"/>
          <w:szCs w:val="22"/>
          <w14:ligatures w14:val="none"/>
        </w:rPr>
        <w:t xml:space="preserve"> being the most frequently encountered bacterial species. The genomic epidemiology of MU was investigated across Mornington Peninsula, Bellarine Peninsula, and Geelong in southeastern Australia through direct sequencing of MU obtained from clinical swabs (n=108). Our results, derived from maximum likelihood and Bayesian phylogenetic analyses, confirmed that our isolates correspond with the established population structure of MU within southeastern Australia. The Geelong region, which had </w:t>
      </w:r>
      <w:r w:rsidRPr="00FE5D1C">
        <w:rPr>
          <w:rFonts w:ascii="Calibri" w:eastAsia="Times New Roman" w:hAnsi="Calibri" w:cs="Calibri"/>
          <w:color w:val="000000"/>
          <w:kern w:val="0"/>
          <w:sz w:val="22"/>
          <w:szCs w:val="22"/>
          <w14:ligatures w14:val="none"/>
        </w:rPr>
        <w:lastRenderedPageBreak/>
        <w:t>not been previously explored, exhibited significant genomic similarities with isolates from the Bellarine Peninsula. This study clarifies BU's polymicrobial nature and confirms MU's structure in southeastern Australia. It shows long-read 16S sequencing as a cost-effective method for identifying BU's microbiome and highlights the benefits of direct sequencing for quicker MU analysis compared to slow culture-based methods.</w:t>
      </w:r>
    </w:p>
    <w:p w14:paraId="7F217C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25-A-1764-ASTMH</w:t>
      </w:r>
    </w:p>
    <w:p w14:paraId="42B63E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4998E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Contribution of school channel distribution of long-lasting insecticidal nets in maintaining higher coverage in Benin</w:t>
      </w:r>
    </w:p>
    <w:p w14:paraId="71FB99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Continuous distribution of Long-Lasting Insecticidal Nets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LLINs)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through schools has been recognized as a viable approach to to achieve and maintaining universal bed net coverage after mass campaigns. In 2024, school-based distribution of ITNs and malaria prevention education was successfully piloted in three hight endemic health zones in Benin one year after mass campaign. The purpose of this study was to assess the contribution of school-based net distribution to maintaining universal coverage. LLINs and health education about the benefit of LLINs were provided to children enrolled in the 1st and 6th grades (n=67650) in 780 primary public schools in Djougou-Copargo-Ouaké (DCO); Kandi-Gogounou-Ségbana (KGS) and Malanville-Karimama (MK) Health Zones. Household net availability was assessed before and after distribution through a household survey of 900 households of which 300 per health zone. The number of households with at least one mosquito net for every two people has risen from 40% before distribution to 70% after distribution. 601 beneficiaries (66.77%) use the nets received at school. Despite school distribution, around 9% of the household members still slept without mosquito nets. School-based LLINs distribution has proven to be effective approach for maintaining consistently high coverage in Benin and has increased the ownership of LLINs in the intervention health zones. This strategy should be integrated into the national malaria control strategies.</w:t>
      </w:r>
    </w:p>
    <w:p w14:paraId="5C3D23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25-A-1765-ASTMH</w:t>
      </w:r>
    </w:p>
    <w:p w14:paraId="30863C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28D999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Antibiotic resistance and draft genome profiles of 10 Streptococcus pneumoniae and 3 Streptococcus pseudopneumoniae strains isolated from the nasopharynx of people living with human immunodeficiency virus in Ghana</w:t>
      </w:r>
    </w:p>
    <w:p w14:paraId="3EDC7B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Streptococci cause a range of diseases, including pneumonia, bacteremia, and meningitis. The similarities between them make distinguishing them using traditional typing methods challenging. Information on the epidemiology and genomic characteristics of </w:t>
      </w:r>
      <w:r w:rsidRPr="00FE5D1C">
        <w:rPr>
          <w:rFonts w:ascii="Calibri" w:eastAsia="Times New Roman" w:hAnsi="Calibri" w:cs="Calibri"/>
          <w:i/>
          <w:iCs/>
          <w:color w:val="000000"/>
          <w:kern w:val="0"/>
          <w:sz w:val="22"/>
          <w:szCs w:val="22"/>
          <w14:ligatures w14:val="none"/>
        </w:rPr>
        <w:t>S. pseudopneumoniae</w:t>
      </w:r>
      <w:r w:rsidRPr="00FE5D1C">
        <w:rPr>
          <w:rFonts w:ascii="Calibri" w:eastAsia="Times New Roman" w:hAnsi="Calibri" w:cs="Calibri"/>
          <w:color w:val="000000"/>
          <w:kern w:val="0"/>
          <w:sz w:val="22"/>
          <w:szCs w:val="22"/>
          <w14:ligatures w14:val="none"/>
        </w:rPr>
        <w:t> is scarce in sub-Saharan countries like Ghana. </w:t>
      </w:r>
      <w:r w:rsidRPr="00FE5D1C">
        <w:rPr>
          <w:rFonts w:ascii="Calibri" w:eastAsia="Times New Roman" w:hAnsi="Calibri" w:cs="Calibri"/>
          <w:i/>
          <w:iCs/>
          <w:color w:val="000000"/>
          <w:kern w:val="0"/>
          <w:sz w:val="22"/>
          <w:szCs w:val="22"/>
          <w14:ligatures w14:val="none"/>
        </w:rPr>
        <w:t>S. pseudopneumoniae</w:t>
      </w:r>
      <w:r w:rsidRPr="00FE5D1C">
        <w:rPr>
          <w:rFonts w:ascii="Calibri" w:eastAsia="Times New Roman" w:hAnsi="Calibri" w:cs="Calibri"/>
          <w:color w:val="000000"/>
          <w:kern w:val="0"/>
          <w:sz w:val="22"/>
          <w:szCs w:val="22"/>
          <w14:ligatures w14:val="none"/>
        </w:rPr>
        <w:t> is often associated with high antimicrobial resistance, particularly to penicillin, macrolides, co-trimoxazole, and tetracycline. This study explores the antimicrobial susceptibility and genomic profiles of 10 </w:t>
      </w:r>
      <w:r w:rsidRPr="00FE5D1C">
        <w:rPr>
          <w:rFonts w:ascii="Calibri" w:eastAsia="Times New Roman" w:hAnsi="Calibri" w:cs="Calibri"/>
          <w:i/>
          <w:iCs/>
          <w:color w:val="000000"/>
          <w:kern w:val="0"/>
          <w:sz w:val="22"/>
          <w:szCs w:val="22"/>
          <w14:ligatures w14:val="none"/>
        </w:rPr>
        <w:t>S. pneumoniae</w:t>
      </w:r>
      <w:r w:rsidRPr="00FE5D1C">
        <w:rPr>
          <w:rFonts w:ascii="Calibri" w:eastAsia="Times New Roman" w:hAnsi="Calibri" w:cs="Calibri"/>
          <w:color w:val="000000"/>
          <w:kern w:val="0"/>
          <w:sz w:val="22"/>
          <w:szCs w:val="22"/>
          <w14:ligatures w14:val="none"/>
        </w:rPr>
        <w:t> and 3 </w:t>
      </w:r>
      <w:r w:rsidRPr="00FE5D1C">
        <w:rPr>
          <w:rFonts w:ascii="Calibri" w:eastAsia="Times New Roman" w:hAnsi="Calibri" w:cs="Calibri"/>
          <w:i/>
          <w:iCs/>
          <w:color w:val="000000"/>
          <w:kern w:val="0"/>
          <w:sz w:val="22"/>
          <w:szCs w:val="22"/>
          <w14:ligatures w14:val="none"/>
        </w:rPr>
        <w:t>S. pseudopneumoniae</w:t>
      </w:r>
      <w:r w:rsidRPr="00FE5D1C">
        <w:rPr>
          <w:rFonts w:ascii="Calibri" w:eastAsia="Times New Roman" w:hAnsi="Calibri" w:cs="Calibri"/>
          <w:color w:val="000000"/>
          <w:kern w:val="0"/>
          <w:sz w:val="22"/>
          <w:szCs w:val="22"/>
          <w14:ligatures w14:val="none"/>
        </w:rPr>
        <w:t> isolates recovered from nasopharyngeal swabs of HIV-positive individuals at three hospitals in Greater Accra Region: University of Ghana, LEKMA, and Korle Bu Teaching Hospital. Samples were plated on 5% sheep blood agar and incubated anaerobically at 37°C for 24 hours. Bacteria were identified using matrix-assisted laser desorption/ionization-time-of-flight mass spectrometry. Antimicrobial susceptibility was tested with seven antibiotics (chloramphenicol, clindamycin, erythromycin, linezolid, tetracycline, trimethoprim-sulfamethoxazole, vancomycin) on MH agar using the disk diffusion method, and results were interpreted per CLSI guidelines. DNA extraction was performed using the QIAamp DNA Mini Kit, quantified with the Qubit 4.0 fluorometer, and libraries were prepared. Sequencing was done on the Illumina MiSeq platform. The reads were trimmed, quality-checked, and assembled using Unicycler. Species identification, resistance, and virulence genes were determined using KmerFinder, ResFinder, CARD, Virulence Finder, and MLST. Both </w:t>
      </w:r>
      <w:r w:rsidRPr="00FE5D1C">
        <w:rPr>
          <w:rFonts w:ascii="Calibri" w:eastAsia="Times New Roman" w:hAnsi="Calibri" w:cs="Calibri"/>
          <w:i/>
          <w:iCs/>
          <w:color w:val="000000"/>
          <w:kern w:val="0"/>
          <w:sz w:val="22"/>
          <w:szCs w:val="22"/>
          <w14:ligatures w14:val="none"/>
        </w:rPr>
        <w:t>S. pneumoniae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 pseudopneumoniae</w:t>
      </w:r>
      <w:r w:rsidRPr="00FE5D1C">
        <w:rPr>
          <w:rFonts w:ascii="Calibri" w:eastAsia="Times New Roman" w:hAnsi="Calibri" w:cs="Calibri"/>
          <w:color w:val="000000"/>
          <w:kern w:val="0"/>
          <w:sz w:val="22"/>
          <w:szCs w:val="22"/>
          <w14:ligatures w14:val="none"/>
        </w:rPr>
        <w:t xml:space="preserve"> showed resistance to SXT and tetracycline, with some isolates also resistant to erythromycin, clindamycin, and chloramphenicol. Most isolates had patA, patB, and pmrA genes, while </w:t>
      </w:r>
      <w:r w:rsidRPr="00FE5D1C">
        <w:rPr>
          <w:rFonts w:ascii="Calibri" w:eastAsia="Times New Roman" w:hAnsi="Calibri" w:cs="Calibri"/>
          <w:color w:val="000000"/>
          <w:kern w:val="0"/>
          <w:sz w:val="22"/>
          <w:szCs w:val="22"/>
          <w14:ligatures w14:val="none"/>
        </w:rPr>
        <w:lastRenderedPageBreak/>
        <w:t>one </w:t>
      </w:r>
      <w:r w:rsidRPr="00FE5D1C">
        <w:rPr>
          <w:rFonts w:ascii="Calibri" w:eastAsia="Times New Roman" w:hAnsi="Calibri" w:cs="Calibri"/>
          <w:i/>
          <w:iCs/>
          <w:color w:val="000000"/>
          <w:kern w:val="0"/>
          <w:sz w:val="22"/>
          <w:szCs w:val="22"/>
          <w14:ligatures w14:val="none"/>
        </w:rPr>
        <w:t>S. pseudopneumoniae</w:t>
      </w:r>
      <w:r w:rsidRPr="00FE5D1C">
        <w:rPr>
          <w:rFonts w:ascii="Calibri" w:eastAsia="Times New Roman" w:hAnsi="Calibri" w:cs="Calibri"/>
          <w:color w:val="000000"/>
          <w:kern w:val="0"/>
          <w:sz w:val="22"/>
          <w:szCs w:val="22"/>
          <w14:ligatures w14:val="none"/>
        </w:rPr>
        <w:t> isolate had additional resistance genes. All </w:t>
      </w:r>
      <w:r w:rsidRPr="00FE5D1C">
        <w:rPr>
          <w:rFonts w:ascii="Calibri" w:eastAsia="Times New Roman" w:hAnsi="Calibri" w:cs="Calibri"/>
          <w:i/>
          <w:iCs/>
          <w:color w:val="000000"/>
          <w:kern w:val="0"/>
          <w:sz w:val="22"/>
          <w:szCs w:val="22"/>
          <w14:ligatures w14:val="none"/>
        </w:rPr>
        <w:t>S. pneumoniae</w:t>
      </w:r>
      <w:r w:rsidRPr="00FE5D1C">
        <w:rPr>
          <w:rFonts w:ascii="Calibri" w:eastAsia="Times New Roman" w:hAnsi="Calibri" w:cs="Calibri"/>
          <w:color w:val="000000"/>
          <w:kern w:val="0"/>
          <w:sz w:val="22"/>
          <w:szCs w:val="22"/>
          <w14:ligatures w14:val="none"/>
        </w:rPr>
        <w:t> isolates had sequence type IDs, but </w:t>
      </w:r>
      <w:r w:rsidRPr="00FE5D1C">
        <w:rPr>
          <w:rFonts w:ascii="Calibri" w:eastAsia="Times New Roman" w:hAnsi="Calibri" w:cs="Calibri"/>
          <w:i/>
          <w:iCs/>
          <w:color w:val="000000"/>
          <w:kern w:val="0"/>
          <w:sz w:val="22"/>
          <w:szCs w:val="22"/>
          <w14:ligatures w14:val="none"/>
        </w:rPr>
        <w:t>S. pseudopneumoniae</w:t>
      </w:r>
      <w:r w:rsidRPr="00FE5D1C">
        <w:rPr>
          <w:rFonts w:ascii="Calibri" w:eastAsia="Times New Roman" w:hAnsi="Calibri" w:cs="Calibri"/>
          <w:color w:val="000000"/>
          <w:kern w:val="0"/>
          <w:sz w:val="22"/>
          <w:szCs w:val="22"/>
          <w14:ligatures w14:val="none"/>
        </w:rPr>
        <w:t> lacked a scheme for comparison.</w:t>
      </w:r>
    </w:p>
    <w:p w14:paraId="2B6CFA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25-A-1766-ASTMH</w:t>
      </w:r>
    </w:p>
    <w:p w14:paraId="0ED02C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6345ED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Unveiling mismatch of RTS, S/AS01 and R21/Matrix-M Malaria Vaccines haplotype among Ethiopian Plasmodium falciparum clinical isolates</w:t>
      </w:r>
    </w:p>
    <w:p w14:paraId="0CA6CB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vaccines, RTS, S/AS01 and R21/Matrix which are based on the Plasmodium falciparum circumsporozoite protein (Pfcsp) have been approved by WHO for broad use in children in Africa. However, the extensive genetic diversity of Pfcsp limited its effectiveness, as vaccine efficacy reduced against non-vaccine strains. Using Oxford Nanopore Technology, we conducted amplicon sequencing of the full-length Pfcsp gene from 96 clinical isolates collected from three health centers in Ethiopia and compared the results against a reference genome. The result showed absence of population differentiation among the Ethiopian isolates. The N-terminal region was relatively conserved, with a KLKQP motif was present across all isolates. However, mutation at position A98G and an insertion of amino acids (DGNNNNGDNGREGKDEDKR) were identified in this region. The number of NANP and NVDP repeats of the central region per haplotype ranged from 39 to 42. Additionally, the Th2R and Th3R epitopes in the C-terminal region exhibited significant polymorphism with at least one amino acid substitution compared to the reference strains. Notably, none of the Ethiopian Pfcsp haplotypes matched the vaccine haplotype. Furthermore, haplotype network and phylogenetic tree analyses shown considerable similarity among local and global isolates. This study demonstrated a high genetic diversity in Pfcsp, underscoring the need for further research to guide allele selection for universal or region-specific vaccine development, as this variability may impact vaccine efficacy.</w:t>
      </w:r>
    </w:p>
    <w:p w14:paraId="75C897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25-A-1768-ASTMH</w:t>
      </w:r>
    </w:p>
    <w:p w14:paraId="2B5C70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14658E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Impact of Climate Change and Human Behavior on the Future Spread and Epidemic Risk of Yellow Fever: a Scoping Literature Review</w:t>
      </w:r>
    </w:p>
    <w:p w14:paraId="1707E4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Yellow fever (YF) is a mosquito-borne disease with epidemic potential despite the availability of effective vaccines. This scoping literature review evaluates the current evidence on the impact of climate change and human behavior on the future spread and epidemic risk of YF. A comprehensive search was conducted across electronic databases (PubMed/MEDLINE, Embase, Cochrane Library) and congress abstract books from relevant conferences. All studies reporting YF disease cases or the mosquito vector were considered. The review included 42 studies published between 2009 and 2024, comprising predictive modelling, observational studies, and mixed methods research. Studies were categorized based on their focus on vector distribution, abundance, and disease transmission. The findings indicate variability in the projected impacts. Climate change is expected to cause significant shifts in the geographical distribution of YF vectors, particularly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with potential expansions into new areas such as southern Europe and parts of North America. However, some studies suggest that certain regions like parts of Brazil and Columbia may experience a decrease in vector suitability due to extreme temperature increases. Temperature changes are identified as a primary driver affecting vector densities, with warmer conditions generally favoring the establishment and expansion of vectors. In endemic regions, climate variation may lead to increased exposure risks for human populations. Human activities such as urbanization and land use changes create new habitats for mosquito populations, leading to increased infestation rates. Urban development dynamics and higher human population densities may result in faster and earlier infestation rates of mosquitoes. Our review highlights the complexity of predicting YF transmission due to the interplay of climate variability, climate change and human behavior. It underscores the importance of evaluating current evidence to understand the potential future expansion of YF and to inform public health strategies aimed at preventing and controlling outbreaks.</w:t>
      </w:r>
    </w:p>
    <w:p w14:paraId="24DDFF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25-A-1769-ASTMH</w:t>
      </w:r>
    </w:p>
    <w:p w14:paraId="7399BC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6BCED8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Effectiveness of benznidazole in the treatment of Chagas disease in children and adults, a long-term retrospective cohort study</w:t>
      </w:r>
    </w:p>
    <w:p w14:paraId="795906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Chagas disease, caused by Trypanosoma Cruzi, is endemic to the Americas but has spread worldwide due to migration. Benznidazole is effective, but long-term follow-up efficacy studies with benznidazole are few and they include only small numbers of patients.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We analyzed data from a retrospective cohort of Chagas disease patients treated with benznidazole at a large tertiary center in Argentina (1980-2019). Treatment response was assessed through clinical, parasitological, and serological follow-up. Parasitemia was evaluated by direct visualization or qPCR.</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A total of 567 benznidazole-treated patients were identified; 411 were children (median age: 46 months (IQR: 9.5 - 124 months) and 53 adults (median: 26 years, IQR 20 - 34 years). At diagnosis, 11/411 (2.68%) of children and 1/53 (1.9%) of adults were symptomatic, all of whom improved after treatment. Baseline parasitemia was detected in 289/445 (64.94%) of patients, and 279/289 (96.54%) had parasitological follow-up for at least three years. Benznidazole dosing was 6.6 mg/kg/day for children and 5.6 mg/kg/day for adults, with median treatment durations of 8 weeks and 31 days, respectively. All patients cleared parasitemia at the end of treatment. Median serological follow-up was 4.8 years for children (IQR: 22.4-111.5 months) and 2.8 years for adults (IQR: 10.3-67.9 months). At one-year follow-up, 38.8% of patients showed &gt;20% reduction in </w:t>
      </w:r>
      <w:r w:rsidRPr="00FE5D1C">
        <w:rPr>
          <w:rFonts w:ascii="Calibri" w:eastAsia="Times New Roman" w:hAnsi="Calibri" w:cs="Calibri"/>
          <w:i/>
          <w:iCs/>
          <w:color w:val="000000"/>
          <w:kern w:val="0"/>
          <w:sz w:val="22"/>
          <w:szCs w:val="22"/>
          <w14:ligatures w14:val="none"/>
        </w:rPr>
        <w:t>T. Cruzi</w:t>
      </w:r>
      <w:r w:rsidRPr="00FE5D1C">
        <w:rPr>
          <w:rFonts w:ascii="Calibri" w:eastAsia="Times New Roman" w:hAnsi="Calibri" w:cs="Calibri"/>
          <w:color w:val="000000"/>
          <w:kern w:val="0"/>
          <w:sz w:val="22"/>
          <w:szCs w:val="22"/>
          <w14:ligatures w14:val="none"/>
        </w:rPr>
        <w:t> antibody titers, and 29.8% achieved seronegativity, with younger patients converting faster (p &lt; 0.01).</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this Argentinian cohort, Benznidazole was highly effective, leading to sustained parasitemia clearance and declining antibody titers, supporting early treatment initiation.</w:t>
      </w:r>
    </w:p>
    <w:p w14:paraId="6752CC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25-A-1770-ASTMH</w:t>
      </w:r>
    </w:p>
    <w:p w14:paraId="6E85BE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1BE79C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Children’s exposure to insecticides linked to vector control in Benin</w:t>
      </w:r>
    </w:p>
    <w:p w14:paraId="1F7009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Long-Lasting Insecticide Treated nets (LLINS) using pyrethroids are the main tools for malaria prevention. Other tools are also commonly used, such as coils and sprays containing pyrethroids, but are not recommended by WHO. In Europe and in the United States, recent literature shows evidence of the adverse impact of pyrethroids on children’s neurocognition. Pregnant women and children may be exposed to pyrethroids through skin contact, inhalation, or food consumption. However, it is unknown to what extent LLINs and coils expose these populations to pyrethroids. Our goal was to describe the exposure to pyrethroids and to investigate the association between pyrethroid metabolites in 166 six-year-old children and use of bednets, sprays and coils. Data come from a birth cohort in the district of Allada, a semi rural area in south Benin, where first-morning void urine samples were collected. Four pyrethroid metabolites were measured (cisDBCA, specific to deltamethrin; cisDCCA and transDCCA, known metabolites of cypermethrin, cyfluthrin, permethrin; and 3PBA, metabolites of numerous pyrethroids). Questionnaires on bednet use the night prior to the sample collection, and use of coils by the family were administered. Out of 166 children, 85% of them had slept under the bednet the night prior to urine sample; 22% of families were using coils and 7% were using sprays indoor. The medians (minimum; maximum) for cisDBCA, cisDCCA, transDCCA, and 3PBA were 0.42 micrograms/liter (0.04; 27.4), 0.26 (0.03; 23.8), 0.66 (0.03; 58.8), 1.34 (0.09; 48.0), respectively. After adjustment for use of coils and presence of pesticides in crops around households, urinary concentrations of three pyrethroid metabolites (log-scale) were positively associated with use of bednet (p-value&lt;0.03): CisDCCA, TransDCCA, 3PBA. Our results are preliminary and suggest that use of insecticides for vector control may expose populations to pyrethroids. Studies should be pursued on whether LLINs directly expose populations to pyrethroids in order to better estimate their benefit/risk balance and, if required, ways to reduce exposure.</w:t>
      </w:r>
    </w:p>
    <w:p w14:paraId="2820C54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25-A-1771-ASTMH</w:t>
      </w:r>
    </w:p>
    <w:p w14:paraId="0C3C2E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Clinical Tropical Medicine</w:t>
      </w:r>
    </w:p>
    <w:p w14:paraId="7BBD723D" w14:textId="3B6DDC1C"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Advancing Clinical Tropical Medicine in Rural and Conflict-Affected Communities in Cameroon through Mobile Clinics and Community Outreach</w:t>
      </w:r>
    </w:p>
    <w:p w14:paraId="2DD48F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management of tropical diseases such as malaria, diarrhoeal diseases and neglected tropical diseases in rural communities in Cameroon is significantly hampered by several challenges, including healthcare worker shortages, low community awareness and low access to healthcare services. The ongoing conflict in the rural communities of the Anglophone regions has further exacerbated the healthcare crisis. We aimed to evaluate the effectiveness of mobile clinics and community outreach in advancing clinical tropical medicine in rural and conflict-affected communities in Cameroon. This cross-sectional observational study was conducted in 15 rural and conflict-affected communities in Cameroon. Mobile clinics were carried out monthly for two years to provide on-site consultations, diagnostic testing, and treatment for tropical diseases. We also conducted community outreach activities, which included health education and awareness campaigns. A total of 2,200 patients were reached with healthcare services and awareness messages. The most common tropical diseases diagnosed were malaria (40.2%), intestinal parasites (30.4%), and diarrhoeal diseases (21.4%). Mobile clinics and community outreach activities resulted in significant improvements in diagnostic accuracy (94.5% vs. 48.2%, p &lt; 0.001), treatment outcomes (90.1% vs. 56.1%, p &lt; 0.001), and patient satisfaction (89.4% vs. 57.5%, p= 0.004) compared to routine healthcare services. Mobile clinics and community outreach activities are effective strategies for advancing clinical tropical medicine in rural and conflict-affected communities in Cameroon. These interventions can improve access to healthcare services, diagnostic accuracy, treatment outcomes, and patient satisfaction, even in the context of ongoing conflict.</w:t>
      </w:r>
    </w:p>
    <w:p w14:paraId="4E9FD4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25-A-1772-ASTMH</w:t>
      </w:r>
    </w:p>
    <w:p w14:paraId="64B922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2D7059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In-Country Genomic Surveillance of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 Resistance to Sulfadoxine-Pyrimethamine Among Pregnant Women in Nigeria Using Oxford Nanopore Technology</w:t>
      </w:r>
    </w:p>
    <w:p w14:paraId="4A2117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in pregnancy remains a major health concern in sub-Saharan Africa. WHO recommends intermittent preventive treatment with sulfadoxine-pyrimethamine (IPTp-SP) to prevent maternal anemia, low birth weight, and preterm delivery, but its effectiveness is threatened by rising SP-resistant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strains. This study uses Oxford Nanopore sequencing to analyze resistance dynamics, persistence, reinfection, and treatment effectiveness in Nigerian pregnant women. 140 pregnant women in Ogbomoso, Nigeria, receiving IPTp-SP were followed during the second and third trimesters. Paired dry blood spots were collected for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screening using 18SrRNA PCR and VarATS qPCR. Multiplex PCR was performed with NOMADS-MVP, consisting of 9 primer pairs targeting drug-resistance genes, polymorphic markers, and vaccine targets. PCR products were sequenced using ONT. Within sample allelic frequency, heterozygosity was analyzed between the positive samples' two-time points. Among the140 pregnant women,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was detected in 19% and 15% during the second and third trimesters, respectively. Ten (7%) samples were positive across both trimesters, with a significant parasitemia decrease from 81,225 to 10,309 parasites/µL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0.001). Analysis identified </w:t>
      </w:r>
      <w:r w:rsidRPr="00FE5D1C">
        <w:rPr>
          <w:rFonts w:ascii="Calibri" w:eastAsia="Times New Roman" w:hAnsi="Calibri" w:cs="Calibri"/>
          <w:i/>
          <w:iCs/>
          <w:color w:val="000000"/>
          <w:kern w:val="0"/>
          <w:sz w:val="22"/>
          <w:szCs w:val="22"/>
          <w14:ligatures w14:val="none"/>
        </w:rPr>
        <w:t>pfcrt</w:t>
      </w:r>
      <w:r w:rsidRPr="00FE5D1C">
        <w:rPr>
          <w:rFonts w:ascii="Calibri" w:eastAsia="Times New Roman" w:hAnsi="Calibri" w:cs="Calibri"/>
          <w:color w:val="000000"/>
          <w:kern w:val="0"/>
          <w:sz w:val="22"/>
          <w:szCs w:val="22"/>
          <w14:ligatures w14:val="none"/>
        </w:rPr>
        <w:t> K76T,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(N86Y, Y184F, N1042D), and a novel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F1063Y mutation in all paired samples. Three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(N51I, C59R, S108N) and six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(I431V, S436A/F, A437G, A581G, A613S) mutations were consistently detected. Additionally, 38 </w:t>
      </w:r>
      <w:r w:rsidRPr="00FE5D1C">
        <w:rPr>
          <w:rFonts w:ascii="Calibri" w:eastAsia="Times New Roman" w:hAnsi="Calibri" w:cs="Calibri"/>
          <w:i/>
          <w:iCs/>
          <w:color w:val="000000"/>
          <w:kern w:val="0"/>
          <w:sz w:val="22"/>
          <w:szCs w:val="22"/>
          <w14:ligatures w14:val="none"/>
        </w:rPr>
        <w:t>pfama1</w:t>
      </w:r>
      <w:r w:rsidRPr="00FE5D1C">
        <w:rPr>
          <w:rFonts w:ascii="Calibri" w:eastAsia="Times New Roman" w:hAnsi="Calibri" w:cs="Calibri"/>
          <w:color w:val="000000"/>
          <w:kern w:val="0"/>
          <w:sz w:val="22"/>
          <w:szCs w:val="22"/>
          <w14:ligatures w14:val="none"/>
        </w:rPr>
        <w:t> and 25 </w:t>
      </w:r>
      <w:r w:rsidRPr="00FE5D1C">
        <w:rPr>
          <w:rFonts w:ascii="Calibri" w:eastAsia="Times New Roman" w:hAnsi="Calibri" w:cs="Calibri"/>
          <w:i/>
          <w:iCs/>
          <w:color w:val="000000"/>
          <w:kern w:val="0"/>
          <w:sz w:val="22"/>
          <w:szCs w:val="22"/>
          <w14:ligatures w14:val="none"/>
        </w:rPr>
        <w:t>pfcsp</w:t>
      </w:r>
      <w:r w:rsidRPr="00FE5D1C">
        <w:rPr>
          <w:rFonts w:ascii="Calibri" w:eastAsia="Times New Roman" w:hAnsi="Calibri" w:cs="Calibri"/>
          <w:color w:val="000000"/>
          <w:kern w:val="0"/>
          <w:sz w:val="22"/>
          <w:szCs w:val="22"/>
          <w14:ligatures w14:val="none"/>
        </w:rPr>
        <w:t> mutations remained unchanged, while </w:t>
      </w:r>
      <w:r w:rsidRPr="00FE5D1C">
        <w:rPr>
          <w:rFonts w:ascii="Calibri" w:eastAsia="Times New Roman" w:hAnsi="Calibri" w:cs="Calibri"/>
          <w:i/>
          <w:iCs/>
          <w:color w:val="000000"/>
          <w:kern w:val="0"/>
          <w:sz w:val="22"/>
          <w:szCs w:val="22"/>
          <w14:ligatures w14:val="none"/>
        </w:rPr>
        <w:t>pfkelch13</w:t>
      </w:r>
      <w:r w:rsidRPr="00FE5D1C">
        <w:rPr>
          <w:rFonts w:ascii="Calibri" w:eastAsia="Times New Roman" w:hAnsi="Calibri" w:cs="Calibri"/>
          <w:color w:val="000000"/>
          <w:kern w:val="0"/>
          <w:sz w:val="22"/>
          <w:szCs w:val="22"/>
          <w14:ligatures w14:val="none"/>
        </w:rPr>
        <w:t> mutations were absent. Allelic frequency analysis showed significant differences between trimesters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0.05), indicating distinct parasite populations over time. However, low heterozygosity (</w:t>
      </w:r>
      <w:r w:rsidRPr="00FE5D1C">
        <w:rPr>
          <w:rFonts w:ascii="Calibri" w:eastAsia="Times New Roman" w:hAnsi="Calibri" w:cs="Calibri"/>
          <w:i/>
          <w:iCs/>
          <w:color w:val="000000"/>
          <w:kern w:val="0"/>
          <w:sz w:val="22"/>
          <w:szCs w:val="22"/>
          <w14:ligatures w14:val="none"/>
        </w:rPr>
        <w:t>He</w:t>
      </w:r>
      <w:r w:rsidRPr="00FE5D1C">
        <w:rPr>
          <w:rFonts w:ascii="Calibri" w:eastAsia="Times New Roman" w:hAnsi="Calibri" w:cs="Calibri"/>
          <w:color w:val="000000"/>
          <w:kern w:val="0"/>
          <w:sz w:val="22"/>
          <w:szCs w:val="22"/>
          <w14:ligatures w14:val="none"/>
        </w:rPr>
        <w:t>) suggests recrudescence as the predominant pattern, with a slight increase from 0.04 to 0.08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0.04), indicating some introduction of new variants. The widespread </w:t>
      </w:r>
      <w:r w:rsidRPr="00FE5D1C">
        <w:rPr>
          <w:rFonts w:ascii="Calibri" w:eastAsia="Times New Roman" w:hAnsi="Calibri" w:cs="Calibri"/>
          <w:i/>
          <w:iCs/>
          <w:color w:val="000000"/>
          <w:kern w:val="0"/>
          <w:sz w:val="22"/>
          <w:szCs w:val="22"/>
          <w14:ligatures w14:val="none"/>
        </w:rPr>
        <w:t>pfdhfr/pfdhps</w:t>
      </w:r>
      <w:r w:rsidRPr="00FE5D1C">
        <w:rPr>
          <w:rFonts w:ascii="Calibri" w:eastAsia="Times New Roman" w:hAnsi="Calibri" w:cs="Calibri"/>
          <w:color w:val="000000"/>
          <w:kern w:val="0"/>
          <w:sz w:val="22"/>
          <w:szCs w:val="22"/>
          <w14:ligatures w14:val="none"/>
        </w:rPr>
        <w:t> mutations indicate high SP resistance, threatening IPT efficacy. This study implements in-country nanopore surveillance, supporting malaria control and elimination in SSA.</w:t>
      </w:r>
    </w:p>
    <w:p w14:paraId="72841E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25-A-1773-ASTMH</w:t>
      </w:r>
    </w:p>
    <w:p w14:paraId="5196C5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Malaria - Antimalarial Resistance and Chemotherapy</w:t>
      </w:r>
    </w:p>
    <w:p w14:paraId="201CD0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Presence of mutant Plasmodium falciparum parasites lacking pfhrp2 genes and high prevalence of K13 mutations in military and civilian populations in Cambodia</w:t>
      </w:r>
    </w:p>
    <w:p w14:paraId="0C8325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Cambodia, a hotspot for artemisinin resistance, failures of malaria rapid diagnostic tests (RDTs) due toPlasmodium falciparum histidine-rich protein (HRP) 2 and HRP3 gene deletions are rarely reported. We analyzedpfhrp2 and pfhrp3 status in 235 P. falciparum-infected blood samples collected from three provinces from military and civilian populations (2016-2022)using multiplex qPCR. Single pfhrp2 deletions were found in 5.4% (11/205) of valid samples, while pfhrp3 and double pfhrp2/3 deletions were absent. Whole genome sequencing of isolates revealed high prevalence of kelch13(k13) mutations linked to artemisinin resistance, with C580Y and R539T mutations found in 73.8% and 7.1% of samples, respectively. Co-occurrence of pfhrp2 deletions and k13 mutations, genetically clustered together, suggestsclonal expansion of parasites with both traits. This highlights the emergence of diagnostically challenging, partial artemisinin resistant parasite strains. Ongoing surveillance of pfhrp2/3 deletions and k13 mutations is critical foroptimizing malaria diagnostics and treatment strategies in Cambodia.</w:t>
      </w:r>
    </w:p>
    <w:p w14:paraId="1E43C3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25-A-1774-ASTMH</w:t>
      </w:r>
    </w:p>
    <w:p w14:paraId="28A356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1D4CDF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Fine scale spatial mapping of urban malaria prevalence for microstratification in an urban area of Ghana</w:t>
      </w:r>
    </w:p>
    <w:p w14:paraId="2935AE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in urban areas is a growing concern in most sub-Saharan African countries. The growing threats of </w:t>
      </w: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and insecticide resistance magnify this concern and hamper elimination efforts. It is therefore imperative to identify areas, within urban settings, of high-risk of malaria to help better target interventions. In this study, we combined a set of environmental, climatic, and urban covariates with observed data from a malaria prevalence study and used geospatial methods to predict malaria risk in the Greater Accra Region of Ghana. Georeferenced data from 12,371 surveyed children aged between 6 months and 10 years were included in the analysis. Predicted malaria prevalence in this age group ranged from 0 to 52%. Satellite-driven data on tasselled cap brightness, enhanced vegetation index and a combination of urban covariates were predictive of malaria prevalence in the study region. We produced a map that quantified the probability of malaria prevalence exceeding 10%. This map revealed areas within the districts earmarked for malaria elimination that have high malaria risk. This work is providing evidence for use by the National Malaria Elimination Program and District Health Managers in planning and deploying appropriate malaria control strategies.</w:t>
      </w:r>
    </w:p>
    <w:p w14:paraId="0B82B6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25-A-1775-ASTMH</w:t>
      </w:r>
    </w:p>
    <w:p w14:paraId="308EA8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6BEAB9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Pathogenic Potential of non-clinical </w:t>
      </w:r>
      <w:r w:rsidRPr="00FE5D1C">
        <w:rPr>
          <w:rFonts w:ascii="Calibri" w:eastAsia="Times New Roman" w:hAnsi="Calibri" w:cs="Calibri"/>
          <w:b/>
          <w:bCs/>
          <w:i/>
          <w:iCs/>
          <w:color w:val="000000"/>
          <w:kern w:val="0"/>
          <w:sz w:val="22"/>
          <w:szCs w:val="22"/>
          <w14:ligatures w14:val="none"/>
        </w:rPr>
        <w:t>Vibrio parahaemolyticus </w:t>
      </w:r>
      <w:r w:rsidRPr="00FE5D1C">
        <w:rPr>
          <w:rFonts w:ascii="Calibri" w:eastAsia="Times New Roman" w:hAnsi="Calibri" w:cs="Calibri"/>
          <w:b/>
          <w:bCs/>
          <w:color w:val="000000"/>
          <w:kern w:val="0"/>
          <w:sz w:val="22"/>
          <w:szCs w:val="22"/>
          <w14:ligatures w14:val="none"/>
        </w:rPr>
        <w:t>in Vietnam</w:t>
      </w:r>
    </w:p>
    <w:p w14:paraId="26E172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Vibrio parahaemolyticus</w:t>
      </w:r>
      <w:r w:rsidRPr="00FE5D1C">
        <w:rPr>
          <w:rFonts w:ascii="Calibri" w:eastAsia="Times New Roman" w:hAnsi="Calibri" w:cs="Calibri"/>
          <w:color w:val="000000"/>
          <w:kern w:val="0"/>
          <w:sz w:val="22"/>
          <w:szCs w:val="22"/>
          <w14:ligatures w14:val="none"/>
        </w:rPr>
        <w:t xml:space="preserve">, a marine bacterium, is a leading cause of seafood-borne gastroenteritis globally. Since 1996, pandemic strains, especially the O3:K6 serotype, and its variants, have been responsible for widespread outbreaks. Its virulence is mainly due to thermostable direct hemolysin (TDH), TDH-related hemolysin (TRH), and type III secretion systems (T3SS1 and T3SS2). These virulence factors, except for T3SS1 are typically absent in non-clinical strains, though recent studies have detected them in such isolates. The production of these virulence factors at the protein level in non-clinical strains and their pathogenic potential remain underexplored. This study evaluated the production and secretion of TDH and T3SS-related proteins (VopD1, VopD2) in two non-clinical strains from Vietnam, isolated from shrimp and environmental water, which belong to the pandemic clade. Immunoblotting showed that these strains produced and secreted TDH, VopD1, and VopD2 at levels comparable to those of a clinical reference strain. Bile acid, which induces T3SS2 and TDH in clinical strains, also promoted the production of these factors in non-clinical strains. This suggests that the regulatory mechanisms for </w:t>
      </w:r>
      <w:r w:rsidRPr="00FE5D1C">
        <w:rPr>
          <w:rFonts w:ascii="Calibri" w:eastAsia="Times New Roman" w:hAnsi="Calibri" w:cs="Calibri"/>
          <w:color w:val="000000"/>
          <w:kern w:val="0"/>
          <w:sz w:val="22"/>
          <w:szCs w:val="22"/>
          <w14:ligatures w14:val="none"/>
        </w:rPr>
        <w:lastRenderedPageBreak/>
        <w:t>virulence factor production in non-clinical strains are similar to those in clinical strains. A rabbit ileal loop assay was performed to assess enterotoxicity of these strains, with fluid accumulation observed only in strains with functional T3SS2. Strains lacking T3SS2 or both secretion systems did not cause fluid accumulation. Genetic complementation of T3SS2 deletion mutants restored VopD2 secretion and fluid accumulation.These findings indicate that the non-clinical V. parahaemolyticus strains pose a potential public health risk, emphasizing the need for active surveillance of environmental strains for pathogenic traits.</w:t>
      </w:r>
    </w:p>
    <w:p w14:paraId="31E0EE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25-A-1776-ASTMH</w:t>
      </w:r>
    </w:p>
    <w:p w14:paraId="1D2400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0939F5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Associations Between Frequency of Malaria Infections During the First Year of Life and Early Childhood Development at One Year of Age in Benin</w:t>
      </w:r>
    </w:p>
    <w:p w14:paraId="0F85C8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challenge in Benin. This study investigates the association between malaria infections during the first year of life and neurodevelopmental outcomes at 12 months, assessed using the Mullen Scales of Early Learning (MSEL). Data from 311 children enrolled in a birth cohort nested within the MiPPAD clinical trial were analyzed using Generalized Linear Models (GLMs) with a Gaussian distribution and identity link function, adjusting for key sociodemographic and biological confounders. Mediation analysis explored the potential role of hemoglobin concentration in these associations. The findings indicate that a higher frequency of symptomatic malaria (β = -3.11, 95% CI: -5.02, -1.19, p &lt; 0.01) and malaria with anemia (β = -1.59, 95% CI: -3.08, -0.09, p &lt; 0.05) were significantly associated with poorer gross motor development at 12 months, while associations with cognitive abilities were less pronounced (p &lt; 0.1). The mediation analysis suggested that hemoglobin concentration might partially mediate the relationship between symptomatic malaria and gross motor development, although the effect was not definitive (p = 0.05). These findings highlight the substantial impact of early malaria exposure on gross motor skills and underscore the need for integrated strategies targeting malaria and anemia prevention in young children, especially those in high malaria burden settings.</w:t>
      </w:r>
    </w:p>
    <w:p w14:paraId="1A7ACA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25-A-1777-ASTMH</w:t>
      </w:r>
    </w:p>
    <w:p w14:paraId="73B946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25D2C7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effects of malaria in pregnancy on children’s socio-emotional development at 6 years of Age in Benin: A prospective mother-child cohort</w:t>
      </w:r>
    </w:p>
    <w:p w14:paraId="2238ED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Malaria during pregnancy is linked to several direct and indirect pathways that may affect children’s development. Malaria in pregnancy is associated with low birthweight and preterm birth—factors known to impact cognitive and socio-emotional development and increase the risk of conditions such as cerebral palsy. However, research from Sub-Saharan Africa on malaria’s impact on socio-emotional outcomes remains scarce, with most studies focused on neurocognitive effects. To address this gap, our study examined the effects of malaria during pregnancy at various time points on children’s internalizing and externalizing symptoms (using the Strengths and Difficulties Questionnaire, SDQ) and ADHD symptoms (using the Test of Variables of Attention, TOVA) at age 6. This research draws on data from the Pregnancy Preventive Alternative Drugs (MiPPAD) clinical trial (NCT00811421), a prospective mother-child cohort, and the nested Anemia in Pregnancy: Etiologies and Consequences (APEC) study, which tracked parasitic infections during pregnancy. Surviving children underwent socio-emotional assessments at age 6 through the EXPLORE study across three health centers in the Allada district of Benin (Sékou, Allada, and Attogon). Malaria exposure was determined by blood smear or PCR testing at the first (N=505), second (N=502), and third prenatal visits (N=468), at delivery (N=402), and through placental testing (N=401). Additionally, 79 emergency visit tests were positive. ADHD symptom data were available for 452 children. We used unadjusted and adjusted linear regression models to assess associations between malaria exposure and socio-emotional outcomes, controlling for maternal, household, and birth characteristics. No significant associations were found between malaria (at any </w:t>
      </w:r>
      <w:r w:rsidRPr="00FE5D1C">
        <w:rPr>
          <w:rFonts w:ascii="Calibri" w:eastAsia="Times New Roman" w:hAnsi="Calibri" w:cs="Calibri"/>
          <w:color w:val="000000"/>
          <w:kern w:val="0"/>
          <w:sz w:val="22"/>
          <w:szCs w:val="22"/>
          <w14:ligatures w14:val="none"/>
        </w:rPr>
        <w:lastRenderedPageBreak/>
        <w:t>time point) or placental malaria and internalizing, externalizing, or ADHD symptoms. These results suggest malaria in pregnancy may not lead to long-term socio-emotional difficulties. Future research should assess earlier developmental stages and consider protective influences such as home environment and schooling.</w:t>
      </w:r>
    </w:p>
    <w:p w14:paraId="7CF91F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25-A-1778-ASTMH</w:t>
      </w:r>
    </w:p>
    <w:p w14:paraId="7C43E8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543E82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Evaluation of CRISPR-based detection of cell-free bacterial DNA in plasma for diagnosis of pulmonary tuberculosis in Bolivian children</w:t>
      </w:r>
    </w:p>
    <w:p w14:paraId="7D17E7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Tuberculosis (TB) continues to be an underappreciated public health problem in children. Diagnosing TB in young children is difficult due to the absence of sputum for microbiologic testing and the non-specificity of symptoms. In 2024, 8000 pediatric TB cases were reported in Bolivia, with the highest incidence in the department of Santa Cruz (46% of the total). Herein we present preliminary data from an NHI-funded longitudinal study to evaluate a new CRISPR-mediated TB assay to detect cell-free genetic material (cfDNA) of Mycobacterium tuberculosis in blood. Children aged 2 months to 14 years with clinical suspicion of pulmonary TB were enrolled at the Ortiz Suarez Children's Hospital in Santa Cruz starting in April 2024. Subjects were evaluated with respiratory or gastric aspirates for microbiologic testing, and suspected TB patients were classified according to the 2015 NIH Expert Consensus as: TB Confirmed (symptoms of TB and positive TB</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culture or Xpert MTB/RIF), TB Unconfirmed (symptoms, abnormal CXR consistent with TB, and negative TB culture and Xpert) and TB Unlikely (symptoms, does not meet the criteria for TB unconfirmed). We enrolled 78 HIV negative children with a mean age of 6 years, and 58% were male. To date, 118 plasma specimens were tested from 58 case subjects and 5 controls, and results are available from 58 initial specimens from treatment-naïve case subjects and from 20 subjects who had post-treatment follow-ups collected at 1 week, 2 weeks, and 2 months post-onset of TB therapy. Preliminary results show a clear trend of higher mean CRISPR a.u. values among confirmed cases (17,846) as compared to unconfirmed (10,939) and unlikely TB (13,023), but we still encountered several patients in the unlikely TB group with very high CRISPR results. However, the most striking finding is the major increase in mean a.u. observed in the post onset of treatment specimens (mean a.u. 29,490). In most patients, the CRISPR values for follow-up specimens were far higher than the initial pre-treatment value, suggesting the detection of TB DNA from bacterial lysis. Cell-free DNA assays show promising results as a potential diagnostic test for pediatric TB.</w:t>
      </w:r>
    </w:p>
    <w:p w14:paraId="191DFA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25-A-1779-ASTMH</w:t>
      </w:r>
    </w:p>
    <w:p w14:paraId="2E2114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46256EA0" w14:textId="00A1E103"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Genomic characterization of arboviruses discovered between the 1950s and 1980s</w:t>
      </w:r>
    </w:p>
    <w:p w14:paraId="2511D3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Arboviruses pose a major threat to global public health, impacting both human and animal health. Genomic characterization is important for arboviruses because it allows for an understanding of their evolution and improves timely outbreak and epidemic response. In this study, we used high-throughput sequencing and computational analyses for the genomic and evolutionary characterization of 43 previously unsequenced or partially sequenced arbovirus isolates collected across 23 countries between 1954 and 1984. Our analyses revealed that these viruses belong to 11 genera in eight viral families, including </w:t>
      </w:r>
      <w:r w:rsidRPr="00FE5D1C">
        <w:rPr>
          <w:rFonts w:ascii="Calibri" w:eastAsia="Times New Roman" w:hAnsi="Calibri" w:cs="Calibri"/>
          <w:i/>
          <w:iCs/>
          <w:color w:val="000000"/>
          <w:kern w:val="0"/>
          <w:sz w:val="22"/>
          <w:szCs w:val="22"/>
          <w14:ligatures w14:val="none"/>
        </w:rPr>
        <w:t>Sedoreoviridae</w:t>
      </w:r>
      <w:r w:rsidRPr="00FE5D1C">
        <w:rPr>
          <w:rFonts w:ascii="Calibri" w:eastAsia="Times New Roman" w:hAnsi="Calibri" w:cs="Calibri"/>
          <w:color w:val="000000"/>
          <w:kern w:val="0"/>
          <w:sz w:val="22"/>
          <w:szCs w:val="22"/>
          <w14:ligatures w14:val="none"/>
        </w:rPr>
        <w:t> (n=24), </w:t>
      </w:r>
      <w:r w:rsidRPr="00FE5D1C">
        <w:rPr>
          <w:rFonts w:ascii="Calibri" w:eastAsia="Times New Roman" w:hAnsi="Calibri" w:cs="Calibri"/>
          <w:i/>
          <w:iCs/>
          <w:color w:val="000000"/>
          <w:kern w:val="0"/>
          <w:sz w:val="22"/>
          <w:szCs w:val="22"/>
          <w14:ligatures w14:val="none"/>
        </w:rPr>
        <w:t>Peribunyaviridae</w:t>
      </w:r>
      <w:r w:rsidRPr="00FE5D1C">
        <w:rPr>
          <w:rFonts w:ascii="Calibri" w:eastAsia="Times New Roman" w:hAnsi="Calibri" w:cs="Calibri"/>
          <w:color w:val="000000"/>
          <w:kern w:val="0"/>
          <w:sz w:val="22"/>
          <w:szCs w:val="22"/>
          <w14:ligatures w14:val="none"/>
        </w:rPr>
        <w:t> (n=11), </w:t>
      </w:r>
      <w:r w:rsidRPr="00FE5D1C">
        <w:rPr>
          <w:rFonts w:ascii="Calibri" w:eastAsia="Times New Roman" w:hAnsi="Calibri" w:cs="Calibri"/>
          <w:i/>
          <w:iCs/>
          <w:color w:val="000000"/>
          <w:kern w:val="0"/>
          <w:sz w:val="22"/>
          <w:szCs w:val="22"/>
          <w14:ligatures w14:val="none"/>
        </w:rPr>
        <w:t>Rhabdoviridae</w:t>
      </w:r>
      <w:r w:rsidRPr="00FE5D1C">
        <w:rPr>
          <w:rFonts w:ascii="Calibri" w:eastAsia="Times New Roman" w:hAnsi="Calibri" w:cs="Calibri"/>
          <w:color w:val="000000"/>
          <w:kern w:val="0"/>
          <w:sz w:val="22"/>
          <w:szCs w:val="22"/>
          <w14:ligatures w14:val="none"/>
        </w:rPr>
        <w:t> (n=3), </w:t>
      </w:r>
      <w:r w:rsidRPr="00FE5D1C">
        <w:rPr>
          <w:rFonts w:ascii="Calibri" w:eastAsia="Times New Roman" w:hAnsi="Calibri" w:cs="Calibri"/>
          <w:i/>
          <w:iCs/>
          <w:color w:val="000000"/>
          <w:kern w:val="0"/>
          <w:sz w:val="22"/>
          <w:szCs w:val="22"/>
          <w14:ligatures w14:val="none"/>
        </w:rPr>
        <w:t>Spinareoviridae</w:t>
      </w:r>
      <w:r w:rsidRPr="00FE5D1C">
        <w:rPr>
          <w:rFonts w:ascii="Calibri" w:eastAsia="Times New Roman" w:hAnsi="Calibri" w:cs="Calibri"/>
          <w:color w:val="000000"/>
          <w:kern w:val="0"/>
          <w:sz w:val="22"/>
          <w:szCs w:val="22"/>
          <w14:ligatures w14:val="none"/>
        </w:rPr>
        <w:t> (n=1), </w:t>
      </w:r>
      <w:r w:rsidRPr="00FE5D1C">
        <w:rPr>
          <w:rFonts w:ascii="Calibri" w:eastAsia="Times New Roman" w:hAnsi="Calibri" w:cs="Calibri"/>
          <w:i/>
          <w:iCs/>
          <w:color w:val="000000"/>
          <w:kern w:val="0"/>
          <w:sz w:val="22"/>
          <w:szCs w:val="22"/>
          <w14:ligatures w14:val="none"/>
        </w:rPr>
        <w:t>Phenuiviridae</w:t>
      </w:r>
      <w:r w:rsidRPr="00FE5D1C">
        <w:rPr>
          <w:rFonts w:ascii="Calibri" w:eastAsia="Times New Roman" w:hAnsi="Calibri" w:cs="Calibri"/>
          <w:color w:val="000000"/>
          <w:kern w:val="0"/>
          <w:sz w:val="22"/>
          <w:szCs w:val="22"/>
          <w14:ligatures w14:val="none"/>
        </w:rPr>
        <w:t> (n=1), </w:t>
      </w:r>
      <w:r w:rsidRPr="00FE5D1C">
        <w:rPr>
          <w:rFonts w:ascii="Calibri" w:eastAsia="Times New Roman" w:hAnsi="Calibri" w:cs="Calibri"/>
          <w:i/>
          <w:iCs/>
          <w:color w:val="000000"/>
          <w:kern w:val="0"/>
          <w:sz w:val="22"/>
          <w:szCs w:val="22"/>
          <w14:ligatures w14:val="none"/>
        </w:rPr>
        <w:t>Togaviridae</w:t>
      </w:r>
      <w:r w:rsidRPr="00FE5D1C">
        <w:rPr>
          <w:rFonts w:ascii="Calibri" w:eastAsia="Times New Roman" w:hAnsi="Calibri" w:cs="Calibri"/>
          <w:color w:val="000000"/>
          <w:kern w:val="0"/>
          <w:sz w:val="22"/>
          <w:szCs w:val="22"/>
          <w14:ligatures w14:val="none"/>
        </w:rPr>
        <w:t> (n=1), </w:t>
      </w:r>
      <w:r w:rsidRPr="00FE5D1C">
        <w:rPr>
          <w:rFonts w:ascii="Calibri" w:eastAsia="Times New Roman" w:hAnsi="Calibri" w:cs="Calibri"/>
          <w:i/>
          <w:iCs/>
          <w:color w:val="000000"/>
          <w:kern w:val="0"/>
          <w:sz w:val="22"/>
          <w:szCs w:val="22"/>
          <w14:ligatures w14:val="none"/>
        </w:rPr>
        <w:t>Flaviviridae</w:t>
      </w:r>
      <w:r w:rsidRPr="00FE5D1C">
        <w:rPr>
          <w:rFonts w:ascii="Calibri" w:eastAsia="Times New Roman" w:hAnsi="Calibri" w:cs="Calibri"/>
          <w:color w:val="000000"/>
          <w:kern w:val="0"/>
          <w:sz w:val="22"/>
          <w:szCs w:val="22"/>
          <w14:ligatures w14:val="none"/>
        </w:rPr>
        <w:t> (=1), and </w:t>
      </w:r>
      <w:r w:rsidRPr="00FE5D1C">
        <w:rPr>
          <w:rFonts w:ascii="Calibri" w:eastAsia="Times New Roman" w:hAnsi="Calibri" w:cs="Calibri"/>
          <w:i/>
          <w:iCs/>
          <w:color w:val="000000"/>
          <w:kern w:val="0"/>
          <w:sz w:val="22"/>
          <w:szCs w:val="22"/>
          <w14:ligatures w14:val="none"/>
        </w:rPr>
        <w:t>Nairoviridae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n</w:t>
      </w:r>
      <w:r w:rsidRPr="00FE5D1C">
        <w:rPr>
          <w:rFonts w:ascii="Calibri" w:eastAsia="Times New Roman" w:hAnsi="Calibri" w:cs="Calibri"/>
          <w:color w:val="000000"/>
          <w:kern w:val="0"/>
          <w:sz w:val="22"/>
          <w:szCs w:val="22"/>
          <w14:ligatures w14:val="none"/>
        </w:rPr>
        <w:t>=1). Based on our genomic and evolutionary characterization, we propose 14 novel arbovirus species, including six that are likely mosquito-borne, six likely tick-borne, and two isolated from birds and lizards. Furthermore, we found that Ossa virus (genus </w:t>
      </w:r>
      <w:r w:rsidRPr="00FE5D1C">
        <w:rPr>
          <w:rFonts w:ascii="Calibri" w:eastAsia="Times New Roman" w:hAnsi="Calibri" w:cs="Calibri"/>
          <w:i/>
          <w:iCs/>
          <w:color w:val="000000"/>
          <w:kern w:val="0"/>
          <w:sz w:val="22"/>
          <w:szCs w:val="22"/>
          <w14:ligatures w14:val="none"/>
        </w:rPr>
        <w:t>Orthobunyavirus</w:t>
      </w:r>
      <w:r w:rsidRPr="00FE5D1C">
        <w:rPr>
          <w:rFonts w:ascii="Calibri" w:eastAsia="Times New Roman" w:hAnsi="Calibri" w:cs="Calibri"/>
          <w:color w:val="000000"/>
          <w:kern w:val="0"/>
          <w:sz w:val="22"/>
          <w:szCs w:val="22"/>
          <w14:ligatures w14:val="none"/>
        </w:rPr>
        <w:t>) is a reassortant, possessing a unique M segment and S and L segments derived from Madrid virus (</w:t>
      </w:r>
      <w:r w:rsidRPr="00FE5D1C">
        <w:rPr>
          <w:rFonts w:ascii="Calibri" w:eastAsia="Times New Roman" w:hAnsi="Calibri" w:cs="Calibri"/>
          <w:i/>
          <w:iCs/>
          <w:color w:val="000000"/>
          <w:kern w:val="0"/>
          <w:sz w:val="22"/>
          <w:szCs w:val="22"/>
          <w14:ligatures w14:val="none"/>
        </w:rPr>
        <w:t>Orthobunyavirus madridense</w:t>
      </w:r>
      <w:r w:rsidRPr="00FE5D1C">
        <w:rPr>
          <w:rFonts w:ascii="Calibri" w:eastAsia="Times New Roman" w:hAnsi="Calibri" w:cs="Calibri"/>
          <w:color w:val="000000"/>
          <w:kern w:val="0"/>
          <w:sz w:val="22"/>
          <w:szCs w:val="22"/>
          <w14:ligatures w14:val="none"/>
        </w:rPr>
        <w:t>), while the Brus Laguna virus (</w:t>
      </w:r>
      <w:r w:rsidRPr="00FE5D1C">
        <w:rPr>
          <w:rFonts w:ascii="Calibri" w:eastAsia="Times New Roman" w:hAnsi="Calibri" w:cs="Calibri"/>
          <w:i/>
          <w:iCs/>
          <w:color w:val="000000"/>
          <w:kern w:val="0"/>
          <w:sz w:val="22"/>
          <w:szCs w:val="22"/>
          <w14:ligatures w14:val="none"/>
        </w:rPr>
        <w:t>Orthobunyavirus gamboaense</w:t>
      </w:r>
      <w:r w:rsidRPr="00FE5D1C">
        <w:rPr>
          <w:rFonts w:ascii="Calibri" w:eastAsia="Times New Roman" w:hAnsi="Calibri" w:cs="Calibri"/>
          <w:color w:val="000000"/>
          <w:kern w:val="0"/>
          <w:sz w:val="22"/>
          <w:szCs w:val="22"/>
          <w14:ligatures w14:val="none"/>
        </w:rPr>
        <w:t>) exhibited an M segmentderived from Alajuela virus (</w:t>
      </w:r>
      <w:r w:rsidRPr="00FE5D1C">
        <w:rPr>
          <w:rFonts w:ascii="Calibri" w:eastAsia="Times New Roman" w:hAnsi="Calibri" w:cs="Calibri"/>
          <w:i/>
          <w:iCs/>
          <w:color w:val="000000"/>
          <w:kern w:val="0"/>
          <w:sz w:val="22"/>
          <w:szCs w:val="22"/>
          <w14:ligatures w14:val="none"/>
        </w:rPr>
        <w:t>Orthobunyavirus gamboaense</w:t>
      </w:r>
      <w:r w:rsidRPr="00FE5D1C">
        <w:rPr>
          <w:rFonts w:ascii="Calibri" w:eastAsia="Times New Roman" w:hAnsi="Calibri" w:cs="Calibri"/>
          <w:color w:val="000000"/>
          <w:kern w:val="0"/>
          <w:sz w:val="22"/>
          <w:szCs w:val="22"/>
          <w14:ligatures w14:val="none"/>
        </w:rPr>
        <w:t>). Additionally, our machine learning-based analysis indicates that Lanjan, Zingilamo, Tindholmur (</w:t>
      </w:r>
      <w:r w:rsidRPr="00FE5D1C">
        <w:rPr>
          <w:rFonts w:ascii="Calibri" w:eastAsia="Times New Roman" w:hAnsi="Calibri" w:cs="Calibri"/>
          <w:i/>
          <w:iCs/>
          <w:color w:val="000000"/>
          <w:kern w:val="0"/>
          <w:sz w:val="22"/>
          <w:szCs w:val="22"/>
          <w14:ligatures w14:val="none"/>
        </w:rPr>
        <w:t>Orbivirus magninsulae</w:t>
      </w:r>
      <w:r w:rsidRPr="00FE5D1C">
        <w:rPr>
          <w:rFonts w:ascii="Calibri" w:eastAsia="Times New Roman" w:hAnsi="Calibri" w:cs="Calibri"/>
          <w:color w:val="000000"/>
          <w:kern w:val="0"/>
          <w:sz w:val="22"/>
          <w:szCs w:val="22"/>
          <w14:ligatures w14:val="none"/>
        </w:rPr>
        <w:t>), and Bauline viruses (</w:t>
      </w:r>
      <w:r w:rsidRPr="00FE5D1C">
        <w:rPr>
          <w:rFonts w:ascii="Calibri" w:eastAsia="Times New Roman" w:hAnsi="Calibri" w:cs="Calibri"/>
          <w:i/>
          <w:iCs/>
          <w:color w:val="000000"/>
          <w:kern w:val="0"/>
          <w:sz w:val="22"/>
          <w:szCs w:val="22"/>
          <w14:ligatures w14:val="none"/>
        </w:rPr>
        <w:t>Orbivirus magninsulae</w:t>
      </w:r>
      <w:r w:rsidRPr="00FE5D1C">
        <w:rPr>
          <w:rFonts w:ascii="Calibri" w:eastAsia="Times New Roman" w:hAnsi="Calibri" w:cs="Calibri"/>
          <w:color w:val="000000"/>
          <w:kern w:val="0"/>
          <w:sz w:val="22"/>
          <w:szCs w:val="22"/>
          <w14:ligatures w14:val="none"/>
        </w:rPr>
        <w:t xml:space="preserve">) have a high likelihood </w:t>
      </w:r>
      <w:r w:rsidRPr="00FE5D1C">
        <w:rPr>
          <w:rFonts w:ascii="Calibri" w:eastAsia="Times New Roman" w:hAnsi="Calibri" w:cs="Calibri"/>
          <w:color w:val="000000"/>
          <w:kern w:val="0"/>
          <w:sz w:val="22"/>
          <w:szCs w:val="22"/>
          <w14:ligatures w14:val="none"/>
        </w:rPr>
        <w:lastRenderedPageBreak/>
        <w:t>of producing human infection, suggesting the risk of emergence and indicating the need for further experimental investigation. Collectively, our findings contribute significantly to the understanding of arbovirus diversity, evolution, and taxonomy, providing a valuable genomic resource for future research on arbovirus biology and its emergence potential.</w:t>
      </w:r>
    </w:p>
    <w:p w14:paraId="37E80A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25-A-1780-ASTMH</w:t>
      </w:r>
    </w:p>
    <w:p w14:paraId="5BD899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1F739E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 cell receptor dependent enhancement of dengue virus infection</w:t>
      </w:r>
    </w:p>
    <w:p w14:paraId="31A692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virus (DENV) is the causative agent of dengue, a mosquito-borne disease that represents a significant and growing public health burden around the world. A unique pathophysiological feature of dengue is immune-mediated enhancement, wherein preexisting immunity elicited by a primary infection can enhance the severity of a subsequent infection by a heterologous DENV serotype. A leading mechanistic explanation for this phenomenon is antibody dependent enhancement (ADE), where sub-neutralizing concentrations of DENV-specific IgG antibodies facilitate entry of DENV into FcγR expressing cells. Accordingly, this model posits that phagocytic mononuclear cells are the primary reservoir of DENV. However, multiple independent groups have shown that B cells are the largest reservoir of virally infected cells in circulation during acute dengue, representing a disconnect in our understanding of immune-mediated DENV tropism. In response to this persistent knowledge gap, our team has identified a novel mechanism of immune-mediated enhancement we have termed BCR-dependent enhancement (BDE) of DENV infection. We have shown that the expression of a DENV-reactive B cell receptor (BCR) renders cells highly susceptible to DENV infection, and that the frequency of DENV-infectible B cells is elevated in DENV-immune individuals relative to DENV-naïve individuals. We propose that BDE provides an additional layer of pathogen-specific immune-mediate infection risk that complements existing models of ADE and offers additional insight in potential mechanisms of DENV immunopathogenesis.</w:t>
      </w:r>
    </w:p>
    <w:p w14:paraId="5E5C40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25-A-1782-ASTMH</w:t>
      </w:r>
    </w:p>
    <w:p w14:paraId="143204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5DF013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Baseline estimated glomerular filtration rates in patients with pulmonary tuberculosis: disentangling the renal function assessment in tuberculosis clinical trials</w:t>
      </w:r>
    </w:p>
    <w:p w14:paraId="5E3B4B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Renal function assessment in patients with pulmonary tuberculosis (TB) is challenging. Several factors like nutritional status and the tuberculosis-related catabolic state can influence the values derived from the formulas traditionally used for estimation of creatinine clearance. In addition, literature depicting renal function parameters and their dynamics over treatment in TB patients is lacking. A retrospective evaluation of the baseline serum creatinine of participants from the PanACEA consortium studies SUDOCU trial (NCT03959566), DECODE trial NCT04550832) and preliminary data from the STEP2C trial (NCT05807399) was performed. The estimated glomerular filtration rate (eGFR) was calculated using the Cockcroft-Gault formula (adjusted in participants with BMI≥18.5 Kg/m</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color w:val="000000"/>
          <w:kern w:val="0"/>
          <w:sz w:val="22"/>
          <w:szCs w:val="22"/>
          <w:vertAlign w:val="superscript"/>
          <w14:ligatures w14:val="none"/>
        </w:rPr>
        <w:t> </w:t>
      </w:r>
      <w:r w:rsidRPr="00FE5D1C">
        <w:rPr>
          <w:rFonts w:ascii="Calibri" w:eastAsia="Times New Roman" w:hAnsi="Calibri" w:cs="Calibri"/>
          <w:color w:val="000000"/>
          <w:kern w:val="0"/>
          <w:sz w:val="22"/>
          <w:szCs w:val="22"/>
          <w14:ligatures w14:val="none"/>
        </w:rPr>
        <w:t>and the CKD-EPI-2021 creatinine formula. Descriptive statistics were done for the renal parameters and basic available anthropometric data. For the comparison between the Cockcroft-Gault formula and the CKD-EPI 2021 creatinine formula the unequal variance </w:t>
      </w:r>
      <w:r w:rsidRPr="00FE5D1C">
        <w:rPr>
          <w:rFonts w:ascii="Calibri" w:eastAsia="Times New Roman" w:hAnsi="Calibri" w:cs="Calibri"/>
          <w:i/>
          <w:iCs/>
          <w:color w:val="000000"/>
          <w:kern w:val="0"/>
          <w:sz w:val="22"/>
          <w:szCs w:val="22"/>
          <w14:ligatures w14:val="none"/>
        </w:rPr>
        <w:t>t</w:t>
      </w:r>
      <w:r w:rsidRPr="00FE5D1C">
        <w:rPr>
          <w:rFonts w:ascii="Calibri" w:eastAsia="Times New Roman" w:hAnsi="Calibri" w:cs="Calibri"/>
          <w:color w:val="000000"/>
          <w:kern w:val="0"/>
          <w:sz w:val="22"/>
          <w:szCs w:val="22"/>
          <w14:ligatures w14:val="none"/>
        </w:rPr>
        <w:t>-test was applied. In total 410 participants with pulmonary TB (SUCODU=75, DECODE= 76 and STEP2C= 259) were evaluable. The mean serum creatinine at diagnosis was 0.62 mg/dL (SD 0.15) in women and 0.72 mg/dL (SD 0.17) in men. To remark, 179 (43.6%) participants had a BMI&lt;18.5 Kg/m</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and 86 participants (20.9%) showed a serum creatinine below the reference values. The eGFR difference between the Cockcroft-Gault and the CKD-EPI-2021 formulas were statistically significant (p=&lt;0.05) in the different BMI categories except for the BMI≥30Kg/m</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xml:space="preserve"> group that was represented with only one participant. Interpretation of renal parameters in persons with pulmonary TB is challenging particularly if undernourished; however, the use of the CKD-EPI-2021 creatinine formula for the calculation of the eGFR could be preferable due to its known better accuracy than the Cockcroft-Gault formula. Further analyses of the basal renal parameters and their dynamics over time during </w:t>
      </w:r>
      <w:r w:rsidRPr="00FE5D1C">
        <w:rPr>
          <w:rFonts w:ascii="Calibri" w:eastAsia="Times New Roman" w:hAnsi="Calibri" w:cs="Calibri"/>
          <w:color w:val="000000"/>
          <w:kern w:val="0"/>
          <w:sz w:val="22"/>
          <w:szCs w:val="22"/>
          <w14:ligatures w14:val="none"/>
        </w:rPr>
        <w:lastRenderedPageBreak/>
        <w:t>treatment including the role of other biomarkers like cystatin-C are needed in both clinical practice and the clinical trials settings.</w:t>
      </w:r>
    </w:p>
    <w:p w14:paraId="23C43E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25-A-1784-ASTMH</w:t>
      </w:r>
    </w:p>
    <w:p w14:paraId="3A9264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1D366F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Social determinants of health and the risk of malaria infection in a cohort study of perennial malaria chemoprevention in Cameroon: A causal mediation analysis</w:t>
      </w:r>
    </w:p>
    <w:p w14:paraId="4C4E29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Interventions such as vaccines, new nets and chemoprevention have shown promising results in reducing the burden of malaria among young children in malaria endemic settings. However, more information is needed on the social determinants of health that affect both whether children are reached by interventions and their overall risk of malaria infection. We analyzed a cross section of data from a longitudinal cohort in two districts among children 9-57 months of age in Cameroon to understand specific pathways that affect the risk of acquiring a malaria infection. All children with a malaria test result for the last cohort follow-up survey in February 2025 were linked to their household’s data using a baseline census conducted at enrollment. Multiple correspondence analysis was used to create a binary wealth index from a comprehensive list of household assets and housing index from key indicators such construction materials used for the walls, floors and roof, the number of toilets, and the location of cooking space. Logistic generalized linear models were used to analyze the effect of wealth on housing, housing on malaria, and wealth on malaria. Causal mediation analysis was used to analyze the effect of wealth mediated by housing on malaria risk. The odds of malaria infection were 41% lower in the higher wealth group (OR: 0.59; 95% CI: 0.46-0.74; p &lt;0.001), and the odds of higher quality housing were over three times higher in the higher wealth group (OR: 3.7; 95% CI: 3.15-4.4; p &lt; 0.001). Additionally, the odds of malaria were 30% lower for children living in households with higher quality housing (OR: 0.70; 95% CI: 0.59-0.84; p &lt;0.001). Mediation analyses indicated that the proportion of the association between wealth and malaria mediated by housing quality is 30% (95% CI: 12-57% p &lt;0.001). Further analyses will be conducted to determine the presence of additional mediators such as vector control measures and access to immunizations and malaria chemoprevention. A better understanding of the specific mediators between wealth and malaria risk will be invaluable in adapting malaria control strategies to reach children most in need of the interventions.</w:t>
      </w:r>
    </w:p>
    <w:p w14:paraId="6D9511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25-A-1785-ASTMH</w:t>
      </w:r>
    </w:p>
    <w:p w14:paraId="0ADE703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1283DF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Sero-epidemiology of scrub typhus in U.S. active duty servicemembers during military travel to the Indo-Pacific Region</w:t>
      </w:r>
    </w:p>
    <w:p w14:paraId="68166C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Outbreaks of scrub typhus (ST) have been reported during military operations in the Indo-Pacific region, especially in dense, vegetative areas. We evaluated the seroprevalence and seroincidence of ST in a prospective cohort of US active-duty servicemembers (ADSM) traveling to the Indo-Pacific region for ≤ 6.5 months between 2010-2019 (TravMil). ADSM were enrolled either prior to deployment or following return. Those who completed a post-travel survey and provided either a post-travel serum specimen or paired pre- and post-travel sera were included in the analysis. Post-travel sera were screened at a 1:100 titer by ELISA, and confirmatory IFA (at 1:100 titer) was performed on paired pre- and post-samples. 703 ADSM were included in our analysis: the median age was 25 years and the median trip duration was 11 weeks. 80% of participants traveled for a military exercise, 15% were deployed and 5% reported travel for temporary duty assignments. The post-deployment seroprevalence of ST by IFA was 6.8% (95% CI: 5.0%-9.0%) [48/703] and 2.2% (95% CI:1.2%-3.5%) [15/697] of participants seroconverted during travel. This was higher than prior estimates for US military servicemembers reported in the literature (0.2%-1%). Four of the 15 participants who seroconverted reported a subjective fever and the remainder were asymptomatic. Participants who seroconverted traveled to Southeast or South Asia (14/15) and were more likely to be non-compliant with, or were not prescribed doxycycline malaria prophylaxis, and were non-compliant with personal protective measures such as full sleeved clothing and/or permethrin </w:t>
      </w:r>
      <w:r w:rsidRPr="00FE5D1C">
        <w:rPr>
          <w:rFonts w:ascii="Calibri" w:eastAsia="Times New Roman" w:hAnsi="Calibri" w:cs="Calibri"/>
          <w:color w:val="000000"/>
          <w:kern w:val="0"/>
          <w:sz w:val="22"/>
          <w:szCs w:val="22"/>
          <w14:ligatures w14:val="none"/>
        </w:rPr>
        <w:lastRenderedPageBreak/>
        <w:t>treated uniforms. We observed a higher seroincidence of ST in the TravMil cohort compared to other US military cohorts, potentially due to a higher-risk of exposures down range vs. at military bases. However, most infections were asymptomatic or self-limited.</w:t>
      </w:r>
    </w:p>
    <w:p w14:paraId="3F5188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25-A-1786-ASTMH</w:t>
      </w:r>
    </w:p>
    <w:p w14:paraId="35F3F1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6A966A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Prevalence and predictors of shaking of young children in Pakistan: replication across four provinces</w:t>
      </w:r>
    </w:p>
    <w:p w14:paraId="2777B5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Child shaking is an important causal factor for abusive head trauma, the most common cause of traumatic death in children under two years of age. However, little is known about the epidemiology of child shaking, especially in low- and middle-income countries. This study determined the prevalence and predictors of child shaking in Pakistan, the fifth most populous country in the world. More specifically, it determined whether child, maternal, and household factors, mainly identified in high-income countries, are associated with shaking in Pakistan. Data from representative household surveys (Multiple Indicator Cluster Surveys) conducted in four provinces in Pakistan (Sindh, Punjab, Baluchistan, and Khyber Pakhtunkhwa [KPK]) in 2018-9 were used. Provincial samples of eligible children (aged 12-23 months of age) ranged from 1879 to 6250. Shaking was based on a yes/no response by an adult caregiver in the home to a question as to whether the child had been shaken in the last month. Logistic regression analyses with backward elimination were used to identify independent predictors of shaking for each province separately, to allow for an assessment of the robustness of statistical relationships (i.e., significant in at least two provinces). Prevalence of shaking ranged from a low of 17.9% in Baluchistan to a high of 43.2% in KPK. Only exposure to other physical punishments showed a significant association with shaking in all four provinces. Lower wealth was found to be associated in three provinces and the following variables predicted shaking in two provinces each: reporting timing of the last pregnancy was wanted, the mother believing intimate partner violence can be justified, and older child age. Given the relatively high prevalence of reported shaking, particularly in KPK, further study of shaking is warranted. Although epidemiological patterns from cross-sectional studies cannot directly provide evidence to inform the nature of interventions, the large, robust association with other physical punishments suggests that initiatives examining and targeting use of physical punishment in general may be a prioritized direction.</w:t>
      </w:r>
    </w:p>
    <w:p w14:paraId="36705B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25-A-1787-ASTMH</w:t>
      </w:r>
    </w:p>
    <w:p w14:paraId="0F841F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5ABEB0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Leptospirosis Incidence in Jungle Warfare Trainees</w:t>
      </w:r>
    </w:p>
    <w:p w14:paraId="6082CA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Leptospirosis is an environmental spirochete associated with freshwater exposure that causes a non-specific febrile illness. A subset of patients may have a severe or fatal kidney, liver, or lung injury if misdiagnosed. Outside of outbreaks, little is known about the epidemiology of leptospirosis in non-endemic populations such as travelers or military units. We conducted a leptospirosis incidence study in military Jungle Warfare Training (JWT) in 2 sites, Okinawa Japan and Hawaii USA. Surveys of leptospirosis risk factors as well as prevention used were administered to participants before and after completing training. Serum was drawn before and after for leptospira antibody testing by ELISA with confirmation by microscopic agglutination testing, urine was collected after training for PCR testing. We enrolled 805 participants, 184 in Hawaii and 621 in Okinawa, 94% of participants were male, 77% aged 18-25, 89% were enlisted and 7% had completed JWT previously. Leptospirosis exposure risks prior to training included livestock 20%, flooding 13%, visiting a waterfall recently 10%, and high-risk sports 30%. Among 707 participants 143(19%) were positive for leptospirosis before training, comprising 15 serovars. Among participants 93% completed training, 90% of trainees were immersed in water for hours, multiple times a day, with high rates of swallowing and skin injuries during training, 73% took antibiotic prophylaxis. Post-training among 529 participants, 81 (15%) were positive for leptospirosis comprising 15 serovars. Eight participants seroconverted after completing training, 5 by ELISA and 3 by MAT. We found 6 asymptomatic, and 1 symptomatic possible cases and no definitive cases by serology </w:t>
      </w:r>
      <w:r w:rsidRPr="00FE5D1C">
        <w:rPr>
          <w:rFonts w:ascii="Calibri" w:eastAsia="Times New Roman" w:hAnsi="Calibri" w:cs="Calibri"/>
          <w:color w:val="000000"/>
          <w:kern w:val="0"/>
          <w:sz w:val="22"/>
          <w:szCs w:val="22"/>
          <w14:ligatures w14:val="none"/>
        </w:rPr>
        <w:lastRenderedPageBreak/>
        <w:t>and clinical criteria. Seroconversion attack rate by ELISA was 1.4% in Hawaii and 5.9% in Okinawa. We observed JWT is a high-risk activity for leptospirosis. Almost 20% of our population was positive at baseline probably due to high risk sports or exposure during childhood. We observed no severe illness but rates of antibiotic use and adherence were high. Our observed seroconversion attack rate was similar to described rates in Panama in 1980s.</w:t>
      </w:r>
    </w:p>
    <w:p w14:paraId="1C2D3B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25-A-1788-ASTMH</w:t>
      </w:r>
    </w:p>
    <w:p w14:paraId="0E3D30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5C857B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Parents’ expectations for the management of pediatric diarrhea in the clinical setting: perspectives of parents and physicians in Bangladesh</w:t>
      </w:r>
    </w:p>
    <w:p w14:paraId="07D7B1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Diarrheal diseases are a leading cause of morbidity and mortality in children globally, and antibiotics are often inappropriately used in the management of pediatric diarrhea. This study explores how parents’ expectations influence the prescription of antibiotics for pediatric diarrhea in Bangladesh. We used qualitative methods to explore parents’ expectations when bringing their child with diarrhea to hospital and how physicians perceive and manage expectations. We conducted interviews with 36 parents and 18 hospital physicians across three hospitals. Data analysis followed an applied thematic analysis framework. Parents expected a higher quality of care in the hospital setting, including diagnostic testing, medication, and psychosocial support. Most parents did not expect antibiotics as treatment for pediatric diarrhea, yet most parents expressed a belief that antibiotics were superior to other medications. Physicians recognized this parental belief about antibiotic superiority, but some mistakenly assumed parents universally expected antibiotics. Physicians stated that the most common form of managing parents’ expectations is via educational counseling. Physicians’ assumptions that parents expect to receive antibiotics may lead to inappropriate antibiotic prescription and be a source of frustration for both parties. Shared decision-making interventions can assist physicians in exploring and managing parent expectations to promote antibiotic stewardship.</w:t>
      </w:r>
    </w:p>
    <w:p w14:paraId="78CC0E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25-A-1789-ASTMH</w:t>
      </w:r>
    </w:p>
    <w:p w14:paraId="475D39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5E7E63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Climate Change and West Nile virus: Extending Transmission Seasons in New York State</w:t>
      </w:r>
    </w:p>
    <w:p w14:paraId="31B1A3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West Nile virus is the most prevalent mosquito-borne disease in the continental US. In 2024 there were over 2400 West Nile virus cases in the US and currently, no therapeutics are on the market. Temperature has increased across the globe, in New York State specifically temperature has increased by over 1.4°C since the early 1900s and previous work has shown that temperature drives transmission dynamics of West Nile virus. Here we utilized daily temperature data, mosquito surveillance data, and human case data to elucidate the impact of climate change on the West Nile virus transmission season length in New York State. We ask two questions 1) Has West Nile virus transmission season length increased in New York State? and 2) Are longer transmission seasons associated with increased West Nile virus incidence? Utilizing county-level temperature data from the last 25 years we found that West Nile virus transmission season length has increased and that longer transmission seasons are associated with increased West Nile virus prevalence in mosquitoes and humans. Outlining the impact of temperature on West Nile virus transmission season length can help better prepare public health officials for future transmission seasons under changing climates. This study is the first to emphasize the influence of climate change on the length of the West Nile virus transmission season, with findings that may be relevant to other vector-borne diseases.</w:t>
      </w:r>
    </w:p>
    <w:p w14:paraId="06D67F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25-A-1790-ASTMH</w:t>
      </w:r>
    </w:p>
    <w:p w14:paraId="6DE676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3D6DD7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pandemic preparedness evidence gap is risking health equity</w:t>
      </w:r>
    </w:p>
    <w:p w14:paraId="39FC2A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In an environment of contracting funding, it is critical that public health policy reflects the greatest risks and burdens of population health. Recent years have seen an increasing focus on pandemic preparedness and response, preceding the Covid-19 outbreak but accelerated since. The REPPARE project at the University of Leeds systematically reviewed the underlying data and citations supporting major reports, including those of the World Health Organization (WHO), World Bank and G20, supporting claims of rapidly increasing pandemic risk and high annualized mortality.A major gap is apparent between claims of magnitude of risk and the underlying evidence on which these claims rely, consequently calling into question the basis of global and national pandemic policy. Whilst natural acute outbreaks continue to occur, major sources for these agencies’ reports demonstrate a reduction in mortality from confirmed naturally occurring outbreaks over the past one to two decades. Estimates of pandemic risk have consistently failed to account for technological advances in pathogen detection, identification and reporting associated with the increase in reported outbreaks. Annualized mortality estimates are heavily reliant on historical data from the pre-antibiotic era, including the Spanish Flu and major Medieval events. Whilst certain drivers of pandemic risk are increasing, others driving the consistent reduction in overall infectious disease mortality are poorly accounted for.We argue that there is an urgent need to re-assess pandemic risk in the context of other major health burdens, particularly in low to middle income countries. Modeling must account for major changes in capacity to distinguish outbreaks from background disease burden, and account for a consistent improvement in human resilience to infection, including improving medical management. Current claims of urgency and risk, whilst understandable, are poorly backed by data. Failure to achieve an appropriate balance in an increasingly challenging funding environment has major implications for overall health equity and global disease burden.</w:t>
      </w:r>
    </w:p>
    <w:p w14:paraId="1A0808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25-A-1791-ASTMH</w:t>
      </w:r>
    </w:p>
    <w:p w14:paraId="4144F6E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(Epidemiology)</w:t>
      </w:r>
    </w:p>
    <w:p w14:paraId="0DC1FD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Prevalence and determinants of Soil Transmitted Helminth infections among school aged children in the middle belt of Ghana Africa</w:t>
      </w:r>
    </w:p>
    <w:p w14:paraId="662126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Soil-Transmitted Helminths (STH) are common infectious parasites in the developing world, where challenges related to Water, Sanitation, and Hygiene (WASH) are prevalent. This study examined the distribution and risk factors associated with STH infections among children of school going age in Ghana. This cross-sectional study analyzed secondary data on 535 school-aged children from a study conducted in the middle-belt of Ghana. Household-level random sampling was used to recruit participants, who provided biological samples over a 12-month period following a comprehensive consent procedure. The samples were examined to assess STH infections and identify the factors influencing their presence among the children. Ethical approval was received from the KHRC Institutional Ethics Committee. A total prevalence of 14.2% of STH infections was observed among school-aged children. The prevalence rates for the specific STH targeted for elimination were Hookworm (12.5%), Ascaris lumbricoides (1.5%), and Trichuris trichiura (0.2%). No cases of poly-helminthiasis were observed. Males accounted for a higher proportion of hookworm infections (58%) compared to females (42%). Significant risk factors for STH infections included failing to wash hands before eating at school (AOR = 2.81, p = 0.008), belonging to a traditional religion (AOR = 33.1, p = 0.010), and the perception that poor hygiene is not related to STH infections (AOR = 1.98, p = 0.042). The prevalence of STH infections among school-aged children was higher than 10%, with misconceptions regarding the relationship between poor hygiene and STH infections playing a significant role. These misconceptions were primarily influenced by traditional religious beliefs. Therefore, enhancing environmental and personal hygiene practices, particularly in schools, combined with health education on STH transmission and prevention, could significantly reduce infection rates. Also, continuous incorporation of Mass Drug Administration (MDA) programs into STH control initiatives is crucial in achieving the goal of eliminating STH infections.</w:t>
      </w:r>
    </w:p>
    <w:p w14:paraId="20E066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25-A-1792-ASTMH</w:t>
      </w:r>
    </w:p>
    <w:p w14:paraId="5BD6E8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5E9ABE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No Evidence of a Causal Relationship between Meningitis and RTS,S/AS01E Malaria Vaccination in Real-life Settings One Year after the Primary Vaccination</w:t>
      </w:r>
    </w:p>
    <w:p w14:paraId="71955B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Since 2021, WHO recommends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for preventing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malaria in children from moderate to high transmission regions. In a phase 3 trial (MALARIA-055; NCT00866619), an imbalance in meningitis cases over 1 year post-dose 3 was observed. Thus, a phase 4 prospective cohort study (EPI-MAL-003; NCT03855995), nested in the Malaria Vaccine Implementation Programme, was designed to assess the association of etiology-confirmed meningitis with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(primary objective). We present here the process used to conclude if RTS,S/A01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vaccination increases the risk of meningitis. EPI-MAL-003 interim analysis on 44,912 children followed for 1 year post-dose 3 showed comparable incidence rates/100,000 person-years (IR) of etiology-confirmed meningitis in vaccinated (4.1, 95% confidence interval [CI]: 0.1-23.0) and unvaccinated (4.0, 95% CI: 0.1-22.6) children (IR ratio [IRR]: 1.02, 95% CI: 0.06-16.29, p=0.990). The IR of any meningitis (etiology-confirmed, bacterial-confirmed, probable or clinically suspected) was 24.7 (95% CI: 9.1-53.9) in vaccinated and 40.5 (95% CI: 19.4-74.4) in unvaccinated children (IRR: 0.61, 95% CI: 0.22-1.68, p=0.340). Causality assessment was guided by WHO recommendations and the Bradford Hill criteria. EPI-MAL-003 data show no evidence of higher meningitis risk after vaccination (IRR ≤1, weak/no association); the imbalance was noted only in MALARIA-055 (no consistency); meningitis has various causes, e.g., viral, bacterial (no specificity); no clustering of cases by time-to-onset after vaccination was observed (no temporality); there is no plausible biological mechanism for a pre-erythrocytic vaccine or the 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adjuvant to cause meningitis (no biological plausibility). Compelling evidence, including robust data from EPI-MAL-003, does not support a causal association between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and meningitis, confirming EMA assessment that the meningitis imbalance was a chance finding. The warning and risk on meningitis were removed from the product information and the Risk Management Plan. Meningitis cases will be monitored through routine pharmacovigilance activities.</w:t>
      </w:r>
    </w:p>
    <w:p w14:paraId="09E4A9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25-A-1793-ASTMH</w:t>
      </w:r>
    </w:p>
    <w:p w14:paraId="24485A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6B5DB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Persistence of immune response at 4-5 years following a single dose typhoid conjugate vaccine (Vi-TCV) in Nepalese children</w:t>
      </w:r>
    </w:p>
    <w:p w14:paraId="09B6B7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Newer generation typhoid conjugate vaccines (TCV) are recommended by WHO for use in high-burden settings. We have previously reported a 99% anti-Vi IgG and a 97% anti-Vi IgA seroconversion at day 28 and persistence of antibodies at 18 months and 40-50 months following vaccination with TCV. However, longer-term persistence of antibody following this vaccine is unknown. Here we describe the immunogenicity at 50-60 months following a single dose TCV. A 1:1 randomized controlled trial (RCT) enrolling 20,019 children (9 months- &lt;16 years) to receive either TCV or meningococcal conjugate vaccine was initiated in 2017. Participants were offered the alternate vaccine at the final visit of the RCT (at 2 years). The group receiving TCV at the beginning of the trial (2017/2018) was designated the “early cohort” and those vaccinated in 2020/2021, the “late cohort”. 1500 participants were randomized to participate in an immunogenicity sub-study. A blood draw was scheduled at 50-60 months post TCV. Anti-Vi IgG titres were measured using commercial ELISA kit and anti-Vi IgA titres were assessed with Vi-coated plates and reagents supplied by The Binding Site using a protocol adapted from the commercial VaccZyme assay. At 50-60 months post vaccination 592 blood samples were collected (379 from early and 213 from late cohorts). The anti-Vi IgG geometric mean antibody concentrations (GMC) in the early and late cohorts were 119.85 (95% CI: 106.53-134.93) EU/ml and 155.91 (133.44-182.16) EU/ml respectively. Anti Vi-IgA concentrations were 11.02 (0.79-12.41) EU/ml and 15.0 (12.89-17.46) EU/ml, respectively. The four-fold rise in Anti-Vi IgG and IgA titres from the baseline was observed in 87.7% and 71% in the early cohort and in 88.2% and 77.3% in the late cohort respectively. Compared to the antibody levels observed at earlier time-points after vaccination the GMCs have declined. The IgG and IgA response to a TCV persists above baseline at 4-5 years following vaccination with a single dose of Vi-TCV in a cohort of Nepalese children. Further investigation is now required to assess whether these levels are sufficient for protection.</w:t>
      </w:r>
    </w:p>
    <w:p w14:paraId="41B157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25-A-1794-ASTMH</w:t>
      </w:r>
    </w:p>
    <w:p w14:paraId="4B6509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7E33F2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Qualitative Exploration of the Stigmatization of Patients Who Attend Diabetes Multidisciplinary Clinic in Kathmandu, Nepal</w:t>
      </w:r>
    </w:p>
    <w:p w14:paraId="29FA4D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Diabetes has not gotten as much attention as other disorders, such as NTD and HIV/AIDS, where health-related stigma has been the focus of extensive research. The current study sought to investigate the social experiences of people living with type II diabetes mellitus (T2DM), with a specific emphasis on the perception and experience of diabetes-related stigma and to establish a theoretical framework for the manner in which stigma affects the experiences of individuals with T2DM in society. The study involved 27 patients attending at Diabetes Multidisciplinary Clinic in Helping Hands Community Hospital, who were interviewed using qualitative grounded theory methodology to explore their experiences with social stigma, its effects on their daily lives, and interactions with healthcare providers. Rigid coding and analysis resulted in the realization of numerous fundamental categories. Patients initially reported feeling marginalized and judged by their healthcare providers and social communities, frequently viewing T2DM as a manifestation of moral weakness or personal failure. Subsequently, the stigma was discovered to be entrenched in societal attitudes and cultural misconceptions, which resulted in social isolation and a reluctance to disclose their condition. Third, stigma had a detrimental impact on the mental health of patients and exacerbated the problems associated with inadequate self-management practices, such as adherence to diet and medication. Study highlights the complex interplay of sociocultural, psychological factors that influence stigma, emphasizing the need for comprehensive care models that incorporate psychological support and community-based education to reduce stigma. The study suggests integrating intervention techniques to address both medical and social aspects of chronic illness care, highlighting the impact of stigma on T2DM management, providing valuable insights for healthcare providers and policymakers in Nepal.</w:t>
      </w:r>
    </w:p>
    <w:p w14:paraId="028883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25-A-1795-ASTMH</w:t>
      </w:r>
    </w:p>
    <w:p w14:paraId="4A2E61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7051C858" w14:textId="5D41E4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How does dung burial by Coprophagous beetles modify infectious strongyle nematode larvae? An experimental test in the Serengeti Ecosystem</w:t>
      </w:r>
    </w:p>
    <w:p w14:paraId="0C7FCB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Infectious gastrointestinal nematodes pose great health risks to livestock, wildlife and human populations, especially in developing regions where access to de-worming treatments is limited. Dung beetles can act as biological control agents that regulate parasitic nematode infections in grazing livestock by burying animal faeces deep in the soil, thus disrupting the strongyle parasite life cycle by preventing larval emergence from the soil. However, burying faeces at shallower depths could provide better microclimate conditions than on the soil surface, thus incubating the parasites eggs and larvae and enhancing larval emergence into the grass layer. This study in the Serengeti ecosystem, in northern Tanzania examined the effect of burying wildebeest dung on the emergence of strongyle larvae at five depth treatment (0, 5, 10, 15 cm and Control) for the period of 42-days. The experiment had five replicate blocks, first experiment containing four caged exclosures and added more cage for second experiment, each cage had a specific treatment, with 15 dung samples introduced at the designated cage. Between treatments, larval emergence was significantly higher at 10 and 5 cm which were considered as shallow burial compared to control or 0 cm treatment, suggesting this depth provides optimal conditions for parasite development and enhances survival of the larval stages of parasites. However, as day increased, larval emergence decreased. While it has often stated that dung beetles may assist in reducing the free-living parasites. Our findings highlight the complex interaction between dung beetle and gastrointestinal parasites as shallow burial (10 and 5 cm) observed to enhance the L3 emergence. However, reduction of parasites as day increased highlights the importance of conserving dung beetle populations to sustain the ecosystem services, they provide in controlling and reducing the parasitic infection in natural and agricultural areas.</w:t>
      </w:r>
    </w:p>
    <w:p w14:paraId="1DA0B8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25-A-1796-ASTMH</w:t>
      </w:r>
    </w:p>
    <w:p w14:paraId="39C8AA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623ABB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Risk of death following tuberculosis diagnosis and treatment completion in the 100 Million Brazilian Cohort, 2004-2018: a matched cohort study</w:t>
      </w:r>
    </w:p>
    <w:p w14:paraId="02276C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Tuberculosis (TB) is strongly linked to poverty and remains a major cause of death in low- and middle-income countries. While its acute adverse consequences are well documented, accurate long-term mortality after diagnosis and treatment are limited. We quantified the long-term mortality after TB diagnosis and treatment completion.</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We conducted a nationwide study in Brazil (1 January 2004 to 31 December 2018) by linking national databases for social programmes, TB registries, and mortality. We constructed two matched cohorts accounting for several confounding factors. In the first, individuals with TB diagnosis were matched to TB-free participants. In the second, individuals who completed TB treatment were matched to TB-free participants. The primary outcome was mortality by natural causes up to five years post-diagnosis or post-treatment (i.e., excluding TB, HIV and external causes of death). The secondary outcomes included cause-specific mortality by cardiovascular, respiratory, and external causes. We used the competing risk framework, estimating cause-specific risk ratios (RR).</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The first cohort comprised 185,921 pairs, and the second 116,460 pairs. In the TB-diagnosed cohort, 9310 deaths occurred in the TB group versus 2172 among controls (RR=3.54, 95% CI=3.38-3.73). Cause-specific RRs were 2.08 (1.90-2.32) for cardiovascular, 6.51 (5.70-7.55) for respiratory, and 2.95 (2.49-3.57) for external deaths. In the TB-treated cohort, 3,982 deaths occurred compared with 1,483 among controls (RR=2.53, 2.35-2.71). Cause-specific RRs were 1.67 (1.48-1.88) for cardiovascular, 4.74 (3.95-5.71) for respiratory, and 2.02 (1.80-2.27) for external causes of death.</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Interpretation:</w:t>
      </w:r>
      <w:r w:rsidRPr="00FE5D1C">
        <w:rPr>
          <w:rFonts w:ascii="Calibri" w:eastAsia="Times New Roman" w:hAnsi="Calibri" w:cs="Calibri"/>
          <w:color w:val="000000"/>
          <w:kern w:val="0"/>
          <w:sz w:val="22"/>
          <w:szCs w:val="22"/>
          <w14:ligatures w14:val="none"/>
        </w:rPr>
        <w:t> These findings indicate that individuals newly diagnosed with TB and those who have completed treatment remained at a significantly elevated risk of death within 5 years from a variety of causes, underscoring the need for ongoing support to prevent TB to reduce long-term mortality in TB cases, and highlighting the context of vulnerability people with TB possibly continue to be in after treatment.</w:t>
      </w:r>
    </w:p>
    <w:p w14:paraId="3D7EC3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25-A-1797-ASTMH</w:t>
      </w:r>
    </w:p>
    <w:p w14:paraId="431A8C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6C8FCB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Clinical and demographic risk factors associated with mortality in visceral leishmaniasis in Brazil. A nationwide analysis of treatment outcomes and patient characteristics, 2007-2023</w:t>
      </w:r>
    </w:p>
    <w:p w14:paraId="6380CC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Visceral leishmaniasis (VL) remains a major public health concern in Brazil. Despite being a notifiable disease, comprehensive epidemiological analyses on patient characteristics and mortality risk factors are limited.</w:t>
      </w:r>
      <w:r w:rsidRPr="00FE5D1C">
        <w:rPr>
          <w:rFonts w:ascii="Calibri" w:eastAsia="Times New Roman" w:hAnsi="Calibri" w:cs="Calibri"/>
          <w:b/>
          <w:bCs/>
          <w:color w:val="000000"/>
          <w:kern w:val="0"/>
          <w:sz w:val="22"/>
          <w:szCs w:val="22"/>
          <w14:ligatures w14:val="none"/>
        </w:rPr>
        <w:t> Methods</w:t>
      </w:r>
      <w:r w:rsidRPr="00FE5D1C">
        <w:rPr>
          <w:rFonts w:ascii="Calibri" w:eastAsia="Times New Roman" w:hAnsi="Calibri" w:cs="Calibri"/>
          <w:color w:val="000000"/>
          <w:kern w:val="0"/>
          <w:sz w:val="22"/>
          <w:szCs w:val="22"/>
          <w14:ligatures w14:val="none"/>
        </w:rPr>
        <w:t> Data on VL in Brazil are reported through the Notifiable Diseases Information System (SINAN), a database made publicly available by the Brazilian Ministry of Health in an anonymized format. This analysis focuses on the mortality of confirmed VL cases reported to SINAN from 2007 to 2023. To assess mortality risk, we used mixed-effects logistic regression models, incorporating the federative unit as a random intercept. </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During the study, 43,334 new VL cases with known treatment status were reported in Brazil, with an 8.6% mortality rate (3,724 deaths), including 17.9% (668) among children &lt;5 yrs. Compared to children aged 5-15 yrs, mortality odds were higher in infants (adjusted odds ratio [AOR]: 5.27, 95% confidence interval [CI]: 4.22-6.60), children 1-5 yrs (AOR: 1.83, 95% CI: 1.49-2.26), adults 15-50 yrs (AOR: 5.02, 95% CI: 4.14-6.09), and highest in those ≥50 yrs (AOR: 13.75, 95% CI: 11.31-16.70). The presence of oedema (AOR: 2.74, 95% CI: 2.56-2.94), jaundice (AOR: 2.18, 95% CI: 2.03-2.35), bleeding (AOR: 3.65, 95% CI: 3.37-3.96), respiratory symptoms (AOR: 1.31, 95% CI: 1.22-1.40), and bacterial co-infections (AOR: 2.26, 95% CI: 2.10-2.43) were also associated with increased mortality. Higher odds of death were observed among individuals classified as “black” (AOR: 1.21, 95% CI: 1.05-1.40), “indigenous” (AOR: 1.57, 95% CI 1.13-2.20), males (AOR: 1.17, 95% CI: 1.09-1.26), and HIV-positive patients (AOR: 2.24, 95% CI: 2.04-2.46).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xml:space="preserve"> These findings </w:t>
      </w:r>
      <w:r w:rsidRPr="00FE5D1C">
        <w:rPr>
          <w:rFonts w:ascii="Calibri" w:eastAsia="Times New Roman" w:hAnsi="Calibri" w:cs="Calibri"/>
          <w:color w:val="000000"/>
          <w:kern w:val="0"/>
          <w:sz w:val="22"/>
          <w:szCs w:val="22"/>
          <w14:ligatures w14:val="none"/>
        </w:rPr>
        <w:lastRenderedPageBreak/>
        <w:t>underscore the urgent need for targeted interventions, particularly for vulnerable groups such as young children, older adults, HIV-positive patients, Black and indigenous populations, and those with severe symptoms. As treatment regimens are prescribed based on disease severity (e.g., liposomal amphotericin B for children &lt;1 yr, ≥50 yrs, HIV co-infection, and severe cases), they were not considered in the model.</w:t>
      </w:r>
    </w:p>
    <w:p w14:paraId="5F31E9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25-A-1798-ASTMH</w:t>
      </w:r>
    </w:p>
    <w:p w14:paraId="18E114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0DD8D9B0" w14:textId="43E681CC"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Permethrin elicits chemoreceptive responses on different Anopheles gambiae sensory appendages</w:t>
      </w:r>
    </w:p>
    <w:p w14:paraId="5323EA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Distance detection of pyrethroids by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mosquitoes has been evidenced and may favour behavioural resistance to vector control tools. However, the underlying mechanisms of this detection remain to be characterised. Pyrethroid could be perceived by olfaction at a distance, or the activation of voltage-gated sodium channels could directly induce behavioural responses. Therefore, this study aimed to decipher these two non-mutually exclusive hypotheses by identifying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sensory organs involved in the distance detection of permethrin, one of the most used pyrethroids in malaria vector control. We recorded behavioural responses to the presence of permethrin in an air stream in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females, on which the function of sensory organs had been inhibited through obliteration or resin recovery. In complement, electrophysiology experiments (electroantennogram =EAG; electropalpogram =EPG and electrotarsogram =ETG) were carried out on isolated organs. The behavioural assay, evidenced that the tarsi played a predominant role in the behavioural response to permethrin and; consistently, electrophysiological responses were induced in tarsi as observed by ETG. In contrast, obliteration of the antenna did not influence the behavioural responses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to permethrin although it induced electrical responses as observed by EAG). Palps were associated with neither behavioural nor electrophysiological (EPG) responses.This work, therefore, suggested that permethrin has different valences in different organs of mosquitoes and is possibly detected through different mechanisms. The involvement of olfactory or other receptors, whether on antennae or legs, should be investigated.</w:t>
      </w:r>
    </w:p>
    <w:p w14:paraId="23F118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25-A-1799-ASTMH</w:t>
      </w:r>
    </w:p>
    <w:p w14:paraId="73391C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710F4B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Piloting Passive Surveillance System of Dog-Mediated Human Rabies Through One Health Approach In District Narowal, Pakistan</w:t>
      </w:r>
    </w:p>
    <w:p w14:paraId="72E1C7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Dog-mediated human rabies (DMHR) is a highly neglected, underestimated, and a major public health problem in Pakistan. Free-roaming dogs are the principal reservoir of rabies virus (RABV) transmission in animals and humans. Lack of diagnostics, surveillance, country ownership, and the One Health network are significant factors in rabies endemicity. Thousands of dog bite injuries are recorded annually in various animal species and all age groups of the human population in public and private veterinary and medical hospitals. This project pilots the first surveillance system in the district of </w:t>
      </w:r>
      <w:r w:rsidRPr="00FE5D1C">
        <w:rPr>
          <w:rFonts w:ascii="Calibri" w:eastAsia="Times New Roman" w:hAnsi="Calibri" w:cs="Calibri"/>
          <w:i/>
          <w:iCs/>
          <w:color w:val="000000"/>
          <w:kern w:val="0"/>
          <w:sz w:val="22"/>
          <w:szCs w:val="22"/>
          <w14:ligatures w14:val="none"/>
        </w:rPr>
        <w:t>Narowal</w:t>
      </w:r>
      <w:r w:rsidRPr="00FE5D1C">
        <w:rPr>
          <w:rFonts w:ascii="Calibri" w:eastAsia="Times New Roman" w:hAnsi="Calibri" w:cs="Calibri"/>
          <w:color w:val="000000"/>
          <w:kern w:val="0"/>
          <w:sz w:val="22"/>
          <w:szCs w:val="22"/>
          <w14:ligatures w14:val="none"/>
        </w:rPr>
        <w:t xml:space="preserve">, Pakistan using the concept of the Integrated Bite Case Management (IBCM) tool and investigates epidemiological features of retrospective and prospective reportable animal bite data in humans and animals. The project involves the collaboration of medical, veterinary, agriculture, and district administration with the rabies lab of the University to make joint collaboration and risk assessments of the human and animal bite victims by these respective hospitals during the project. The Pakistan One Health Alliance (NGO partner) will showcase project findings to all the stakeholders and policymakers in its existing national project of One Health Work Force Development. Epidemiological analysis will also be conducted on the prospective and retrospective (last five-year data on reportable animal or dog bite injuries, rabies cases, and possible encephalitis cases in public sector veterinary and medical hospitals of the district) during the project. Moreover, rapid rabies test kits will also be used to test the suspected cases of animal rabies in the study district with the help of university researchers. This surveillance project will essentially help policymakers, allied health workers, and the community in the understanding of disease </w:t>
      </w:r>
      <w:r w:rsidRPr="00FE5D1C">
        <w:rPr>
          <w:rFonts w:ascii="Calibri" w:eastAsia="Times New Roman" w:hAnsi="Calibri" w:cs="Calibri"/>
          <w:color w:val="000000"/>
          <w:kern w:val="0"/>
          <w:sz w:val="22"/>
          <w:szCs w:val="22"/>
          <w14:ligatures w14:val="none"/>
        </w:rPr>
        <w:lastRenderedPageBreak/>
        <w:t>epidemiology/ecology. Additionally, SOPs regarding outbreak investigations, rabies management, and diagnosis will be established. The project also lays the foundation of a sustainable DMHR surveillance, and data will help to envisage the national action plan for the control of DMHR in Pakistan.</w:t>
      </w:r>
    </w:p>
    <w:p w14:paraId="5AB8F1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25-A-1800-ASTMH</w:t>
      </w:r>
    </w:p>
    <w:p w14:paraId="040969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78167E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Assessing the Readiness and Capacity of Primary Healthcare Centers in Eastern Uganda To Diagnose and Manage Soil-Transmitted Helminths and Schistosomiasis</w:t>
      </w:r>
    </w:p>
    <w:p w14:paraId="1206C4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Neglected tropical diseases (NTDs) affect millions in Africa, with Uganda bearing a significant burden. The World Health Organization (WHO) aims to reduce NTDs and improve access to diagnosis and management by 2030. However, due to limited knowledge and resources among health workers, NTDs remain poorly integrated into primary healthcare. This study assessed the readiness and capacity of primary healthcare centers in eastern Uganda to diagnose and manage soil-transmitted helminths (STHs) and schistosomiasis. We conducted a cross-sectional quantitative study among 204 health workers from 20 primary healthcare facilities in Kayunga, Serere, Buyende, and Kaliro districts which are bordering Lake Kyoga and with high NTD prevalence. We used structured, pretested questionnaires to evaluate health workers’ knowledge of symptoms, diagnosis, and treatment of STHs and schistosomiasis, as well as facility-level resource availability. Data collectors received two days of training, and data were analyzed using R. Health workers demonstrated strong knowledge of STHs (86.76%), but showed lower awareness of Schistosoma mansoni (71.43%) and Schistosoma haematobium (59.72%). While 95% of health facilities had laboratories, only 68% had diagnostic tests for STHs and schistosomiasis, and 58% stocked essential medicines. Critical diagnostic tools such as Kato-Katz templates were absent in all facilities. Only 17% of workers had prior training in schistosomiasis, and just 25% had training in NTD surveillance. Although 91% recognized albendazole or mebendazole as a treatment for STHs, awareness of praziquantel for schistosomiasis was 81%. Surveillance systems were underutilized, with nearly half reporting difficulty completing reporting forms and only 28% receiving supportive supervision. These findings reveal substantial gaps in facility readiness and training for NTD control. Strengthening capacity through ongoing training, supportive supervision, improved surveillance systems, and investment in diagnostic infrastructure is critical to enhance NTD management and contribute toward Uganda’s 2030 NTD control targets.</w:t>
      </w:r>
    </w:p>
    <w:p w14:paraId="28A4ED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25-A-1801-ASTMH</w:t>
      </w:r>
    </w:p>
    <w:p w14:paraId="5A40BD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00BE5B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Comparative Analysis of Performance of the ELISAs based on the Nucleoprotein and Hemagglutinin of Peste des Petits Ruminants virus for detection of specific Antibodies from PPR free Countries.</w:t>
      </w:r>
    </w:p>
    <w:p w14:paraId="21C486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Peste des Petits Ruminants (PPR) is a highly contagious disease of small ruminants caused by Peste des Petits Ruminants Virus (PPRV). It is an economically important transboundary disease of sheep and goats, especially in developing countries. In PPR-free countries, the timely and precise detection of specific PPR antibodies is critical for epidemiological surveillance and to prevent the introduction of the disease. This study compares two ELISA assays, the competitive ELISA N-protein (cELISA-Nppr) developed by IDvet-France and the epitope-blocking H-protein (bELISA-Hppr) developed by AU-PANVAC, to detect specific PPRV antibodies in samples collected from sheep and goats in three PPR-free countries. The Specificity of these ELISA techniques in detecting antibodies against PPRV in negative samples was evaluated to provide insights into their comparative performance. A large panel of sera (n=1483) from sheep and goats from PPR-free countries, namely Lesotho, Botswana and Sao Tome, were tested with the two assays. The percentage of negative samples detected by cELISA-Nppr and bELISA-Hppr is 98.85% and 99.60%, respectively. A substantial agreement of (K=0.79) between both tests was also observed. The bELISA-Hppr seems more specific for detecting negative samples. Both assays could be used to detect PPR antibodies in PPR-free countries.These findings indicate the </w:t>
      </w:r>
      <w:r w:rsidRPr="00FE5D1C">
        <w:rPr>
          <w:rFonts w:ascii="Calibri" w:eastAsia="Times New Roman" w:hAnsi="Calibri" w:cs="Calibri"/>
          <w:color w:val="000000"/>
          <w:kern w:val="0"/>
          <w:sz w:val="22"/>
          <w:szCs w:val="22"/>
          <w14:ligatures w14:val="none"/>
        </w:rPr>
        <w:lastRenderedPageBreak/>
        <w:t>availability of good diagnostic tools for the epidemiology surveillance of PPR in countries with disease-free status.</w:t>
      </w:r>
    </w:p>
    <w:p w14:paraId="0B6437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25-A-1802-ASTMH</w:t>
      </w:r>
    </w:p>
    <w:p w14:paraId="1EC106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6E2139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 gene deletions are associated with cerebral malaria</w:t>
      </w:r>
    </w:p>
    <w:p w14:paraId="0B97F83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health challenge in Sub-Saharan Africa, with 2023 witnessing over 560,000 deaths from 246 million cases, including many from cerebral malaria. Despite improvements in control and elimination through rapid diagnostic tests (RDTs) and effective antimalarials roll-out, challenges persist because gene deletions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parasites lead to RDTs not detecting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HRP2/3 proteins, resulting in missed diagnoses and delayed treatment. Missed diagnoses permit the development of severe forms of malaria, such as cerebral malaria; a neurological condition caused by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that can cause coma, long-term neurological damage, or death in most cases. This study investigates the association between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2/3 gene deletions and cerebral malaria. The study used a total of 90 archived dried blood spots (DBS) samples from children, consisting of 45 cerebral malaria (CM) and 45 uncomplicated malaria (UM) cases. Nucleic acid (DNA) was extracted and analysed for malaria parasites confirmation by using PCR to detect </w:t>
      </w:r>
      <w:r w:rsidRPr="00FE5D1C">
        <w:rPr>
          <w:rFonts w:ascii="Calibri" w:eastAsia="Times New Roman" w:hAnsi="Calibri" w:cs="Calibri"/>
          <w:i/>
          <w:iCs/>
          <w:color w:val="000000"/>
          <w:kern w:val="0"/>
          <w:sz w:val="22"/>
          <w:szCs w:val="22"/>
          <w14:ligatures w14:val="none"/>
        </w:rPr>
        <w:t>P. falciparum, msp2 genes,</w:t>
      </w:r>
      <w:r w:rsidRPr="00FE5D1C">
        <w:rPr>
          <w:rFonts w:ascii="Calibri" w:eastAsia="Times New Roman" w:hAnsi="Calibri" w:cs="Calibri"/>
          <w:color w:val="000000"/>
          <w:kern w:val="0"/>
          <w:sz w:val="22"/>
          <w:szCs w:val="22"/>
          <w14:ligatures w14:val="none"/>
        </w:rPr>
        <w:t> and a panel of tests to detect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2/3 gene deletions in the parasites.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 gene was deleted in 12.22% (11/90) of samples. A higher proportion 81.82% (9/11) of </w:t>
      </w:r>
      <w:r w:rsidRPr="00FE5D1C">
        <w:rPr>
          <w:rFonts w:ascii="Calibri" w:eastAsia="Times New Roman" w:hAnsi="Calibri" w:cs="Calibri"/>
          <w:i/>
          <w:iCs/>
          <w:color w:val="000000"/>
          <w:kern w:val="0"/>
          <w:sz w:val="22"/>
          <w:szCs w:val="22"/>
          <w14:ligatures w14:val="none"/>
        </w:rPr>
        <w:t>Pfhrp2</w:t>
      </w:r>
      <w:r w:rsidRPr="00FE5D1C">
        <w:rPr>
          <w:rFonts w:ascii="Calibri" w:eastAsia="Times New Roman" w:hAnsi="Calibri" w:cs="Calibri"/>
          <w:color w:val="000000"/>
          <w:kern w:val="0"/>
          <w:sz w:val="22"/>
          <w:szCs w:val="22"/>
          <w14:ligatures w14:val="none"/>
        </w:rPr>
        <w:t> gene deletions were seen in parasites from children diagnosed with CM compared to UM 18.18% (2/11). </w:t>
      </w:r>
      <w:r w:rsidRPr="00FE5D1C">
        <w:rPr>
          <w:rFonts w:ascii="Calibri" w:eastAsia="Times New Roman" w:hAnsi="Calibri" w:cs="Calibri"/>
          <w:i/>
          <w:iCs/>
          <w:color w:val="000000"/>
          <w:kern w:val="0"/>
          <w:sz w:val="22"/>
          <w:szCs w:val="22"/>
          <w14:ligatures w14:val="none"/>
        </w:rPr>
        <w:t>Pfhrp3 </w:t>
      </w:r>
      <w:r w:rsidRPr="00FE5D1C">
        <w:rPr>
          <w:rFonts w:ascii="Calibri" w:eastAsia="Times New Roman" w:hAnsi="Calibri" w:cs="Calibri"/>
          <w:color w:val="000000"/>
          <w:kern w:val="0"/>
          <w:sz w:val="22"/>
          <w:szCs w:val="22"/>
          <w14:ligatures w14:val="none"/>
        </w:rPr>
        <w:t>gene was deleted (double-deletion of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 and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3) in 27.27% (3/11) of samples. Higher proportion, 66.67% (2/3), of </w:t>
      </w:r>
      <w:r w:rsidRPr="00FE5D1C">
        <w:rPr>
          <w:rFonts w:ascii="Calibri" w:eastAsia="Times New Roman" w:hAnsi="Calibri" w:cs="Calibri"/>
          <w:i/>
          <w:iCs/>
          <w:color w:val="000000"/>
          <w:kern w:val="0"/>
          <w:sz w:val="22"/>
          <w:szCs w:val="22"/>
          <w14:ligatures w14:val="none"/>
        </w:rPr>
        <w:t>Pfhrp3</w:t>
      </w:r>
      <w:r w:rsidRPr="00FE5D1C">
        <w:rPr>
          <w:rFonts w:ascii="Calibri" w:eastAsia="Times New Roman" w:hAnsi="Calibri" w:cs="Calibri"/>
          <w:color w:val="000000"/>
          <w:kern w:val="0"/>
          <w:sz w:val="22"/>
          <w:szCs w:val="22"/>
          <w14:ligatures w14:val="none"/>
        </w:rPr>
        <w:t> gene deletions were seen in parasites from children with CM compared to children with UM, 33.33% (1/3). A significant association was found between CM and </w:t>
      </w:r>
      <w:r w:rsidRPr="00FE5D1C">
        <w:rPr>
          <w:rFonts w:ascii="Calibri" w:eastAsia="Times New Roman" w:hAnsi="Calibri" w:cs="Calibri"/>
          <w:i/>
          <w:iCs/>
          <w:color w:val="000000"/>
          <w:kern w:val="0"/>
          <w:sz w:val="22"/>
          <w:szCs w:val="22"/>
          <w14:ligatures w14:val="none"/>
        </w:rPr>
        <w:t>Pfhrp2</w:t>
      </w:r>
      <w:r w:rsidRPr="00FE5D1C">
        <w:rPr>
          <w:rFonts w:ascii="Calibri" w:eastAsia="Times New Roman" w:hAnsi="Calibri" w:cs="Calibri"/>
          <w:color w:val="000000"/>
          <w:kern w:val="0"/>
          <w:sz w:val="22"/>
          <w:szCs w:val="22"/>
          <w14:ligatures w14:val="none"/>
        </w:rPr>
        <w:t> gene deletions, suggesting a possible relationship between CM and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 gene deletion. These findings may serve as baseline data for further studies that would inform policy making and implementation on malaria diagnosis, management, and elimination in endemic regions of Africa.</w:t>
      </w:r>
    </w:p>
    <w:p w14:paraId="601B2C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25-A-1803-ASTMH</w:t>
      </w:r>
    </w:p>
    <w:p w14:paraId="0D8069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24E16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Host plasma protein biomarkers for diagnosing tuberculosis disease in febrile adults presenting to outpatient clinics in Tanzania</w:t>
      </w:r>
    </w:p>
    <w:p w14:paraId="58BA060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Access to diagnostic tests for tuberculosis (TB) disease is limited in low- and middle-income countries due to requirements for specialized laboratory infrastructure, trained personnel, and cost. To address this gap, the World Health Organization has called for the development of non-sputum point-of-care tests (POCT). As endothelial and immune activation are involved in the pathogenesis of</w:t>
      </w:r>
      <w:r w:rsidRPr="00FE5D1C">
        <w:rPr>
          <w:rFonts w:ascii="Calibri" w:eastAsia="Times New Roman" w:hAnsi="Calibri" w:cs="Calibri"/>
          <w:i/>
          <w:iCs/>
          <w:color w:val="000000"/>
          <w:kern w:val="0"/>
          <w:sz w:val="22"/>
          <w:szCs w:val="22"/>
          <w14:ligatures w14:val="none"/>
        </w:rPr>
        <w:t> Mycobacterium tuberculosis</w:t>
      </w:r>
      <w:r w:rsidRPr="00FE5D1C">
        <w:rPr>
          <w:rFonts w:ascii="Calibri" w:eastAsia="Times New Roman" w:hAnsi="Calibri" w:cs="Calibri"/>
          <w:color w:val="000000"/>
          <w:kern w:val="0"/>
          <w:sz w:val="22"/>
          <w:szCs w:val="22"/>
          <w14:ligatures w14:val="none"/>
        </w:rPr>
        <w:t xml:space="preserve"> complex, we hypothesized that dysregulation of immune protein biomarkers, which can be measured at low-cost from fingerstick blood, could identify people with TB disease. Consequently, 14 host plasma proteins representing these pathways were measured at presentation and compared to a composite reference standard of Xpert MTB/RIF, urine lipoarabinomannan, and/or chest x-ray for diagnosing TB disease in a prospective cohort of adults with 7 days or less of fever who presented to outpatient clinics in Tanzania. Of 507 patients who met inclusion criteria; 40 (7.9%) had TB disease and 467 (92.1%) had other causes of fever including pneumonia (n=139), dengue (n=128), and fever of unknown origin (n=54). In univariate comparisons, eight (57.1%) proteins were significantly elevated in people with TB disease (p&lt;0.05). Among these eight proteins, sTREM-1 was the top performing biomarker to predict TB disease and the only biomarker with a significantly higher area under the receiving operating characteristic curve (AUC) than CRP (0.78 vs. 0.63, p=0.01). Multivariable logistic regression identified a 3-marker model of sTREM-1, CHI3L1, and CRP with AUC 0.83 (95% CI 0.77, 0.88) that had significantly higher diagnostic performance (p&lt;0.05) than sTREM-1 and other protein combinations while accounting for marker parsimony. In conclusion, our data indicate that a biosignature of three host plasma proteins has good accuracy for identifying TB disease and could be </w:t>
      </w:r>
      <w:r w:rsidRPr="00FE5D1C">
        <w:rPr>
          <w:rFonts w:ascii="Calibri" w:eastAsia="Times New Roman" w:hAnsi="Calibri" w:cs="Calibri"/>
          <w:color w:val="000000"/>
          <w:kern w:val="0"/>
          <w:sz w:val="22"/>
          <w:szCs w:val="22"/>
          <w14:ligatures w14:val="none"/>
        </w:rPr>
        <w:lastRenderedPageBreak/>
        <w:t>incorporated into clinical algorithms as a diagnostic POCT. Biomarker-based pathways therefore have the potential to facilitate access to timely TB diagnosis and improve outcomes, warranting further study.</w:t>
      </w:r>
    </w:p>
    <w:p w14:paraId="7385F8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25-A-1804-ASTMH</w:t>
      </w:r>
    </w:p>
    <w:p w14:paraId="75A135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447FDC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Characterization and development of </w:t>
      </w:r>
      <w:r w:rsidRPr="00FE5D1C">
        <w:rPr>
          <w:rFonts w:ascii="Calibri" w:eastAsia="Times New Roman" w:hAnsi="Calibri" w:cs="Calibri"/>
          <w:b/>
          <w:bCs/>
          <w:i/>
          <w:iCs/>
          <w:color w:val="000000"/>
          <w:kern w:val="0"/>
          <w:sz w:val="22"/>
          <w:szCs w:val="22"/>
          <w14:ligatures w14:val="none"/>
        </w:rPr>
        <w:t>Schistosoma haematobium</w:t>
      </w:r>
      <w:r w:rsidRPr="00FE5D1C">
        <w:rPr>
          <w:rFonts w:ascii="Calibri" w:eastAsia="Times New Roman" w:hAnsi="Calibri" w:cs="Calibri"/>
          <w:b/>
          <w:bCs/>
          <w:color w:val="000000"/>
          <w:kern w:val="0"/>
          <w:sz w:val="22"/>
          <w:szCs w:val="22"/>
          <w14:ligatures w14:val="none"/>
        </w:rPr>
        <w:t> calpain-based vaccines: Next generation vaccines for urogenital schistosomiasis</w:t>
      </w:r>
    </w:p>
    <w:p w14:paraId="7832469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Urogenital schistosomiasis (UGS), caused by </w:t>
      </w:r>
      <w:r w:rsidRPr="00FE5D1C">
        <w:rPr>
          <w:rFonts w:ascii="Calibri" w:eastAsia="Times New Roman" w:hAnsi="Calibri" w:cs="Calibri"/>
          <w:i/>
          <w:iCs/>
          <w:color w:val="000000"/>
          <w:kern w:val="0"/>
          <w:sz w:val="22"/>
          <w:szCs w:val="22"/>
          <w14:ligatures w14:val="none"/>
        </w:rPr>
        <w:t>Schistosoma haematobium</w:t>
      </w:r>
      <w:r w:rsidRPr="00FE5D1C">
        <w:rPr>
          <w:rFonts w:ascii="Calibri" w:eastAsia="Times New Roman" w:hAnsi="Calibri" w:cs="Calibri"/>
          <w:color w:val="000000"/>
          <w:kern w:val="0"/>
          <w:sz w:val="22"/>
          <w:szCs w:val="22"/>
          <w14:ligatures w14:val="none"/>
        </w:rPr>
        <w:t>, affects millions of people worldwide. Clinical signs of UGS include bladder wall thickening, development of lesions and pseudopolyps, infertility and bladder cancer. Additionally, infected people have higher risks of sexually transmitted infections. For many reasons, control of schistosomiasis has eluded the research community and policy makers alike. Progress towards schistosomiasis elimination would only be achieved through an integrated approach with a vaccine serving as a fulcrum. Much of the schistosomiasis vaccine effort has been against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 with very little being done against UGS. Based on our previous work with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 vaccine, Sm-p80 formulated in GLA-SE (SchistoShield</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 now in clinical trials, we hypothesize that the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p80 calpain ortholog would provide protection against UGS. In this study, we produced, characterized and assessed the efficacy of full-length 80 kDa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calpain (Sh-p80) and a and a next-generation, 44-kDa Sh-p80-derived antigen termed, CaTaCo-Hem</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b/>
          <w:bCs/>
          <w:color w:val="000000"/>
          <w:kern w:val="0"/>
          <w:sz w:val="22"/>
          <w:szCs w:val="22"/>
          <w:u w:val="single"/>
          <w14:ligatures w14:val="none"/>
        </w:rPr>
        <w:t>Ca</w:t>
      </w:r>
      <w:r w:rsidRPr="00FE5D1C">
        <w:rPr>
          <w:rFonts w:ascii="Calibri" w:eastAsia="Times New Roman" w:hAnsi="Calibri" w:cs="Calibri"/>
          <w:color w:val="000000"/>
          <w:kern w:val="0"/>
          <w:sz w:val="22"/>
          <w:szCs w:val="22"/>
          <w14:ligatures w14:val="none"/>
        </w:rPr>
        <w:t>talysis-</w:t>
      </w:r>
      <w:r w:rsidRPr="00FE5D1C">
        <w:rPr>
          <w:rFonts w:ascii="Calibri" w:eastAsia="Times New Roman" w:hAnsi="Calibri" w:cs="Calibri"/>
          <w:b/>
          <w:bCs/>
          <w:color w:val="000000"/>
          <w:kern w:val="0"/>
          <w:sz w:val="22"/>
          <w:szCs w:val="22"/>
          <w:u w:val="single"/>
          <w14:ligatures w14:val="none"/>
        </w:rPr>
        <w:t>Ta</w:t>
      </w:r>
      <w:r w:rsidRPr="00FE5D1C">
        <w:rPr>
          <w:rFonts w:ascii="Calibri" w:eastAsia="Times New Roman" w:hAnsi="Calibri" w:cs="Calibri"/>
          <w:color w:val="000000"/>
          <w:kern w:val="0"/>
          <w:sz w:val="22"/>
          <w:szCs w:val="22"/>
          <w14:ligatures w14:val="none"/>
        </w:rPr>
        <w:t>rgeted </w:t>
      </w:r>
      <w:r w:rsidRPr="00FE5D1C">
        <w:rPr>
          <w:rFonts w:ascii="Calibri" w:eastAsia="Times New Roman" w:hAnsi="Calibri" w:cs="Calibri"/>
          <w:b/>
          <w:bCs/>
          <w:color w:val="000000"/>
          <w:kern w:val="0"/>
          <w:sz w:val="22"/>
          <w:szCs w:val="22"/>
          <w:u w:val="single"/>
          <w14:ligatures w14:val="none"/>
        </w:rPr>
        <w:t>Co</w:t>
      </w:r>
      <w:r w:rsidRPr="00FE5D1C">
        <w:rPr>
          <w:rFonts w:ascii="Calibri" w:eastAsia="Times New Roman" w:hAnsi="Calibri" w:cs="Calibri"/>
          <w:color w:val="000000"/>
          <w:kern w:val="0"/>
          <w:sz w:val="22"/>
          <w:szCs w:val="22"/>
          <w14:ligatures w14:val="none"/>
        </w:rPr>
        <w:t>nstruct-</w:t>
      </w:r>
      <w:r w:rsidRPr="00FE5D1C">
        <w:rPr>
          <w:rFonts w:ascii="Calibri" w:eastAsia="Times New Roman" w:hAnsi="Calibri" w:cs="Calibri"/>
          <w:b/>
          <w:bCs/>
          <w:color w:val="000000"/>
          <w:kern w:val="0"/>
          <w:sz w:val="22"/>
          <w:szCs w:val="22"/>
          <w:u w:val="single"/>
          <w14:ligatures w14:val="none"/>
        </w:rPr>
        <w:t>H</w:t>
      </w:r>
      <w:r w:rsidRPr="00FE5D1C">
        <w:rPr>
          <w:rFonts w:ascii="Calibri" w:eastAsia="Times New Roman" w:hAnsi="Calibri" w:cs="Calibri"/>
          <w:color w:val="000000"/>
          <w:kern w:val="0"/>
          <w:sz w:val="22"/>
          <w:szCs w:val="22"/>
          <w14:ligatures w14:val="none"/>
        </w:rPr>
        <w:t>a</w:t>
      </w:r>
      <w:r w:rsidRPr="00FE5D1C">
        <w:rPr>
          <w:rFonts w:ascii="Calibri" w:eastAsia="Times New Roman" w:hAnsi="Calibri" w:cs="Calibri"/>
          <w:b/>
          <w:bCs/>
          <w:color w:val="000000"/>
          <w:kern w:val="0"/>
          <w:sz w:val="22"/>
          <w:szCs w:val="22"/>
          <w:u w:val="single"/>
          <w14:ligatures w14:val="none"/>
        </w:rPr>
        <w:t>em</w:t>
      </w:r>
      <w:r w:rsidRPr="00FE5D1C">
        <w:rPr>
          <w:rFonts w:ascii="Calibri" w:eastAsia="Times New Roman" w:hAnsi="Calibri" w:cs="Calibri"/>
          <w:color w:val="000000"/>
          <w:kern w:val="0"/>
          <w:sz w:val="22"/>
          <w:szCs w:val="22"/>
          <w14:ligatures w14:val="none"/>
        </w:rPr>
        <w:t>atobium) formulated in two proprietary TLR-4 agonist-based adjuvants, EmT4</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or LiT4Q</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CaTaCo-Hem</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proteins expressed in the soluble fraction of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purified as a single monomer at 44 kDa by SDS-PAGE with fewer degradation products and less aggregation compared to full-length Sh-p80 antigen - even under non-denaturing conditions. Enzymatically, CaTaCo-Hem</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demonstrated higher efficiency compared to Sh-p80 in the Calpain-Glo assay. In an ongoing efficacy study, CaTaCo-Hem</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vertAlign w:val="subscript"/>
          <w14:ligatures w14:val="none"/>
        </w:rPr>
        <w:t>-</w:t>
      </w:r>
      <w:r w:rsidRPr="00FE5D1C">
        <w:rPr>
          <w:rFonts w:ascii="Calibri" w:eastAsia="Times New Roman" w:hAnsi="Calibri" w:cs="Calibri"/>
          <w:color w:val="000000"/>
          <w:kern w:val="0"/>
          <w:sz w:val="22"/>
          <w:szCs w:val="22"/>
          <w14:ligatures w14:val="none"/>
        </w:rPr>
        <w:t>based vaccines induced significantly higher specific IgG than Sh-p80 in immunized hamsters suggesting that CaTaCo-Hem</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-based vaccine formulations could potentially be more efficacious in protection against urogenital schistosomiasis. Data on efficacy endpoint readout are currently being collected, but we believe that the CaTaCo-Hem</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-based vaccine formulations would provide better protection against UGS than Sh-p80 since resistance against schistosomiasis is associated with specific antibody production.</w:t>
      </w:r>
    </w:p>
    <w:p w14:paraId="3BC9FA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25-A-1806-ASTMH</w:t>
      </w:r>
    </w:p>
    <w:p w14:paraId="4E8A82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32B8FC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Decade of Preventing Perinatal Transmission of HIV in Nigeria: Analysis of Clinical Interventions and Outcomes</w:t>
      </w:r>
    </w:p>
    <w:p w14:paraId="7DBFD5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Prevention of perinatal transmission of HIV is essential for reducing global HIV incidences while ensuring a healthy future for children of women living with HIV. This study describes the outcomes of life-saving clinical interventions made within a decade to prevent perinatal transmission of HIV in Nigerian communities. Clinical interventions for pregnant women living with HIV (PWLH) and HIV-exposed infants (HEIs) were adapted from National HIV Treatment Guidelines and implemented at 46 hospitals in Nigerian communities. Interventions for PWLH included anti-retroviral therapy (ART) optimization and adherence support to ensure viral suppression, prophylaxis and treatment of tuberculosis and other opportunistic infections (OIs), safe child-birth and infant-feeding practices. Interventions for HEIs included mono- and dual-anti-retroviral prophylaxis for low and high-risk HEIs respectively, adherence to immunization programmes, prophylaxis and treatment of OIs and HIV testing at birth, 6-8 weeks of age, and after 18 months of age. Pre- and post-intervention analyses were done in January 2015 and January 2025 respectively using quantitative and qualitative statistics. A total of 8, 241 pregnant women living with HIV and 8,563 HEIs received the interventions within the decade. The total percentages of HEIs who had HIV-negative results were 97% at birth, 96% at 6-8 weeks, and 93% at 18 months of age. The 7% gap in the achievement of 100% prevention of perinatal transmission of HIV was attributed to ART interruptions during pregnancy and breastfeeding (4%), unsafe practices during child delivery (2%), non-</w:t>
      </w:r>
      <w:r w:rsidRPr="00FE5D1C">
        <w:rPr>
          <w:rFonts w:ascii="Calibri" w:eastAsia="Times New Roman" w:hAnsi="Calibri" w:cs="Calibri"/>
          <w:color w:val="000000"/>
          <w:kern w:val="0"/>
          <w:sz w:val="22"/>
          <w:szCs w:val="22"/>
          <w14:ligatures w14:val="none"/>
        </w:rPr>
        <w:lastRenderedPageBreak/>
        <w:t>adherence to anti-retroviral prophylaxis for HEIs (0.5%) and patient attrition (0.5%). The interventions reduced incidences of Tuberculosis and other opportunistic infections from 36% pre-intervention to 5%, post-intervention, and reduced HIV treatment costs from 92% pre-intervention to 10% post-intervention. The clinical interventions were effective in preventing perinatal transmission of HIV in Nigerian communities. However, the factors contributing to gaps identified during the study need to be resolved.</w:t>
      </w:r>
    </w:p>
    <w:p w14:paraId="435D08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25-A-1807-ASTMH</w:t>
      </w:r>
    </w:p>
    <w:p w14:paraId="630F5F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5FD03B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Improving Access to Mobility Management and Disability Prevention (MMDP) Management of Lymphatic Filariasis (LF) Complications Towards the World Health Organization 2030 LF elimination goal: A pilot study conducted in Liberia 2022 to close the gaps in Case Management NTDs care—Lymphatic Filariasis</w:t>
      </w:r>
    </w:p>
    <w:p w14:paraId="52874A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Lymphatic Filariasis (LF) is one of the 20 neglected tropical diseases with a high prevalence rate in sub-Saharan Africa. It has two complications: hydrocele and Lymphedema. In Liberia, LF is prevalent in 13 of the 15 counties, baseline survey data 2012. The only strategy for prevention and control of LF has been Mass Drug Administration (MDA) and an evaluation of the intervention (Pre-transmission Assessment Survey and Transmission Assessment Survey (PRE-TAS and TAS). The case management remains a challenge in achieving the elimination target for LF, WHO Road Map (2030). However, to manage the complications of LF, the CMNTDs Program initiated the management of Lymphedema care in all 15 counties, (2016) by providing Home-Based Self Care (HBSC) Kits to clients. In November 2022, the CM Project for the first time, initiated an integrated campaign to scale up the Mobility Management and Disability Prevention (MMDP) Campaign Project supported by Sightsavers International. The MMDP Campaign started in November 2022 in five (5) counties (Bomi, Bong, Lofa, Nimba, and Maryland) with a target of 300 hydrocelectomies and distribute additional 260 HBSC Kits to both old and new lymphedema clients. The results against the target are as follows: Bomi (21), Bong (44), Lofa (39), Nimba (54) and Maryland (23). A total of 181 (60.33%) Hydrocelectomies were performed in 11 hospitals with an unmet target of 119 (39.7%) hydrocele cases due to several factors including farming activities. The NTDs Program has plan to scale up to 8 counties. This abstract seeks to explore opportunities to close the service gaps for those affected by LF complications to have adequate access to NTDs services equitably. The NTDs Program will continue to conduct supportive supervision, provide training, mentorship and monitor health facilities and health workers who have been trained in CMNTDs care. The NTDs Program has integrated with Mental Health to deal with NTDs affected persons suffering from stigma and depression. Adopting positive health-seeking behavior helps to promote WHO 2030 Roadmap for all NTDs and United Nations Sustainable Development Goals # 3.</w:t>
      </w:r>
    </w:p>
    <w:p w14:paraId="2B37A4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25-A-1808-ASTMH</w:t>
      </w:r>
    </w:p>
    <w:p w14:paraId="10A079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774EEE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Comparative Attraction of </w:t>
      </w:r>
      <w:r w:rsidRPr="00FE5D1C">
        <w:rPr>
          <w:rFonts w:ascii="Calibri" w:eastAsia="Times New Roman" w:hAnsi="Calibri" w:cs="Calibri"/>
          <w:b/>
          <w:bCs/>
          <w:i/>
          <w:iCs/>
          <w:color w:val="000000"/>
          <w:kern w:val="0"/>
          <w:sz w:val="22"/>
          <w:szCs w:val="22"/>
          <w14:ligatures w14:val="none"/>
        </w:rPr>
        <w:t>Anopheles quadriannulatus</w:t>
      </w:r>
      <w:r w:rsidRPr="00FE5D1C">
        <w:rPr>
          <w:rFonts w:ascii="Calibri" w:eastAsia="Times New Roman" w:hAnsi="Calibri" w:cs="Calibri"/>
          <w:b/>
          <w:bCs/>
          <w:color w:val="000000"/>
          <w:kern w:val="0"/>
          <w:sz w:val="22"/>
          <w:szCs w:val="22"/>
          <w14:ligatures w14:val="none"/>
        </w:rPr>
        <w:t> and </w:t>
      </w:r>
      <w:r w:rsidRPr="00FE5D1C">
        <w:rPr>
          <w:rFonts w:ascii="Calibri" w:eastAsia="Times New Roman" w:hAnsi="Calibri" w:cs="Calibri"/>
          <w:b/>
          <w:bCs/>
          <w:i/>
          <w:iCs/>
          <w:color w:val="000000"/>
          <w:kern w:val="0"/>
          <w:sz w:val="22"/>
          <w:szCs w:val="22"/>
          <w14:ligatures w14:val="none"/>
        </w:rPr>
        <w:t>Anopheles arabiensis </w:t>
      </w:r>
      <w:r w:rsidRPr="00FE5D1C">
        <w:rPr>
          <w:rFonts w:ascii="Calibri" w:eastAsia="Times New Roman" w:hAnsi="Calibri" w:cs="Calibri"/>
          <w:b/>
          <w:bCs/>
          <w:color w:val="000000"/>
          <w:kern w:val="0"/>
          <w:sz w:val="22"/>
          <w:szCs w:val="22"/>
          <w14:ligatures w14:val="none"/>
        </w:rPr>
        <w:t>to Humans Estimated by Comparing Their Relative Abundance in Samples of Mosquito Larvae and Adults Collected Across an Ecologically Heterogeneous Landscape in Southern Tanzania</w:t>
      </w:r>
    </w:p>
    <w:p w14:paraId="2A1649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Most human malaria parasites are strict anthroponoses, making mosquito preference for human blood crucial for transmission intensity and intervention strategy. We retrospectively analyzed entomological data to assess the attraction of </w:t>
      </w:r>
      <w:r w:rsidRPr="00FE5D1C">
        <w:rPr>
          <w:rFonts w:ascii="Calibri" w:eastAsia="Times New Roman" w:hAnsi="Calibri" w:cs="Calibri"/>
          <w:i/>
          <w:iCs/>
          <w:color w:val="000000"/>
          <w:kern w:val="0"/>
          <w:sz w:val="22"/>
          <w:szCs w:val="22"/>
          <w14:ligatures w14:val="none"/>
        </w:rPr>
        <w:t>Anopheles arabiensis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Anopheles quadriannulatus</w:t>
      </w:r>
      <w:r w:rsidRPr="00FE5D1C">
        <w:rPr>
          <w:rFonts w:ascii="Calibri" w:eastAsia="Times New Roman" w:hAnsi="Calibri" w:cs="Calibri"/>
          <w:color w:val="000000"/>
          <w:kern w:val="0"/>
          <w:sz w:val="22"/>
          <w:szCs w:val="22"/>
          <w14:ligatures w14:val="none"/>
        </w:rPr>
        <w:t xml:space="preserve"> to humans, by comparing their abundance in larval and adult samples collected across an ecologically diverse landscape in southern Tanzania. Mosquito larvae and adults were surveyed across a mosaic of habitat types, from agricultural and settlement areas to intact natural ecosystems. Larvae were collected from all water bodies within a 2 km radius of 40 camping sites. Adults were captured using four light traps and one interception netting barrier trap per camp. Light traps were placed beside a human-occupied tent, near the camp, in a streambed, and in an open glade, while the barrier trap was in the glade. Most </w:t>
      </w:r>
      <w:r w:rsidRPr="00FE5D1C">
        <w:rPr>
          <w:rFonts w:ascii="Calibri" w:eastAsia="Times New Roman" w:hAnsi="Calibri" w:cs="Calibri"/>
          <w:color w:val="000000"/>
          <w:kern w:val="0"/>
          <w:sz w:val="22"/>
          <w:szCs w:val="22"/>
          <w14:ligatures w14:val="none"/>
        </w:rPr>
        <w:lastRenderedPageBreak/>
        <w:t>adult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complex mosquitoes caught were unfed and host-seeking. Among sibling species,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was 2 to 4 times more common in light traps beside human-occupied tents, while barrier traps achieved higher capture rates. In contrast, </w:t>
      </w:r>
      <w:r w:rsidRPr="00FE5D1C">
        <w:rPr>
          <w:rFonts w:ascii="Calibri" w:eastAsia="Times New Roman" w:hAnsi="Calibri" w:cs="Calibri"/>
          <w:i/>
          <w:iCs/>
          <w:color w:val="000000"/>
          <w:kern w:val="0"/>
          <w:sz w:val="22"/>
          <w:szCs w:val="22"/>
          <w14:ligatures w14:val="none"/>
        </w:rPr>
        <w:t>An. quadriannulatus</w:t>
      </w:r>
      <w:r w:rsidRPr="00FE5D1C">
        <w:rPr>
          <w:rFonts w:ascii="Calibri" w:eastAsia="Times New Roman" w:hAnsi="Calibri" w:cs="Calibri"/>
          <w:color w:val="000000"/>
          <w:kern w:val="0"/>
          <w:sz w:val="22"/>
          <w:szCs w:val="22"/>
          <w14:ligatures w14:val="none"/>
        </w:rPr>
        <w:t> catches were consistently low across traps, even in wild areas where it dominated larval populations, and highest in open glades away from camp. The proportion of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in adult collections was significantly higher than in larval samples (98.7% vs. 78.3%, p&lt;0.0001). Adults caught near human-occupied tents had 20 times higher odds of being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rather than </w:t>
      </w:r>
      <w:r w:rsidRPr="00FE5D1C">
        <w:rPr>
          <w:rFonts w:ascii="Calibri" w:eastAsia="Times New Roman" w:hAnsi="Calibri" w:cs="Calibri"/>
          <w:i/>
          <w:iCs/>
          <w:color w:val="000000"/>
          <w:kern w:val="0"/>
          <w:sz w:val="22"/>
          <w:szCs w:val="22"/>
          <w14:ligatures w14:val="none"/>
        </w:rPr>
        <w:t>An. quadriannulatus</w:t>
      </w:r>
      <w:r w:rsidRPr="00FE5D1C">
        <w:rPr>
          <w:rFonts w:ascii="Calibri" w:eastAsia="Times New Roman" w:hAnsi="Calibri" w:cs="Calibri"/>
          <w:color w:val="000000"/>
          <w:kern w:val="0"/>
          <w:sz w:val="22"/>
          <w:szCs w:val="22"/>
          <w14:ligatures w14:val="none"/>
        </w:rPr>
        <w:t>, and the barrier trap away from camp but frequently visited by researchers showed a 22-fold enrichment of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These results confirm strong human attraction of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contrasting with the non-responsiveness of non-vector </w:t>
      </w:r>
      <w:r w:rsidRPr="00FE5D1C">
        <w:rPr>
          <w:rFonts w:ascii="Calibri" w:eastAsia="Times New Roman" w:hAnsi="Calibri" w:cs="Calibri"/>
          <w:i/>
          <w:iCs/>
          <w:color w:val="000000"/>
          <w:kern w:val="0"/>
          <w:sz w:val="22"/>
          <w:szCs w:val="22"/>
          <w14:ligatures w14:val="none"/>
        </w:rPr>
        <w:t>An. quadriannulatus</w:t>
      </w:r>
      <w:r w:rsidRPr="00FE5D1C">
        <w:rPr>
          <w:rFonts w:ascii="Calibri" w:eastAsia="Times New Roman" w:hAnsi="Calibri" w:cs="Calibri"/>
          <w:color w:val="000000"/>
          <w:kern w:val="0"/>
          <w:sz w:val="22"/>
          <w:szCs w:val="22"/>
          <w14:ligatures w14:val="none"/>
        </w:rPr>
        <w:t>. Light traps near human-occupied tents effectively capture anthropophagic mosquitoes outdoors, while traps farther from people offer unbiased, low-efficiency representations of larval populations. Frequent visits to netting barriers may attract anthropophagic mosquitoes, effectively turning them into human-baited traps.</w:t>
      </w:r>
    </w:p>
    <w:p w14:paraId="3411FE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25-A-1810-ASTMH</w:t>
      </w:r>
    </w:p>
    <w:p w14:paraId="316E62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72CA96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Efficacy of targeted indoor residual spraying in preventing </w:t>
      </w:r>
      <w:r w:rsidRPr="00FE5D1C">
        <w:rPr>
          <w:rFonts w:ascii="Calibri" w:eastAsia="Times New Roman" w:hAnsi="Calibri" w:cs="Calibri"/>
          <w:b/>
          <w:bCs/>
          <w:i/>
          <w:iCs/>
          <w:color w:val="000000"/>
          <w:kern w:val="0"/>
          <w:sz w:val="22"/>
          <w:szCs w:val="22"/>
          <w14:ligatures w14:val="none"/>
        </w:rPr>
        <w:t>Aedes</w:t>
      </w:r>
      <w:r w:rsidRPr="00FE5D1C">
        <w:rPr>
          <w:rFonts w:ascii="Calibri" w:eastAsia="Times New Roman" w:hAnsi="Calibri" w:cs="Calibri"/>
          <w:b/>
          <w:bCs/>
          <w:color w:val="000000"/>
          <w:kern w:val="0"/>
          <w:sz w:val="22"/>
          <w:szCs w:val="22"/>
          <w14:ligatures w14:val="none"/>
        </w:rPr>
        <w:t>-borne diseases</w:t>
      </w:r>
    </w:p>
    <w:p w14:paraId="610528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Targeted indoor residual spraying (TIRS) focuses insecticide applications on common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resting surfaces in houses, such as exposed lower sections of walls and under furniture. We conducted a two-arm, parallel, unblinded, cluster-randomized trial in Mérida, Mexico, to quantify the efficacy of TIRS for preventing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-borne diseases (ABD: dengue, Zika, or chikungunya). A cohort of children aged 2-15 years were enrolled from households from 50 5x5 city block clusters. Households in 25 clusters received a preventative application of TIRS before each ABD season (July-December). All clusters received routine Ministry of Health vector control. The primary endpoint was laboratory-confirmed, symptomatic ABD in children within the 3x3 block cluster centers. The community impact of TIRS across ages was measured by national surveillance data geolocated within study clusters. From the start of active surveillance, 4461 children were monitored for up to three ABD seasons (2021-2023), including 2124 children in the cluster centers. TIRS significantly reduced indoor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density by 59% (95% CI: 51%, 65%). 422 ABD cases were confirmed, primarily dengue from a 2023 outbreak. Epidemiological efficacy was -12.8% (95% CI: -60.7%, 23.0%) by the per protocol analysis of the cluster center and 3.9% (95% CI: -28.1%, 26.7%) by the intention-to-treat analysis of the entire cluster. Adjusting for population mobility or demographics did not modify estimates. The estimated community impact was 24.0% (95% CI: 6.0%, 38.6%). Despite reductions in entomological indices, no significant reduction in ABD was detected among cohort children, although a significant community effect was quantified.</w:t>
      </w:r>
    </w:p>
    <w:p w14:paraId="1DDE437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25-A-1811-ASTMH</w:t>
      </w:r>
    </w:p>
    <w:p w14:paraId="72CF87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1E8CF2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Assessment of the Effectiveness of Public Art in improving Knowledge, Attitude, Practices and Mitigation of Stigmatization regarding Neglected Tropical Diseases in South Eastern, Nigeria</w:t>
      </w:r>
    </w:p>
    <w:p w14:paraId="204DF44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Neglected Tropical Diseases (NTDs) continue to significantly impact marginalized communities, contributing to high morbidity, stigma, and social exclusion. Traditional health education strategies often fail to engage affected populations effectively. This study assesses the effect of a community public art as an innovative tool for improving knowledge, shifting attitudes, enhancing preventive practices, and reducing stigma related to NTDs in Okwelle Community, Imo State, Nigeria. A mixed-methods implementation research design was employed, involving 724 participants (362 at pretest and 362 at posttest). Public art installations depicting common NTDs in the study location including, Onchocerciasis, Buruli ulcer, and Lymphatic filariasis, were strategically placed in community spaces. Pretest and posttest surveys, key informant interviews, and focus group discussions were conducted to elucidate information about the influence of the public art on knowledge improvement and perception </w:t>
      </w:r>
      <w:r w:rsidRPr="00FE5D1C">
        <w:rPr>
          <w:rFonts w:ascii="Calibri" w:eastAsia="Times New Roman" w:hAnsi="Calibri" w:cs="Calibri"/>
          <w:color w:val="000000"/>
          <w:kern w:val="0"/>
          <w:sz w:val="22"/>
          <w:szCs w:val="22"/>
          <w14:ligatures w14:val="none"/>
        </w:rPr>
        <w:lastRenderedPageBreak/>
        <w:t>shifting. Quantitative data were analyzed using chi-square tests. Findings revealed a significant increase in NTD awareness post-intervention (p &lt; 0.05). Identification of disease symptoms improved, misconceptions regarding supernatural causation decreased, and preventive behaviors such as healthcare-seeking and participation in community health programs increased. Stigma reduction was evident, with greater acceptance of affected individuals and increased willingness to interact with them. Notably, 98.3% of participants supported maintaining public art as an educational tool. Public art can be a powerful and culturally relevant medium for enhancing NTD awareness, promoting behavior change, and reducing stigma in endemic communities. This study highlights its potential for integration into broader public health strategies to improve disease awareness and community participation. Future research should explore the scalability and long-term sustainability of public art interventions in diverse settings.</w:t>
      </w:r>
    </w:p>
    <w:p w14:paraId="69A057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25-A-1812-ASTMH</w:t>
      </w:r>
    </w:p>
    <w:p w14:paraId="475CD1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4EDF774B" w14:textId="7D0E48DF"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Access And Availability Of Snake Antivenom In Health Facilities: Health Worker Perspectives in the Volta and Oti Regions, Ghana</w:t>
      </w:r>
    </w:p>
    <w:p w14:paraId="6DF062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Snakebite envenomation remains a significant cause of disability and death, particularly in rural Africa, where over 100 million people are at high risk. The WHO aims to reduce snakebite-related mortality and disability by 50% by 2030. Ghana's National Snakebite Management Protocol aimed at improving treatment and care. Despite this, snakebites continue to pose a public health challenge due to venomous species and treatment gaps. While anti-snake venom (ASV) is the recommended treatment, high cost, limited production and unequal distribution hinders access in high-burden regions like Ghana. This study explores the accessibility and availability of ASV in health facilities, based on the perspectives of health workers.</w:t>
      </w:r>
      <w:r w:rsidRPr="00FE5D1C">
        <w:rPr>
          <w:rFonts w:ascii="Calibri" w:eastAsia="Times New Roman" w:hAnsi="Calibri" w:cs="Calibri"/>
          <w:color w:val="000000"/>
          <w:kern w:val="0"/>
          <w:sz w:val="22"/>
          <w:szCs w:val="22"/>
          <w14:ligatures w14:val="none"/>
        </w:rPr>
        <w:br/>
        <w:t>This exploratory qualitative study was conducted to explore the access and availability of ASV in selected health facilities across the Volta and Oti Regions of Ghana. Using purposive sampling, five health facilities in selected districts in the Volta and Oti regions were selected. A total of seven health workers, comprising medical officers, pharmacists, physician assistants, and nurses, were interviewed. These participants were directly involved in the procurement, supply chain, and clinical use of ASV in the management of snakebite cases. In-depth interviews were conducted using a semi-structured interview guide. The interviews were transcribed verbatim, and line-by-line coding was carried out and similar codes were grouped to identify themes. Thematic analysis was applied and results presented by key themes.</w:t>
      </w:r>
      <w:r w:rsidRPr="00FE5D1C">
        <w:rPr>
          <w:rFonts w:ascii="Calibri" w:eastAsia="Times New Roman" w:hAnsi="Calibri" w:cs="Calibri"/>
          <w:color w:val="000000"/>
          <w:kern w:val="0"/>
          <w:sz w:val="22"/>
          <w:szCs w:val="22"/>
          <w14:ligatures w14:val="none"/>
        </w:rPr>
        <w:br/>
        <w:t>Key themes that emerged from the analysis of health worker interviews were : Types of ASVs available, Process of procuring ASV by health facilities, Cost of ASVs, Availability of ASV and Inadequate training on snakebite management.</w:t>
      </w:r>
      <w:r w:rsidRPr="00FE5D1C">
        <w:rPr>
          <w:rFonts w:ascii="Calibri" w:eastAsia="Times New Roman" w:hAnsi="Calibri" w:cs="Calibri"/>
          <w:color w:val="000000"/>
          <w:kern w:val="0"/>
          <w:sz w:val="22"/>
          <w:szCs w:val="22"/>
          <w14:ligatures w14:val="none"/>
        </w:rPr>
        <w:br/>
        <w:t>Limited access to ASV remains a major barrier to effective snakebite management. Strengthening health systems and supply chains is crucial for improved treatment. Incorporating frontline health workers’ insights can enhance facility readiness and response.</w:t>
      </w:r>
    </w:p>
    <w:p w14:paraId="39F10B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25-A-1905-ASTMH</w:t>
      </w:r>
    </w:p>
    <w:p w14:paraId="6F65C2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2DED11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Global typhoid fever incidence: an updated systematic review with meta-analysis</w:t>
      </w:r>
    </w:p>
    <w:p w14:paraId="7AC235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Contemporary evidence on typhoid fever incidence is needed for typhoid prevention policy decisions. We updated our 2019 systematic review and meta-analysis including primary prospective population-based or hybrid surveillance studies reporting incidence of culture-confirmed typhoid published through 14 December 2024 in PubMed, MEDLINE, EMBASE, Scopus, Cochrane CENTRAL, Web of Science, and pre-print repositories. We pooled typhoid incidence estimates published 1954-2024, and separately new estimates published 2018-2024, using inverse variance random-effects meta-analysis with log transformation to generate typhoid incidence per 100,000 person-years of observation (PYO). We </w:t>
      </w:r>
      <w:r w:rsidRPr="00FE5D1C">
        <w:rPr>
          <w:rFonts w:ascii="Calibri" w:eastAsia="Times New Roman" w:hAnsi="Calibri" w:cs="Calibri"/>
          <w:color w:val="000000"/>
          <w:kern w:val="0"/>
          <w:sz w:val="22"/>
          <w:szCs w:val="22"/>
          <w14:ligatures w14:val="none"/>
        </w:rPr>
        <w:lastRenderedPageBreak/>
        <w:t>conducted sub-group analyses by United Nations (UN) region, sub-region, country, age group, study quality, and time period. Using meta-regression, we explored heterogeneity of moderators such as study site, country, time period, study quality, duration, inclusion criteria, and number of multipliers used in hybrid surveillance. Of 46 included reports yielding 107 estimates from 65 study sites across four UN regions, 13 were new reports yielding 41 estimates from 35 study sites across Africa and Asia. From new reports, the overall pooled incidence (95% CI) per 100,000 PYO was 206.3 (63.6-669.6) from five population-based reports and 132.5 (71.2-246.6) from eight hybrid surveillance reports. Incidence from new hybrid surveillance reports in Asia was 257.9 (131.4-506.2) and in Africa 48.2 (17.2-138.4), and among ages &lt;2 years, 2-&lt;5 years, 5-14 years, and ≥15 years was 95.1 (28.6-316.4), 159.6 (60.3-422.1), 66.9 (13.8-325.1), and 49.2 (18.5-130.9), respectively. Incidence pre-2010 from population-based reports was 127.4 (91.2-177.9) and from 2010 onwards was 94.5 (23.2-384.4). Moderators accounted for 52.9% (p&lt;0.0001) and 91.3% (p&lt;0.0001) of total heterogeneity for all population-based and hybrid surveillance reports, respectively. Incidence data varied considerably in time and place. Data are needed from Oceania. Our updated evidence affirms an ongoing need to prioritise vaccine and non-vaccine prevention of typhoid in Asia and Africa.</w:t>
      </w:r>
    </w:p>
    <w:p w14:paraId="0795C91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25-A-1906-ASTMH</w:t>
      </w:r>
    </w:p>
    <w:p w14:paraId="185061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5EB4A0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Avoiding missed opportunities for perennial malaria chemoprevention: A systematic review of factors influencing the uptake of three other child health interventions</w:t>
      </w:r>
    </w:p>
    <w:p w14:paraId="528D8F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of the bottlenecks to perennial malaria chemoprevention (PMC) policy uptake is its perceived limited efficacy, linked to the previous recommendation of three doses, and the lack of demonstrable impact in real world settings, which is coverage related. Previous research has highlighted missed opportunities for PMC during vaccination clinics, however the evidence on determinants of missed opportunities is limited. This systematic review investigated the determinants of missed opportunities for intermittent preventive treatment in pregnancy (IPTp) and infancy (IPTi), vitamin A supplementation (VAS), and vaccination delivery to children aged 0-24 months under programmatic conditions. We searched PubMed/MEDLINE, EMBASE, Global Health, grey literature and bibliographies of retrieved articles. Search terms included ‘intermittent preventive treatment’, ‘routine immunization clinic’, ‘malaria’ and ‘missed opportunity’. Only reports or peer-reviewed publications covering studies with quantitative, qualitative or mixed methods design assessing causes of missed opportunities for IPTp, IPTi, VAS or vaccination, and conducted in sub-Saharan Africa, were included. We checked the quality of the papers included and used narrative synthesis methodology to summarize the findings. The lead author used the Covidence tool to facilitate data extraction and was verified by a second reviewer. Of the 25 papers that met the selection criteria, 2 were on IPTp, 2 on VAS and 21 on vaccination. No papers on missed opportunities for PMC/IPTi were identified. The key supply-side causes were inadequate health worker knowledge and motivation, not screening immunization cards, not opening multidose vials, commodity stock-outs, understaffing, inadequate training of health workers and limited clinic days. The key demand-side determinants however, were the age of the child, caregiver‘s level of education and knowledge, fear of adverse events and perception of risks. This review highlights important bottlenecks that may affect high coverage of PMC and will have consequence for the design and implementation of future PMC programmes.</w:t>
      </w:r>
    </w:p>
    <w:p w14:paraId="1BC78D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25-A-1907-ASTMH</w:t>
      </w:r>
    </w:p>
    <w:p w14:paraId="51876E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539C4C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Cellular and molecular basis of </w:t>
      </w:r>
      <w:r w:rsidRPr="00FE5D1C">
        <w:rPr>
          <w:rFonts w:ascii="Calibri" w:eastAsia="Times New Roman" w:hAnsi="Calibri" w:cs="Calibri"/>
          <w:b/>
          <w:bCs/>
          <w:i/>
          <w:iCs/>
          <w:color w:val="000000"/>
          <w:kern w:val="0"/>
          <w:sz w:val="22"/>
          <w:szCs w:val="22"/>
          <w14:ligatures w14:val="none"/>
        </w:rPr>
        <w:t>Pf</w:t>
      </w:r>
      <w:r w:rsidRPr="00FE5D1C">
        <w:rPr>
          <w:rFonts w:ascii="Calibri" w:eastAsia="Times New Roman" w:hAnsi="Calibri" w:cs="Calibri"/>
          <w:b/>
          <w:bCs/>
          <w:color w:val="000000"/>
          <w:kern w:val="0"/>
          <w:sz w:val="22"/>
          <w:szCs w:val="22"/>
          <w14:ligatures w14:val="none"/>
        </w:rPr>
        <w:t>Coronin function in artemisinin resistance in </w:t>
      </w:r>
      <w:r w:rsidRPr="00FE5D1C">
        <w:rPr>
          <w:rFonts w:ascii="Calibri" w:eastAsia="Times New Roman" w:hAnsi="Calibri" w:cs="Calibri"/>
          <w:b/>
          <w:bCs/>
          <w:i/>
          <w:iCs/>
          <w:color w:val="000000"/>
          <w:kern w:val="0"/>
          <w:sz w:val="22"/>
          <w:szCs w:val="22"/>
          <w14:ligatures w14:val="none"/>
        </w:rPr>
        <w:t>Plasmodium falciparum</w:t>
      </w:r>
    </w:p>
    <w:p w14:paraId="2E1FB7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Mutations in </w:t>
      </w:r>
      <w:r w:rsidRPr="00FE5D1C">
        <w:rPr>
          <w:rFonts w:ascii="Calibri" w:eastAsia="Times New Roman" w:hAnsi="Calibri" w:cs="Calibri"/>
          <w:i/>
          <w:iCs/>
          <w:color w:val="000000"/>
          <w:kern w:val="0"/>
          <w:sz w:val="22"/>
          <w:szCs w:val="22"/>
          <w14:ligatures w14:val="none"/>
        </w:rPr>
        <w:t>Pfcoronin</w:t>
      </w:r>
      <w:r w:rsidRPr="00FE5D1C">
        <w:rPr>
          <w:rFonts w:ascii="Calibri" w:eastAsia="Times New Roman" w:hAnsi="Calibri" w:cs="Calibri"/>
          <w:color w:val="000000"/>
          <w:kern w:val="0"/>
          <w:sz w:val="22"/>
          <w:szCs w:val="22"/>
          <w14:ligatures w14:val="none"/>
        </w:rPr>
        <w:t> (CRN; R100K/E107V) drive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-evolved artemisinin (ART) resistance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xml:space="preserve"> isolates from Senegal. CRN mutations are appearing in field samples and are associated with treatment failure. However, the mechanisms underlying CRN-mediated ART resistance remain unclear. To explore the functional role of CRN, we undertook a cell biological approach. </w:t>
      </w:r>
      <w:r w:rsidRPr="00FE5D1C">
        <w:rPr>
          <w:rFonts w:ascii="Calibri" w:eastAsia="Times New Roman" w:hAnsi="Calibri" w:cs="Calibri"/>
          <w:color w:val="000000"/>
          <w:kern w:val="0"/>
          <w:sz w:val="22"/>
          <w:szCs w:val="22"/>
          <w14:ligatures w14:val="none"/>
        </w:rPr>
        <w:lastRenderedPageBreak/>
        <w:t>Pulldown assays revealed a strong interaction between CRN and actin, which was disrupted in mutant parasites. These mutants showed a 32% reduction in actin protein levels and increased sensitivity to jasplakinolide, an actin depolymerization inhibitor, suggesting dysregulation of actin homeostasis. Both IFA and ultrastructure-expansion microscopy (U-ExM) showed that, in WT parasites, CRN localizes to the parasite plasma membrane (PPM), digestive vacuole (DV) membrane, and vesicles near the DV. Further investigation revealed a 79% reduction in CRN protein levels in mutant vs. WT. Consistent with this decrease, U-ExM showed no evidence of CRN localization to the PPM, DV, or nearby vesicles in the mutant. Since CRN and actin regulate vesicular trafficking in other organisms, we examined endocytosis in CRN mutants. The uptake of host cell contents was reduced by 36% in CRN mutants vs. WT, similar to the 34% reduction observed in </w:t>
      </w:r>
      <w:r w:rsidRPr="00FE5D1C">
        <w:rPr>
          <w:rFonts w:ascii="Calibri" w:eastAsia="Times New Roman" w:hAnsi="Calibri" w:cs="Calibri"/>
          <w:i/>
          <w:iCs/>
          <w:color w:val="000000"/>
          <w:kern w:val="0"/>
          <w:sz w:val="22"/>
          <w:szCs w:val="22"/>
          <w14:ligatures w14:val="none"/>
        </w:rPr>
        <w:t>Pfkelch13</w:t>
      </w:r>
      <w:r w:rsidRPr="00FE5D1C">
        <w:rPr>
          <w:rFonts w:ascii="Calibri" w:eastAsia="Times New Roman" w:hAnsi="Calibri" w:cs="Calibri"/>
          <w:color w:val="000000"/>
          <w:kern w:val="0"/>
          <w:sz w:val="22"/>
          <w:szCs w:val="22"/>
          <w14:ligatures w14:val="none"/>
        </w:rPr>
        <w:t> (K13) mutants. K13, a well-known marker of ART resistance, localizes to the cytostomal collar, where mutations in K13 impair hemoglobin uptake. While CRN does not localize to the cytostome or interact with K13, mutations in CRN also lead to reduced hemoglobin uptake, suggesting that both proteins converge on a shared cellular process—endocytosis. This implies that mutations in both K13 and CRN impair hemoglobin uptake, potentially reducing heme-dependent ART activation. The role of CRN mutations in impairing hemoglobin uptake remains unclear. However, ongoing studies, including dual tagging of CRN and K13, as well as the investigation of additional interacting partners and endocytic markers, aim to elucidate the role of CRN, its interacting partners and associated ultrastructures in endocytosis and ART resistance.</w:t>
      </w:r>
    </w:p>
    <w:p w14:paraId="11CF2B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25-A-1909-ASTMH</w:t>
      </w:r>
    </w:p>
    <w:p w14:paraId="53D3E9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Therapeutics and Antiviral Drugs</w:t>
      </w:r>
    </w:p>
    <w:p w14:paraId="03A630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Development of a conditional replication system using Lassa virus-pseudotyped retroviral vector and its application to isolate a drug-resistant variant</w:t>
      </w:r>
    </w:p>
    <w:p w14:paraId="19AA27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Lassa virus is endemic in West Africa, with 200,000 to 300,000 people infected annually. Due to its high mortality rate, handling replication-competent Lassa virus requires a biosafety level 4 (BSL-4) facility. This requirement significantly limits the number of scientists who can study the Lassa virus, slowing the pace of drug development. So, we developed a conditional replication system using a Lassa virus-pseudotyped retroviral vector. This vector encoding the Lassa virus glycoprotein can only replicate in cells expressing the Gag-Pol gene of murine leukemia virus, allowing it to be manipulated in a BSL-2 laboratory. Previously, our research group discovered that lamellarin alpha 20-sulfate inhibits infections by various viruses, including HIV-1, Ebola virus, and SARS-CoV-2. We found that this compound also inhibits Lassa virus glycoprotein-mediated infection. Using the conditional replication system, we isolated a glycoprotein variant capable of inducing replication in the presence of lamellarin, although the variant-mediated infection remained inhibited by the chemical. This glycoprotein variant contained two amino acid substitutions. We analyzed the impact of each substitution on viral entry and expression. One substitution reduced both expression and infection, while the other dramatically enhanced infection by 50 times. </w:t>
      </w:r>
      <w:r w:rsidRPr="00FE5D1C">
        <w:rPr>
          <w:rFonts w:ascii="Calibri" w:eastAsia="Times New Roman" w:hAnsi="Calibri" w:cs="Calibri"/>
          <w:i/>
          <w:iCs/>
          <w:color w:val="000000"/>
          <w:kern w:val="0"/>
          <w:sz w:val="22"/>
          <w:szCs w:val="22"/>
          <w14:ligatures w14:val="none"/>
        </w:rPr>
        <w:t>In silico </w:t>
      </w:r>
      <w:r w:rsidRPr="00FE5D1C">
        <w:rPr>
          <w:rFonts w:ascii="Calibri" w:eastAsia="Times New Roman" w:hAnsi="Calibri" w:cs="Calibri"/>
          <w:color w:val="000000"/>
          <w:kern w:val="0"/>
          <w:sz w:val="22"/>
          <w:szCs w:val="22"/>
          <w14:ligatures w14:val="none"/>
        </w:rPr>
        <w:t>analysis suggested that this substitution increases the affinity between the glycoprotein and its receptor, alpha-dystroglycan. This amino acid substitution can induce replication in the presence of lamellarin alpha 20-sulfate by mediating much more efficient viral entry.</w:t>
      </w:r>
    </w:p>
    <w:p w14:paraId="2FC0C2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25-A-1910-ASTMH</w:t>
      </w:r>
    </w:p>
    <w:p w14:paraId="10E370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006897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Vector Competence of Australian </w:t>
      </w:r>
      <w:r w:rsidRPr="00FE5D1C">
        <w:rPr>
          <w:rFonts w:ascii="Calibri" w:eastAsia="Times New Roman" w:hAnsi="Calibri" w:cs="Calibri"/>
          <w:i/>
          <w:iCs/>
          <w:color w:val="000000"/>
          <w:kern w:val="0"/>
          <w:sz w:val="22"/>
          <w:szCs w:val="22"/>
          <w14:ligatures w14:val="none"/>
        </w:rPr>
        <w:t>Culex annulirostris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Culex sitiens</w:t>
      </w:r>
      <w:r w:rsidRPr="00FE5D1C">
        <w:rPr>
          <w:rFonts w:ascii="Calibri" w:eastAsia="Times New Roman" w:hAnsi="Calibri" w:cs="Calibri"/>
          <w:color w:val="000000"/>
          <w:kern w:val="0"/>
          <w:sz w:val="22"/>
          <w:szCs w:val="22"/>
          <w14:ligatures w14:val="none"/>
        </w:rPr>
        <w:t> Mosquitoes for Japanese Encephalitis Virus Genotype IV</w:t>
      </w:r>
    </w:p>
    <w:p w14:paraId="478883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Japanese encephalitis virus (JEV), a mosquito-borne flavivirus, causes an estimated 100,000 human infections globally each year. In 2022, a major outbreak occurred in Australia due to the genotype IV strain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causing 45 human cases and 7 fatalities. After two years without human activity,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has re-emerged in 2025. Three deaths and mosquito-based virus detection in Brisbane highlights the urgent need to identify competent vectors for targeted control. </w:t>
      </w:r>
      <w:r w:rsidRPr="00FE5D1C">
        <w:rPr>
          <w:rFonts w:ascii="Calibri" w:eastAsia="Times New Roman" w:hAnsi="Calibri" w:cs="Calibri"/>
          <w:i/>
          <w:iCs/>
          <w:color w:val="000000"/>
          <w:kern w:val="0"/>
          <w:sz w:val="22"/>
          <w:szCs w:val="22"/>
          <w14:ligatures w14:val="none"/>
        </w:rPr>
        <w:t>Culex annulirostris</w:t>
      </w:r>
      <w:r w:rsidRPr="00FE5D1C">
        <w:rPr>
          <w:rFonts w:ascii="Calibri" w:eastAsia="Times New Roman" w:hAnsi="Calibri" w:cs="Calibri"/>
          <w:color w:val="000000"/>
          <w:kern w:val="0"/>
          <w:sz w:val="22"/>
          <w:szCs w:val="22"/>
          <w14:ligatures w14:val="none"/>
        </w:rPr>
        <w:t> is regarded as the primary JEV vector in Australia, while </w:t>
      </w:r>
      <w:r w:rsidRPr="00FE5D1C">
        <w:rPr>
          <w:rFonts w:ascii="Calibri" w:eastAsia="Times New Roman" w:hAnsi="Calibri" w:cs="Calibri"/>
          <w:i/>
          <w:iCs/>
          <w:color w:val="000000"/>
          <w:kern w:val="0"/>
          <w:sz w:val="22"/>
          <w:szCs w:val="22"/>
          <w14:ligatures w14:val="none"/>
        </w:rPr>
        <w:t>Culex sitiens</w:t>
      </w:r>
      <w:r w:rsidRPr="00FE5D1C">
        <w:rPr>
          <w:rFonts w:ascii="Calibri" w:eastAsia="Times New Roman" w:hAnsi="Calibri" w:cs="Calibri"/>
          <w:color w:val="000000"/>
          <w:kern w:val="0"/>
          <w:sz w:val="22"/>
          <w:szCs w:val="22"/>
          <w14:ligatures w14:val="none"/>
        </w:rPr>
        <w:t xml:space="preserve"> is a globally distributed mosquito </w:t>
      </w:r>
      <w:r w:rsidRPr="00FE5D1C">
        <w:rPr>
          <w:rFonts w:ascii="Calibri" w:eastAsia="Times New Roman" w:hAnsi="Calibri" w:cs="Calibri"/>
          <w:color w:val="000000"/>
          <w:kern w:val="0"/>
          <w:sz w:val="22"/>
          <w:szCs w:val="22"/>
          <w14:ligatures w14:val="none"/>
        </w:rPr>
        <w:lastRenderedPageBreak/>
        <w:t>commonly found in urban coastal fringes. However, the vector competence of Brisbane </w:t>
      </w:r>
      <w:r w:rsidRPr="00FE5D1C">
        <w:rPr>
          <w:rFonts w:ascii="Calibri" w:eastAsia="Times New Roman" w:hAnsi="Calibri" w:cs="Calibri"/>
          <w:i/>
          <w:iCs/>
          <w:color w:val="000000"/>
          <w:kern w:val="0"/>
          <w:sz w:val="22"/>
          <w:szCs w:val="22"/>
          <w14:ligatures w14:val="none"/>
        </w:rPr>
        <w:t>Cx. annulirostris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for the epidemic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strain remains unknown. </w:t>
      </w:r>
      <w:r w:rsidRPr="00FE5D1C">
        <w:rPr>
          <w:rFonts w:ascii="Calibri" w:eastAsia="Times New Roman" w:hAnsi="Calibri" w:cs="Calibri"/>
          <w:i/>
          <w:iCs/>
          <w:color w:val="000000"/>
          <w:kern w:val="0"/>
          <w:sz w:val="22"/>
          <w:szCs w:val="22"/>
          <w14:ligatures w14:val="none"/>
        </w:rPr>
        <w:t>Cx. annulirostris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were orally challenged with a blood meal containing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using glass feeders with freshly dissected mouse skin. At 14 days post-infection, mosquito bodies and saliva were collected and tested for virus as a proxy for transmission. Virus presence and titres were determined by 50% cell culture infectious dose (CCID₅₀) assays, with detection by enzyme-linked immunosorbent assay using a flavivirus NS1 antibody. One hundred percent of </w:t>
      </w:r>
      <w:r w:rsidRPr="00FE5D1C">
        <w:rPr>
          <w:rFonts w:ascii="Calibri" w:eastAsia="Times New Roman" w:hAnsi="Calibri" w:cs="Calibri"/>
          <w:i/>
          <w:iCs/>
          <w:color w:val="000000"/>
          <w:kern w:val="0"/>
          <w:sz w:val="22"/>
          <w:szCs w:val="22"/>
          <w14:ligatures w14:val="none"/>
        </w:rPr>
        <w:t>Cx. annulirostris</w:t>
      </w:r>
      <w:r w:rsidRPr="00FE5D1C">
        <w:rPr>
          <w:rFonts w:ascii="Calibri" w:eastAsia="Times New Roman" w:hAnsi="Calibri" w:cs="Calibri"/>
          <w:color w:val="000000"/>
          <w:kern w:val="0"/>
          <w:sz w:val="22"/>
          <w:szCs w:val="22"/>
          <w14:ligatures w14:val="none"/>
        </w:rPr>
        <w:t> (n = 24) and 50% of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(n=9) were infected after feeding on a blood meal containing 8 log CCID₅₀/ml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0.0001) at 14 days post-infection. Viral titres in mosquito bodies ranged from 2.5 to 7.0 log CCID₅₀/ml for </w:t>
      </w:r>
      <w:r w:rsidRPr="00FE5D1C">
        <w:rPr>
          <w:rFonts w:ascii="Calibri" w:eastAsia="Times New Roman" w:hAnsi="Calibri" w:cs="Calibri"/>
          <w:i/>
          <w:iCs/>
          <w:color w:val="000000"/>
          <w:kern w:val="0"/>
          <w:sz w:val="22"/>
          <w:szCs w:val="22"/>
          <w14:ligatures w14:val="none"/>
        </w:rPr>
        <w:t>Cx. annulirostris</w:t>
      </w:r>
      <w:r w:rsidRPr="00FE5D1C">
        <w:rPr>
          <w:rFonts w:ascii="Calibri" w:eastAsia="Times New Roman" w:hAnsi="Calibri" w:cs="Calibri"/>
          <w:color w:val="000000"/>
          <w:kern w:val="0"/>
          <w:sz w:val="22"/>
          <w:szCs w:val="22"/>
          <w14:ligatures w14:val="none"/>
        </w:rPr>
        <w:t> and 5.5 to 7.5 log CCID₅₀/ml for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with no significant difference between the species. Saliva samples from 12 mosquitoes per species showed that 33.3% of </w:t>
      </w:r>
      <w:r w:rsidRPr="00FE5D1C">
        <w:rPr>
          <w:rFonts w:ascii="Calibri" w:eastAsia="Times New Roman" w:hAnsi="Calibri" w:cs="Calibri"/>
          <w:i/>
          <w:iCs/>
          <w:color w:val="000000"/>
          <w:kern w:val="0"/>
          <w:sz w:val="22"/>
          <w:szCs w:val="22"/>
          <w14:ligatures w14:val="none"/>
        </w:rPr>
        <w:t>Cx. annulirostris</w:t>
      </w:r>
      <w:r w:rsidRPr="00FE5D1C">
        <w:rPr>
          <w:rFonts w:ascii="Calibri" w:eastAsia="Times New Roman" w:hAnsi="Calibri" w:cs="Calibri"/>
          <w:color w:val="000000"/>
          <w:kern w:val="0"/>
          <w:sz w:val="22"/>
          <w:szCs w:val="22"/>
          <w14:ligatures w14:val="none"/>
        </w:rPr>
        <w:t> (n=4) and 25.0% of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(n=3) were infected with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indicating their competence for transmission. Saliva titres ranged from 1.7 to 4.5  log  CCID₅₀/ml for </w:t>
      </w:r>
      <w:r w:rsidRPr="00FE5D1C">
        <w:rPr>
          <w:rFonts w:ascii="Calibri" w:eastAsia="Times New Roman" w:hAnsi="Calibri" w:cs="Calibri"/>
          <w:i/>
          <w:iCs/>
          <w:color w:val="000000"/>
          <w:kern w:val="0"/>
          <w:sz w:val="22"/>
          <w:szCs w:val="22"/>
          <w14:ligatures w14:val="none"/>
        </w:rPr>
        <w:t>Cx. annulirostris</w:t>
      </w:r>
      <w:r w:rsidRPr="00FE5D1C">
        <w:rPr>
          <w:rFonts w:ascii="Calibri" w:eastAsia="Times New Roman" w:hAnsi="Calibri" w:cs="Calibri"/>
          <w:color w:val="000000"/>
          <w:kern w:val="0"/>
          <w:sz w:val="22"/>
          <w:szCs w:val="22"/>
          <w14:ligatures w14:val="none"/>
        </w:rPr>
        <w:t> and 1.7 to 5.1  log  CCID₅₀/ml for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&gt; 0.05).Brisbane </w:t>
      </w:r>
      <w:r w:rsidRPr="00FE5D1C">
        <w:rPr>
          <w:rFonts w:ascii="Calibri" w:eastAsia="Times New Roman" w:hAnsi="Calibri" w:cs="Calibri"/>
          <w:i/>
          <w:iCs/>
          <w:color w:val="000000"/>
          <w:kern w:val="0"/>
          <w:sz w:val="22"/>
          <w:szCs w:val="22"/>
          <w14:ligatures w14:val="none"/>
        </w:rPr>
        <w:t>Cx. annulirostris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are confirmed as competent vectors for JEV</w:t>
      </w:r>
      <w:r w:rsidRPr="00FE5D1C">
        <w:rPr>
          <w:rFonts w:ascii="Calibri" w:eastAsia="Times New Roman" w:hAnsi="Calibri" w:cs="Calibri"/>
          <w:color w:val="000000"/>
          <w:kern w:val="0"/>
          <w:sz w:val="22"/>
          <w:szCs w:val="22"/>
          <w:vertAlign w:val="subscript"/>
          <w14:ligatures w14:val="none"/>
        </w:rPr>
        <w:t>NSW/22</w:t>
      </w:r>
      <w:r w:rsidRPr="00FE5D1C">
        <w:rPr>
          <w:rFonts w:ascii="Calibri" w:eastAsia="Times New Roman" w:hAnsi="Calibri" w:cs="Calibri"/>
          <w:color w:val="000000"/>
          <w:kern w:val="0"/>
          <w:sz w:val="22"/>
          <w:szCs w:val="22"/>
          <w14:ligatures w14:val="none"/>
        </w:rPr>
        <w:t>. Notably, this highlights the importance of </w:t>
      </w:r>
      <w:r w:rsidRPr="00FE5D1C">
        <w:rPr>
          <w:rFonts w:ascii="Calibri" w:eastAsia="Times New Roman" w:hAnsi="Calibri" w:cs="Calibri"/>
          <w:i/>
          <w:iCs/>
          <w:color w:val="000000"/>
          <w:kern w:val="0"/>
          <w:sz w:val="22"/>
          <w:szCs w:val="22"/>
          <w14:ligatures w14:val="none"/>
        </w:rPr>
        <w:t>Cx. sitiens</w:t>
      </w:r>
      <w:r w:rsidRPr="00FE5D1C">
        <w:rPr>
          <w:rFonts w:ascii="Calibri" w:eastAsia="Times New Roman" w:hAnsi="Calibri" w:cs="Calibri"/>
          <w:color w:val="000000"/>
          <w:kern w:val="0"/>
          <w:sz w:val="22"/>
          <w:szCs w:val="22"/>
          <w14:ligatures w14:val="none"/>
        </w:rPr>
        <w:t>, which is generally underestimated as a potential arbovirus vector in Australia.</w:t>
      </w:r>
    </w:p>
    <w:p w14:paraId="5B2138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25-A-1911-ASTMH</w:t>
      </w:r>
    </w:p>
    <w:p w14:paraId="24710D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2028E7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Developing a novel and sustainable stratification for the prevention of re-establishment of malaria in Lao People’s Democratic Republic</w:t>
      </w:r>
    </w:p>
    <w:p w14:paraId="5C46CD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Lao People’s Democratic Republic (PDR) aims to eliminate all species of malaria by 2030. Cases have declined by 99% in the last 10 years with 343 cases reported in 2024. To receive certification of elimination, the World Health Organization (WHO) requires countries to develop guidelines for the prevention of re-establishment (POR) of malaria. These include a stratification of the subnational units based on the malariogenic potential, a combination of receptivity and risk of importation. Each country develops its own methods for POR stratification and here, we describe the collaborative process used in Lao PDR between the Center for Malaria Parasitology and Entomology, WHO and Clinton Health Access Initiative which evolved from the regular national stratification which defines the operational approaches and intervention packages for elimination. A desk review of the processes for POR stratification by other countries was used to develop a list of potential indicators. These were scored according to their availability in Lao PDR and their perceived usefulness. Through an iterative process, a consensus was reached to define 11 final indicators to be included in the stratification. These included temperature, relative humidity, rainfall, forest cover, number of historical cases, cases reported in a previously malaria-free area, distance to airports, railway stations and neighboring countries, population and the number of cases in neighboring international provinces. Data were extracted at the district level and scores applied which were weighted according to the perceived malariogenic potential. The scores were summed, divided into four strata and plotted as choropleth maps of receptivity and risk of importation. Xepon district in Savannakhet province had the highest receptivity and Houayxay district in Bokeo province, the highest risk of importation. For cases imported into a district classified as strata 2 to 4 or for a local case in stratum 1, a high-risk focus investigation and response is proposed. The stratification is planned to be updated at regular intervals as the epidemiology evolves and to be automated using DHIS2.</w:t>
      </w:r>
    </w:p>
    <w:p w14:paraId="234D69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25-A-1912-ASTMH</w:t>
      </w:r>
    </w:p>
    <w:p w14:paraId="6BD22C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Diagnosis and New Detection Tools (Including Leishmania and Trypanosomes)</w:t>
      </w:r>
    </w:p>
    <w:p w14:paraId="7904E3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Early Assessment of Antibody Decline and Treatment Discrimination in Chagas Patients Using the MultiCruzi Serological Multiplex Assay</w:t>
      </w:r>
    </w:p>
    <w:p w14:paraId="4B8B7B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Chagas disease, caused by </w:t>
      </w:r>
      <w:r w:rsidRPr="00FE5D1C">
        <w:rPr>
          <w:rFonts w:ascii="Calibri" w:eastAsia="Times New Roman" w:hAnsi="Calibri" w:cs="Calibri"/>
          <w:i/>
          <w:iCs/>
          <w:color w:val="000000"/>
          <w:kern w:val="0"/>
          <w:sz w:val="22"/>
          <w:szCs w:val="22"/>
          <w14:ligatures w14:val="none"/>
        </w:rPr>
        <w:t>Trypanosoma cruzi</w:t>
      </w:r>
      <w:r w:rsidRPr="00FE5D1C">
        <w:rPr>
          <w:rFonts w:ascii="Calibri" w:eastAsia="Times New Roman" w:hAnsi="Calibri" w:cs="Calibri"/>
          <w:color w:val="000000"/>
          <w:kern w:val="0"/>
          <w:sz w:val="22"/>
          <w:szCs w:val="22"/>
          <w14:ligatures w14:val="none"/>
        </w:rPr>
        <w:t>, is a growing global health concern. Current treatments have adverse effects, and the lack of reliable cure markers complicates treatment evaluation and drug development. Traditional serology is limited by persistent antibodies, delaying treatment assessment. MultiCruzi, a novel multiplex immunoassay, enables earlier detection of humoral immunity changes post-treatment.This study aims to validate the potential of the MultiCruzi test in assessing the decline of specific antibodies as an early marker of treatment efficacy, and evaluate its capacity to distinguish between different treatment regimens in Chagas patients.This retrospective analysis of phase 2 randomized controlled trials: BENDITA (ClinicalTrials.gov: NCT03378661) and E1224 (ClinicalTrials.gov: NCT01489228) included adult patients with indeterminate chronic Chagas disease, treated with different benznidazole, fosravuconazole (E1224) regimens, alone or in combination. Serum samples collected at baseline, 6- and 12-months post-treatment were tested with MultiCruzi to quantify antibody levels against </w:t>
      </w:r>
      <w:r w:rsidRPr="00FE5D1C">
        <w:rPr>
          <w:rFonts w:ascii="Calibri" w:eastAsia="Times New Roman" w:hAnsi="Calibri" w:cs="Calibri"/>
          <w:i/>
          <w:iCs/>
          <w:color w:val="000000"/>
          <w:kern w:val="0"/>
          <w:sz w:val="22"/>
          <w:szCs w:val="22"/>
          <w14:ligatures w14:val="none"/>
        </w:rPr>
        <w:t>T. cruzi</w:t>
      </w:r>
      <w:r w:rsidRPr="00FE5D1C">
        <w:rPr>
          <w:rFonts w:ascii="Calibri" w:eastAsia="Times New Roman" w:hAnsi="Calibri" w:cs="Calibri"/>
          <w:color w:val="000000"/>
          <w:kern w:val="0"/>
          <w:sz w:val="22"/>
          <w:szCs w:val="22"/>
          <w14:ligatures w14:val="none"/>
        </w:rPr>
        <w:t> antigens. Advanced statistical methods were used to assess trends in antibody decline and correlate them with treatment response. Moreover, the effect of the Benznidazole standard of care was compared with different E1224 regimens.Patients who responded to treatment exhibited a significant decline in antibody levels within 6 months after treatment, in sharp contrast to data generated with conventional and recombinant </w:t>
      </w:r>
      <w:r w:rsidRPr="00FE5D1C">
        <w:rPr>
          <w:rFonts w:ascii="Calibri" w:eastAsia="Times New Roman" w:hAnsi="Calibri" w:cs="Calibri"/>
          <w:i/>
          <w:iCs/>
          <w:color w:val="000000"/>
          <w:kern w:val="0"/>
          <w:sz w:val="22"/>
          <w:szCs w:val="22"/>
          <w14:ligatures w14:val="none"/>
        </w:rPr>
        <w:t>T. cruzi</w:t>
      </w:r>
      <w:r w:rsidRPr="00FE5D1C">
        <w:rPr>
          <w:rFonts w:ascii="Calibri" w:eastAsia="Times New Roman" w:hAnsi="Calibri" w:cs="Calibri"/>
          <w:color w:val="000000"/>
          <w:kern w:val="0"/>
          <w:sz w:val="22"/>
          <w:szCs w:val="22"/>
          <w14:ligatures w14:val="none"/>
        </w:rPr>
        <w:t> ELISA tests. The data obtained using MultiCruzi suggest that early antibody decline correlates with therapeutic success and can serve as a marker for treatment efficacy. Furthermore, the conducted approach identified a clear difference in the efficacy of Benznidazole and E1224.MultiCruzi shows promise as an efficient tool for early assessment of treatment efficacy in Chagas disease and for discrimination between treatments. By enabling timely monitoring of immune responses, this approach could significantly improvetherapeutic decision-making and disease management.</w:t>
      </w:r>
    </w:p>
    <w:p w14:paraId="40FF75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25-A-1913-ASTMH</w:t>
      </w:r>
    </w:p>
    <w:p w14:paraId="2354717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799260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effect of azithromycin mass drug administration on mortality by distance to health facility: a subgroup analysis of the AVENIR adaptive cluster-randomized trial</w:t>
      </w:r>
    </w:p>
    <w:p w14:paraId="7F96F3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Azithromycin mass drug administration (MDA) to children 1-59 months old reduces child mortality but increases antimicrobial resistance. In order to reduce the risk of resistance, identifying high risk subgroups to target could reduce the amount of antibiotics distributed. This subgroup analysis of the AVENIR cluster-randomized trial in two regions in Niger aimed to determine 1) if child mortality is associated with distance to health facility, 2) if the effect of azithromycin MDA on child mortality varies by distance to health facility, and 3) if these results differed by region. In 2020, 3000 rural and peri-urban communities were randomized to biannual azithromycin MDA to 1-59-month-olds, biannual azithromycin MDA to 1-11-month-olds, or biannual placebo and followed for 2 years. Mortality was monitored through biannual census data collection. Poisson regression models with cluster-robust standard errors were used in all analyses. 2,158 communities, 3,837 deaths, and 298,683 person-years of observation from the azithromycin 1-59 month and placebo arms contributed to analyses. The mortality rate increased by 10% (95% CI 3% to 17%) overall for every 5 kilometer increase in community distance to a health facility (</w:t>
      </w:r>
      <w:r w:rsidRPr="00FE5D1C">
        <w:rPr>
          <w:rFonts w:ascii="Calibri" w:eastAsia="Times New Roman" w:hAnsi="Calibri" w:cs="Calibri"/>
          <w:i/>
          <w:iCs/>
          <w:color w:val="000000"/>
          <w:kern w:val="0"/>
          <w:sz w:val="22"/>
          <w:szCs w:val="22"/>
          <w14:ligatures w14:val="none"/>
        </w:rPr>
        <w:t>P </w:t>
      </w:r>
      <w:r w:rsidRPr="00FE5D1C">
        <w:rPr>
          <w:rFonts w:ascii="Calibri" w:eastAsia="Times New Roman" w:hAnsi="Calibri" w:cs="Calibri"/>
          <w:color w:val="000000"/>
          <w:kern w:val="0"/>
          <w:sz w:val="22"/>
          <w:szCs w:val="22"/>
          <w14:ligatures w14:val="none"/>
        </w:rPr>
        <w:t>= 0.003). The distribution of distance to health facility differed by region, with 21% of communities in Tahoua located more than 10 kilometers from a health facility versus 14% in Dosso (</w:t>
      </w:r>
      <w:r w:rsidRPr="00FE5D1C">
        <w:rPr>
          <w:rFonts w:ascii="Calibri" w:eastAsia="Times New Roman" w:hAnsi="Calibri" w:cs="Calibri"/>
          <w:i/>
          <w:iCs/>
          <w:color w:val="000000"/>
          <w:kern w:val="0"/>
          <w:sz w:val="22"/>
          <w:szCs w:val="22"/>
          <w14:ligatures w14:val="none"/>
        </w:rPr>
        <w:t>P &lt; </w:t>
      </w:r>
      <w:r w:rsidRPr="00FE5D1C">
        <w:rPr>
          <w:rFonts w:ascii="Calibri" w:eastAsia="Times New Roman" w:hAnsi="Calibri" w:cs="Calibri"/>
          <w:color w:val="000000"/>
          <w:kern w:val="0"/>
          <w:sz w:val="22"/>
          <w:szCs w:val="22"/>
          <w14:ligatures w14:val="none"/>
        </w:rPr>
        <w:t>0.001). In the Dosso region, the effect of azithromycin MDA on mortality was modified by distance to health facility, with increasing effectiveness at larger distances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for interaction = 0.01), but we were not able to demonstrate a similar effect in the Tahoua region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for interaction = 0.68). Overall, we found that distance to health facility is a strong predictor of mortality in this setting, and that the effectiveness of azithromycin MDA increased as distance to health facility increased in at least one region. Targeting azithromycin MDA to communities farthest from health facilities with the least access to care may be warranted, though additional research would be needed to understand the differences seen by region in this setting in Niger.</w:t>
      </w:r>
    </w:p>
    <w:p w14:paraId="5D19AC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25-A-1914-ASTMH</w:t>
      </w:r>
    </w:p>
    <w:p w14:paraId="3D0295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27361C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Frequency of dengue fever in symptomatic patients and the risk factors at Commune IV District Hospital in Bamako, Mali in 2024</w:t>
      </w:r>
    </w:p>
    <w:p w14:paraId="61E927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is an epidemic viral infectious disease transmitted to humans by the Aedes mosquito. Data on dengue virus infection are underestimated in Mali due to the non specificity of symptomatology on the one hand and the unavailability of diagnostic tools in health centers on the other. Since 2024, the government of the Republic of Mali has equipped health centers with Rapid Diagnostic Test kits for Dengue fever and has made it compulsory to record cases in Mali's Health Information System. The aim of the study is to estimate the frequency of dengue in symptomatic patients at the Commune IV District Hospital in Bamako, and to identify risk factors for the disease. A secondary analysis of data from the Système d'Information Sanitaire of the Hôpital du district de la commune 4 de Bamako was carried out to estimate the frequency of dengue fever between January and December 2024. Data were exported to Excel and analyzed using Stata software version 15.1. Binary logistic regression was used to identify associated factors at the 0.01 significance level. A total of 1,033 symptomatic cases were tested with the dengue RDT, of which 222 were positive, giving an overall frequency of 21.49 percent. Females accounted for 55.2 percent, and the 16 to 30 age group predominated with 28.4 percent. More than half the patients were recorded in the months of October, November and December, for a cumulative frequency of 55.4 percent. Fever, followed by asthenia and body aches were the most frequently reported symptoms, with 79.2 percent, 42.1 percent and 26.6 percent respectively. Older age OR=2.05; IC95(1.09; 3.84), number of symptoms OR=2.75; IC95(1.50; 5.01), cold period OR=1.67; IC95(1.01; 2.78) and rainy season OR=2.47; IC95 (1.26; 4.84]) were associated with the occurrence of dengue fever. We found that the frequency of dengue virus infection during consultations at health centers is high, and that several factors are associated with the occurrence of dengue fever. Further studies, especially epidemiological and entomological, are needed to better understand the extent of dengue infection in the population.</w:t>
      </w:r>
    </w:p>
    <w:p w14:paraId="48AD29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25-A-1915-ASTMH</w:t>
      </w:r>
    </w:p>
    <w:p w14:paraId="3625B5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5FA686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Caregivers, community leaders and health workers' perspectives on the effectiveness of perennial malaria chemoprevention in Osun State, Nigeria: a qualitative study in process evaluation</w:t>
      </w:r>
    </w:p>
    <w:p w14:paraId="127A36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Perennial malaria chemoprevention (PMC) study is being implemented in Nigeria among children aged 2-24 months as a cluster randomized controlled open-label trial in 40 intervention and 40 control clusters across eight local government areas (Ayedaade, Ede South, Atakunmosa West, Iwo, Irewole, Ife North, Obokun and Egbedore) in Osun State. As part of a larger study on PMC effectiveness and feasibility, we conducted a process evaluation to identify challenges related to PMC intervention for adaptive programming. The objective of the study was to explore the perceptions of caregivers, fathers of children &lt;24 months, community leaders and health workers on PMC implementation acceptability/uptake. The process evaluation was conducted in September 2024, one year after the intervention started as a qualitative study involving a total of 22 Focus Group Discussions (FDGs) involving caregivers, fathers of children &lt;24 months and community leaders, and 6 key informant Interviews (KIIs) with health workers and government stakeholders at state level. Thematic analysis was conducted using </w:t>
      </w:r>
      <w:r w:rsidRPr="00FE5D1C">
        <w:rPr>
          <w:rFonts w:ascii="Calibri" w:eastAsia="Times New Roman" w:hAnsi="Calibri" w:cs="Calibri"/>
          <w:i/>
          <w:iCs/>
          <w:color w:val="000000"/>
          <w:kern w:val="0"/>
          <w:sz w:val="22"/>
          <w:szCs w:val="22"/>
          <w14:ligatures w14:val="none"/>
        </w:rPr>
        <w:t>Atlas Ti</w:t>
      </w:r>
      <w:r w:rsidRPr="00FE5D1C">
        <w:rPr>
          <w:rFonts w:ascii="Calibri" w:eastAsia="Times New Roman" w:hAnsi="Calibri" w:cs="Calibri"/>
          <w:color w:val="000000"/>
          <w:kern w:val="0"/>
          <w:sz w:val="22"/>
          <w:szCs w:val="22"/>
          <w14:ligatures w14:val="none"/>
        </w:rPr>
        <w:t>. All participants perceived that PMC has significantly reduced malaria cases, improved healthcare utilization such as routine immunization uptake. For caregivers and health workers, the reduction in malaria cases is not only seen as a health improvement but also a relief from frequent health facility visits. Community leaders reported that messages about PMC effectiveness should be shared widely with community members. These findings highlight the perception of PMC intervention from both the community’s and implementers’ perspectives and provide essential insights into the acceptability of the intervention, which is critical for scale-up.</w:t>
      </w:r>
    </w:p>
    <w:p w14:paraId="758C64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25-A-1917-ASTMH</w:t>
      </w:r>
    </w:p>
    <w:p w14:paraId="25FDCD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4B26372" w14:textId="280E841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Evaluating lineage specific response to tuberculosis treatment regimens using clinical </w:t>
      </w:r>
      <w:r w:rsidRPr="00FE5D1C">
        <w:rPr>
          <w:rFonts w:ascii="Calibri" w:eastAsia="Times New Roman" w:hAnsi="Calibri" w:cs="Calibri"/>
          <w:i/>
          <w:iCs/>
          <w:color w:val="000000"/>
          <w:kern w:val="0"/>
          <w:sz w:val="22"/>
          <w:szCs w:val="22"/>
          <w14:ligatures w14:val="none"/>
        </w:rPr>
        <w:t>Mycobacterium tuberculosis</w:t>
      </w:r>
      <w:r w:rsidRPr="00FE5D1C">
        <w:rPr>
          <w:rFonts w:ascii="Calibri" w:eastAsia="Times New Roman" w:hAnsi="Calibri" w:cs="Calibri"/>
          <w:color w:val="000000"/>
          <w:kern w:val="0"/>
          <w:sz w:val="22"/>
          <w:szCs w:val="22"/>
          <w14:ligatures w14:val="none"/>
        </w:rPr>
        <w:t> Complex Isolates</w:t>
      </w:r>
    </w:p>
    <w:p w14:paraId="1A9DCF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Tuberculosis (TB), caused by the Mycobacterium tuberculosis complex (MTBC), includes ten global lineages, all present in Africa. While Mtb lineages 2 and 4 are widespread, M. africanum (Maf lineages 5 and 6) is restricted to West Africa. Despite this diversity, drug susceptible TB is uniformly treated with a six month regimen, ignoring lineage specific variations that may affect outcomes. Addressing these differences is key to improving TB control. We transformed drug susceptible clinical isolates representing Africa’s MTBC diversity with luminescence and GFP reporter plasmids. These isolates were tested in a 20 days drug susceptibility assay to evaluate lineage specific responses. Inhibitory concentrations (ICs) for first line, second line, and new anti TB drugs were determined using Collaborative Drug Discovery (CDD) Vault. Custom Python scripts identified optimal IC values and time points per lineage. These findings guided the evaluation of nine novel treatment regimens in clinical trials using checkerboard assays. IC measurements were most consistent between days 10 and 15, with earlier or later time points showing variability. The IC50 of first line drugs like rifampicin varied up to 4fold between Mtb lineage 4 and Maf lineage 6. Combination testing revealed significant regimen differences from day 10, with day 20 as a robust benchmark. Trial1 (bedaquiline, linezolid, rifapentine) and Trial2 (bedaquiline, clofazimine, moxifloxacin) were most effective against Mtb lineage 2, while SimpliciTB (bedaquiline, pretomanid, moxifloxacin, pyrazinamide) and Trial1 showed superior activity against Mtb lineage 4. For Maf lineage 6, only End TB (bedaquiline, moxifloxacin, pyrazinamide) and Trial1 outperformed the standard regimen, with all differences statistically significant. MTBC lineage diversity significantly impacts regimen efficacy. Trial1 and End TB showed enhanced activity against specific lineages, underscoring the potential of lineage-tailored treatments to shorten therapy and improve TB control.</w:t>
      </w:r>
    </w:p>
    <w:p w14:paraId="3335E4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25-A-1924-ASTMH</w:t>
      </w:r>
    </w:p>
    <w:p w14:paraId="3580D1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29FE35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Navigating Long COVID in East Africa: Symptomatology, Health-Care Experiences, and Health System suggestions in Ethiopia and Uganda</w:t>
      </w:r>
    </w:p>
    <w:p w14:paraId="186436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While acute COVID-19 is well-known, our understanding of long-COVID is still limited, particularly in resource-limited settings. This study explored the lived experiences of long-COVID patients in Ethiopia and Uganda, focusing on clinical presentations and accessed health care services. It also examined the readiness of the countries’ health systems to meet the needs of these patients. We conducted 30 in-depth interviews and 10 focus group discussions with long-COVID patients alongside 60 key informant interviews with healthcare providers across ten hospitals in the two countries</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The patients in our study reported symptoms primarily in the cardiopulmonary, musculoskeletal, and neurocognitive categories, including chronic fatigue, persistent cough, enduring physical pain, memory impairments, brain fog, and loss of interest. Additionally, many men patients experienced a persistent decline in sexual desire and performance post-recovery. The healthcare providers in this study uniformly reported increasing clinical encounters of persistent post COVID symptoms which they could not use to diagnose long-COVID due to unavailable guidelines. This was further reinforced by community participants describing similar long-term symptoms in their post-COVID social networks. The study highlighted a significant burden of long-COVID in Ethiopia and Uganda, with participants detailing its profound impact on physical, psychological, and socioeconomic well-being. Thematic analysis probed systemic limitations in awareness and diagnostic capacity among healthcare professionals across both countries. These gaps in awareness contributed to low healthcare-seeking behavior, leading to under diagnosis, misdiagnosis, and suboptimal management. The absence of established national guidelines—although an initiative has been introduced in Uganda—along with a lack of dedicated care pathways, further exacerbated the problem. Participants universally recommended guideline development, dedicated screening and care pathways, specialized training for healthcare providers, and effective risk communication to address the gaps.</w:t>
      </w:r>
    </w:p>
    <w:p w14:paraId="579330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25-A-1925-ASTMH</w:t>
      </w:r>
    </w:p>
    <w:p w14:paraId="44B266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Mosquitoes - Biology and Genetics of Insecticide Resistance</w:t>
      </w:r>
    </w:p>
    <w:p w14:paraId="0B03CD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Uncovering the biological changes associated with insecticide resistance in </w:t>
      </w:r>
      <w:r w:rsidRPr="00FE5D1C">
        <w:rPr>
          <w:rFonts w:ascii="Calibri" w:eastAsia="Times New Roman" w:hAnsi="Calibri" w:cs="Calibri"/>
          <w:i/>
          <w:iCs/>
          <w:color w:val="000000"/>
          <w:kern w:val="0"/>
          <w:sz w:val="22"/>
          <w:szCs w:val="22"/>
          <w14:ligatures w14:val="none"/>
        </w:rPr>
        <w:t>Anopheles albimanus</w:t>
      </w:r>
      <w:r w:rsidRPr="00FE5D1C">
        <w:rPr>
          <w:rFonts w:ascii="Calibri" w:eastAsia="Times New Roman" w:hAnsi="Calibri" w:cs="Calibri"/>
          <w:color w:val="000000"/>
          <w:kern w:val="0"/>
          <w:sz w:val="22"/>
          <w:szCs w:val="22"/>
          <w14:ligatures w14:val="none"/>
        </w:rPr>
        <w:t>, a key malaria vector in the Americas</w:t>
      </w:r>
    </w:p>
    <w:p w14:paraId="2BFE3A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Over the past decade, resistance to the primary insecticides used in public health has emerged in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 populations worldwide. The widespread occurrence of insecticide resistance coincides with a stagnation in malaria case reduction, posing a significant challenge to malaria control and elimination efforts. In major Anopheline vectors from Africa, resistance has been linked to a number of mechanisms, including up-regulation of cytochrome P450, chemosensory proteins, and glutathione S-transferases, and single nucleotide polymorphism changes to the insecticide target-sites. Additionally, resistance has been associated with biological changes affecting mosquito fitness, microbiome composition, oxidative stress levels, and immune response, potentially influencing vector competence. In contrast to African vectors, insecticide resistance in </w:t>
      </w:r>
      <w:r w:rsidRPr="00FE5D1C">
        <w:rPr>
          <w:rFonts w:ascii="Calibri" w:eastAsia="Times New Roman" w:hAnsi="Calibri" w:cs="Calibri"/>
          <w:i/>
          <w:iCs/>
          <w:color w:val="000000"/>
          <w:kern w:val="0"/>
          <w:sz w:val="22"/>
          <w:szCs w:val="22"/>
          <w14:ligatures w14:val="none"/>
        </w:rPr>
        <w:t>Anopheles albimanus</w:t>
      </w:r>
      <w:r w:rsidRPr="00FE5D1C">
        <w:rPr>
          <w:rFonts w:ascii="Calibri" w:eastAsia="Times New Roman" w:hAnsi="Calibri" w:cs="Calibri"/>
          <w:color w:val="000000"/>
          <w:kern w:val="0"/>
          <w:sz w:val="22"/>
          <w:szCs w:val="22"/>
          <w14:ligatures w14:val="none"/>
        </w:rPr>
        <w:t>, a key malaria vector in the Americas, remains poorly characterised. Our research aims to address this gap by investigating resistance mechanisms and their biological consequences in </w:t>
      </w:r>
      <w:r w:rsidRPr="00FE5D1C">
        <w:rPr>
          <w:rFonts w:ascii="Calibri" w:eastAsia="Times New Roman" w:hAnsi="Calibri" w:cs="Calibri"/>
          <w:i/>
          <w:iCs/>
          <w:color w:val="000000"/>
          <w:kern w:val="0"/>
          <w:sz w:val="22"/>
          <w:szCs w:val="22"/>
          <w14:ligatures w14:val="none"/>
        </w:rPr>
        <w:t>An. albimanus</w:t>
      </w:r>
      <w:r w:rsidRPr="00FE5D1C">
        <w:rPr>
          <w:rFonts w:ascii="Calibri" w:eastAsia="Times New Roman" w:hAnsi="Calibri" w:cs="Calibri"/>
          <w:color w:val="000000"/>
          <w:kern w:val="0"/>
          <w:sz w:val="22"/>
          <w:szCs w:val="22"/>
          <w14:ligatures w14:val="none"/>
        </w:rPr>
        <w:t>. We assessed the fitness costs of resistance, genomic alterations, transcriptomic responses to insecticides, microbiome composition, and vector competence in two resistant </w:t>
      </w:r>
      <w:r w:rsidRPr="00FE5D1C">
        <w:rPr>
          <w:rFonts w:ascii="Calibri" w:eastAsia="Times New Roman" w:hAnsi="Calibri" w:cs="Calibri"/>
          <w:i/>
          <w:iCs/>
          <w:color w:val="000000"/>
          <w:kern w:val="0"/>
          <w:sz w:val="22"/>
          <w:szCs w:val="22"/>
          <w14:ligatures w14:val="none"/>
        </w:rPr>
        <w:t>An. albimanus</w:t>
      </w:r>
      <w:r w:rsidRPr="00FE5D1C">
        <w:rPr>
          <w:rFonts w:ascii="Calibri" w:eastAsia="Times New Roman" w:hAnsi="Calibri" w:cs="Calibri"/>
          <w:color w:val="000000"/>
          <w:kern w:val="0"/>
          <w:sz w:val="22"/>
          <w:szCs w:val="22"/>
          <w14:ligatures w14:val="none"/>
        </w:rPr>
        <w:t> colonies derived from field populations from Nicaragua. Additionally, we performed </w:t>
      </w:r>
      <w:r w:rsidRPr="00FE5D1C">
        <w:rPr>
          <w:rFonts w:ascii="Calibri" w:eastAsia="Times New Roman" w:hAnsi="Calibri" w:cs="Calibri"/>
          <w:i/>
          <w:iCs/>
          <w:color w:val="000000"/>
          <w:kern w:val="0"/>
          <w:sz w:val="22"/>
          <w:szCs w:val="22"/>
          <w14:ligatures w14:val="none"/>
        </w:rPr>
        <w:t>kdr </w:t>
      </w:r>
      <w:r w:rsidRPr="00FE5D1C">
        <w:rPr>
          <w:rFonts w:ascii="Calibri" w:eastAsia="Times New Roman" w:hAnsi="Calibri" w:cs="Calibri"/>
          <w:color w:val="000000"/>
          <w:kern w:val="0"/>
          <w:sz w:val="22"/>
          <w:szCs w:val="22"/>
          <w14:ligatures w14:val="none"/>
        </w:rPr>
        <w:t>screening utilising field collections within Central American region with residual malaria transmission. Taken together, these findings will inform the development and deployment of novel vector control strategies to mitigate the impact of insecticide resistance.</w:t>
      </w:r>
    </w:p>
    <w:p w14:paraId="5309EF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25-A-1926-ASTMH</w:t>
      </w:r>
    </w:p>
    <w:p w14:paraId="3F2EC7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00AE01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Insecticides can kill the mosquito vector and prevent transmission of the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parasite</w:t>
      </w:r>
    </w:p>
    <w:p w14:paraId="2E72B4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Insecticide-based vector control tools are the most important control strategy for malaria, accounting for over 80% of the reductions in case numbers seen between 2000 and 2015. The subsequent rise in malaria cases has closely mirrored the increase in mosquitoes that are insecticide resistant, threatening the efficacy of vector control efforts and calling for the identification of alternative chemistries. Compounds with a dual effect—targeting both the vector and the parasite—are of particular interest; this dual action may arise from the insecticide-resistance phenotype of the host, which disrupts parasite development, or from a direct detrimental effect of insecticides, or their metabolites, directly on the parasites. Such compounds offer an alternative mode of action in the event of insecticide resistance. Here, we present a novel medium-throughput pipeline for identifying potential malaria vector control chemistries. By integrating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sporozoite motility assays with machine-learning-based analysis, alongside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exposure of infected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vectors followed by oocyst and sporozoite quantification, we identified several compounds with dual activity against both the vector and the parasite. These include avermectin endectocides, the mitochondrial complex III inhibitor hydramethylnon, and tralopyril, the active form of the pyrrole chlorfenapyr, a chemistry on dual active ingredient bed nets. These results demonstrate the potential of this tool in the identification process of novel insecticide-based vector control tools.</w:t>
      </w:r>
    </w:p>
    <w:p w14:paraId="019065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25-A-1927-ASTMH</w:t>
      </w:r>
    </w:p>
    <w:p w14:paraId="1B96FE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0AA5E1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Silent Contributors to Malaria Persistence in High-transmission Endemic Areas of Burkina Faso</w:t>
      </w:r>
    </w:p>
    <w:p w14:paraId="18D6D6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Entomological assessments of malaria transmission in Burkina Faso have traditionally concentrated on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s.l., the primary vector species nationwide. Nonetheless, in specific regions, other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 xml:space="preserve">species are routinely captured during vector surveillance, but are frequently overlooked in evaluations of infection rates and the estimation of the entomological inoculation rate. </w:t>
      </w:r>
      <w:r w:rsidRPr="00FE5D1C">
        <w:rPr>
          <w:rFonts w:ascii="Calibri" w:eastAsia="Times New Roman" w:hAnsi="Calibri" w:cs="Calibri"/>
          <w:color w:val="000000"/>
          <w:kern w:val="0"/>
          <w:sz w:val="22"/>
          <w:szCs w:val="22"/>
          <w14:ligatures w14:val="none"/>
        </w:rPr>
        <w:lastRenderedPageBreak/>
        <w:t>These secondary vector species are predominantly collected in outdoor settings, where vector control interventions (ITNs and IRS) are not applied, in contrast to the protected indoor environments. This discrepancy prompted an investigation into the potential role of these under-recognized species in outdoor Plasmodium transmission. The study was conducted across Burkina Faso’s three ecological zones in 2023 and 2024. Mosquitoes were sampled using human landing catches and pyrethrum spray collections. All malaria vectors other than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s.l. DNA were extracted. Their infection status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 malariae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ovale</w:t>
      </w:r>
      <w:r w:rsidRPr="00FE5D1C">
        <w:rPr>
          <w:rFonts w:ascii="Calibri" w:eastAsia="Times New Roman" w:hAnsi="Calibri" w:cs="Calibri"/>
          <w:color w:val="000000"/>
          <w:kern w:val="0"/>
          <w:sz w:val="22"/>
          <w:szCs w:val="22"/>
          <w14:ligatures w14:val="none"/>
        </w:rPr>
        <w:t> was determined via PCR, along with the origin of their blood meals. The findings revealed the presence of five Anopheles species aside from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s.l.: </w:t>
      </w:r>
      <w:r w:rsidRPr="00FE5D1C">
        <w:rPr>
          <w:rFonts w:ascii="Calibri" w:eastAsia="Times New Roman" w:hAnsi="Calibri" w:cs="Calibri"/>
          <w:i/>
          <w:iCs/>
          <w:color w:val="000000"/>
          <w:kern w:val="0"/>
          <w:sz w:val="22"/>
          <w:szCs w:val="22"/>
          <w14:ligatures w14:val="none"/>
        </w:rPr>
        <w:t>An. nili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 coustani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 pharoensis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rufipes</w:t>
      </w:r>
      <w:r w:rsidRPr="00FE5D1C">
        <w:rPr>
          <w:rFonts w:ascii="Calibri" w:eastAsia="Times New Roman" w:hAnsi="Calibri" w:cs="Calibri"/>
          <w:color w:val="000000"/>
          <w:kern w:val="0"/>
          <w:sz w:val="22"/>
          <w:szCs w:val="22"/>
          <w14:ligatures w14:val="none"/>
        </w:rPr>
        <w:t>. Of these, </w:t>
      </w:r>
      <w:r w:rsidRPr="00FE5D1C">
        <w:rPr>
          <w:rFonts w:ascii="Calibri" w:eastAsia="Times New Roman" w:hAnsi="Calibri" w:cs="Calibri"/>
          <w:i/>
          <w:iCs/>
          <w:color w:val="000000"/>
          <w:kern w:val="0"/>
          <w:sz w:val="22"/>
          <w:szCs w:val="22"/>
          <w14:ligatures w14:val="none"/>
        </w:rPr>
        <w:t>An. nili</w:t>
      </w:r>
      <w:r w:rsidRPr="00FE5D1C">
        <w:rPr>
          <w:rFonts w:ascii="Calibri" w:eastAsia="Times New Roman" w:hAnsi="Calibri" w:cs="Calibri"/>
          <w:color w:val="000000"/>
          <w:kern w:val="0"/>
          <w:sz w:val="22"/>
          <w:szCs w:val="22"/>
          <w14:ligatures w14:val="none"/>
        </w:rPr>
        <w:t> was the most predominant, comprising 87.5% of identified specimens in 2023 and 93% in 2024. These mosquitoes were primarily collected in the Sudan area, largely from outdoor, and exhibited strong anthropophilic trend.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was the only parasite species detected, found in all sampled vectors except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Notably, the highest sporozoite infection rates were observed in Diébougou: 100% (1/1) in </w:t>
      </w:r>
      <w:r w:rsidRPr="00FE5D1C">
        <w:rPr>
          <w:rFonts w:ascii="Calibri" w:eastAsia="Times New Roman" w:hAnsi="Calibri" w:cs="Calibri"/>
          <w:i/>
          <w:iCs/>
          <w:color w:val="000000"/>
          <w:kern w:val="0"/>
          <w:sz w:val="22"/>
          <w:szCs w:val="22"/>
          <w14:ligatures w14:val="none"/>
        </w:rPr>
        <w:t>An. coustani</w:t>
      </w:r>
      <w:r w:rsidRPr="00FE5D1C">
        <w:rPr>
          <w:rFonts w:ascii="Calibri" w:eastAsia="Times New Roman" w:hAnsi="Calibri" w:cs="Calibri"/>
          <w:color w:val="000000"/>
          <w:kern w:val="0"/>
          <w:sz w:val="22"/>
          <w:szCs w:val="22"/>
          <w14:ligatures w14:val="none"/>
        </w:rPr>
        <w:t> in August 2023, 50% (1/2) in the same species in November 2024, and 50% (1/2) and 6% (1/16) in </w:t>
      </w:r>
      <w:r w:rsidRPr="00FE5D1C">
        <w:rPr>
          <w:rFonts w:ascii="Calibri" w:eastAsia="Times New Roman" w:hAnsi="Calibri" w:cs="Calibri"/>
          <w:i/>
          <w:iCs/>
          <w:color w:val="000000"/>
          <w:kern w:val="0"/>
          <w:sz w:val="22"/>
          <w:szCs w:val="22"/>
          <w14:ligatures w14:val="none"/>
        </w:rPr>
        <w:t>An. nili</w:t>
      </w:r>
      <w:r w:rsidRPr="00FE5D1C">
        <w:rPr>
          <w:rFonts w:ascii="Calibri" w:eastAsia="Times New Roman" w:hAnsi="Calibri" w:cs="Calibri"/>
          <w:color w:val="000000"/>
          <w:kern w:val="0"/>
          <w:sz w:val="22"/>
          <w:szCs w:val="22"/>
          <w14:ligatures w14:val="none"/>
        </w:rPr>
        <w:t> in August 2023 and September 2024, respectively. These results underscore the emerging epidemiological significance of non-</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s.l. species, particularly </w:t>
      </w:r>
      <w:r w:rsidRPr="00FE5D1C">
        <w:rPr>
          <w:rFonts w:ascii="Calibri" w:eastAsia="Times New Roman" w:hAnsi="Calibri" w:cs="Calibri"/>
          <w:i/>
          <w:iCs/>
          <w:color w:val="000000"/>
          <w:kern w:val="0"/>
          <w:sz w:val="22"/>
          <w:szCs w:val="22"/>
          <w14:ligatures w14:val="none"/>
        </w:rPr>
        <w:t>An. nili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coustani</w:t>
      </w:r>
      <w:r w:rsidRPr="00FE5D1C">
        <w:rPr>
          <w:rFonts w:ascii="Calibri" w:eastAsia="Times New Roman" w:hAnsi="Calibri" w:cs="Calibri"/>
          <w:color w:val="000000"/>
          <w:kern w:val="0"/>
          <w:sz w:val="22"/>
          <w:szCs w:val="22"/>
          <w14:ligatures w14:val="none"/>
        </w:rPr>
        <w:t>, in malaria transmission dynamics in Burkina Faso and call for a reassessment of vector control strategies, especially in high-endemicity regions.</w:t>
      </w:r>
    </w:p>
    <w:p w14:paraId="04FCE4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25-A-1928-ASTMH</w:t>
      </w:r>
    </w:p>
    <w:p w14:paraId="74C785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564C0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Health Campaign Effectiveness through Technology: Rationale for Policy Adoption - Insights from the DIGIT Health Campaign Management Application Deployment for Seasonal Malaria Chemoprevention Campaign in Kebbi State, Nigeria.</w:t>
      </w:r>
    </w:p>
    <w:p w14:paraId="2538A20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Seasonal malaria chemoprevention (SMC) campaigns have historically relied on manual data collection and logistics management, which hinders timely decision-making and accountability in campaign execution. This study evaluates the effectiveness of DIGIT Health Campaign Management (HCM), an open-source digital platform designed to transform health campaign planning and management.A mixed-methods approach was employed to assess the usability, system performance, operational impact and suitability of the DIGIT HCM application during cycle 4 of the 2024 SMC campaign in Kebbi State, Nigeria. A survey was conducted with 460 respondents across five user groups: community drug distributors (CDDs), health facility workers, supervisors, logisticians, and data managers. The evaluation assessed key functionalities of DIGIT HCM including household and child registration, drug distribution, adverse event reporting and referrals, stock management, supervision, and campaign monitoring. Descriptive analysis of the survey data was completed while thematic coding was applied to qualitative responses. The results show users found the system’s digital workflows intuitive and 96% of CDDs reported improved work quality. Supervisors and health workers reported good system performance with over 95% satisfied with the app’s speed and stability. All data managers reported the real-time dashboards effective for campaign monitoring and 93% agreed with the app’s suitability for large-scale health campaigns. The app demonstrated operational efficiency with 91% of CDDs completing daily reporting on time. Some challenges reported included 22% of respondents reporting data sync delays and 27% experiencing stock validation errors and 43% of CDD supervisors reported better field support was needed. The findings demonstrate that DIGIT HCM enhanced operational efficiency in the SMC campaign, enabling real-time decision-making and improving campaign processes. This highlights the value of digital health solutions in strengthening disease control programs and improve health outcomes, particularly in resource-limited settings.</w:t>
      </w:r>
    </w:p>
    <w:p w14:paraId="08AC7F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25-A-1929-ASTMH</w:t>
      </w:r>
    </w:p>
    <w:p w14:paraId="5C9B51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4D9880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Two Decades of Insecticide Resistance in Benin A Retrospective Analysis of Evolution and Drivers</w:t>
      </w:r>
    </w:p>
    <w:p w14:paraId="6E934D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Numerous papers have been conducted in Benin over the past two decades on insecticide resistance (IR) in mosquito vectors. These studies, by various authors, present diverse and scattered data. The present paper provides a retrospective analysis of these data to assess the current state of IR and its evolution over time. Phenotypic trends were compared to mechanisms of IR, focusing on the pyrethroid target-site mutation at codon 1014 of the voltage-gated sodium channel and the overproduction of detoxification enzymes capable of neutralizing insecticides before reaching their target. Data were collected from studies between 1996 and 1998 and from 2010 to 2024</w:t>
      </w:r>
      <w:r w:rsidRPr="00FE5D1C">
        <w:rPr>
          <w:rFonts w:ascii="Calibri" w:eastAsia="Times New Roman" w:hAnsi="Calibri" w:cs="Calibri"/>
          <w:b/>
          <w:bCs/>
          <w:color w:val="000000"/>
          <w:kern w:val="0"/>
          <w:sz w:val="22"/>
          <w:szCs w:val="22"/>
          <w14:ligatures w14:val="none"/>
        </w:rPr>
        <w:t>.</w:t>
      </w:r>
      <w:r w:rsidRPr="00FE5D1C">
        <w:rPr>
          <w:rFonts w:ascii="Calibri" w:eastAsia="Times New Roman" w:hAnsi="Calibri" w:cs="Calibri"/>
          <w:color w:val="000000"/>
          <w:kern w:val="0"/>
          <w:sz w:val="22"/>
          <w:szCs w:val="22"/>
          <w14:ligatures w14:val="none"/>
        </w:rPr>
        <w:t> For each selected study, the following information were extracted and organized in a Microsoft Excel spreadsheet: study year, adherence to WHO insecticide susceptibility testing protocols, mosquito species tested, study site characteristics, insecticides assessed, data source, and resistance mechanisms identified. Communes with data gaps exceeding five consecutive years were excluded. The earliest reported cases of IR in Benin date back to 1963, involving organochlorines. Resistance to pyrethroids was first observed in 1999, initially limited in scope. However, from 2010 to 2024, resistance to all pyrethroids spread very rapidly across all regions of Benin, reaching high levels. In some communes, mortality rates in </w:t>
      </w:r>
      <w:r w:rsidRPr="00FE5D1C">
        <w:rPr>
          <w:rFonts w:ascii="Calibri" w:eastAsia="Times New Roman" w:hAnsi="Calibri" w:cs="Calibri"/>
          <w:i/>
          <w:iCs/>
          <w:color w:val="000000"/>
          <w:kern w:val="0"/>
          <w:sz w:val="22"/>
          <w:szCs w:val="22"/>
          <w14:ligatures w14:val="none"/>
        </w:rPr>
        <w:t>Anopheles gambiae </w:t>
      </w:r>
      <w:r w:rsidRPr="00FE5D1C">
        <w:rPr>
          <w:rFonts w:ascii="Calibri" w:eastAsia="Times New Roman" w:hAnsi="Calibri" w:cs="Calibri"/>
          <w:color w:val="000000"/>
          <w:kern w:val="0"/>
          <w:sz w:val="22"/>
          <w:szCs w:val="22"/>
          <w14:ligatures w14:val="none"/>
        </w:rPr>
        <w:t>populations exposed to permethrin-treated papers fell below 10% after 24 hours of observation. The frequency of the Kdr L1014F mutation has mirrored phenotypic resistance trends, increasing from 10% homozygous resistant (Kdr/Kdr) individuals in 2011 to 90% in 2024 in the commune of Allada. Detoxification enzymes such as α-esterase, β-esterase, Monooxygenase (MFO) and Glutathione S-transferase showed low but steadily increasing activity between 2015 and 2024. The average proportion of MFO rose from 0.230, 0.388 and 0.580 min/mg/protein respectively in 2015, 2020 and 2024. Resistance to bendiocarb, first reported in 2012, has shown minimal progression, while resistance to pirimiphos methyl has been observed in some communes since 2022.</w:t>
      </w:r>
    </w:p>
    <w:p w14:paraId="2409B9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25-A-1930-ASTMH</w:t>
      </w:r>
    </w:p>
    <w:p w14:paraId="240CEA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1E80EB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Azithromycin mass drug administration for child survival and sibling spillover effects: an exploratory subgroup analysis of the AVENIR adaptive cluster-randomized trial</w:t>
      </w:r>
    </w:p>
    <w:p w14:paraId="52D109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Several trials have shown that azithromycin mass drug administration (MDA) to 1-59-month-olds reduces mortality, but World Health Organization guidelines restrict eligibility to 1-11-month-olds. The AVENIR trial suggested that 1-11-month-olds have the lowest mortality if 12-59-month-olds in the community are included. This subgroup analysis aims to explore this spillover effect by determining whether treating older children in the same household impacts mortality among younger siblings. AVENIR randomized 3,000 communities in Niger to 3 arms and followed them for 2 years: biannual azithromycin MDA to 1-59-month-olds (child), biannual azithromycin MDA to 1-11-month-olds with biannual placebo to 12-59-month-olds (infant), and placebo to 1-59-month-olds. A biannual census was conducted to enumerate household members and monitor all-cause child mortality. The spillover analysis compared 1-11-month-old mortality in the child and infant arms by older sibling subgroups (presence/absence). A negative control analysis compared 1-11-month-old mortality in the infant and placebo arms by subgroups. 2,883 communities and 98,969 1-11-month-olds were included in analyses. Mortality was 18.5 deaths per 1,000 person-years (95% CI 16.7 to 20.4, 22.3 (95% CI 20.0 to 24.7), and 23.9 (95% CI 21.6 to 26.2) in the child, infant, and placebo arms, respectively. Comparing the child and infant arms, the relative reduction in mortality among those with an older azithromycin-treated sibling was 22% (95% CI 7% to 35%) versus 9% (95% CI -15% to 27%) among those without (interaction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-value 0.26). Comparing the infant and placebo arms in the negative control analysis, the relative reduction in mortality among those with an older placebo-treated sibling was 4% (95% CI -14% to 19%) versus 10% (95% CI -12% to 29%) among those without (interaction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value=0.61). Though we were unable to show a statistically significant interaction, these results are consistent with a spillover effect on 1-11-month mortality when treating older siblings. Combined with the main trial results, this analysis further supports widening eligibility to 1-59-month-olds.</w:t>
      </w:r>
    </w:p>
    <w:p w14:paraId="385504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25-A-1931-ASTMH</w:t>
      </w:r>
    </w:p>
    <w:p w14:paraId="308D0A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2DCA9C82" w14:textId="4FEDD0DA"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Assessing vertical transfer of a gene drive targeting </w:t>
      </w:r>
      <w:r w:rsidRPr="00FE5D1C">
        <w:rPr>
          <w:rFonts w:ascii="Calibri" w:eastAsia="Times New Roman" w:hAnsi="Calibri" w:cs="Calibri"/>
          <w:i/>
          <w:iCs/>
          <w:color w:val="000000"/>
          <w:kern w:val="0"/>
          <w:sz w:val="22"/>
          <w:szCs w:val="22"/>
          <w14:ligatures w14:val="none"/>
        </w:rPr>
        <w:t>doublesex</w:t>
      </w:r>
      <w:r w:rsidRPr="00FE5D1C">
        <w:rPr>
          <w:rFonts w:ascii="Calibri" w:eastAsia="Times New Roman" w:hAnsi="Calibri" w:cs="Calibri"/>
          <w:color w:val="000000"/>
          <w:kern w:val="0"/>
          <w:sz w:val="22"/>
          <w:szCs w:val="22"/>
          <w14:ligatures w14:val="none"/>
        </w:rPr>
        <w:t> among sibling species of the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gambiae complex</w:t>
      </w:r>
    </w:p>
    <w:p w14:paraId="50E2FF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emergence of gene drive technologies offers promising strategies for controlling vector-borne diseases, including malaria, which is transmitted by members of the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gambiae s.l. </w:t>
      </w:r>
      <w:r w:rsidRPr="00FE5D1C">
        <w:rPr>
          <w:rFonts w:ascii="Calibri" w:eastAsia="Times New Roman" w:hAnsi="Calibri" w:cs="Calibri"/>
          <w:color w:val="000000"/>
          <w:kern w:val="0"/>
          <w:sz w:val="22"/>
          <w:szCs w:val="22"/>
          <w14:ligatures w14:val="none"/>
        </w:rPr>
        <w:t>species complex. This study examines how efficiently a gene drive targeting the </w:t>
      </w:r>
      <w:r w:rsidRPr="00FE5D1C">
        <w:rPr>
          <w:rFonts w:ascii="Calibri" w:eastAsia="Times New Roman" w:hAnsi="Calibri" w:cs="Calibri"/>
          <w:i/>
          <w:iCs/>
          <w:color w:val="000000"/>
          <w:kern w:val="0"/>
          <w:sz w:val="22"/>
          <w:szCs w:val="22"/>
          <w14:ligatures w14:val="none"/>
        </w:rPr>
        <w:t>doublesex</w:t>
      </w:r>
      <w:r w:rsidRPr="00FE5D1C">
        <w:rPr>
          <w:rFonts w:ascii="Calibri" w:eastAsia="Times New Roman" w:hAnsi="Calibri" w:cs="Calibri"/>
          <w:color w:val="000000"/>
          <w:kern w:val="0"/>
          <w:sz w:val="22"/>
          <w:szCs w:val="22"/>
          <w14:ligatures w14:val="none"/>
        </w:rPr>
        <w:t> gene—a key player in the sex determination pathway—can be transferred from one member of </w:t>
      </w:r>
      <w:r w:rsidRPr="00FE5D1C">
        <w:rPr>
          <w:rFonts w:ascii="Calibri" w:eastAsia="Times New Roman" w:hAnsi="Calibri" w:cs="Calibri"/>
          <w:i/>
          <w:iCs/>
          <w:color w:val="000000"/>
          <w:kern w:val="0"/>
          <w:sz w:val="22"/>
          <w:szCs w:val="22"/>
          <w14:ligatures w14:val="none"/>
        </w:rPr>
        <w:t>A. gambiae</w:t>
      </w:r>
      <w:r w:rsidRPr="00FE5D1C">
        <w:rPr>
          <w:rFonts w:ascii="Calibri" w:eastAsia="Times New Roman" w:hAnsi="Calibri" w:cs="Calibri"/>
          <w:color w:val="000000"/>
          <w:kern w:val="0"/>
          <w:sz w:val="22"/>
          <w:szCs w:val="22"/>
          <w14:ligatures w14:val="none"/>
        </w:rPr>
        <w:t> s.l., </w:t>
      </w:r>
      <w:r w:rsidRPr="00FE5D1C">
        <w:rPr>
          <w:rFonts w:ascii="Calibri" w:eastAsia="Times New Roman" w:hAnsi="Calibri" w:cs="Calibri"/>
          <w:i/>
          <w:iCs/>
          <w:color w:val="000000"/>
          <w:kern w:val="0"/>
          <w:sz w:val="22"/>
          <w:szCs w:val="22"/>
          <w14:ligatures w14:val="none"/>
        </w:rPr>
        <w:t>Anopheles coluzzii</w:t>
      </w:r>
      <w:r w:rsidRPr="00FE5D1C">
        <w:rPr>
          <w:rFonts w:ascii="Calibri" w:eastAsia="Times New Roman" w:hAnsi="Calibri" w:cs="Calibri"/>
          <w:color w:val="000000"/>
          <w:kern w:val="0"/>
          <w:sz w:val="22"/>
          <w:szCs w:val="22"/>
          <w14:ligatures w14:val="none"/>
        </w:rPr>
        <w:t>, via hybridization, to other sibling species of the complex; given that the genomic target sequences of this gene drive are highly conserved within the target species complex. Here, we examined the potential for efficacious vertical transfer of gene drive among sibling species of the target species complex by producing crosses between </w:t>
      </w:r>
      <w:r w:rsidRPr="00FE5D1C">
        <w:rPr>
          <w:rFonts w:ascii="Calibri" w:eastAsia="Times New Roman" w:hAnsi="Calibri" w:cs="Calibri"/>
          <w:i/>
          <w:iCs/>
          <w:color w:val="000000"/>
          <w:kern w:val="0"/>
          <w:sz w:val="22"/>
          <w:szCs w:val="22"/>
          <w14:ligatures w14:val="none"/>
        </w:rPr>
        <w:t>A. coluzzii</w:t>
      </w:r>
      <w:r w:rsidRPr="00FE5D1C">
        <w:rPr>
          <w:rFonts w:ascii="Calibri" w:eastAsia="Times New Roman" w:hAnsi="Calibri" w:cs="Calibri"/>
          <w:color w:val="000000"/>
          <w:kern w:val="0"/>
          <w:sz w:val="22"/>
          <w:szCs w:val="22"/>
          <w14:ligatures w14:val="none"/>
        </w:rPr>
        <w:t> gene drive males or females and wild-type mosquitoes of two sibling species: </w:t>
      </w:r>
      <w:r w:rsidRPr="00FE5D1C">
        <w:rPr>
          <w:rFonts w:ascii="Calibri" w:eastAsia="Times New Roman" w:hAnsi="Calibri" w:cs="Calibri"/>
          <w:i/>
          <w:iCs/>
          <w:color w:val="000000"/>
          <w:kern w:val="0"/>
          <w:sz w:val="22"/>
          <w:szCs w:val="22"/>
          <w14:ligatures w14:val="none"/>
        </w:rPr>
        <w:t>A. gambiae s.s.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 arabiensis</w:t>
      </w:r>
      <w:r w:rsidRPr="00FE5D1C">
        <w:rPr>
          <w:rFonts w:ascii="Calibri" w:eastAsia="Times New Roman" w:hAnsi="Calibri" w:cs="Calibri"/>
          <w:color w:val="000000"/>
          <w:kern w:val="0"/>
          <w:sz w:val="22"/>
          <w:szCs w:val="22"/>
          <w14:ligatures w14:val="none"/>
        </w:rPr>
        <w:t>. Homing rates and other fitness-related traits, such as reproductive output, were evaluated over two generations. The results indicated that the transgene is efficiently transferred to all the hybrid progeny (F1) resulting from the P0 crosses, with homing rates exceeding 90%. Such high homing rates were sustained in the subsequent generation (F2) of the </w:t>
      </w:r>
      <w:r w:rsidRPr="00FE5D1C">
        <w:rPr>
          <w:rFonts w:ascii="Calibri" w:eastAsia="Times New Roman" w:hAnsi="Calibri" w:cs="Calibri"/>
          <w:i/>
          <w:iCs/>
          <w:color w:val="000000"/>
          <w:kern w:val="0"/>
          <w:sz w:val="22"/>
          <w:szCs w:val="22"/>
          <w14:ligatures w14:val="none"/>
        </w:rPr>
        <w:t>A. gambiae s.s</w:t>
      </w:r>
      <w:r w:rsidRPr="00FE5D1C">
        <w:rPr>
          <w:rFonts w:ascii="Calibri" w:eastAsia="Times New Roman" w:hAnsi="Calibri" w:cs="Calibri"/>
          <w:color w:val="000000"/>
          <w:kern w:val="0"/>
          <w:sz w:val="22"/>
          <w:szCs w:val="22"/>
          <w14:ligatures w14:val="none"/>
        </w:rPr>
        <w:t> hybrid crosses. However, the male and female hybrid progeny (F1) resulting from the gene drive </w:t>
      </w:r>
      <w:r w:rsidRPr="00FE5D1C">
        <w:rPr>
          <w:rFonts w:ascii="Calibri" w:eastAsia="Times New Roman" w:hAnsi="Calibri" w:cs="Calibri"/>
          <w:i/>
          <w:iCs/>
          <w:color w:val="000000"/>
          <w:kern w:val="0"/>
          <w:sz w:val="22"/>
          <w:szCs w:val="22"/>
          <w14:ligatures w14:val="none"/>
        </w:rPr>
        <w:t>A. coluzzii</w:t>
      </w:r>
      <w:r w:rsidRPr="00FE5D1C">
        <w:rPr>
          <w:rFonts w:ascii="Calibri" w:eastAsia="Times New Roman" w:hAnsi="Calibri" w:cs="Calibri"/>
          <w:color w:val="000000"/>
          <w:kern w:val="0"/>
          <w:sz w:val="22"/>
          <w:szCs w:val="22"/>
          <w14:ligatures w14:val="none"/>
        </w:rPr>
        <w:t> and wild-type </w:t>
      </w:r>
      <w:r w:rsidRPr="00FE5D1C">
        <w:rPr>
          <w:rFonts w:ascii="Calibri" w:eastAsia="Times New Roman" w:hAnsi="Calibri" w:cs="Calibri"/>
          <w:i/>
          <w:iCs/>
          <w:color w:val="000000"/>
          <w:kern w:val="0"/>
          <w:sz w:val="22"/>
          <w:szCs w:val="22"/>
          <w14:ligatures w14:val="none"/>
        </w:rPr>
        <w:t>A. arabiensis</w:t>
      </w:r>
      <w:r w:rsidRPr="00FE5D1C">
        <w:rPr>
          <w:rFonts w:ascii="Calibri" w:eastAsia="Times New Roman" w:hAnsi="Calibri" w:cs="Calibri"/>
          <w:color w:val="000000"/>
          <w:kern w:val="0"/>
          <w:sz w:val="22"/>
          <w:szCs w:val="22"/>
          <w14:ligatures w14:val="none"/>
        </w:rPr>
        <w:t> crosses showed high sterility levels, producing few to no offspring (F2). Altogether, results suggest that, in the context of field trials, this gene drive could efficiently spread throughout </w:t>
      </w:r>
      <w:r w:rsidRPr="00FE5D1C">
        <w:rPr>
          <w:rFonts w:ascii="Calibri" w:eastAsia="Times New Roman" w:hAnsi="Calibri" w:cs="Calibri"/>
          <w:i/>
          <w:iCs/>
          <w:color w:val="000000"/>
          <w:kern w:val="0"/>
          <w:sz w:val="22"/>
          <w:szCs w:val="22"/>
          <w14:ligatures w14:val="none"/>
        </w:rPr>
        <w:t>A. gambiae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s.s.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 coluzzii</w:t>
      </w:r>
      <w:r w:rsidRPr="00FE5D1C">
        <w:rPr>
          <w:rFonts w:ascii="Calibri" w:eastAsia="Times New Roman" w:hAnsi="Calibri" w:cs="Calibri"/>
          <w:color w:val="000000"/>
          <w:kern w:val="0"/>
          <w:sz w:val="22"/>
          <w:szCs w:val="22"/>
          <w14:ligatures w14:val="none"/>
        </w:rPr>
        <w:t> populations via hybridization; however, it may not spread efficiently throughout the </w:t>
      </w:r>
      <w:r w:rsidRPr="00FE5D1C">
        <w:rPr>
          <w:rFonts w:ascii="Calibri" w:eastAsia="Times New Roman" w:hAnsi="Calibri" w:cs="Calibri"/>
          <w:i/>
          <w:iCs/>
          <w:color w:val="000000"/>
          <w:kern w:val="0"/>
          <w:sz w:val="22"/>
          <w:szCs w:val="22"/>
          <w14:ligatures w14:val="none"/>
        </w:rPr>
        <w:t>A. arabiensis</w:t>
      </w:r>
      <w:r w:rsidRPr="00FE5D1C">
        <w:rPr>
          <w:rFonts w:ascii="Calibri" w:eastAsia="Times New Roman" w:hAnsi="Calibri" w:cs="Calibri"/>
          <w:color w:val="000000"/>
          <w:kern w:val="0"/>
          <w:sz w:val="22"/>
          <w:szCs w:val="22"/>
          <w14:ligatures w14:val="none"/>
        </w:rPr>
        <w:t> populations by this means. Hence, in release locations where both </w:t>
      </w:r>
      <w:r w:rsidRPr="00FE5D1C">
        <w:rPr>
          <w:rFonts w:ascii="Calibri" w:eastAsia="Times New Roman" w:hAnsi="Calibri" w:cs="Calibri"/>
          <w:i/>
          <w:iCs/>
          <w:color w:val="000000"/>
          <w:kern w:val="0"/>
          <w:sz w:val="22"/>
          <w:szCs w:val="22"/>
          <w14:ligatures w14:val="none"/>
        </w:rPr>
        <w:t>A. coluzzii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 gambiae</w:t>
      </w:r>
      <w:r w:rsidRPr="00FE5D1C">
        <w:rPr>
          <w:rFonts w:ascii="Calibri" w:eastAsia="Times New Roman" w:hAnsi="Calibri" w:cs="Calibri"/>
          <w:color w:val="000000"/>
          <w:kern w:val="0"/>
          <w:sz w:val="22"/>
          <w:szCs w:val="22"/>
          <w14:ligatures w14:val="none"/>
        </w:rPr>
        <w:t> s.s. are present, releases of gene drive in </w:t>
      </w:r>
      <w:r w:rsidRPr="00FE5D1C">
        <w:rPr>
          <w:rFonts w:ascii="Calibri" w:eastAsia="Times New Roman" w:hAnsi="Calibri" w:cs="Calibri"/>
          <w:i/>
          <w:iCs/>
          <w:color w:val="000000"/>
          <w:kern w:val="0"/>
          <w:sz w:val="22"/>
          <w:szCs w:val="22"/>
          <w14:ligatures w14:val="none"/>
        </w:rPr>
        <w:t>A. coluzzii</w:t>
      </w:r>
      <w:r w:rsidRPr="00FE5D1C">
        <w:rPr>
          <w:rFonts w:ascii="Calibri" w:eastAsia="Times New Roman" w:hAnsi="Calibri" w:cs="Calibri"/>
          <w:color w:val="000000"/>
          <w:kern w:val="0"/>
          <w:sz w:val="22"/>
          <w:szCs w:val="22"/>
          <w14:ligatures w14:val="none"/>
        </w:rPr>
        <w:t> alone may also spread to </w:t>
      </w:r>
      <w:r w:rsidRPr="00FE5D1C">
        <w:rPr>
          <w:rFonts w:ascii="Calibri" w:eastAsia="Times New Roman" w:hAnsi="Calibri" w:cs="Calibri"/>
          <w:i/>
          <w:iCs/>
          <w:color w:val="000000"/>
          <w:kern w:val="0"/>
          <w:sz w:val="22"/>
          <w:szCs w:val="22"/>
          <w14:ligatures w14:val="none"/>
        </w:rPr>
        <w:t>A. gambiae</w:t>
      </w:r>
      <w:r w:rsidRPr="00FE5D1C">
        <w:rPr>
          <w:rFonts w:ascii="Calibri" w:eastAsia="Times New Roman" w:hAnsi="Calibri" w:cs="Calibri"/>
          <w:color w:val="000000"/>
          <w:kern w:val="0"/>
          <w:sz w:val="22"/>
          <w:szCs w:val="22"/>
          <w14:ligatures w14:val="none"/>
        </w:rPr>
        <w:t> s.s.. However, in release locations where </w:t>
      </w:r>
      <w:r w:rsidRPr="00FE5D1C">
        <w:rPr>
          <w:rFonts w:ascii="Calibri" w:eastAsia="Times New Roman" w:hAnsi="Calibri" w:cs="Calibri"/>
          <w:i/>
          <w:iCs/>
          <w:color w:val="000000"/>
          <w:kern w:val="0"/>
          <w:sz w:val="22"/>
          <w:szCs w:val="22"/>
          <w14:ligatures w14:val="none"/>
        </w:rPr>
        <w:t>A. arabiensis</w:t>
      </w:r>
      <w:r w:rsidRPr="00FE5D1C">
        <w:rPr>
          <w:rFonts w:ascii="Calibri" w:eastAsia="Times New Roman" w:hAnsi="Calibri" w:cs="Calibri"/>
          <w:color w:val="000000"/>
          <w:kern w:val="0"/>
          <w:sz w:val="22"/>
          <w:szCs w:val="22"/>
          <w14:ligatures w14:val="none"/>
        </w:rPr>
        <w:t> are present in addition to </w:t>
      </w:r>
      <w:r w:rsidRPr="00FE5D1C">
        <w:rPr>
          <w:rFonts w:ascii="Calibri" w:eastAsia="Times New Roman" w:hAnsi="Calibri" w:cs="Calibri"/>
          <w:i/>
          <w:iCs/>
          <w:color w:val="000000"/>
          <w:kern w:val="0"/>
          <w:sz w:val="22"/>
          <w:szCs w:val="22"/>
          <w14:ligatures w14:val="none"/>
        </w:rPr>
        <w:t>A. coluzzii</w:t>
      </w:r>
      <w:r w:rsidRPr="00FE5D1C">
        <w:rPr>
          <w:rFonts w:ascii="Calibri" w:eastAsia="Times New Roman" w:hAnsi="Calibri" w:cs="Calibri"/>
          <w:color w:val="000000"/>
          <w:kern w:val="0"/>
          <w:sz w:val="22"/>
          <w:szCs w:val="22"/>
          <w14:ligatures w14:val="none"/>
        </w:rPr>
        <w:t> and/or </w:t>
      </w:r>
      <w:r w:rsidRPr="00FE5D1C">
        <w:rPr>
          <w:rFonts w:ascii="Calibri" w:eastAsia="Times New Roman" w:hAnsi="Calibri" w:cs="Calibri"/>
          <w:i/>
          <w:iCs/>
          <w:color w:val="000000"/>
          <w:kern w:val="0"/>
          <w:sz w:val="22"/>
          <w:szCs w:val="22"/>
          <w14:ligatures w14:val="none"/>
        </w:rPr>
        <w:t>A. gambiae</w:t>
      </w:r>
      <w:r w:rsidRPr="00FE5D1C">
        <w:rPr>
          <w:rFonts w:ascii="Calibri" w:eastAsia="Times New Roman" w:hAnsi="Calibri" w:cs="Calibri"/>
          <w:color w:val="000000"/>
          <w:kern w:val="0"/>
          <w:sz w:val="22"/>
          <w:szCs w:val="22"/>
          <w14:ligatures w14:val="none"/>
        </w:rPr>
        <w:t> s.s., additional releases of the gene drive in </w:t>
      </w:r>
      <w:r w:rsidRPr="00FE5D1C">
        <w:rPr>
          <w:rFonts w:ascii="Calibri" w:eastAsia="Times New Roman" w:hAnsi="Calibri" w:cs="Calibri"/>
          <w:i/>
          <w:iCs/>
          <w:color w:val="000000"/>
          <w:kern w:val="0"/>
          <w:sz w:val="22"/>
          <w:szCs w:val="22"/>
          <w14:ligatures w14:val="none"/>
        </w:rPr>
        <w:t>A. arabiensis</w:t>
      </w:r>
      <w:r w:rsidRPr="00FE5D1C">
        <w:rPr>
          <w:rFonts w:ascii="Calibri" w:eastAsia="Times New Roman" w:hAnsi="Calibri" w:cs="Calibri"/>
          <w:color w:val="000000"/>
          <w:kern w:val="0"/>
          <w:sz w:val="22"/>
          <w:szCs w:val="22"/>
          <w14:ligatures w14:val="none"/>
        </w:rPr>
        <w:t> might be considered for its efficacious and timely spread within the target species complex.</w:t>
      </w:r>
    </w:p>
    <w:p w14:paraId="2F61FE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25-A-1934-ASTMH</w:t>
      </w:r>
    </w:p>
    <w:p w14:paraId="5D622F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1AB463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Acquired Immunity to Hookworm Infection</w:t>
      </w:r>
    </w:p>
    <w:p w14:paraId="156024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Hookworm infects over 220 million people worldwide. As a leading cause of iron deficiency anemia in children and pregnant women, hookworm infection reinforces the cycle of poverty through growth stunting, physical and cognitive delays, and a decline in work performance. Yet, it remains unclear the role of acquired immune cells in protective immunity with hookworm re-infection. We have adapted a murine model for Nippostrongylus brasiliensis, the rat hookworm, and have found that a recurrent challenge in wild-type C57Bl/6J mice induces near sterilizing immunity that wanes with time. RAG-1 deficient C57Bl/6J mice, which lack mature B or T cells, however, remain completely susceptible to repeated challenges. To determine the specific role of B and T cells, we selectively depleted over 95% of circulating and tissue-embedded cells using their respective monoclonal antibodies, CD20 or CD4. We also employed a CreERT2 J-chain+ROSA-DTA mouse model to deplete plasma cells. We found that CD4+ T cells at the time of re-infection are essential for sterilizing acquired immunity, while depletion of memory CD4+ T cells alone do not impair protection. This suggests that CD4+ T cells are crucial for directing an effective B cell and/or plasma cell response upon re-challenge. When CD4+ T cells, B cells, and plasma cells are depleted together, previously immune mice regain susceptibility, yet depleting these cell types individually does not remove protection. This suggests that CD20+ B cells and plasma cells contribute to acquired protection but are not required. Together these findings provide key insights in the role of acquired immune cells that can be applied to the development of anthelmintic vaccines.</w:t>
      </w:r>
    </w:p>
    <w:p w14:paraId="2477A2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25-A-1935-ASTMH</w:t>
      </w:r>
    </w:p>
    <w:p w14:paraId="1C956E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2BCBF2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Cell intrinsic mechanisms of antibody-dependent enhancement of dengue virus infection</w:t>
      </w:r>
    </w:p>
    <w:p w14:paraId="4A2E71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Dengue virus (DENV) is a globally relevant mosquito-borne flavivirus which coexists as four genetically and immunologically distinct serotypes (DENV1-4). In secondary infection with a heterologous DENV serotype, prior anti-DENV immunity is believed to contribute to severe disease through antibody dependent enhancement (ADE), a process by which non-neutralizing DENV-specific antibodies facilitate viral entry via Fc gamma receptor (FcγR)-mediated phagocytosis. While the concept of ADE has been a cornerstone of DENV-immunopathogenesis for nearly 4 decades, questions remain regarding both the cell-intrinsic response to ADE, as well as the cellular processes and signaling pathways required for ADE. Addressing these questions has been challenging due to necessity of differentiating infected cells from bystander (uninfected) cells in heterogeneous culture. To fill this knowledge gap, we applied a scRNAseq approach to quantifying host cell and DENV transcripts in human monocyte-derived macrophages to delineate the transcriptional profiles of DENV-infected cells in different conditions of viral entry. This analysis revealed that cells infected in ADE conditions exhibited a gene expression signature consistent with suppressed interferon signaling, attenuated inflammatory chemokine transcription, and altered metabolic state compared to those infected by conventional receptor mediated DENV entry. This profile suggests that ADE fundamentally alters the permissiveness of cells for DENV infection. Moreover, correlation analysis demonstrated that these changes are independent of cellular viral RNA content, indicating that the observed changes are reflective of cell-intrinsic responses and not simply a function of per-cell viral burden. Leveraging these observations we have identified conserved cellular signaling intermediates – including Syk and SHP-1 – that we posit are critical mediators of cell-intrinsic ADE. This work contributes to our understanding of ADE as a mechanistic driver of DENV pathogenesis and offers insight into potential targets for therapeutic intervention.</w:t>
      </w:r>
    </w:p>
    <w:p w14:paraId="72C02D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25-A-1936-ASTMH</w:t>
      </w:r>
    </w:p>
    <w:p w14:paraId="51A2D3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6E9E6B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Blood RNA transcripts for diagnosing and predicting the outcomes of febrile illnesses in low- and middle-income countries</w:t>
      </w:r>
    </w:p>
    <w:p w14:paraId="4E9408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Febrile illnesses comprise 3-36% of primary care visits in low- and middle-income countries (LMICs). Early symptoms are non-specific, and healthcare workers cannot identify who will develop severe disease. Thus, patients are inappropriately triaged and unnecessarily treated with antibiotics, increasing antibiotic resistance. Blood RNA signatures have the potential to identify patients requiring higher level care and to reduce antibiotic misuse. Here, we conducted a scoping review using EMBASE and Medline </w:t>
      </w:r>
      <w:r w:rsidRPr="00FE5D1C">
        <w:rPr>
          <w:rFonts w:ascii="Calibri" w:eastAsia="Times New Roman" w:hAnsi="Calibri" w:cs="Calibri"/>
          <w:b/>
          <w:bCs/>
          <w:color w:val="000000"/>
          <w:kern w:val="0"/>
          <w:sz w:val="22"/>
          <w:szCs w:val="22"/>
          <w14:ligatures w14:val="none"/>
        </w:rPr>
        <w:t>to identify original blood RNA signatures for diagnosing and predicting the outcomes of febrile illnesses</w:t>
      </w:r>
      <w:r w:rsidRPr="00FE5D1C">
        <w:rPr>
          <w:rFonts w:ascii="Calibri" w:eastAsia="Times New Roman" w:hAnsi="Calibri" w:cs="Calibri"/>
          <w:color w:val="000000"/>
          <w:kern w:val="0"/>
          <w:sz w:val="22"/>
          <w:szCs w:val="22"/>
          <w14:ligatures w14:val="none"/>
        </w:rPr>
        <w:t>, with an emphasis on studies that included LMICs. We identified 286 original RNA signatures, only 119 included patients from LMICs. China (n=58) was the most common middle-income country; most signatures were for sepsis (n=26). The most common low-income country was Malawi (n=7). The majority of LMIC signatures were for tuberculosis (n=39), sepsis (n=37) and viral infections (n=32), including dengue (n=10). The only bacterial infections were melioidosis (n=1), pneumococcal meningitis (n=1) and enteric fever (n=2). Most studies were exclusively from adults (n=68). The most common RNAs (n=10) were haptoglobin and myeloperoxidase. Haptoglobin was associated with dengue, tuberculosis, enteric fever, COVID-19 and sepsis, while myeloperoxidase was not included in COVID-19 signatures. The most common RNA in tuberculosis signatures was SERPING1 (n=6), which codes for C1 inhibitor and regulates the complement cascade. The most common RNA in sepsis signatures were LCK (n=5), a protein tyrosine kinase involved in T cell receptor signalling. Most signatures were validated (n=62), with areas under the receiver operating characteristic curves of 0.51-0.99. Blood RNA signatures hold the potential to revolutionize clinical decision making, reduce antibiotic resistance and improve outcomes. Currently, LMICs are poorly represented in RNA biomarker studies even though they could benefit greatly from new RNA diagnostics. Including more patients from LMICs could help to create robust and accurate febrile illness signatures.</w:t>
      </w:r>
    </w:p>
    <w:p w14:paraId="20040C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25-A-1937-ASTMH</w:t>
      </w:r>
    </w:p>
    <w:p w14:paraId="566AA5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545A1C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Antiplasmodial Activity of probiotic bacterium Enterococcus lactis isolated from fulani fermented milk in Plasmodium berghei ANKA infected BALBc mice.</w:t>
      </w:r>
    </w:p>
    <w:p w14:paraId="1FFE47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Malaria remains one of the most devastating diseases worldwide, causing around 630,000 deaths annually. The increasing resistance to drugs and vectors, along with the limited efficacy of vaccines, calls for alternative therapies. This study assesses the in vivo antimalarial activity of probiotic bacterium Enterococcus lactis isolated from fulani fermented milk in BALB/c mice infected with </w:t>
      </w:r>
      <w:r w:rsidRPr="00FE5D1C">
        <w:rPr>
          <w:rFonts w:ascii="Calibri" w:eastAsia="Times New Roman" w:hAnsi="Calibri" w:cs="Calibri"/>
          <w:i/>
          <w:iCs/>
          <w:color w:val="000000"/>
          <w:kern w:val="0"/>
          <w:sz w:val="22"/>
          <w:szCs w:val="22"/>
          <w14:ligatures w14:val="none"/>
        </w:rPr>
        <w:t>Plasmodium berghei</w:t>
      </w:r>
      <w:r w:rsidRPr="00FE5D1C">
        <w:rPr>
          <w:rFonts w:ascii="Calibri" w:eastAsia="Times New Roman" w:hAnsi="Calibri" w:cs="Calibri"/>
          <w:color w:val="000000"/>
          <w:kern w:val="0"/>
          <w:sz w:val="22"/>
          <w:szCs w:val="22"/>
          <w14:ligatures w14:val="none"/>
        </w:rPr>
        <w:t> ANKA.</w:t>
      </w:r>
      <w:r w:rsidRPr="00FE5D1C">
        <w:rPr>
          <w:rFonts w:ascii="Calibri" w:eastAsia="Times New Roman" w:hAnsi="Calibri" w:cs="Calibri"/>
          <w:b/>
          <w:bCs/>
          <w:color w:val="000000"/>
          <w:kern w:val="0"/>
          <w:sz w:val="22"/>
          <w:szCs w:val="22"/>
          <w14:ligatures w14:val="none"/>
        </w:rPr>
        <w:t> Methods</w:t>
      </w:r>
      <w:r w:rsidRPr="00FE5D1C">
        <w:rPr>
          <w:rFonts w:ascii="Calibri" w:eastAsia="Times New Roman" w:hAnsi="Calibri" w:cs="Calibri"/>
          <w:color w:val="000000"/>
          <w:kern w:val="0"/>
          <w:sz w:val="22"/>
          <w:szCs w:val="22"/>
          <w14:ligatures w14:val="none"/>
        </w:rPr>
        <w:t>: Enterococcus lactis was isolated from fulani fermented milk and identified through 16S rRNA gene sequencing. </w:t>
      </w:r>
      <w:r w:rsidRPr="00FE5D1C">
        <w:rPr>
          <w:rFonts w:ascii="Calibri" w:eastAsia="Times New Roman" w:hAnsi="Calibri" w:cs="Calibri"/>
          <w:i/>
          <w:iCs/>
          <w:color w:val="000000"/>
          <w:kern w:val="0"/>
          <w:sz w:val="22"/>
          <w:szCs w:val="22"/>
          <w14:ligatures w14:val="none"/>
        </w:rPr>
        <w:t>P. berghei</w:t>
      </w:r>
      <w:r w:rsidRPr="00FE5D1C">
        <w:rPr>
          <w:rFonts w:ascii="Calibri" w:eastAsia="Times New Roman" w:hAnsi="Calibri" w:cs="Calibri"/>
          <w:color w:val="000000"/>
          <w:kern w:val="0"/>
          <w:sz w:val="22"/>
          <w:szCs w:val="22"/>
          <w14:ligatures w14:val="none"/>
        </w:rPr>
        <w:t> was inoculated intraperitoneally into mice. Infected mice were divided into six groups and treated with Enterococcus lactis 72 hours post-infection for 7 days. Parameters assessed included gut lactic acid bacteria (LAB) composition, parasitemia progression, survival rates, and cytokines (IL-1β, TNF-α, IFN-γ, IL-6), antioxidants (GSH, CAT, SOD), pro-oxidants (MDA, NO), and immunoglobulins (IgM, IgG3) 14 days post-infection.</w:t>
      </w:r>
      <w:r w:rsidRPr="00FE5D1C">
        <w:rPr>
          <w:rFonts w:ascii="Calibri" w:eastAsia="Times New Roman" w:hAnsi="Calibri" w:cs="Calibri"/>
          <w:b/>
          <w:bCs/>
          <w:color w:val="000000"/>
          <w:kern w:val="0"/>
          <w:sz w:val="22"/>
          <w:szCs w:val="22"/>
          <w14:ligatures w14:val="none"/>
        </w:rPr>
        <w:t> Results</w:t>
      </w:r>
      <w:r w:rsidRPr="00FE5D1C">
        <w:rPr>
          <w:rFonts w:ascii="Calibri" w:eastAsia="Times New Roman" w:hAnsi="Calibri" w:cs="Calibri"/>
          <w:color w:val="000000"/>
          <w:kern w:val="0"/>
          <w:sz w:val="22"/>
          <w:szCs w:val="22"/>
          <w14:ligatures w14:val="none"/>
        </w:rPr>
        <w:t>: Lactic acid bacteria were isolated from fulani fermented milk, and one was chosen according to its probiotic potential and identified as a strain of Enterococcus lactis. The parasite growth inhibition was observed to increase with increasing doses of the probiotic Enterococcus lactis with maximum suppression being 100 % at MF9 on day 14. Also, the probiotic bacterium significantly prevented leukocytopenia(p&lt;0.05), thrombocytosis(p&lt;0.05), and anaemia (p&lt;0.05) in treated mice compared to untreated mice. It also inhibited proinflammatory cytokines (IL-1β, TNF-α, IFN-γ, IL-6; P &lt; 0.01) while increasing IL-10 levels (P &lt; 0.01). Additionally, it enhanced antioxidant levels (GSH, CAT, SOD) and reduced pro-oxidants (MDA, NO). IgM and IgG3 levels were significantly elevated in treated groups (P &lt; 0.05).</w:t>
      </w:r>
      <w:r w:rsidRPr="00FE5D1C">
        <w:rPr>
          <w:rFonts w:ascii="Calibri" w:eastAsia="Times New Roman" w:hAnsi="Calibri" w:cs="Calibri"/>
          <w:b/>
          <w:bCs/>
          <w:color w:val="000000"/>
          <w:kern w:val="0"/>
          <w:sz w:val="22"/>
          <w:szCs w:val="22"/>
          <w14:ligatures w14:val="none"/>
        </w:rPr>
        <w:t> Conclusion</w:t>
      </w:r>
      <w:r w:rsidRPr="00FE5D1C">
        <w:rPr>
          <w:rFonts w:ascii="Calibri" w:eastAsia="Times New Roman" w:hAnsi="Calibri" w:cs="Calibri"/>
          <w:color w:val="000000"/>
          <w:kern w:val="0"/>
          <w:sz w:val="22"/>
          <w:szCs w:val="22"/>
          <w14:ligatures w14:val="none"/>
        </w:rPr>
        <w:t>: Enterococcus lactis isolated from fulani fermented milk exhibits significant antimalarial activity by inhibiting </w:t>
      </w:r>
      <w:r w:rsidRPr="00FE5D1C">
        <w:rPr>
          <w:rFonts w:ascii="Calibri" w:eastAsia="Times New Roman" w:hAnsi="Calibri" w:cs="Calibri"/>
          <w:i/>
          <w:iCs/>
          <w:color w:val="000000"/>
          <w:kern w:val="0"/>
          <w:sz w:val="22"/>
          <w:szCs w:val="22"/>
          <w14:ligatures w14:val="none"/>
        </w:rPr>
        <w:t>P. berghei</w:t>
      </w:r>
      <w:r w:rsidRPr="00FE5D1C">
        <w:rPr>
          <w:rFonts w:ascii="Calibri" w:eastAsia="Times New Roman" w:hAnsi="Calibri" w:cs="Calibri"/>
          <w:color w:val="000000"/>
          <w:kern w:val="0"/>
          <w:sz w:val="22"/>
          <w:szCs w:val="22"/>
          <w14:ligatures w14:val="none"/>
        </w:rPr>
        <w:t> growth, modulating immune responses, and enhancing antioxidant defenses. This strain holds potential as an alternative therapeutic for malaria.</w:t>
      </w:r>
    </w:p>
    <w:p w14:paraId="790C59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25-A-1938-ASTMH</w:t>
      </w:r>
    </w:p>
    <w:p w14:paraId="69C7A77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Planetary Health including Climate Change</w:t>
      </w:r>
    </w:p>
    <w:p w14:paraId="2B7140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Adolescent Psychological Health, Temporal Discounting, and Climate Distress under Increased Flood Exposure: A Mixed-Methods Cross-Sectional Study in Bangladesh</w:t>
      </w:r>
    </w:p>
    <w:p w14:paraId="32D1A7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Chronic exposure to climate stress disproportionately impacts low-income households, yet the psychological health and climate distress levels of climate-vulnerable adolescents in low-resource settings has rarely been explored. In this cross-sectional, mixed-methods study in Bangladesh, we investigated the association between increased flood exposure and adolescent psychological health, climate distress, and temporal discounting (long-term planning capacity). We surveyed 1200 low-income adolescents aged 15-18 in Dhaka, Bangladesh, a low flood-risk location, and Barisal, Bangladesh, a high flood-risk location. We also conducted 16 focus group discussions (FGDs) among adolescents across both regions. We found that adolescents under higher flood exposure were 1.9 times more likely to experience anxiety symptoms (95% CI 1.4–2.7, p &lt; 0.05) and 3.5 times more likely to experience depressive symptoms (95% CI 1.9–6.4, p &lt; 0.05) relative to those under low flood exposure. Our climate distress survey indicated that intense fear about the personal impacts of climate change was pervasive among all adolescents, but significantly higher among those under high flood exposure. While we did not observe significant differences in temporal discounting patterns among adolescents in high- and low- flood exposure regions, our qualitative results suggested pathways in which cognitive overload and emotional stress before, during, and after extreme floods can contribute to adolescent preferences against long-term climate adaptation planning. While climate change-associated anxiety in wealthy communities could play a role in motivating climate action among adolescents, our findings suggest climate distress among low-resourced, frontline youth may magnify the existing strain of living in poverty with few options for escape. This presentation will provide the first evidence of the relationship between hazard exposure and adolescent psychological health in a low-income nation, as well as a novel examination of the role of adolescent mental health outcomes in their future planning preferences around climate resilience. </w:t>
      </w:r>
    </w:p>
    <w:p w14:paraId="30228E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25-A-1939-ASTMH</w:t>
      </w:r>
    </w:p>
    <w:p w14:paraId="38B7FE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Mosquitoes - Biology and Genetics of Insecticide Resistance</w:t>
      </w:r>
    </w:p>
    <w:p w14:paraId="05AA3D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Trends in insecticide resistance among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s.l. mosquitoes inOndo and Anambra states in southern Nigeria</w:t>
      </w:r>
    </w:p>
    <w:p w14:paraId="6F1587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resistance in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threatens malaria control in Nigeria. Insecticide treated net (ITN) campaigns using alpha-cypermethrin and PBO were conducted in Ondo (Dec 2021) and Anambra (Aug 2022). To evaluate the entomological and epidemiological impacts of the ITN campaign, trends in insecticide resistance of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s.l. to various insecticides were assessed at baseline (2022) and 18 months post-campaign. CDC bottle bioassays were performed on adult mosquitoes reared from larval collections with mortality rates recorded after exposure to insecticides including pyrethroids (alpha- cypermethrin, deltamethrin, permethrin), carbamates (bendiocarb, propoxur), organophosphates (malathion), pyrrole (chlorfenapyr), and organochlorine (DDT). Metabolic resistance was tested with synergists, and intensity assays measured pyrethroid resistance levels. The result showed that alpha-cypermethrin remained highly effective (&gt;97% mortality) except in Ondo’s humid forest sites, where baseline resistance was reversed with PBO. Deltamethrin resistance was present in Ondo at baseline and worsened in Anambra by 2024, with mortality dropping from 97.5% to 86% and 89% in two northern sites. Permethrin showed the highest resistance across all sites, with low mortality persisting across the sites at baseline and at post-campaign. Pre-exposure to PBO restored to susceptibility with permethrin, but full restoration was not achieved in Ondo’s humid forest sites (2023) and Anambra’s northern sites (2024), suggesting additional resistance mechanisms beyond oxidases.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s.l. remained fully susceptible to bendiocarb, propoxur, and chlorfenapyr. Growing resistance to some pyrethroids emphasizes the need for ongoing monitoring and dual-insecticide ITNs to sustain vector control, especially where resistance persists</w:t>
      </w:r>
    </w:p>
    <w:p w14:paraId="27FC4F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25-A-1940-ASTMH</w:t>
      </w:r>
    </w:p>
    <w:p w14:paraId="158B9A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27A43A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Anthropometric indices of undernutrition as predictors of mortality in Ugandan children with hypoxemic pneumonia</w:t>
      </w:r>
    </w:p>
    <w:p w14:paraId="627581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Undernutrition is a major contributor to child mortality from pneumonia. We examined anthropometric parameters and their association with mortality among participants in a cluster-randomized trial in Uganda. Inclusion criteria were: age 6 months to 5 years; parental report of cough or difficulty breathing; peripheral oxygen saturation &lt; 90%; and hospital admission. Exclusion criteria were: known congenital cardiac disease, hypoxemic ischemic encephalopathy; and HIV seropositivity. WHO growth charts were used to compute z-scores for weight-for-age (wfaz), length/height-for-age (lfaz), weight-for-length/height (wflz), and mid-upper arm circumference (MUAC)-for-age (mfaz). Disease severity was assessed using a composite clinical score, the Respiratory Index of Severity in Children (RISC). We included 1155 patients (median age 18 months, 43% female) from 20 health facilities in Uganda. The median RISC score was 2 (IQR 2-4). There were 51 deaths (4.4%). Data for weight, length/height, and MUAC were missing in 0, 2.5%, and 2.3% of patients, respectively. Severe wasting, stunting, and underweight were present in 131/1089 (12%), 331/1126 (30%), and 112/1155 (9.7%) of patients, respectively. Growth z-scores were inversely correlated with disease severity (RISC, p&lt;0.0001 for all comparisons): wfaz (Kendall’s tau-b (τ) = -0.42); lfaz (τ = -0.12); wflz (τ = -0.22); mfaz (τ = -0.34); and MUAC (τ = -0.28). The relative risk of fatal outcome was 2.0 (95%CI 1.0-4.0), 0.75 (95%CI 0.39-1.5), 2.7 (95%CI 1.4-5.2), 2.8 (95%CI 1.3-5.9), and 3.5 (95%CI 1.7-7.4) among patients with severe underweight, severe stunting, severe wasting, mfaz&lt; -3SD, and MUAC&lt;11.5cm, respectively. As predictors of mortality, the area under the receiver operating characteristic curve was similar for MUAC and mfaz (0.53 vs 0.54, p=0.37). Using clinically relevant cutoffs, MUAC&lt;11.5cm was equally sensitive (14% vs 14%) and statistically significantly more specific (96% vs 95%, p=0.0088) than mfaz&lt; -3SD. MUAC&lt;11.5 cm outperformed other anthropometric indices as a predictor of mortality in children with hypoxemic pneumonia in a low-income setting.</w:t>
      </w:r>
    </w:p>
    <w:p w14:paraId="50FA7D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25-A-1941-ASTMH</w:t>
      </w:r>
    </w:p>
    <w:p w14:paraId="34A73E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Schistosomiasis and Other Trematodes – Epidemiology and Control</w:t>
      </w:r>
    </w:p>
    <w:p w14:paraId="0F15DB25" w14:textId="71721003"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Sexual and reproductive health among men with genital schistosomiasis in southern Tanzania</w:t>
      </w:r>
    </w:p>
    <w:p w14:paraId="5484CC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Male genital schistosomiasis (MGS) is a condition that has received limited attention despite its significant health implications. The disease is suggested to cause a variety of schistosomiasis-induced sexual and reproductive health problems among males. This study aims to investigate the prevalence of MGS and its potential impact on sexual and reproductive health among adult males in the Mtama district. A community-based cross-sectional study utilizing quantitative methods was carried out among males aged 18 years and older in selected households. A pair of semen and urine samples was collected from each participant to establish the prevalence of MGS and urogenital schistosomiasis, respectively. Semen quality was macroscopically and microscopically assessed. Urine samples were analyzed using the filtration technique. A structured questionnaire interview was administered to gather socio-demographic data, sexual and reproductive health information. Descriptive statistics were used to provide a summary of each variable. The prevalence (proportions) was presented in percentages and their respective 95% confidence intervals. A total of 223 adult males participated in this study. The prevalence of MGS and urogenital schistosomiasis were 5.8% (95% CI; 3.1%-9.0%) and 22.4% (95% CI; 16.6%-27.8%), respectively. The prevalence of Schistosoma haematobium eggs in semen was found high among young adults 12/129 (9.3%, 95% CI; 4.9%-15.7%), who never attended to school 6/35 (17.1%, 95% CI; 6.6%-33.6%), petty traders 4/26 (15.4%, 95% CI; 4.4%-34.9%), never impregnated woman 9/70 (12.9%, 95% CI: 6.6%-33.6%), experienced pain during ejaculation 4/17 (23.5%, 95% CI; 4.9%-15.7%), and with brownish semen 2/5 (40%, 95% CI; 4.9%-15.7%). According to the findings, MGS, like urogenital schistosomiasis, is prevalent in southern Tanzania. The disease is prevalent among males with some reproductive and sexual issues. This highlights the need for more research to investigate the association of MGS and male reproductive and sexual health for improved health services among males.</w:t>
      </w:r>
    </w:p>
    <w:p w14:paraId="05AE84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25-A-1942-ASTMH</w:t>
      </w:r>
    </w:p>
    <w:p w14:paraId="130F1B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4590D5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Solar powered compressed oxygen cylinder filling to address medical oxygen insecurity in Uganda</w:t>
      </w:r>
    </w:p>
    <w:p w14:paraId="606C82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Oxygen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is an essential supportive treatment for pneumonia; however,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insecurity is widespread across health facilities in low-income settings. Here we describe the implementation of a solar-powered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cylinder filling system established in rural Uganda. The system, named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Cube, consisted of: 8 x 440W solar panel; charge controller; 48V, 100 Ah lithium-ion battery; DC to AC current inverter; 10L/min, 500W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concentrator; 4 x 100W, 2.5 L/min oil-free compressors; and a high pressure manifold. System components, together with and electronic controls and monitoring, were sourced and assembled in Pittsburg, PA (Leanmed) and subsequently shipped to Uganda. Final installation of solar panels and wiring was performed by a local Ugandan electrician (AFHIA, Kambuga, Uganda). Standard oxygen cylinders used within Ugandan health facilities (6,800L compressed ideal gas volume) were purchased locally. The project was implemented by AFHIA and Oxygen CoLab, delivered by Brink and DT Global, and funded by the Foreign Commonwealth and Development Office (FCDO, UK). As proof-of-concept, we tested the system by filling 17 standard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cylinders. The median time required to fill one cylinder was 19.9 hours (range 16.7 to 25.2). In practice, each cylinder was filled over a median of 4 days (range 3 to 6), allowing for operation within daylight hours. Solar power drawn from the panels varied throughout the daylight hours and with load (maximum 1660W). The median energy used to fill a standard cylinder was 20 kWh (IQR 19-22). The median oxygen purity of the cylinders was 96.5% (IQR 96.4-97.6). In this pre-clinical study, we have shown proof-of-concept that compressed oxygen cylinders can be filled using freely available inputs (sun and air). Opportunities for improvements to the system include increased energy storage (batteries) for night operation and/or increased compressor capacity (rate limiting). Future directions of this work will include seeking regulatory approval to deliver compressed O</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 generated with solar energy to patients in a supervised medical setting.</w:t>
      </w:r>
    </w:p>
    <w:p w14:paraId="3DDCFD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25-A-1943-ASTMH</w:t>
      </w:r>
    </w:p>
    <w:p w14:paraId="61E511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Global Health - Security/Emerging Infection Preparedness, Surveillance and Response(s)</w:t>
      </w:r>
    </w:p>
    <w:p w14:paraId="2BE5C7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Human African Trypanosomiasis in Nigeria: The Challenges of Diagnosis and Treatment Inequality</w:t>
      </w:r>
    </w:p>
    <w:p w14:paraId="293330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 African Trypanosomiasis (HAT) is an NTD targeted for elimination (zero cases) by 2030. Endemic only to West and Central Africa, gHAT contributes 97% of global HAT cases. Control efforts have led to a significant prevalence reduction in many endemic countries, but surveillance is often restricted to known HAT foci. Hence, potential transmission foci are ignored, as clearly observed in Nigeria. WHO records indicate that HAT has not been reported in Nigeria since 2012 except for one case diagnosed in UK in a Nigerian visitor. But many cases have been published by researchers in Nigeria, without adequate efforts for further investigation or surveillance by relevant health authorities. Here we present a case of a 17-year-old boy with recurrent seizures for over 4years, and with increasing seizure frequency despite 4yrs of epilepsy treatment. MRI scans show multiple brain cysts, and surgical intervention was being planned to remove the cysts. Family history indicated early childhood chronic fever with marked leukocytosis (up to 40000 cells/µl) in all 4 children, leading to the death of the 1yr old 3</w:t>
      </w:r>
      <w:r w:rsidRPr="00FE5D1C">
        <w:rPr>
          <w:rFonts w:ascii="Calibri" w:eastAsia="Times New Roman" w:hAnsi="Calibri" w:cs="Calibri"/>
          <w:color w:val="000000"/>
          <w:kern w:val="0"/>
          <w:sz w:val="22"/>
          <w:szCs w:val="22"/>
          <w:vertAlign w:val="superscript"/>
          <w14:ligatures w14:val="none"/>
        </w:rPr>
        <w:t>rd</w:t>
      </w:r>
      <w:r w:rsidRPr="00FE5D1C">
        <w:rPr>
          <w:rFonts w:ascii="Calibri" w:eastAsia="Times New Roman" w:hAnsi="Calibri" w:cs="Calibri"/>
          <w:color w:val="000000"/>
          <w:kern w:val="0"/>
          <w:sz w:val="22"/>
          <w:szCs w:val="22"/>
          <w14:ligatures w14:val="none"/>
        </w:rPr>
        <w:t> child. Investigations by researchers showed the patient and his family tested positive for HAT ELISA, IFAT, CATT, and </w:t>
      </w:r>
      <w:r w:rsidRPr="00FE5D1C">
        <w:rPr>
          <w:rFonts w:ascii="Calibri" w:eastAsia="Times New Roman" w:hAnsi="Calibri" w:cs="Calibri"/>
          <w:i/>
          <w:iCs/>
          <w:color w:val="000000"/>
          <w:kern w:val="0"/>
          <w:sz w:val="22"/>
          <w:szCs w:val="22"/>
          <w14:ligatures w14:val="none"/>
        </w:rPr>
        <w:t>T. brucei</w:t>
      </w:r>
      <w:r w:rsidRPr="00FE5D1C">
        <w:rPr>
          <w:rFonts w:ascii="Calibri" w:eastAsia="Times New Roman" w:hAnsi="Calibri" w:cs="Calibri"/>
          <w:color w:val="000000"/>
          <w:kern w:val="0"/>
          <w:sz w:val="22"/>
          <w:szCs w:val="22"/>
          <w14:ligatures w14:val="none"/>
        </w:rPr>
        <w:t> species-specific PCR. Samples were sequenced at the trans-ITS region, and maps to </w:t>
      </w:r>
      <w:r w:rsidRPr="00FE5D1C">
        <w:rPr>
          <w:rFonts w:ascii="Calibri" w:eastAsia="Times New Roman" w:hAnsi="Calibri" w:cs="Calibri"/>
          <w:i/>
          <w:iCs/>
          <w:color w:val="000000"/>
          <w:kern w:val="0"/>
          <w:sz w:val="22"/>
          <w:szCs w:val="22"/>
          <w14:ligatures w14:val="none"/>
        </w:rPr>
        <w:t>T. brucei spp</w:t>
      </w:r>
      <w:r w:rsidRPr="00FE5D1C">
        <w:rPr>
          <w:rFonts w:ascii="Calibri" w:eastAsia="Times New Roman" w:hAnsi="Calibri" w:cs="Calibri"/>
          <w:color w:val="000000"/>
          <w:kern w:val="0"/>
          <w:sz w:val="22"/>
          <w:szCs w:val="22"/>
          <w14:ligatures w14:val="none"/>
        </w:rPr>
        <w:t>. CSF cell count was 435 cells/µl. However, patient samples shipped to WHO HAT reference lab in Belgium (after 2 years of bureaucratic bottlenecks) tested negative on trypanolysis. Hence, WHO decided that no further HAT testing or treatment would be done, thus preventing any proactive intervention. Some patients have been lost in Nigeria due to inaccessibility to treatment despite confirmatory HAT diagnosis by microscopy. This report illustrates the challenges of HAT diagnosis/misdiagnosis, inadequate treatment access, and the systemic barriers preventing proper HAT detection and management in Nigeria. Reliance on outdated data/tests for HAT perpetuates treatment inaccessibility and puts countless lives at risk in Nigeria.</w:t>
      </w:r>
    </w:p>
    <w:p w14:paraId="2BD6A0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25-A-1944-ASTMH</w:t>
      </w:r>
    </w:p>
    <w:p w14:paraId="63E441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46A342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Prevalence of Schistosomiasis at two referral hospitals Phebe and C. B. Dumbar After 5 rounds of Mass Drug Administration with Praziquantel in Bong County: A desk review of cases from Out-Patient Departments 2020-2024</w:t>
      </w:r>
    </w:p>
    <w:p w14:paraId="003101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Schistosomiasis (SCH) is among the neglected tropical diseases (NTDs) which remain a serious public health problem. It was recommended by the World Health Assembly Resolution 54.19 that all member states should treat at least 75% of all school aged children (SAC) regularly who are at risk of SCH through mass administration (MDA) using praziquantel (PZQ). Globally there are about 240 million people who are affected by schistosomiasis worldwide. Liberia is one of the countries in Sub-Saharan Africa that is endemic of SCH with the prevalence ≥50%. There are 13 counties that are endemic of SCH in Liberia out of the 15 counties except for Grand Kru and Rivercess in the Southeastern region. Bong, Lofa, Maryland and Nimba counties have high prevalence of SCH &gt;50% that requires annual MDA with PZQ for both SAC and adults. Bong county has one of the highest prevalence of SCH which is about 64.35% (LBR SCH Mapping 2013). This study is a programmatic evaluation that was conducted in two of the referral hospitals in Bong County (Phebe and C.B. Dumbar) OPD on patients who were screened and examined through the laboratory for S. haematobium and S. masoni from 2020-2024. The aim of this study was to determine the effectiveness of PZQ after five rounds of MDA and to determine the prevalence of SCH in the two-referral hospital after five rounds of MDA with PZQ among the population. The methodology used was to reviewed patients records from 5-14 years and 15 years and above for patients who were diagnosed with SCH after a round of MDA each year. A total of 1,384 patients were positive of S. haematobium from 2020 -2024 out of 3,278 pts who records were reviewed for urinalysis test at the laboratory which constitute 42% while S. Masoni using Kato katz test was 264 out of the same population of 3,278 which constitute 8% prevalence at Phebe. A total of 204 patients. were tested for S. Haematobium out of the total population of 780 pts which constitute 26% prevalence while S. Masoni was 75 patients positive out of 780 patients which constitute 10% at C.B. Dumbar. This study informed </w:t>
      </w:r>
      <w:r w:rsidRPr="00FE5D1C">
        <w:rPr>
          <w:rFonts w:ascii="Calibri" w:eastAsia="Times New Roman" w:hAnsi="Calibri" w:cs="Calibri"/>
          <w:color w:val="000000"/>
          <w:kern w:val="0"/>
          <w:sz w:val="22"/>
          <w:szCs w:val="22"/>
          <w14:ligatures w14:val="none"/>
        </w:rPr>
        <w:lastRenderedPageBreak/>
        <w:t>the program about the decision to take in the control and elimination of schistosomiasis as a public health problem in Liberia.</w:t>
      </w:r>
    </w:p>
    <w:p w14:paraId="730B59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25-A-1945-ASTMH</w:t>
      </w:r>
    </w:p>
    <w:p w14:paraId="157A8F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19D8FB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Comprehensive profiling of </w:t>
      </w:r>
      <w:r w:rsidRPr="00FE5D1C">
        <w:rPr>
          <w:rFonts w:ascii="Calibri" w:eastAsia="Times New Roman" w:hAnsi="Calibri" w:cs="Calibri"/>
          <w:i/>
          <w:iCs/>
          <w:color w:val="000000"/>
          <w:kern w:val="0"/>
          <w:sz w:val="22"/>
          <w:szCs w:val="22"/>
          <w14:ligatures w14:val="none"/>
        </w:rPr>
        <w:t>ex vivo</w:t>
      </w:r>
      <w:r w:rsidRPr="00FE5D1C">
        <w:rPr>
          <w:rFonts w:ascii="Calibri" w:eastAsia="Times New Roman" w:hAnsi="Calibri" w:cs="Calibri"/>
          <w:color w:val="000000"/>
          <w:kern w:val="0"/>
          <w:sz w:val="22"/>
          <w:szCs w:val="22"/>
          <w14:ligatures w14:val="none"/>
        </w:rPr>
        <w:t> drug susceptibility of clinical isolates of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in Southeast Asia</w:t>
      </w:r>
    </w:p>
    <w:p w14:paraId="3429DF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vast majority of malaria cases in Southeast Asia are due to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With differences in treatment guidelines, increasing use of primaquine and radical cure therapy, and sporadic reports of chloroquine-resistance, on-going surveillance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drug susceptibility is critical to ensure that treatments remain effective. Here we present a comprehensive drug susceptibility profiling of 449 clinical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isolates collected in Southeast Asia against a panel of 14 anti-malarial drugs. Fresh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clinical isolates (N = 997) from six provinces in Cambodia and Thailand from 2019 - 2023 were evaluated using an </w:t>
      </w:r>
      <w:r w:rsidRPr="00FE5D1C">
        <w:rPr>
          <w:rFonts w:ascii="Calibri" w:eastAsia="Times New Roman" w:hAnsi="Calibri" w:cs="Calibri"/>
          <w:i/>
          <w:iCs/>
          <w:color w:val="000000"/>
          <w:kern w:val="0"/>
          <w:sz w:val="22"/>
          <w:szCs w:val="22"/>
          <w14:ligatures w14:val="none"/>
        </w:rPr>
        <w:t>ex vivo</w:t>
      </w:r>
      <w:r w:rsidRPr="00FE5D1C">
        <w:rPr>
          <w:rFonts w:ascii="Calibri" w:eastAsia="Times New Roman" w:hAnsi="Calibri" w:cs="Calibri"/>
          <w:color w:val="000000"/>
          <w:kern w:val="0"/>
          <w:sz w:val="22"/>
          <w:szCs w:val="22"/>
          <w14:ligatures w14:val="none"/>
        </w:rPr>
        <w:t> culture growth inhibition assay against a panel of 14 antimalarial drugs: dihydroartemisinin (DHA), artemisinin (AS), mefloquine (MQ), quinine (QN), chloroquine (CQ), doxycycline (DOX), proguanil (PG), atovaquone (ATQ), lumefantrine (LUM), cycloguanil (CYC), tafenoquine (TQ), primaquine (PQ), piperaquine (PPQ) and pyronaridine (PND). Drug susceptibility data was successfully obtained for 449 isolates. We found substantial regional variation in drug susceptibility patterns and observed significant decreases in susceptibility over time for several anti-malarial drugs including DHA, AS, QN, LUM, DOX, CYC, PQ and PND, although the clinical significance of these findings remains unclear. Among first line agents, we found no evidence of decreased CQ-susceptibility, indicating that it remains an effective treatment. We observed that the drug susceptibility data shows correlations within drugs of the same drug class, suggesting shared mechanisms of action, and that the isolates cluster into several distinct drug susceptibility profiles, providing a basis for future genetic studies on molecular markers of drug resistance. This study represents one of the largest systematic efforts to collect </w:t>
      </w:r>
      <w:r w:rsidRPr="00FE5D1C">
        <w:rPr>
          <w:rFonts w:ascii="Calibri" w:eastAsia="Times New Roman" w:hAnsi="Calibri" w:cs="Calibri"/>
          <w:i/>
          <w:iCs/>
          <w:color w:val="000000"/>
          <w:kern w:val="0"/>
          <w:sz w:val="22"/>
          <w:szCs w:val="22"/>
          <w14:ligatures w14:val="none"/>
        </w:rPr>
        <w:t>ex vivo</w:t>
      </w:r>
      <w:r w:rsidRPr="00FE5D1C">
        <w:rPr>
          <w:rFonts w:ascii="Calibri" w:eastAsia="Times New Roman" w:hAnsi="Calibri" w:cs="Calibri"/>
          <w:color w:val="000000"/>
          <w:kern w:val="0"/>
          <w:sz w:val="22"/>
          <w:szCs w:val="22"/>
          <w14:ligatures w14:val="none"/>
        </w:rPr>
        <w:t> drug susceptibility data from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isolates in Southeast Asia. Our findings demonstrate the feasibility of carrying out systematic monitoring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drug susceptibility and highlight the importance of continued monitoring in the region.</w:t>
      </w:r>
    </w:p>
    <w:p w14:paraId="456FCA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25-A-1946-ASTMH</w:t>
      </w:r>
    </w:p>
    <w:p w14:paraId="6CB0CA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5556A6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Barriers to Essential Programme on Immunisation Coverage and Implications for Perennial Malaria Chemoprevention in Infants: Evidence from census surveys in Cameroon and Côte d'Ivoire</w:t>
      </w:r>
    </w:p>
    <w:p w14:paraId="782E7C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Malaria remains a leading cause of childhood morbidity and mortality in Cameroon and Côte d'Ivoire, particularly among infants. WHO guidelines recommend perennial malaria chemoprevention (PMC) with sulfadoxine-pyrimethamine (SP) in areas with year-round malaria transmission. The guidelines allow for PMC to be expanded to under 2s (U2s) as part of the Essential Programme on Immunisation (EPI) with flexibility on the number and timing of SP doses. However, there is limited evidence on the suitability of EPI for PMC delivery and potential barriers to EPI services that might impede PMC uptake. In June 2023, prior to PMC implementation, we conducted cross-sectional censuses in 2 districts of children &lt;36 months in Cameroon (CMR; N=3,502) and Côte d'Ivoire (CIV; N=5,392). Vaccination status, household characteristics and composition, as well as healthcare access data were collected. Measures of EPI coverage were calculated and adjusted odd ratios (aOR) were estimated with multivariable analyses to identify factors associated with poor coverage. Vaccination card possession was 50% in CMR and 75% in CIV. Valid card coverage for first-year EPI contact points for PMC (first and second pentavalent vaccines, first measles and rubella dose and vitamin A) was 10% in CMR and 30% in CIV, second-year vaccination (second measles dose, second, third and fourth vitamin A dose) coverage was ≤10% in each country. In both countries, poor first-year EPI coverage was associated with male primary caregivers (aOR CMR 3.0, CIV 1.7), non-maternal caregivers (aOR CMR 2.9, CIV 1.2, p&lt;0.05), poor ANC attendance (&lt;2 visits) (aOR CMR 1.5, CIV 3.0, p&lt;0.05), overcrowding, &gt;2 persons sleeping room (aOR CMR 1.5, CIV 1.5, p&lt;0.05), and </w:t>
      </w:r>
      <w:r w:rsidRPr="00FE5D1C">
        <w:rPr>
          <w:rFonts w:ascii="Calibri" w:eastAsia="Times New Roman" w:hAnsi="Calibri" w:cs="Calibri"/>
          <w:color w:val="000000"/>
          <w:kern w:val="0"/>
          <w:sz w:val="22"/>
          <w:szCs w:val="22"/>
          <w14:ligatures w14:val="none"/>
        </w:rPr>
        <w:lastRenderedPageBreak/>
        <w:t>non-use of ITNs (aOR CMR 1.1, CIV 1.6, p&lt;0.05), and in CIV, but not CMR, low socio-economic status (aOR 1.3, p&lt;0.05). These results highlight significant barriers to scaling up PMC on the EPI platform. To maximise the potential of PMC and reduce malaria burden of U2s, targeted interventions are crucial to improve coverage, focusing on household factors, caregivers, socio-economic disparities, and engagement between health centres and communities.</w:t>
      </w:r>
    </w:p>
    <w:p w14:paraId="2A6635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25-A-1948-ASTMH</w:t>
      </w:r>
    </w:p>
    <w:p w14:paraId="2E17E7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661E9D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Targeted Molecular Surveillance to Characterize a Multi-Plasmodium Species Outbreak - A case study in Khanh Hoa, Vietnam</w:t>
      </w:r>
    </w:p>
    <w:p w14:paraId="3F9B7A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molecular surveillance (MMS) plays a crucial role in informing malaria control strategies, particularly by providing valuable data on drug resistance and parasite population structure. These data serve as key evidence to support the National Malaria Control Program in planning actions toward malaria elimination. In Vietnam, a significant decline in malaria cases has been observed over the past ten years, accompanied by shifts in the endemic landscape. To adapt to this transition, MMS has adopted a more targeted approach, focusing on malaria hotspots and imported cases. During the 2023-2024 transmission season, an outbreak in Khanh Hoa, Vietnam presented a unique challenge with the co-circulation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malariae</w:t>
      </w:r>
      <w:r w:rsidRPr="00FE5D1C">
        <w:rPr>
          <w:rFonts w:ascii="Calibri" w:eastAsia="Times New Roman" w:hAnsi="Calibri" w:cs="Calibri"/>
          <w:color w:val="000000"/>
          <w:kern w:val="0"/>
          <w:sz w:val="22"/>
          <w:szCs w:val="22"/>
          <w14:ligatures w14:val="none"/>
        </w:rPr>
        <w:t>, adding complexity to control efforts. Samples collected from this outbreak were genotyped using the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amplicon sequencing protocol (MalariaGEN) and the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microhaplotype genotyping protocol (VivaxGEN). As with previously circulating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 Vietnam, parasites from Khanh Hoa carried the </w:t>
      </w:r>
      <w:r w:rsidRPr="00FE5D1C">
        <w:rPr>
          <w:rFonts w:ascii="Calibri" w:eastAsia="Times New Roman" w:hAnsi="Calibri" w:cs="Calibri"/>
          <w:i/>
          <w:iCs/>
          <w:color w:val="000000"/>
          <w:kern w:val="0"/>
          <w:sz w:val="22"/>
          <w:szCs w:val="22"/>
          <w14:ligatures w14:val="none"/>
        </w:rPr>
        <w:t>kelch13</w:t>
      </w:r>
      <w:r w:rsidRPr="00FE5D1C">
        <w:rPr>
          <w:rFonts w:ascii="Calibri" w:eastAsia="Times New Roman" w:hAnsi="Calibri" w:cs="Calibri"/>
          <w:color w:val="000000"/>
          <w:kern w:val="0"/>
          <w:sz w:val="22"/>
          <w:szCs w:val="22"/>
          <w14:ligatures w14:val="none"/>
        </w:rPr>
        <w:t> C580Y mutation, confirming artemisinin resistance. Notably, these parasites remained sensitive to piperaquine, likely due to drug policy changes moving away from piperaquine in first-line artemisinin combination therapies. However, resistance to other antimalarial drugs, including chloroquine, sulfadoxine, pyrimethamine, remained high. Susceptibility to drugs for which genetic markers are unavailable was supported by in vitro drug sensitivity testing. Cluster analysis based on a 101-SNP barcode revealed that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parasites from previous outbreaks in Gia Lai had spread to Khanh Hoa, contributing to the current outbreak. Similarly, diversity analysis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parasites indicated clonal expansion. Investigation of the co-circulating </w:t>
      </w:r>
      <w:r w:rsidRPr="00FE5D1C">
        <w:rPr>
          <w:rFonts w:ascii="Calibri" w:eastAsia="Times New Roman" w:hAnsi="Calibri" w:cs="Calibri"/>
          <w:i/>
          <w:iCs/>
          <w:color w:val="000000"/>
          <w:kern w:val="0"/>
          <w:sz w:val="22"/>
          <w:szCs w:val="22"/>
          <w14:ligatures w14:val="none"/>
        </w:rPr>
        <w:t>P. malariae</w:t>
      </w:r>
      <w:r w:rsidRPr="00FE5D1C">
        <w:rPr>
          <w:rFonts w:ascii="Calibri" w:eastAsia="Times New Roman" w:hAnsi="Calibri" w:cs="Calibri"/>
          <w:color w:val="000000"/>
          <w:kern w:val="0"/>
          <w:sz w:val="22"/>
          <w:szCs w:val="22"/>
          <w14:ligatures w14:val="none"/>
        </w:rPr>
        <w:t> is ongoing. These findings underscore the importance of genetic surveillance in responding to outbreak, tracking parasite transmission, support guiding targeted interventions, and predicting potential hotspots.</w:t>
      </w:r>
    </w:p>
    <w:p w14:paraId="4ABD68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25-A-1949-ASTMH</w:t>
      </w:r>
    </w:p>
    <w:p w14:paraId="5F5FF9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7FF96A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Adaptive Mosquito Surveillance: Evaluation of Deployment Strategies in Europe and Africa</w:t>
      </w:r>
    </w:p>
    <w:p w14:paraId="1E68AA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Every year, thousands of mosquito surveys are conducted worldwide to inform public health policies and vector control strategies. These efforts are crucial in mitigating the burden of mosquito-borne diseases. However, the design of most mosquito surveillance programs is often dictated by disease prevalence, site accessibility, and financial constraints, rather than the true spatial and temporal distribution of mosquito populations and their bionomics. Additionally, many studies rely on arbitrary sample sizes, frequently overlooking key statistical considerations that could improve surveillance accuracy. In response to these challenges, we have developed and tested adaptive surveillance frameworks designed to enhance the efficiency and accuracy of mosquito monitoring. Unlike traditional sampling approaches, adaptive designs dynamically allocate sampling effort based on specific criteria—such as areas with high mosquito densities and large uncertainties—to improve the accuracy of identifying vector hotspots. By reducing uncertainty, adaptive frameworks can generate more reliable estimates of mosquito populations, ultimately leading to better-informed vector control interventions. We conducted adaptive mosquito surveillance studies in Benin, Ghana, Mozambique and the United Kingdom. Our findings demonstrated that adaptive surveillance not only significantly improved mosquito collections but also enhanced prediction accuracy by a factor of three to four compared to </w:t>
      </w:r>
      <w:r w:rsidRPr="00FE5D1C">
        <w:rPr>
          <w:rFonts w:ascii="Calibri" w:eastAsia="Times New Roman" w:hAnsi="Calibri" w:cs="Calibri"/>
          <w:color w:val="000000"/>
          <w:kern w:val="0"/>
          <w:sz w:val="22"/>
          <w:szCs w:val="22"/>
          <w14:ligatures w14:val="none"/>
        </w:rPr>
        <w:lastRenderedPageBreak/>
        <w:t>traditional methods. In addition, we found that a significant proportion of trapping locations could be saved due to the limited contribution to model estimations. Mosquito surveillance remains a complex and evolving field. Issues such as cost-effectiveness, geographic correlation with disease prevalence, and sampling biases must be carefully addressed to maximize the impact of surveillance programs. By critically examining both the strengths and limitations of adaptive surveillance, we aim to refine future strategies and contribute to the ongoing efforts in vector and disease monitoring, control, and elimination.</w:t>
      </w:r>
    </w:p>
    <w:p w14:paraId="305B69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25-A-1950-ASTMH</w:t>
      </w:r>
    </w:p>
    <w:p w14:paraId="3DFC7E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1A9830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Effects of digitalized antenatal education on the prevention of mother-to-child transmission of Human Immunodeficiency Virus among pregnant women and recently delivered mothers in Nigeria</w:t>
      </w:r>
    </w:p>
    <w:p w14:paraId="5B7DC5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magnitude of new pediatric HIV infection in Nigeria has made it one of the priority countries for the elimination of mother-to-child transmission MTCT of HIV infection. Therefore, this study assessed the effects of digitalized antenatal education on prevention of mother-to-child transmission (PMTCT) among pregnant women and recently delivered mothers living with HIV and receiving antiretroviral therapy (ART). The study adopted a quasi-experimental two-group pre and post-test design. Two states were randomly selected from Southwestern Nigeria and were randomized into intervention and control groups, and 223 pregnant women, and recently delivered mothers receiving ART were purposively selected ffor the study. A validated online questionnaire was used for data collection at baseline and post-intervention. The participants in the intervention group received Digitalized Antenatal Education (DAE), while those in the control group received routine physical antenatal education. Data analysis was done using Stata version 17. Descriptive statistics was used to assess knowledge of PMTCT (KPMTCT), Self-management skills (SMSs), and Treatment compliance (CTx) within the group, while student t-test was used to test for the significant difference between the two groups at α 0.05. Logistic regression was used to identify facilitators of DAE. Among participants in intervention group: 62.9% had good KPMTCT at baseline, while it increased to 83.9% at post-intervention; 56.9% had good SMSs at baseline and 58.1% at post-intervention; 65.5% had good CTx at baseline and 55(59.1%) at post-intervention. However, no difference between baseline and post-intervention percentages for participants in control group. A significant difference (p&lt;0.001) was observed in KPMTCT and SMSs between the intervention group and control group, while no significant difference (p=0.409) was observed in the CTx between the two groups. Key facilitators include digital literacy (OR=15.529, p=0.001), while the key barrier was smartphone ownership (59%). Digitalized antenatal education could improve PMTCT. Digital literacy is a strong predictor of DAE use.</w:t>
      </w:r>
    </w:p>
    <w:p w14:paraId="031B43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25-A-1951-ASTMH</w:t>
      </w:r>
    </w:p>
    <w:p w14:paraId="480453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6910D5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Unlike most African settings, </w:t>
      </w:r>
      <w:r w:rsidRPr="00FE5D1C">
        <w:rPr>
          <w:rFonts w:ascii="Calibri" w:eastAsia="Times New Roman" w:hAnsi="Calibri" w:cs="Calibri"/>
          <w:b/>
          <w:bCs/>
          <w:i/>
          <w:iCs/>
          <w:color w:val="000000"/>
          <w:kern w:val="0"/>
          <w:sz w:val="22"/>
          <w:szCs w:val="22"/>
          <w14:ligatures w14:val="none"/>
        </w:rPr>
        <w:t>Anopheles gambiae sensu stricto</w:t>
      </w:r>
      <w:r w:rsidRPr="00FE5D1C">
        <w:rPr>
          <w:rFonts w:ascii="Calibri" w:eastAsia="Times New Roman" w:hAnsi="Calibri" w:cs="Calibri"/>
          <w:b/>
          <w:bCs/>
          <w:color w:val="000000"/>
          <w:kern w:val="0"/>
          <w:sz w:val="22"/>
          <w:szCs w:val="22"/>
          <w14:ligatures w14:val="none"/>
        </w:rPr>
        <w:t> remain the most abundant malaria vectors in urban areas of Zanzibar</w:t>
      </w:r>
    </w:p>
    <w:p w14:paraId="45E4AF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Persistence malaria transmission despite widespread use of Insecticide Treated Bed nets remains a challenge for malaria elimination in Zanzibar. Recent malaria surge in urban areas of Zanzibar called for an in-depth exploration of the underlying drivers of persisting malaria transmission. Larvae habitat survey using standard dipper in diverse habitat types were conducted from August 2023 to December 2024 in urban areas at Stone town focusing on three shehia namely Malindi, Mnazi Mmoja and Mkunazini which is heavily urbanized and experience repeated surge of malaria cases. Larvae sampling was conducted by trained Community-Owned Resource Persons (CORPs). Sampled larvae were reared to adult and subjected for molecular analysis to enable malaria vector species identification.A total of 34 breeding sites were identified and 16 (47%) were found positive for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xml:space="preserve"> larvae. The positive breeding habitat types included 37.5% ditch, 18.8% puddles, 12.5% ponds, open drainage 12.5%, concrete tanks 6.3%, water storage containers 6.3%, and sim-tank 6.3%. A total of 395 </w:t>
      </w:r>
      <w:r w:rsidRPr="00FE5D1C">
        <w:rPr>
          <w:rFonts w:ascii="Calibri" w:eastAsia="Times New Roman" w:hAnsi="Calibri" w:cs="Calibri"/>
          <w:color w:val="000000"/>
          <w:kern w:val="0"/>
          <w:sz w:val="22"/>
          <w:szCs w:val="22"/>
          <w14:ligatures w14:val="none"/>
        </w:rPr>
        <w:lastRenderedPageBreak/>
        <w:t>adult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emerged of them 195 from Mnazimmoja, included </w:t>
      </w:r>
      <w:r w:rsidRPr="00FE5D1C">
        <w:rPr>
          <w:rFonts w:ascii="Calibri" w:eastAsia="Times New Roman" w:hAnsi="Calibri" w:cs="Calibri"/>
          <w:i/>
          <w:iCs/>
          <w:color w:val="000000"/>
          <w:kern w:val="0"/>
          <w:sz w:val="22"/>
          <w:szCs w:val="22"/>
          <w14:ligatures w14:val="none"/>
        </w:rPr>
        <w:t>An.gambiae s.s</w:t>
      </w:r>
      <w:r w:rsidRPr="00FE5D1C">
        <w:rPr>
          <w:rFonts w:ascii="Calibri" w:eastAsia="Times New Roman" w:hAnsi="Calibri" w:cs="Calibri"/>
          <w:color w:val="000000"/>
          <w:kern w:val="0"/>
          <w:sz w:val="22"/>
          <w:szCs w:val="22"/>
          <w14:ligatures w14:val="none"/>
        </w:rPr>
        <w:t> (n=122) 62.6%, and </w:t>
      </w:r>
      <w:r w:rsidRPr="00FE5D1C">
        <w:rPr>
          <w:rFonts w:ascii="Calibri" w:eastAsia="Times New Roman" w:hAnsi="Calibri" w:cs="Calibri"/>
          <w:i/>
          <w:iCs/>
          <w:color w:val="000000"/>
          <w:kern w:val="0"/>
          <w:sz w:val="22"/>
          <w:szCs w:val="22"/>
          <w14:ligatures w14:val="none"/>
        </w:rPr>
        <w:t>An.arabiensis </w:t>
      </w:r>
      <w:r w:rsidRPr="00FE5D1C">
        <w:rPr>
          <w:rFonts w:ascii="Calibri" w:eastAsia="Times New Roman" w:hAnsi="Calibri" w:cs="Calibri"/>
          <w:color w:val="000000"/>
          <w:kern w:val="0"/>
          <w:sz w:val="22"/>
          <w:szCs w:val="22"/>
          <w14:ligatures w14:val="none"/>
        </w:rPr>
        <w:t>(n=73)</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37.4%). From Malindi 171, included </w:t>
      </w:r>
      <w:r w:rsidRPr="00FE5D1C">
        <w:rPr>
          <w:rFonts w:ascii="Calibri" w:eastAsia="Times New Roman" w:hAnsi="Calibri" w:cs="Calibri"/>
          <w:i/>
          <w:iCs/>
          <w:color w:val="000000"/>
          <w:kern w:val="0"/>
          <w:sz w:val="22"/>
          <w:szCs w:val="22"/>
          <w14:ligatures w14:val="none"/>
        </w:rPr>
        <w:t>An.gambiae s.s</w:t>
      </w:r>
      <w:r w:rsidRPr="00FE5D1C">
        <w:rPr>
          <w:rFonts w:ascii="Calibri" w:eastAsia="Times New Roman" w:hAnsi="Calibri" w:cs="Calibri"/>
          <w:color w:val="000000"/>
          <w:kern w:val="0"/>
          <w:sz w:val="22"/>
          <w:szCs w:val="22"/>
          <w14:ligatures w14:val="none"/>
        </w:rPr>
        <w:t> (n=108) 63.2%, </w:t>
      </w:r>
      <w:r w:rsidRPr="00FE5D1C">
        <w:rPr>
          <w:rFonts w:ascii="Calibri" w:eastAsia="Times New Roman" w:hAnsi="Calibri" w:cs="Calibri"/>
          <w:i/>
          <w:iCs/>
          <w:color w:val="000000"/>
          <w:kern w:val="0"/>
          <w:sz w:val="22"/>
          <w:szCs w:val="22"/>
          <w14:ligatures w14:val="none"/>
        </w:rPr>
        <w:t>An.arabiensis</w:t>
      </w:r>
      <w:r w:rsidRPr="00FE5D1C">
        <w:rPr>
          <w:rFonts w:ascii="Calibri" w:eastAsia="Times New Roman" w:hAnsi="Calibri" w:cs="Calibri"/>
          <w:color w:val="000000"/>
          <w:kern w:val="0"/>
          <w:sz w:val="22"/>
          <w:szCs w:val="22"/>
          <w14:ligatures w14:val="none"/>
        </w:rPr>
        <w:t> (n=54), 32%,</w:t>
      </w:r>
      <w:r w:rsidRPr="00FE5D1C">
        <w:rPr>
          <w:rFonts w:ascii="Calibri" w:eastAsia="Times New Roman" w:hAnsi="Calibri" w:cs="Calibri"/>
          <w:i/>
          <w:iCs/>
          <w:color w:val="000000"/>
          <w:kern w:val="0"/>
          <w:sz w:val="22"/>
          <w:szCs w:val="22"/>
          <w14:ligatures w14:val="none"/>
        </w:rPr>
        <w:t> An.rufipes</w:t>
      </w:r>
      <w:r w:rsidRPr="00FE5D1C">
        <w:rPr>
          <w:rFonts w:ascii="Calibri" w:eastAsia="Times New Roman" w:hAnsi="Calibri" w:cs="Calibri"/>
          <w:color w:val="000000"/>
          <w:kern w:val="0"/>
          <w:sz w:val="22"/>
          <w:szCs w:val="22"/>
          <w14:ligatures w14:val="none"/>
        </w:rPr>
        <w:t> (n=5) 2.9%, and </w:t>
      </w:r>
      <w:r w:rsidRPr="00FE5D1C">
        <w:rPr>
          <w:rFonts w:ascii="Calibri" w:eastAsia="Times New Roman" w:hAnsi="Calibri" w:cs="Calibri"/>
          <w:i/>
          <w:iCs/>
          <w:color w:val="000000"/>
          <w:kern w:val="0"/>
          <w:sz w:val="22"/>
          <w:szCs w:val="22"/>
          <w14:ligatures w14:val="none"/>
        </w:rPr>
        <w:t>An.merus</w:t>
      </w:r>
      <w:r w:rsidRPr="00FE5D1C">
        <w:rPr>
          <w:rFonts w:ascii="Calibri" w:eastAsia="Times New Roman" w:hAnsi="Calibri" w:cs="Calibri"/>
          <w:color w:val="000000"/>
          <w:kern w:val="0"/>
          <w:sz w:val="22"/>
          <w:szCs w:val="22"/>
          <w14:ligatures w14:val="none"/>
        </w:rPr>
        <w:t> (n=4) 2.3%). From Mkunazini, included 29 </w:t>
      </w:r>
      <w:r w:rsidRPr="00FE5D1C">
        <w:rPr>
          <w:rFonts w:ascii="Calibri" w:eastAsia="Times New Roman" w:hAnsi="Calibri" w:cs="Calibri"/>
          <w:i/>
          <w:iCs/>
          <w:color w:val="000000"/>
          <w:kern w:val="0"/>
          <w:sz w:val="22"/>
          <w:szCs w:val="22"/>
          <w14:ligatures w14:val="none"/>
        </w:rPr>
        <w:t>An.gambiae s.s</w:t>
      </w:r>
      <w:r w:rsidRPr="00FE5D1C">
        <w:rPr>
          <w:rFonts w:ascii="Calibri" w:eastAsia="Times New Roman" w:hAnsi="Calibri" w:cs="Calibri"/>
          <w:color w:val="000000"/>
          <w:kern w:val="0"/>
          <w:sz w:val="22"/>
          <w:szCs w:val="22"/>
          <w14:ligatures w14:val="none"/>
        </w:rPr>
        <w:t> (n=18) 62.1%, </w:t>
      </w:r>
      <w:r w:rsidRPr="00FE5D1C">
        <w:rPr>
          <w:rFonts w:ascii="Calibri" w:eastAsia="Times New Roman" w:hAnsi="Calibri" w:cs="Calibri"/>
          <w:i/>
          <w:iCs/>
          <w:color w:val="000000"/>
          <w:kern w:val="0"/>
          <w:sz w:val="22"/>
          <w:szCs w:val="22"/>
          <w14:ligatures w14:val="none"/>
        </w:rPr>
        <w:t>An.arabiensis</w:t>
      </w:r>
      <w:r w:rsidRPr="00FE5D1C">
        <w:rPr>
          <w:rFonts w:ascii="Calibri" w:eastAsia="Times New Roman" w:hAnsi="Calibri" w:cs="Calibri"/>
          <w:color w:val="000000"/>
          <w:kern w:val="0"/>
          <w:sz w:val="22"/>
          <w:szCs w:val="22"/>
          <w14:ligatures w14:val="none"/>
        </w:rPr>
        <w:t> (n=10) 34.5% and </w:t>
      </w:r>
      <w:r w:rsidRPr="00FE5D1C">
        <w:rPr>
          <w:rFonts w:ascii="Calibri" w:eastAsia="Times New Roman" w:hAnsi="Calibri" w:cs="Calibri"/>
          <w:i/>
          <w:iCs/>
          <w:color w:val="000000"/>
          <w:kern w:val="0"/>
          <w:sz w:val="22"/>
          <w:szCs w:val="22"/>
          <w14:ligatures w14:val="none"/>
        </w:rPr>
        <w:t>An.merus</w:t>
      </w:r>
      <w:r w:rsidRPr="00FE5D1C">
        <w:rPr>
          <w:rFonts w:ascii="Calibri" w:eastAsia="Times New Roman" w:hAnsi="Calibri" w:cs="Calibri"/>
          <w:color w:val="000000"/>
          <w:kern w:val="0"/>
          <w:sz w:val="22"/>
          <w:szCs w:val="22"/>
          <w14:ligatures w14:val="none"/>
        </w:rPr>
        <w:t> (n=1)3.4%).</w:t>
      </w:r>
      <w:r w:rsidRPr="00FE5D1C">
        <w:rPr>
          <w:rFonts w:ascii="Calibri" w:eastAsia="Times New Roman" w:hAnsi="Calibri" w:cs="Calibri"/>
          <w:i/>
          <w:iCs/>
          <w:color w:val="000000"/>
          <w:kern w:val="0"/>
          <w:sz w:val="22"/>
          <w:szCs w:val="22"/>
          <w14:ligatures w14:val="none"/>
        </w:rPr>
        <w:t>Anopheles gambiae s.s</w:t>
      </w:r>
      <w:r w:rsidRPr="00FE5D1C">
        <w:rPr>
          <w:rFonts w:ascii="Calibri" w:eastAsia="Times New Roman" w:hAnsi="Calibri" w:cs="Calibri"/>
          <w:color w:val="000000"/>
          <w:kern w:val="0"/>
          <w:sz w:val="22"/>
          <w:szCs w:val="22"/>
          <w14:ligatures w14:val="none"/>
        </w:rPr>
        <w:t> were the most prevalent malaria vector species in all three shehia of Stonetown. This could be due to low utilization of ITNs, coupled with the fact that this urban area has never been received Indoor residual spraying due to its complex structures.</w:t>
      </w:r>
    </w:p>
    <w:p w14:paraId="7139BD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25-A-1952-ASTMH</w:t>
      </w:r>
    </w:p>
    <w:p w14:paraId="4F3898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49377C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Behavioural changes and microclimate variations on the parasite development in Anopheles stephensi impede malaria elimination efforts in India</w:t>
      </w:r>
    </w:p>
    <w:p w14:paraId="709E83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Anopheles stephensi is a primary malaria vector in India found mainly in cities, towns and adjoining areas and has been widely incriminated. The vector prefers to breed in innumerable clean water storage sources and a few less-inspected precipitation-dependent habitats. An. stephensi also co-habits with other mosquito vectors, such as Aedes aegypti, in storage receptacles in urban areas and poses a problem to vector control management practices. The agglomeration of humans in urban areas, along with the lack of proper water supplies, demands more storage practices, thus enhancing vector breeding prospects. Recently, a diversity in breeding characteristics of An. stephensi was observed with co-existence along with other vectors like Anopheles culicifacies, Anopheles barbirostris, Anopheles subpictus, Anopheles tesselatus, Anopheles vagus and Anopheles varuna in storage containers, indicating its invasive, omnipresent nature even in rural areas. Further, the rise in mean temperature increases the overall vectorial capacity through rapid immature and higher parasite development rates in vectors. The recent ambient microclimate studies undertaken in Chennai city, India, with Hobo data loggers in human dwellings (indoors and outdoors) compared with the temperature readings of a decade ago indicated remarkable variations in the temperature. Surprisingly, a declining trend was observed in the extrinsic incubation period (EIP) of Plasmodium falciparum and P. vivax in An. stephensi, which is inversely correlated with temperature. This temperature variation results in rapid parasite development in An. stephensi, which maintains a high degree of contact with humans. Given the widespread nature of the vector and the World Health Organization's caution to many other countries, the omnipresence of this vector, even in rural areas, together with other malaria vectors, rapid parasite development owing to climate change may impede the elimination plans, thus mandating improved surveillance mechanism to tackle its dissemination.</w:t>
      </w:r>
    </w:p>
    <w:p w14:paraId="0C1711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25-A-1954-ASTMH</w:t>
      </w:r>
    </w:p>
    <w:p w14:paraId="6C08F0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2E095E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Knowledge and Attitudes Related Malaria Prevention During Pregnancy and Association with the Use of Intermittent Preventive Treatment Among Women of Reproductive Age, Tete Province, Mozambique, 2019</w:t>
      </w:r>
    </w:p>
    <w:p w14:paraId="388B8E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2022 Mozambique accounted for 4.2% of the global malaria burden, with pregnant women being disproportionately affected despite malaria prevention measures. Malaria during pregnancy can cause severe health outcomes, and the World Health Organization recommends the use of Sulfadoxine-Pyrimethamine (SP) from the 13</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xml:space="preserve"> week of pregnancy as part of Intermittent Preventive Treatment (IPTp). This study assessed the relationship between knowledge and attitudes regarding malaria prevention during pregnancy and the uptake of Intermittent Preventive Treatment in Pregnancy among women of reproductive age in Magoe District, Tete Province, 2019. This cross-sectional analytical study, conducted between November 2018 and January 2019, included 1,919 women aged 15-49. Factors associated with the use of IPTp were assessed by calculating the Odds Ratio (OR) at a 95% confidence interval (CI) and p-value &lt;0.05. The use of IPT was defined as taking three or more doses of SP during antenatal care. The mean age of the participants was 26.6 years (SD±8.3). Six per cent (113/1,919) </w:t>
      </w:r>
      <w:r w:rsidRPr="00FE5D1C">
        <w:rPr>
          <w:rFonts w:ascii="Calibri" w:eastAsia="Times New Roman" w:hAnsi="Calibri" w:cs="Calibri"/>
          <w:color w:val="000000"/>
          <w:kern w:val="0"/>
          <w:sz w:val="22"/>
          <w:szCs w:val="22"/>
          <w14:ligatures w14:val="none"/>
        </w:rPr>
        <w:lastRenderedPageBreak/>
        <w:t>reported pregnancy within the year preceding the survey. Of these 82.0% (109) attended at least one antenatal care visit, and 59.4% (57) took three or more doses of IPTp. No statistically significant associations were found between IPTp3+ use and knowledge of malaria (OR-1.4;95%CI: 0.6-3.5) or attitudes toward malaria prevention during pregnancy (p &gt; 0.05). The study highlights the lack of a relationship between knowledge, attitudes, and IPTp3+ use, underscoring the need for further research with larger sample sizes to explore barriers to IPTp uptake and the role of external factors.</w:t>
      </w:r>
    </w:p>
    <w:p w14:paraId="5CD84E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25-A-1956-ASTMH</w:t>
      </w:r>
    </w:p>
    <w:p w14:paraId="713F957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2F54EA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Dry season persitence of asymptomatic </w:t>
      </w:r>
      <w:r w:rsidRPr="00FE5D1C">
        <w:rPr>
          <w:rFonts w:ascii="Calibri" w:eastAsia="Times New Roman" w:hAnsi="Calibri" w:cs="Calibri"/>
          <w:b/>
          <w:bCs/>
          <w:i/>
          <w:iCs/>
          <w:color w:val="000000"/>
          <w:kern w:val="0"/>
          <w:sz w:val="22"/>
          <w:szCs w:val="22"/>
          <w14:ligatures w14:val="none"/>
        </w:rPr>
        <w:t>Plasmodium</w:t>
      </w:r>
      <w:r w:rsidRPr="00FE5D1C">
        <w:rPr>
          <w:rFonts w:ascii="Calibri" w:eastAsia="Times New Roman" w:hAnsi="Calibri" w:cs="Calibri"/>
          <w:b/>
          <w:bCs/>
          <w:color w:val="000000"/>
          <w:kern w:val="0"/>
          <w:sz w:val="22"/>
          <w:szCs w:val="22"/>
          <w14:ligatures w14:val="none"/>
        </w:rPr>
        <w:t> carriage and clinical malaria in children in Torodo, Mali</w:t>
      </w:r>
    </w:p>
    <w:p w14:paraId="67C2FF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areas with seasonal malaria, asymptomatic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during the dry season play a critical role in restarting transmission once mosquitoes return. Yet, how this reservoir forms and affects individuals remains unclear. We followed 250 children in Torodo, Mali, from February to December 2022, monitoring the prevalence and persistence of asymptomatic infections through the dry season and their association with malaria incidence. At baseline, 34% of children were asymptomatic carriers, with infections detected by qPCR and monthly follow-up during the dry season. Infected children were significnatly older than uninfected children (median: 10 years [IQR: 7–12] and 7 years [IQR: 5–12] in carriers and non-carriers respectovely, p=0.0005).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was responsible for most infections (84.7%), while 14.1% were mixed </w:t>
      </w:r>
      <w:r w:rsidRPr="00FE5D1C">
        <w:rPr>
          <w:rFonts w:ascii="Calibri" w:eastAsia="Times New Roman" w:hAnsi="Calibri" w:cs="Calibri"/>
          <w:i/>
          <w:iCs/>
          <w:color w:val="000000"/>
          <w:kern w:val="0"/>
          <w:sz w:val="22"/>
          <w:szCs w:val="22"/>
          <w14:ligatures w14:val="none"/>
        </w:rPr>
        <w:t>P. falciparum/P. malariae</w:t>
      </w:r>
      <w:r w:rsidRPr="00FE5D1C">
        <w:rPr>
          <w:rFonts w:ascii="Calibri" w:eastAsia="Times New Roman" w:hAnsi="Calibri" w:cs="Calibri"/>
          <w:color w:val="000000"/>
          <w:kern w:val="0"/>
          <w:sz w:val="22"/>
          <w:szCs w:val="22"/>
          <w14:ligatures w14:val="none"/>
        </w:rPr>
        <w:t>, and 1.2% were </w:t>
      </w:r>
      <w:r w:rsidRPr="00FE5D1C">
        <w:rPr>
          <w:rFonts w:ascii="Calibri" w:eastAsia="Times New Roman" w:hAnsi="Calibri" w:cs="Calibri"/>
          <w:i/>
          <w:iCs/>
          <w:color w:val="000000"/>
          <w:kern w:val="0"/>
          <w:sz w:val="22"/>
          <w:szCs w:val="22"/>
          <w14:ligatures w14:val="none"/>
        </w:rPr>
        <w:t>P. malariae</w:t>
      </w:r>
      <w:r w:rsidRPr="00FE5D1C">
        <w:rPr>
          <w:rFonts w:ascii="Calibri" w:eastAsia="Times New Roman" w:hAnsi="Calibri" w:cs="Calibri"/>
          <w:color w:val="000000"/>
          <w:kern w:val="0"/>
          <w:sz w:val="22"/>
          <w:szCs w:val="22"/>
          <w14:ligatures w14:val="none"/>
        </w:rPr>
        <w:t> alone. Early dry season baseline parasite density was 325/µL (IQR: 100–990), and 5 (IQR: 3-7) </w:t>
      </w:r>
      <w:r w:rsidRPr="00FE5D1C">
        <w:rPr>
          <w:rFonts w:ascii="Calibri" w:eastAsia="Times New Roman" w:hAnsi="Calibri" w:cs="Calibri"/>
          <w:i/>
          <w:iCs/>
          <w:color w:val="000000"/>
          <w:kern w:val="0"/>
          <w:sz w:val="22"/>
          <w:szCs w:val="22"/>
          <w14:ligatures w14:val="none"/>
        </w:rPr>
        <w:t>AMA1 </w:t>
      </w:r>
      <w:r w:rsidRPr="00FE5D1C">
        <w:rPr>
          <w:rFonts w:ascii="Calibri" w:eastAsia="Times New Roman" w:hAnsi="Calibri" w:cs="Calibri"/>
          <w:color w:val="000000"/>
          <w:kern w:val="0"/>
          <w:sz w:val="22"/>
          <w:szCs w:val="22"/>
          <w14:ligatures w14:val="none"/>
        </w:rPr>
        <w:t>haplotypes were seen per individual with a total of 37 different haplotypes identified among the 74 carriers. Parasite density remained stable throught the dry season, but total haplotypes identified dropped to 25 at the at the end of the dry season. Forty inidviduals cleared infection, while 32 remained positive. Eighteen clinical malaria cases were diagnosed and treatd in the dry season, with lower parasite density (187.5/µL, IQR: 625-2036.3) and temperature (median: 36.1°C, IQR: 36.0-36.5). Sixteen of the 18 dry season malaria cases cases ocurred in baseline asymptomatic carriers (RR=15.9; 95% CI: 3.8-67.5; p&lt;0.001), and these had higher baseline parasitemia, lower hemoglobin, and fewer clones than carriers that did not present malaria symptoms. These findings highlight the importance of understanding dry-season persistence of malaria parasites underscoring the need for targeted interventions.</w:t>
      </w:r>
    </w:p>
    <w:p w14:paraId="3EDCE5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25-A-1958-ASTMH</w:t>
      </w:r>
    </w:p>
    <w:p w14:paraId="3B5BFF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536CED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Oviposition site selection behaviour of female </w:t>
      </w:r>
      <w:r w:rsidRPr="00FE5D1C">
        <w:rPr>
          <w:rFonts w:ascii="Calibri" w:eastAsia="Times New Roman" w:hAnsi="Calibri" w:cs="Calibri"/>
          <w:b/>
          <w:bCs/>
          <w:i/>
          <w:iCs/>
          <w:color w:val="000000"/>
          <w:kern w:val="0"/>
          <w:sz w:val="22"/>
          <w:szCs w:val="22"/>
          <w14:ligatures w14:val="none"/>
        </w:rPr>
        <w:t>An. arabiensis</w:t>
      </w:r>
      <w:r w:rsidRPr="00FE5D1C">
        <w:rPr>
          <w:rFonts w:ascii="Calibri" w:eastAsia="Times New Roman" w:hAnsi="Calibri" w:cs="Calibri"/>
          <w:b/>
          <w:bCs/>
          <w:color w:val="000000"/>
          <w:kern w:val="0"/>
          <w:sz w:val="22"/>
          <w:szCs w:val="22"/>
          <w14:ligatures w14:val="none"/>
        </w:rPr>
        <w:t> is influence by aquatic habitat size</w:t>
      </w:r>
    </w:p>
    <w:p w14:paraId="14E552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Advances in malaria vector control have been made through the use of Long lasting insecticide treated nets and Indoor residual sprays. The effectiveness of these tools are reducing. There is need for additional strategies. Larval source management through autodissemination of larvicides to breeding habitats by ovipositing female mosquitoes offer an additional arsenal . However, its success may depend on understanding the oviposition site selection behaviour of female mosquitoes. We determined the oviposition site selection behaviour of female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in a semi-field enclosure. Six small (30-cm diameter and 20-litre capacity) and six large (60-cm diameter and 40-litre capacity) black basins were planted in each of the two selected semi-field compartments. The basins were filled with well-water and 5 grams of adjacent soil was added and assigned unique codes. Forty wild gravid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xml:space="preserve"> were released into each compartment and left to lay eggs. Third larval instars were collected, preserved in ethanol and their DNA extracted for species identification and microsatellite genotyping. In compartment 1, twenty-two females did not skip oviposit, seven skip-oviposited in two, six in three, and one in four habitats. In compartment 2, twelve females did not skip oviposit, seventeen skipped oviposited in two, and two in four habitats. Habitat size significantly influenced the proportion of eggs distributed across habitats. Eggs laid by all females in small habitats were significantly higher than those in large habitats. Females mostly skip-oviposited from small-large habitats compared to small-small, and </w:t>
      </w:r>
      <w:r w:rsidRPr="00FE5D1C">
        <w:rPr>
          <w:rFonts w:ascii="Calibri" w:eastAsia="Times New Roman" w:hAnsi="Calibri" w:cs="Calibri"/>
          <w:color w:val="000000"/>
          <w:kern w:val="0"/>
          <w:sz w:val="22"/>
          <w:szCs w:val="22"/>
          <w14:ligatures w14:val="none"/>
        </w:rPr>
        <w:lastRenderedPageBreak/>
        <w:t>large-large habitat combinations. Females preferentially laid in smaller habitats and adapted the number of eggs laid by skip-ovipositing in relation to habitat size. These results are important for vector control approaches targeting the larval stages of malaria vectors</w:t>
      </w:r>
    </w:p>
    <w:p w14:paraId="3CA8E1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25-A-1959-ASTMH</w:t>
      </w:r>
    </w:p>
    <w:p w14:paraId="35E081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00C5E8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Mapping BCG vaccination coverage in Africa, 1990-2022: a novel spatiotemporal modelling study</w:t>
      </w:r>
    </w:p>
    <w:p w14:paraId="43694B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Bacillus Calmette-Guérin (BCG) remains the only licensed vaccine for tuberculosis (TB), offering crucial protection against severe forms of the disease in children. Comprehensive estimates of BCG vaccination coverage at subnational levels are essential for identifying underserved populations across Africa. This study sought to map BCG vaccination coverage across the continent from 1990 to 2022, to provide valuable insights for optimizing future immunization strategies. Utilizing data from 111 demographic and health surveys, as well as multiple indicator household surveys conducted over the past three decades, we analysed data from 181,765 children across 36 African countries. Using a Bayesian geostatistical model, we estimated BCG vaccination coverage and identified the number of unvaccinated children aged 12-23 months at a high spatial resolution of 5 × 5 km. These estimates were subsequently aggregated to generate coverage data at both the first administrative level and national level for the years 1990 to 2022. Our findings revealed that between 1990 and 2022, BCG vaccination coverage improved in 81.90% (95% uncertainty interval [UI]: 78.41-85.07) of first-level administrative units across 36 African countries. However, despite this progress, significant disparities remain, both within countries and across different regions. In 2022, numerous administrative units continued to have low BCG coverage, with some areas showing consistently low rates, remaining below 25% in both 1990 and 2022. While some countries made notable strides in improving coverage, only Lesotho and Burundi are likely to have met the Global Vaccine Action Plan target of 80% coverage across all first-level administrative areas. While the overall increase in BCG vaccination coverage across Africa over the past three decades is commendable, the persistent disparities present a significant challenge to TB control efforts. The current findings can support a more targeted allocation of resources, ultimately providing an opportunity to improve BCG coverage and enhance health outcomes for children, especially in underserved and unreached areas.</w:t>
      </w:r>
    </w:p>
    <w:p w14:paraId="39762A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25-A-1960-ASTMH</w:t>
      </w:r>
    </w:p>
    <w:p w14:paraId="0546B9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05564A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Accès aux soins de santé de qualité, contribution des agents de santé communautaires en GUINÉE</w:t>
      </w:r>
    </w:p>
    <w:p w14:paraId="5A6D4A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Summary TITLE Access to quality health care, the contribution of community health workers in GUINEA 2024. Authors: Mamady CISSE1, Chana Badié GAGOU1, Mamadou CONDE1, Timothé GUILAVOGUI1, MamadyKOUROUMA1, Hervé HIEN2. Affiliations: 1Direction de la Santé Communautaire, Ministère de la Santé et de l'Hygiène Publique, Guinée 2 Institut de recherche en science de la santé, CNRST, Ouagadougou, Burkina Faso. The community health strategy has been implemented in Guinea for more than five years. It aims to improve access to quality health care in all its components. The main objective of this study was to evaluate the contribution of the community health strategy to improving health care provision. METHODS A descriptive cross-sectional study was conducted from 20 November to 10 December 2024 in the regions of Kankan and Kindia. The statistical unit was the individual, i.e. a total of 1,230 people. Data were collected using a questionnaire on the package of activities developed by the community health workers. RESULTS: Most of the community health workers were aged 35 and over, and men accounted for 81% of the sample. In the last six months, 51,391 RDTs for malaria were performed, 22,421 were confirmed positive and 14,784 uncomplicated cases were treated. For diarrhoea, 67% of community relays did not provide treatment, while 33% did. 90% of the agents surveyed were involved in identifying zero-dose children. Of the 29,789 children targeted, 81% (24,417) were caught up and vaccinated by community health workers. CONCLUSION: This study shows that community health workers play a key role in improving service delivery at community level. Key words: </w:t>
      </w:r>
      <w:r w:rsidRPr="00FE5D1C">
        <w:rPr>
          <w:rFonts w:ascii="Calibri" w:eastAsia="Times New Roman" w:hAnsi="Calibri" w:cs="Calibri"/>
          <w:color w:val="000000"/>
          <w:kern w:val="0"/>
          <w:sz w:val="22"/>
          <w:szCs w:val="22"/>
          <w14:ligatures w14:val="none"/>
        </w:rPr>
        <w:lastRenderedPageBreak/>
        <w:t>community relays, community agents, access to quality care . Corresponding author : Mamady CISSE, email :mamadylaye@gmail.com tel : 624103606</w:t>
      </w:r>
    </w:p>
    <w:p w14:paraId="2DBFE6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25-A-1961-ASTMH</w:t>
      </w:r>
    </w:p>
    <w:p w14:paraId="360880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7F47F4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Overcoming HLA Restriction and Parasite Diversity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Vaccine Design through Systematic Epitope Down-Selection</w:t>
      </w:r>
    </w:p>
    <w:p w14:paraId="0670F1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Developing an effective malaria vaccine is challenged by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antigenic diversity and immune response variability across endemic populations. Existing vaccines offer partial, short-lived protection and are limited by strain-specific efficacy. Human Leukocyte Antigen (HLA) polymorphisms also restrict immune recognition, further limiting vaccine effectiveness. To address these challenges, we developed a computational down-selection and optimization method integrating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sequence diversity data, T cell epitope-HLA binding affinities, and HLA allele frequencies from 24 African countries. We analyzed 42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proteins, generating consensus sequences using MalariaGEN data from 18 African countries. T cell epitopes were predicted for binding to endemic region HLAs and down-selected using a newly designed computational tool optimizing for epitope conservation (&gt;95%), strong binding affinity (median rank &lt;10%), and broad HLA allele coverage. This approach identified 65,996 MHC I and 1,992 MHC II epitopes across liver, blood, and sexual stage proteins. Liver stage proteins including HSP70-2, PKG, and ROM1 showed the highest MHC I epitope retention, while PALM, ROM1, and p36 were most retained for MHC II. Blood stage proteins including Rh5, EBA-175, and RON2, and sexual stage antigens Pfs25, Pfs48/45, and Pfs230, also contained promising epitopes. The tool identified MHC I epitopes from LSA1, PL, LISP1, SLARP/SAP1, and TLP that each achieve 100% coverage across HLA-A, -B, and -C alleles. For MHC II, achieving full coverage required multiple epitopes from liver, blood, or sexual stage proteins. This strategy overcomes HLA restriction and antigenic diversity, ensuring broad coverage and reducing immune escape. Our approach supports rational design of multistage, multi-epitope malaria vaccines optimized for HLA allele coverage in endemic areas and can be adapted for other genetically diverse pathogens and target populations. Future work will refine T cell epitope selection through experimental validation and integrate B cell epitope modeling to enhance vaccine durability and formulation.</w:t>
      </w:r>
    </w:p>
    <w:p w14:paraId="35EF3C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25-A-1963-ASTMH</w:t>
      </w:r>
    </w:p>
    <w:p w14:paraId="35E6A2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6BEF98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Novel rabies vaccine offers potential for population wide pre-exposure prophylaxis in rabies endemic areas</w:t>
      </w:r>
    </w:p>
    <w:p w14:paraId="61AA56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Rabies remains a significant neglected tropical disease causing around 60 000 deaths annually. While effective vaccines exist and vaccination is recommended for pre-exposure prophylaxis (PrEP) for high-income travellers travelling to rabies endemic countries, access to these vaccines in high-risk populations in these endemic countries is hampered by their availability, the relatively high costs and their need for multiple doses. This continues to perpetuate vaccine inequity in the Sub-Saharan African region and other LMICs. Access to an available, low-cost, single dose Rabies vaccine could pave the way to tailored approaches that can fully exploit PrEP as a strategy in some Rabies endemic countries. RAB002 is a phase Ib/II clinical trial of a new rabies vaccine, ChAdOx2 RabG, including Tanzanian adults and children aged 2-6 years old. In both age groups, we compared participants receiving a single dose of ChAdOx2 RabG to those receiving a single dose of Verorab, a currently licenced rabies vaccine. In the paediatric age group, we also compare those receiving a single dose of ChAdOx2 RabG to those receiving two doses of Verorab according to a currently WHO-recommended PrEP schedule deployed locally. ChAdOx2 RabG was found to be well tolerated and highly immunogenic in both age groups. Using the accepted correlate of protection for rabies, virus neutralising antibody (VNA) levels, we present results that could usher in a new paradigm in the rabies control efforts. A single dose PrEP regime against rabies has the potential to address health inequity and prevent tens of thousands of rabies deaths each year. </w:t>
      </w:r>
      <w:r w:rsidRPr="00FE5D1C">
        <w:rPr>
          <w:rFonts w:ascii="Calibri" w:eastAsia="Times New Roman" w:hAnsi="Calibri" w:cs="Calibri"/>
          <w:color w:val="000000"/>
          <w:kern w:val="0"/>
          <w:sz w:val="22"/>
          <w:szCs w:val="22"/>
          <w14:ligatures w14:val="none"/>
        </w:rPr>
        <w:lastRenderedPageBreak/>
        <w:t>When coupled with the lower costs of manufacturing for this vaccine, ChAdOx2 RabG performing at least as well as a currently approved PrEP schedule means single dose PrEP to control rabies is now within reach.</w:t>
      </w:r>
    </w:p>
    <w:p w14:paraId="5ECD72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25-A-1964-ASTMH</w:t>
      </w:r>
    </w:p>
    <w:p w14:paraId="0AA82E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710CB5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Genomic characterization of </w:t>
      </w:r>
      <w:r w:rsidRPr="00FE5D1C">
        <w:rPr>
          <w:rFonts w:ascii="Calibri" w:eastAsia="Times New Roman" w:hAnsi="Calibri" w:cs="Calibri"/>
          <w:b/>
          <w:bCs/>
          <w:i/>
          <w:iCs/>
          <w:color w:val="000000"/>
          <w:kern w:val="0"/>
          <w:sz w:val="22"/>
          <w:szCs w:val="22"/>
          <w14:ligatures w14:val="none"/>
        </w:rPr>
        <w:t>Vibrio cholerae</w:t>
      </w:r>
      <w:r w:rsidRPr="00FE5D1C">
        <w:rPr>
          <w:rFonts w:ascii="Calibri" w:eastAsia="Times New Roman" w:hAnsi="Calibri" w:cs="Calibri"/>
          <w:b/>
          <w:bCs/>
          <w:color w:val="000000"/>
          <w:kern w:val="0"/>
          <w:sz w:val="22"/>
          <w:szCs w:val="22"/>
          <w14:ligatures w14:val="none"/>
        </w:rPr>
        <w:t> Isolated from Clinical and Environmental sources during the 2022-2023 cholera outbreak in Kenya</w:t>
      </w:r>
    </w:p>
    <w:p w14:paraId="0F9BB0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Cholera remains a public health challenge in Kenya. We analyzed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genomes from clinical and environmental samples from the 2022-2023 outbreak. These strains were compared with historical genomes from Kenya, Uganda, Tanzania and Haiti.</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Clinical (stool) and environmental (wastewater, drinking water and household effluent) samples were collected from Nairobi County and analyzed for </w:t>
      </w:r>
      <w:r w:rsidRPr="00FE5D1C">
        <w:rPr>
          <w:rFonts w:ascii="Calibri" w:eastAsia="Times New Roman" w:hAnsi="Calibri" w:cs="Calibri"/>
          <w:i/>
          <w:iCs/>
          <w:color w:val="000000"/>
          <w:kern w:val="0"/>
          <w:sz w:val="22"/>
          <w:szCs w:val="22"/>
          <w14:ligatures w14:val="none"/>
        </w:rPr>
        <w:t>Vibrio cholerae </w:t>
      </w:r>
      <w:r w:rsidRPr="00FE5D1C">
        <w:rPr>
          <w:rFonts w:ascii="Calibri" w:eastAsia="Times New Roman" w:hAnsi="Calibri" w:cs="Calibri"/>
          <w:color w:val="000000"/>
          <w:kern w:val="0"/>
          <w:sz w:val="22"/>
          <w:szCs w:val="22"/>
          <w14:ligatures w14:val="none"/>
        </w:rPr>
        <w:t>using culture and real time PCR. The isolates were tested for antimicrobial susceptibility using the Kirby-Bauer disk diffusion method. Whole genome sequencing was employed to characterize the genome and detect resistance genes. Phylogenetic analysis assessed genetic diversity of 2022-2023 outbreak isolates against historical ones. Clinical isolates carried key virulence genes (</w:t>
      </w:r>
      <w:r w:rsidRPr="00FE5D1C">
        <w:rPr>
          <w:rFonts w:ascii="Calibri" w:eastAsia="Times New Roman" w:hAnsi="Calibri" w:cs="Calibri"/>
          <w:i/>
          <w:iCs/>
          <w:color w:val="000000"/>
          <w:kern w:val="0"/>
          <w:sz w:val="22"/>
          <w:szCs w:val="22"/>
          <w14:ligatures w14:val="none"/>
        </w:rPr>
        <w:t>ctxA, ctxB7, hlyA</w:t>
      </w:r>
      <w:r w:rsidRPr="00FE5D1C">
        <w:rPr>
          <w:rFonts w:ascii="Calibri" w:eastAsia="Times New Roman" w:hAnsi="Calibri" w:cs="Calibri"/>
          <w:color w:val="000000"/>
          <w:kern w:val="0"/>
          <w:sz w:val="22"/>
          <w:szCs w:val="22"/>
          <w14:ligatures w14:val="none"/>
        </w:rPr>
        <w:t>) and were 100% resistant to multiple antibiotics (ampicillin, cefotaxime, cefpodoxime) but remained susceptible to gentamicin and chloramphenicol. In contrast, environmental isolates lacked </w:t>
      </w:r>
      <w:r w:rsidRPr="00FE5D1C">
        <w:rPr>
          <w:rFonts w:ascii="Calibri" w:eastAsia="Times New Roman" w:hAnsi="Calibri" w:cs="Calibri"/>
          <w:i/>
          <w:iCs/>
          <w:color w:val="000000"/>
          <w:kern w:val="0"/>
          <w:sz w:val="22"/>
          <w:szCs w:val="22"/>
          <w14:ligatures w14:val="none"/>
        </w:rPr>
        <w:t>ctxB</w:t>
      </w:r>
      <w:r w:rsidRPr="00FE5D1C">
        <w:rPr>
          <w:rFonts w:ascii="Calibri" w:eastAsia="Times New Roman" w:hAnsi="Calibri" w:cs="Calibri"/>
          <w:color w:val="000000"/>
          <w:kern w:val="0"/>
          <w:sz w:val="22"/>
          <w:szCs w:val="22"/>
          <w14:ligatures w14:val="none"/>
        </w:rPr>
        <w:t> gene but harbored </w:t>
      </w:r>
      <w:r w:rsidRPr="00FE5D1C">
        <w:rPr>
          <w:rFonts w:ascii="Calibri" w:eastAsia="Times New Roman" w:hAnsi="Calibri" w:cs="Calibri"/>
          <w:i/>
          <w:iCs/>
          <w:color w:val="000000"/>
          <w:kern w:val="0"/>
          <w:sz w:val="22"/>
          <w:szCs w:val="22"/>
          <w14:ligatures w14:val="none"/>
        </w:rPr>
        <w:t>toxR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hlyA</w:t>
      </w:r>
      <w:r w:rsidRPr="00FE5D1C">
        <w:rPr>
          <w:rFonts w:ascii="Calibri" w:eastAsia="Times New Roman" w:hAnsi="Calibri" w:cs="Calibri"/>
          <w:color w:val="000000"/>
          <w:kern w:val="0"/>
          <w:sz w:val="22"/>
          <w:szCs w:val="22"/>
          <w14:ligatures w14:val="none"/>
        </w:rPr>
        <w:t>, showing variable antibiotic resistance (59% to ampicillin and 41% to trimethoprim-sulfamethoxazole). All 2022-2023 clinical isolates harbored IncA/C2 plasmids and several antimicrobial resistance genes including </w:t>
      </w:r>
      <w:r w:rsidRPr="00FE5D1C">
        <w:rPr>
          <w:rFonts w:ascii="Calibri" w:eastAsia="Times New Roman" w:hAnsi="Calibri" w:cs="Calibri"/>
          <w:i/>
          <w:iCs/>
          <w:color w:val="000000"/>
          <w:kern w:val="0"/>
          <w:sz w:val="22"/>
          <w:szCs w:val="22"/>
          <w14:ligatures w14:val="none"/>
        </w:rPr>
        <w:t>bla</w:t>
      </w:r>
      <w:r w:rsidRPr="00FE5D1C">
        <w:rPr>
          <w:rFonts w:ascii="Calibri" w:eastAsia="Times New Roman" w:hAnsi="Calibri" w:cs="Calibri"/>
          <w:color w:val="000000"/>
          <w:kern w:val="0"/>
          <w:sz w:val="22"/>
          <w:szCs w:val="22"/>
          <w:vertAlign w:val="subscript"/>
          <w14:ligatures w14:val="none"/>
        </w:rPr>
        <w:t>PER-7</w:t>
      </w:r>
      <w:r w:rsidRPr="00FE5D1C">
        <w:rPr>
          <w:rFonts w:ascii="Calibri" w:eastAsia="Times New Roman" w:hAnsi="Calibri" w:cs="Calibri"/>
          <w:color w:val="000000"/>
          <w:kern w:val="0"/>
          <w:sz w:val="22"/>
          <w:szCs w:val="22"/>
          <w14:ligatures w14:val="none"/>
        </w:rPr>
        <w:t>. Phylogenetic analysis revealed high genetic diversity in environmental strains, clustering outside the 7</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Pandemic El Tor lineage, while clinical isolates were highly clonal. Genomes from 2022-2023 outbreak were closely related to Kenyan cholera outbreak genomes from 2016 (15 Single Nucleotide Polymorphisms, T13 lineage). In conclusion, the 2022-2023 outbreak likely resulted from re-emergence of previously circulating strains rather than a new introduction. While the role of environmental reservoirs as a source of human infection remains unclear in our study, environmental isolates possess virulent and antimicrobial resistance genes that may spread via horizontal gene transfer. This highlights the need for continuous genomic surveillance to monitor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evolution, track transmission patterns, and mitigate the spread of antimicrobial resistance.</w:t>
      </w:r>
    </w:p>
    <w:p w14:paraId="62D06B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25-A-1965-ASTMH</w:t>
      </w:r>
    </w:p>
    <w:p w14:paraId="70A8F3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1C8D6F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Host-Specific Adaptation of Powassan Virus to </w:t>
      </w:r>
      <w:r w:rsidRPr="00FE5D1C">
        <w:rPr>
          <w:rFonts w:ascii="Calibri" w:eastAsia="Times New Roman" w:hAnsi="Calibri" w:cs="Calibri"/>
          <w:i/>
          <w:iCs/>
          <w:color w:val="000000"/>
          <w:kern w:val="0"/>
          <w:sz w:val="22"/>
          <w:szCs w:val="22"/>
          <w14:ligatures w14:val="none"/>
        </w:rPr>
        <w:t>Amblyomma americanum</w:t>
      </w:r>
      <w:r w:rsidRPr="00FE5D1C">
        <w:rPr>
          <w:rFonts w:ascii="Calibri" w:eastAsia="Times New Roman" w:hAnsi="Calibri" w:cs="Calibri"/>
          <w:color w:val="000000"/>
          <w:kern w:val="0"/>
          <w:sz w:val="22"/>
          <w:szCs w:val="22"/>
          <w14:ligatures w14:val="none"/>
        </w:rPr>
        <w:t>: Interplay of Host Cholesterol and Viral Pre-Membrane in Tick-Specific Viral Fitness</w:t>
      </w:r>
    </w:p>
    <w:p w14:paraId="78EF38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virus (POWV, family </w:t>
      </w:r>
      <w:r w:rsidRPr="00FE5D1C">
        <w:rPr>
          <w:rFonts w:ascii="Calibri" w:eastAsia="Times New Roman" w:hAnsi="Calibri" w:cs="Calibri"/>
          <w:i/>
          <w:iCs/>
          <w:color w:val="000000"/>
          <w:kern w:val="0"/>
          <w:sz w:val="22"/>
          <w:szCs w:val="22"/>
          <w14:ligatures w14:val="none"/>
        </w:rPr>
        <w:t>Flaviviridae</w:t>
      </w:r>
      <w:r w:rsidRPr="00FE5D1C">
        <w:rPr>
          <w:rFonts w:ascii="Calibri" w:eastAsia="Times New Roman" w:hAnsi="Calibri" w:cs="Calibri"/>
          <w:color w:val="000000"/>
          <w:kern w:val="0"/>
          <w:sz w:val="22"/>
          <w:szCs w:val="22"/>
          <w14:ligatures w14:val="none"/>
        </w:rPr>
        <w:t>) is a reemerging tick-borne virus endemic in North America and Russia. POWV was first isolated in 1958 from a fatal encephalitic case in Canada. In 1997, a genetically distinct POWV-like agent was isolated from </w:t>
      </w:r>
      <w:r w:rsidRPr="00FE5D1C">
        <w:rPr>
          <w:rFonts w:ascii="Calibri" w:eastAsia="Times New Roman" w:hAnsi="Calibri" w:cs="Calibri"/>
          <w:i/>
          <w:iCs/>
          <w:color w:val="000000"/>
          <w:kern w:val="0"/>
          <w:sz w:val="22"/>
          <w:szCs w:val="22"/>
          <w14:ligatures w14:val="none"/>
        </w:rPr>
        <w:t>Ixodes scapularis</w:t>
      </w:r>
      <w:r w:rsidRPr="00FE5D1C">
        <w:rPr>
          <w:rFonts w:ascii="Calibri" w:eastAsia="Times New Roman" w:hAnsi="Calibri" w:cs="Calibri"/>
          <w:color w:val="000000"/>
          <w:kern w:val="0"/>
          <w:sz w:val="22"/>
          <w:szCs w:val="22"/>
          <w14:ligatures w14:val="none"/>
        </w:rPr>
        <w:t>. This revealed the existence of two lineages: lineage 1, Powassan virus (POWV-1) and lineage 2, deer tick virus (DTV). Each lineage is maintained in separate enzootic cycles with POWV-1 thought to be primarily maintained between </w:t>
      </w:r>
      <w:r w:rsidRPr="00FE5D1C">
        <w:rPr>
          <w:rFonts w:ascii="Calibri" w:eastAsia="Times New Roman" w:hAnsi="Calibri" w:cs="Calibri"/>
          <w:i/>
          <w:iCs/>
          <w:color w:val="000000"/>
          <w:kern w:val="0"/>
          <w:sz w:val="22"/>
          <w:szCs w:val="22"/>
          <w14:ligatures w14:val="none"/>
        </w:rPr>
        <w:t>I. cookei </w:t>
      </w:r>
      <w:r w:rsidRPr="00FE5D1C">
        <w:rPr>
          <w:rFonts w:ascii="Calibri" w:eastAsia="Times New Roman" w:hAnsi="Calibri" w:cs="Calibri"/>
          <w:color w:val="000000"/>
          <w:kern w:val="0"/>
          <w:sz w:val="22"/>
          <w:szCs w:val="22"/>
          <w14:ligatures w14:val="none"/>
        </w:rPr>
        <w:t>and woodchucks and </w:t>
      </w:r>
      <w:r w:rsidRPr="00FE5D1C">
        <w:rPr>
          <w:rFonts w:ascii="Calibri" w:eastAsia="Times New Roman" w:hAnsi="Calibri" w:cs="Calibri"/>
          <w:i/>
          <w:iCs/>
          <w:color w:val="000000"/>
          <w:kern w:val="0"/>
          <w:sz w:val="22"/>
          <w:szCs w:val="22"/>
          <w14:ligatures w14:val="none"/>
        </w:rPr>
        <w:t>I. marxi</w:t>
      </w:r>
      <w:r w:rsidRPr="00FE5D1C">
        <w:rPr>
          <w:rFonts w:ascii="Calibri" w:eastAsia="Times New Roman" w:hAnsi="Calibri" w:cs="Calibri"/>
          <w:color w:val="000000"/>
          <w:kern w:val="0"/>
          <w:sz w:val="22"/>
          <w:szCs w:val="22"/>
          <w14:ligatures w14:val="none"/>
        </w:rPr>
        <w:t> and squirrels, while DTV is maintained between </w:t>
      </w:r>
      <w:r w:rsidRPr="00FE5D1C">
        <w:rPr>
          <w:rFonts w:ascii="Calibri" w:eastAsia="Times New Roman" w:hAnsi="Calibri" w:cs="Calibri"/>
          <w:i/>
          <w:iCs/>
          <w:color w:val="000000"/>
          <w:kern w:val="0"/>
          <w:sz w:val="22"/>
          <w:szCs w:val="22"/>
          <w14:ligatures w14:val="none"/>
        </w:rPr>
        <w:t>I. scapularis</w:t>
      </w:r>
      <w:r w:rsidRPr="00FE5D1C">
        <w:rPr>
          <w:rFonts w:ascii="Calibri" w:eastAsia="Times New Roman" w:hAnsi="Calibri" w:cs="Calibri"/>
          <w:color w:val="000000"/>
          <w:kern w:val="0"/>
          <w:sz w:val="22"/>
          <w:szCs w:val="22"/>
          <w14:ligatures w14:val="none"/>
        </w:rPr>
        <w:t> and small mammals. POWV-1 and DTV, however, have been detected in a range of tick genera. In New York State (NYS) between 2018-2022, POWV-1 was isolated for the first time from </w:t>
      </w:r>
      <w:r w:rsidRPr="00FE5D1C">
        <w:rPr>
          <w:rFonts w:ascii="Calibri" w:eastAsia="Times New Roman" w:hAnsi="Calibri" w:cs="Calibri"/>
          <w:i/>
          <w:iCs/>
          <w:color w:val="000000"/>
          <w:kern w:val="0"/>
          <w:sz w:val="22"/>
          <w:szCs w:val="22"/>
          <w14:ligatures w14:val="none"/>
        </w:rPr>
        <w:t>I. scapularis</w:t>
      </w:r>
      <w:r w:rsidRPr="00FE5D1C">
        <w:rPr>
          <w:rFonts w:ascii="Calibri" w:eastAsia="Times New Roman" w:hAnsi="Calibri" w:cs="Calibri"/>
          <w:color w:val="000000"/>
          <w:kern w:val="0"/>
          <w:sz w:val="22"/>
          <w:szCs w:val="22"/>
          <w14:ligatures w14:val="none"/>
        </w:rPr>
        <w:t> and detected in </w:t>
      </w:r>
      <w:r w:rsidRPr="00FE5D1C">
        <w:rPr>
          <w:rFonts w:ascii="Calibri" w:eastAsia="Times New Roman" w:hAnsi="Calibri" w:cs="Calibri"/>
          <w:i/>
          <w:iCs/>
          <w:color w:val="000000"/>
          <w:kern w:val="0"/>
          <w:sz w:val="22"/>
          <w:szCs w:val="22"/>
          <w14:ligatures w14:val="none"/>
        </w:rPr>
        <w:t>Dermacentor variabilis</w:t>
      </w:r>
      <w:r w:rsidRPr="00FE5D1C">
        <w:rPr>
          <w:rFonts w:ascii="Calibri" w:eastAsia="Times New Roman" w:hAnsi="Calibri" w:cs="Calibri"/>
          <w:color w:val="000000"/>
          <w:kern w:val="0"/>
          <w:sz w:val="22"/>
          <w:szCs w:val="22"/>
          <w14:ligatures w14:val="none"/>
        </w:rPr>
        <w:t>, and DTV was isolated from </w:t>
      </w:r>
      <w:r w:rsidRPr="00FE5D1C">
        <w:rPr>
          <w:rFonts w:ascii="Calibri" w:eastAsia="Times New Roman" w:hAnsi="Calibri" w:cs="Calibri"/>
          <w:i/>
          <w:iCs/>
          <w:color w:val="000000"/>
          <w:kern w:val="0"/>
          <w:sz w:val="22"/>
          <w:szCs w:val="22"/>
          <w14:ligatures w14:val="none"/>
        </w:rPr>
        <w:t>Amblyomma americanum</w:t>
      </w:r>
      <w:r w:rsidRPr="00FE5D1C">
        <w:rPr>
          <w:rFonts w:ascii="Calibri" w:eastAsia="Times New Roman" w:hAnsi="Calibri" w:cs="Calibri"/>
          <w:color w:val="000000"/>
          <w:kern w:val="0"/>
          <w:sz w:val="22"/>
          <w:szCs w:val="22"/>
          <w14:ligatures w14:val="none"/>
        </w:rPr>
        <w:t>. The propensity for POWV-1 and DTV to further adapt to new tick hosts is unknown but could facilitate the emergence of increasingly transmissible strains. To understand host-specific viral fitness of DTV in novel tick hosts, we conducted genetic and phenotypic characterization of </w:t>
      </w:r>
      <w:r w:rsidRPr="00FE5D1C">
        <w:rPr>
          <w:rFonts w:ascii="Calibri" w:eastAsia="Times New Roman" w:hAnsi="Calibri" w:cs="Calibri"/>
          <w:i/>
          <w:iCs/>
          <w:color w:val="000000"/>
          <w:kern w:val="0"/>
          <w:sz w:val="22"/>
          <w:szCs w:val="22"/>
          <w14:ligatures w14:val="none"/>
        </w:rPr>
        <w:t>Amblyomma</w:t>
      </w:r>
      <w:r w:rsidRPr="00FE5D1C">
        <w:rPr>
          <w:rFonts w:ascii="Calibri" w:eastAsia="Times New Roman" w:hAnsi="Calibri" w:cs="Calibri"/>
          <w:color w:val="000000"/>
          <w:kern w:val="0"/>
          <w:sz w:val="22"/>
          <w:szCs w:val="22"/>
          <w14:ligatures w14:val="none"/>
        </w:rPr>
        <w:t>-derived DTV strains from NYS. Genetic results show one strain, DTV NY22-2958, contains a unique substitution in the premembrane (PrM) protein (L268F) and displays a clear fitness advantage in experimentally infected </w:t>
      </w:r>
      <w:r w:rsidRPr="00FE5D1C">
        <w:rPr>
          <w:rFonts w:ascii="Calibri" w:eastAsia="Times New Roman" w:hAnsi="Calibri" w:cs="Calibri"/>
          <w:i/>
          <w:iCs/>
          <w:color w:val="000000"/>
          <w:kern w:val="0"/>
          <w:sz w:val="22"/>
          <w:szCs w:val="22"/>
          <w14:ligatures w14:val="none"/>
        </w:rPr>
        <w:t>A. americanum</w:t>
      </w:r>
      <w:r w:rsidRPr="00FE5D1C">
        <w:rPr>
          <w:rFonts w:ascii="Calibri" w:eastAsia="Times New Roman" w:hAnsi="Calibri" w:cs="Calibri"/>
          <w:color w:val="000000"/>
          <w:kern w:val="0"/>
          <w:sz w:val="22"/>
          <w:szCs w:val="22"/>
          <w14:ligatures w14:val="none"/>
        </w:rPr>
        <w:t> nymphs but not </w:t>
      </w:r>
      <w:r w:rsidRPr="00FE5D1C">
        <w:rPr>
          <w:rFonts w:ascii="Calibri" w:eastAsia="Times New Roman" w:hAnsi="Calibri" w:cs="Calibri"/>
          <w:i/>
          <w:iCs/>
          <w:color w:val="000000"/>
          <w:kern w:val="0"/>
          <w:sz w:val="22"/>
          <w:szCs w:val="22"/>
          <w14:ligatures w14:val="none"/>
        </w:rPr>
        <w:t>I. scapularis</w:t>
      </w:r>
      <w:r w:rsidRPr="00FE5D1C">
        <w:rPr>
          <w:rFonts w:ascii="Calibri" w:eastAsia="Times New Roman" w:hAnsi="Calibri" w:cs="Calibri"/>
          <w:color w:val="000000"/>
          <w:kern w:val="0"/>
          <w:sz w:val="22"/>
          <w:szCs w:val="22"/>
          <w14:ligatures w14:val="none"/>
        </w:rPr>
        <w:t> nymphs. Further work into these tick hosts reveal species-</w:t>
      </w:r>
      <w:r w:rsidRPr="00FE5D1C">
        <w:rPr>
          <w:rFonts w:ascii="Calibri" w:eastAsia="Times New Roman" w:hAnsi="Calibri" w:cs="Calibri"/>
          <w:color w:val="000000"/>
          <w:kern w:val="0"/>
          <w:sz w:val="22"/>
          <w:szCs w:val="22"/>
          <w14:ligatures w14:val="none"/>
        </w:rPr>
        <w:lastRenderedPageBreak/>
        <w:t>specific cholesterol levels, a vital host component known to influence the viral life cycle. These data suggest differing cholesterol levels within ticks may act as an evolutionary driver of DTV when introduced into nontraditional hosts with PrM as a potential target for species-specific viral evolution.</w:t>
      </w:r>
    </w:p>
    <w:p w14:paraId="0C5D9C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25-A-1967-ASTMH</w:t>
      </w:r>
    </w:p>
    <w:p w14:paraId="7E4558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45614533" w14:textId="3FDD349B"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Historic Circulation of Powassan Virus in the American Dog Tick, </w:t>
      </w:r>
      <w:r w:rsidRPr="00FE5D1C">
        <w:rPr>
          <w:rFonts w:ascii="Calibri" w:eastAsia="Times New Roman" w:hAnsi="Calibri" w:cs="Calibri"/>
          <w:i/>
          <w:iCs/>
          <w:color w:val="000000"/>
          <w:kern w:val="0"/>
          <w:sz w:val="22"/>
          <w:szCs w:val="22"/>
          <w14:ligatures w14:val="none"/>
        </w:rPr>
        <w:t>Dermacentor variabilis</w:t>
      </w:r>
      <w:r w:rsidRPr="00FE5D1C">
        <w:rPr>
          <w:rFonts w:ascii="Calibri" w:eastAsia="Times New Roman" w:hAnsi="Calibri" w:cs="Calibri"/>
          <w:color w:val="000000"/>
          <w:kern w:val="0"/>
          <w:sz w:val="22"/>
          <w:szCs w:val="22"/>
          <w14:ligatures w14:val="none"/>
        </w:rPr>
        <w:t>, in New York State</w:t>
      </w:r>
    </w:p>
    <w:p w14:paraId="3FA884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virus (POWV, </w:t>
      </w:r>
      <w:r w:rsidRPr="00FE5D1C">
        <w:rPr>
          <w:rFonts w:ascii="Calibri" w:eastAsia="Times New Roman" w:hAnsi="Calibri" w:cs="Calibri"/>
          <w:i/>
          <w:iCs/>
          <w:color w:val="000000"/>
          <w:kern w:val="0"/>
          <w:sz w:val="22"/>
          <w:szCs w:val="22"/>
          <w14:ligatures w14:val="none"/>
        </w:rPr>
        <w:t>Flaviviridae</w:t>
      </w:r>
      <w:r w:rsidRPr="00FE5D1C">
        <w:rPr>
          <w:rFonts w:ascii="Calibri" w:eastAsia="Times New Roman" w:hAnsi="Calibri" w:cs="Calibri"/>
          <w:color w:val="000000"/>
          <w:kern w:val="0"/>
          <w:sz w:val="22"/>
          <w:szCs w:val="22"/>
          <w14:ligatures w14:val="none"/>
        </w:rPr>
        <w:t>) is a tick-borne virus endemic to North America and Russia. POWV was first recognized in 1958 from a fatal encephalitic case in Canada. Subsequent investigations detected POWV in groundhog ticks, </w:t>
      </w:r>
      <w:r w:rsidRPr="00FE5D1C">
        <w:rPr>
          <w:rFonts w:ascii="Calibri" w:eastAsia="Times New Roman" w:hAnsi="Calibri" w:cs="Calibri"/>
          <w:i/>
          <w:iCs/>
          <w:color w:val="000000"/>
          <w:kern w:val="0"/>
          <w:sz w:val="22"/>
          <w:szCs w:val="22"/>
          <w14:ligatures w14:val="none"/>
        </w:rPr>
        <w:t>Ixodes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cookei</w:t>
      </w:r>
      <w:r w:rsidRPr="00FE5D1C">
        <w:rPr>
          <w:rFonts w:ascii="Calibri" w:eastAsia="Times New Roman" w:hAnsi="Calibri" w:cs="Calibri"/>
          <w:color w:val="000000"/>
          <w:kern w:val="0"/>
          <w:sz w:val="22"/>
          <w:szCs w:val="22"/>
          <w14:ligatures w14:val="none"/>
        </w:rPr>
        <w:t>, and squirrel ticks, </w:t>
      </w:r>
      <w:r w:rsidRPr="00FE5D1C">
        <w:rPr>
          <w:rFonts w:ascii="Calibri" w:eastAsia="Times New Roman" w:hAnsi="Calibri" w:cs="Calibri"/>
          <w:i/>
          <w:iCs/>
          <w:color w:val="000000"/>
          <w:kern w:val="0"/>
          <w:sz w:val="22"/>
          <w:szCs w:val="22"/>
          <w14:ligatures w14:val="none"/>
        </w:rPr>
        <w:t>I. marxi</w:t>
      </w:r>
      <w:r w:rsidRPr="00FE5D1C">
        <w:rPr>
          <w:rFonts w:ascii="Calibri" w:eastAsia="Times New Roman" w:hAnsi="Calibri" w:cs="Calibri"/>
          <w:color w:val="000000"/>
          <w:kern w:val="0"/>
          <w:sz w:val="22"/>
          <w:szCs w:val="22"/>
          <w14:ligatures w14:val="none"/>
        </w:rPr>
        <w:t>, throughout Ontario. In 1997, a similar virus was isolated from deer ticks, </w:t>
      </w:r>
      <w:r w:rsidRPr="00FE5D1C">
        <w:rPr>
          <w:rFonts w:ascii="Calibri" w:eastAsia="Times New Roman" w:hAnsi="Calibri" w:cs="Calibri"/>
          <w:i/>
          <w:iCs/>
          <w:color w:val="000000"/>
          <w:kern w:val="0"/>
          <w:sz w:val="22"/>
          <w:szCs w:val="22"/>
          <w14:ligatures w14:val="none"/>
        </w:rPr>
        <w:t>I. scapularis</w:t>
      </w:r>
      <w:r w:rsidRPr="00FE5D1C">
        <w:rPr>
          <w:rFonts w:ascii="Calibri" w:eastAsia="Times New Roman" w:hAnsi="Calibri" w:cs="Calibri"/>
          <w:color w:val="000000"/>
          <w:kern w:val="0"/>
          <w:sz w:val="22"/>
          <w:szCs w:val="22"/>
          <w14:ligatures w14:val="none"/>
        </w:rPr>
        <w:t>, in New England and determined to be genetically distinct. This revealed the existence of two lineages: lineage 1, Powassan virus (POWV L1) and lineage 2, deer tick virus (DTV or POWV L2); both of which can cause fatal neurological infections in humans. With human cases increasing, enhanced surveillance efforts have reported POWV in diverse tick species beyond </w:t>
      </w:r>
      <w:r w:rsidRPr="00FE5D1C">
        <w:rPr>
          <w:rFonts w:ascii="Calibri" w:eastAsia="Times New Roman" w:hAnsi="Calibri" w:cs="Calibri"/>
          <w:i/>
          <w:iCs/>
          <w:color w:val="000000"/>
          <w:kern w:val="0"/>
          <w:sz w:val="22"/>
          <w:szCs w:val="22"/>
          <w14:ligatures w14:val="none"/>
        </w:rPr>
        <w:t>I. cookei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I. marxi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I. scapularis</w:t>
      </w:r>
      <w:r w:rsidRPr="00FE5D1C">
        <w:rPr>
          <w:rFonts w:ascii="Calibri" w:eastAsia="Times New Roman" w:hAnsi="Calibri" w:cs="Calibri"/>
          <w:color w:val="000000"/>
          <w:kern w:val="0"/>
          <w:sz w:val="22"/>
          <w:szCs w:val="22"/>
          <w14:ligatures w14:val="none"/>
        </w:rPr>
        <w:t>. Of note, POWV L1 was detected in the Rocky Mountain wood tick, </w:t>
      </w:r>
      <w:r w:rsidRPr="00FE5D1C">
        <w:rPr>
          <w:rFonts w:ascii="Calibri" w:eastAsia="Times New Roman" w:hAnsi="Calibri" w:cs="Calibri"/>
          <w:i/>
          <w:iCs/>
          <w:color w:val="000000"/>
          <w:kern w:val="0"/>
          <w:sz w:val="22"/>
          <w:szCs w:val="22"/>
          <w14:ligatures w14:val="none"/>
        </w:rPr>
        <w:t>Dermacentor andersoni</w:t>
      </w:r>
      <w:r w:rsidRPr="00FE5D1C">
        <w:rPr>
          <w:rFonts w:ascii="Calibri" w:eastAsia="Times New Roman" w:hAnsi="Calibri" w:cs="Calibri"/>
          <w:color w:val="000000"/>
          <w:kern w:val="0"/>
          <w:sz w:val="22"/>
          <w:szCs w:val="22"/>
          <w14:ligatures w14:val="none"/>
        </w:rPr>
        <w:t>, in retrospective studies from 1952 in Colorado, and in the American dog tick, </w:t>
      </w:r>
      <w:r w:rsidRPr="00FE5D1C">
        <w:rPr>
          <w:rFonts w:ascii="Calibri" w:eastAsia="Times New Roman" w:hAnsi="Calibri" w:cs="Calibri"/>
          <w:i/>
          <w:iCs/>
          <w:color w:val="000000"/>
          <w:kern w:val="0"/>
          <w:sz w:val="22"/>
          <w:szCs w:val="22"/>
          <w14:ligatures w14:val="none"/>
        </w:rPr>
        <w:t>D. variabilis</w:t>
      </w:r>
      <w:r w:rsidRPr="00FE5D1C">
        <w:rPr>
          <w:rFonts w:ascii="Calibri" w:eastAsia="Times New Roman" w:hAnsi="Calibri" w:cs="Calibri"/>
          <w:color w:val="000000"/>
          <w:kern w:val="0"/>
          <w:sz w:val="22"/>
          <w:szCs w:val="22"/>
          <w14:ligatures w14:val="none"/>
        </w:rPr>
        <w:t>, in 2021 in central New York. These novel findings suggest POWV circulation in a broader range of tick hosts, which could participate in cryptic enzootic cycles. Despite the 1952 and 2021 detections, the ecological and evolutionary history of POWV’s association with </w:t>
      </w:r>
      <w:r w:rsidRPr="00FE5D1C">
        <w:rPr>
          <w:rFonts w:ascii="Calibri" w:eastAsia="Times New Roman" w:hAnsi="Calibri" w:cs="Calibri"/>
          <w:i/>
          <w:iCs/>
          <w:color w:val="000000"/>
          <w:kern w:val="0"/>
          <w:sz w:val="22"/>
          <w:szCs w:val="22"/>
          <w14:ligatures w14:val="none"/>
        </w:rPr>
        <w:t>Dermacentor spp. </w:t>
      </w:r>
      <w:r w:rsidRPr="00FE5D1C">
        <w:rPr>
          <w:rFonts w:ascii="Calibri" w:eastAsia="Times New Roman" w:hAnsi="Calibri" w:cs="Calibri"/>
          <w:color w:val="000000"/>
          <w:kern w:val="0"/>
          <w:sz w:val="22"/>
          <w:szCs w:val="22"/>
          <w14:ligatures w14:val="none"/>
        </w:rPr>
        <w:t>is unknown. Therefore, we aimed to determine the prevalence of POWV L1 and L2 in </w:t>
      </w:r>
      <w:r w:rsidRPr="00FE5D1C">
        <w:rPr>
          <w:rFonts w:ascii="Calibri" w:eastAsia="Times New Roman" w:hAnsi="Calibri" w:cs="Calibri"/>
          <w:i/>
          <w:iCs/>
          <w:color w:val="000000"/>
          <w:kern w:val="0"/>
          <w:sz w:val="22"/>
          <w:szCs w:val="22"/>
          <w14:ligatures w14:val="none"/>
        </w:rPr>
        <w:t>D. variabilis</w:t>
      </w:r>
      <w:r w:rsidRPr="00FE5D1C">
        <w:rPr>
          <w:rFonts w:ascii="Calibri" w:eastAsia="Times New Roman" w:hAnsi="Calibri" w:cs="Calibri"/>
          <w:color w:val="000000"/>
          <w:kern w:val="0"/>
          <w:sz w:val="22"/>
          <w:szCs w:val="22"/>
          <w14:ligatures w14:val="none"/>
        </w:rPr>
        <w:t> throughout New York in archived museum samples dating back to 1948. While POWV prevalence varied across time and location, multiple virus-positive ticks were detected from distinct mammalian hosts; primarily, red foxes (</w:t>
      </w:r>
      <w:r w:rsidRPr="00FE5D1C">
        <w:rPr>
          <w:rFonts w:ascii="Calibri" w:eastAsia="Times New Roman" w:hAnsi="Calibri" w:cs="Calibri"/>
          <w:i/>
          <w:iCs/>
          <w:color w:val="000000"/>
          <w:kern w:val="0"/>
          <w:sz w:val="22"/>
          <w:szCs w:val="22"/>
          <w14:ligatures w14:val="none"/>
        </w:rPr>
        <w:t>Vulpes vulpes</w:t>
      </w:r>
      <w:r w:rsidRPr="00FE5D1C">
        <w:rPr>
          <w:rFonts w:ascii="Calibri" w:eastAsia="Times New Roman" w:hAnsi="Calibri" w:cs="Calibri"/>
          <w:color w:val="000000"/>
          <w:kern w:val="0"/>
          <w:sz w:val="22"/>
          <w:szCs w:val="22"/>
          <w14:ligatures w14:val="none"/>
        </w:rPr>
        <w:t>) and striped skunks (</w:t>
      </w:r>
      <w:r w:rsidRPr="00FE5D1C">
        <w:rPr>
          <w:rFonts w:ascii="Calibri" w:eastAsia="Times New Roman" w:hAnsi="Calibri" w:cs="Calibri"/>
          <w:i/>
          <w:iCs/>
          <w:color w:val="000000"/>
          <w:kern w:val="0"/>
          <w:sz w:val="22"/>
          <w:szCs w:val="22"/>
          <w14:ligatures w14:val="none"/>
        </w:rPr>
        <w:t>Mephitis mephitis</w:t>
      </w:r>
      <w:r w:rsidRPr="00FE5D1C">
        <w:rPr>
          <w:rFonts w:ascii="Calibri" w:eastAsia="Times New Roman" w:hAnsi="Calibri" w:cs="Calibri"/>
          <w:color w:val="000000"/>
          <w:kern w:val="0"/>
          <w:sz w:val="22"/>
          <w:szCs w:val="22"/>
          <w14:ligatures w14:val="none"/>
        </w:rPr>
        <w:t>). Further sequence analysis of these ancestral strains and </w:t>
      </w:r>
      <w:r w:rsidRPr="00FE5D1C">
        <w:rPr>
          <w:rFonts w:ascii="Calibri" w:eastAsia="Times New Roman" w:hAnsi="Calibri" w:cs="Calibri"/>
          <w:i/>
          <w:iCs/>
          <w:color w:val="000000"/>
          <w:kern w:val="0"/>
          <w:sz w:val="22"/>
          <w:szCs w:val="22"/>
          <w14:ligatures w14:val="none"/>
        </w:rPr>
        <w:t>D. variabilis</w:t>
      </w:r>
      <w:r w:rsidRPr="00FE5D1C">
        <w:rPr>
          <w:rFonts w:ascii="Calibri" w:eastAsia="Times New Roman" w:hAnsi="Calibri" w:cs="Calibri"/>
          <w:color w:val="000000"/>
          <w:kern w:val="0"/>
          <w:sz w:val="22"/>
          <w:szCs w:val="22"/>
          <w14:ligatures w14:val="none"/>
        </w:rPr>
        <w:t> mitochondrial genes will help define the population dynamics and evolutionary history of both the virus and this nontraditional tick host in POWV maintenance in nature.</w:t>
      </w:r>
    </w:p>
    <w:p w14:paraId="3EF2ED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25-A-1970-ASTMH</w:t>
      </w:r>
    </w:p>
    <w:p w14:paraId="088BF36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7C065B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Can Social Media Advocacy End HIV stigma among adolescents?</w:t>
      </w:r>
    </w:p>
    <w:p w14:paraId="1AE707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introduction of combined antiretroviral therapy (ART) has revolutionized HIV treatment. However, HIV/AIDS remains a leading cause of mortality among adolescents aged 10-19 globally, with the burden disproportionately high in Sub-Saharan Africa. Adolescents living with HIV (ALWH) often face stigma from peers, family, and society, affecting their ART adherence, mental health, and social integration. The growing engagement of adolescents with social media presents an opportunity for stigma reduction through education and storytelling. This study evaluates the effectiveness of a social media-based anti-HIV stigma advocacy campaign in reducing stigma among adolescents. A pre-post intervention study was conducted using WhatsApp and Twitter to implement a campaign targeting adolescents aged 10-19. A team of 140 medical student volunteers developed and shared educational content, interactive polls, myth-busting posts, and personal stories under the hashtags #TogetherAgainstHIV and #EndTheHIVStigma over three months. Pre- and post-intervention surveys assessed changes in HIV-related knowledge, stigma-related attitudes, and ART adherence (for ALWH). Engagement was measured using likes, shares, comments, and sentiment analysis. Descriptive statistics and paired t-tests were used for quantitative analysis, while thematic analysis was applied to qualitative responses. The campaign reached 8,500 individuals, generating 204 retweets and 308 likes on Twitter. Post-intervention surveys revealed a 30% improvement in attitudes toward people living with HIV and a 70% increase in knowledge of HIV transmission and prevention. WhatsApp allowed in-depth discussions, while Twitter supported broader public engagement. However, sustainability was a challenge, with resurfacing misinformation highlighting the need for social media content moderation. Future efforts will aim to </w:t>
      </w:r>
      <w:r w:rsidRPr="00FE5D1C">
        <w:rPr>
          <w:rFonts w:ascii="Calibri" w:eastAsia="Times New Roman" w:hAnsi="Calibri" w:cs="Calibri"/>
          <w:color w:val="000000"/>
          <w:kern w:val="0"/>
          <w:sz w:val="22"/>
          <w:szCs w:val="22"/>
          <w14:ligatures w14:val="none"/>
        </w:rPr>
        <w:lastRenderedPageBreak/>
        <w:t>scale the program, include more platforms, and partner with influencers to amplify reach and normalize conversations around HIV.</w:t>
      </w:r>
    </w:p>
    <w:p w14:paraId="2C1014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25-A-1971-ASTMH</w:t>
      </w:r>
    </w:p>
    <w:p w14:paraId="7FF232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Systemic Infections</w:t>
      </w:r>
    </w:p>
    <w:p w14:paraId="09771716" w14:textId="2437FF58"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and immunological predictors of paradoxical reactions in patients with tuberculous lymphadenitis</w:t>
      </w:r>
    </w:p>
    <w:p w14:paraId="38BD4BE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Background &amp; Aim:Tuberculous paradoxical reaction in HIV-negative patients is rare and not well understood.This study aimed to determine the incidence of paradoxical reaction(PR)and identify clinical and immunological predictors contributing to its development.Methods:Patients with tuberculous lymphadenitis on anti-tuberculous therapy were monitored for PR.Clinical,histopathological,microbiological,and immunological parameters of PR((n=10)and no PR or NPR((n=66)groups were analysed at baseline,2 ,and 6 months.Peripheral blood mononuclear cells from PR((n=9)and NPR((n=13)patients were stimulated with TB-ESAT peptide,and mRNA expressions of cytokines((IL-4,IL-10,IL-12,TNF-α,IFN-γ)and transcription factors((T-bet,GATA-3)were quantified.Results:PR incidence was 5.7%((4/70);6 patients presented with PR at baseline.The mean PR onset was 3.25 months.Absence of necrosis at baseline was a significant predictor((OR:0.069;p=0.039).IL-10 mRNA at 2 months and IL-12 mRNA at 6 months increased in the PR compared to NPR((p=0.05).In PR,baseline T-bet mRNA correlated with IFN-γ((r=0.79,p&lt;0.01)and TNF-α((baseline:r=0.97,p&lt;0.000;2 months:r=0.86,p&lt;0.002).In NPR,T-bet mRNA correlated with IFN-γ and TNF-α at all time points((p&lt;0.05),while GATA-3 mRNA correlated with IL-4 and IL-10 at 2 and 6 months((p&lt;0.05).Conclusion:Differential Th1/Th2 regulation driven by transcriptional factors alters cytokine expression,influencing PR.Further transcriptomic/proteomic studies are needed to elucidate immune mechanisms for precise therapeutic intervention</w:t>
      </w:r>
    </w:p>
    <w:p w14:paraId="5116D8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25-A-1972-ASTMH</w:t>
      </w:r>
    </w:p>
    <w:p w14:paraId="7476EE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11A0F89C" w14:textId="134B8F10"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Spatial distribution and Insecticide Resistance pattern of </w:t>
      </w:r>
      <w:r w:rsidRPr="00FE5D1C">
        <w:rPr>
          <w:rFonts w:ascii="Calibri" w:eastAsia="Times New Roman" w:hAnsi="Calibri" w:cs="Calibri"/>
          <w:b/>
          <w:bCs/>
          <w:i/>
          <w:iCs/>
          <w:color w:val="000000"/>
          <w:kern w:val="0"/>
          <w:sz w:val="22"/>
          <w:szCs w:val="22"/>
          <w14:ligatures w14:val="none"/>
        </w:rPr>
        <w:t>Aedes</w:t>
      </w:r>
      <w:r w:rsidRPr="00FE5D1C">
        <w:rPr>
          <w:rFonts w:ascii="Calibri" w:eastAsia="Times New Roman" w:hAnsi="Calibri" w:cs="Calibri"/>
          <w:b/>
          <w:bCs/>
          <w:color w:val="000000"/>
          <w:kern w:val="0"/>
          <w:sz w:val="22"/>
          <w:szCs w:val="22"/>
          <w14:ligatures w14:val="none"/>
        </w:rPr>
        <w:t> mosquitoes from an area with increased cases of Yellow Fever in Nigeria: a call to action</w:t>
      </w:r>
    </w:p>
    <w:p w14:paraId="676E3D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resistance poses a major challenge to vector control in Africa. In Nigeria, the increasing incidence of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-transmitted yellow fever is a growing concern. A successful control strategy requires a thorough understanding of mosquito dynamics to reduce transmission. This study examined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distribution and resistance patterns in Oyo State, a yellow fever hotspot. From November 2023 to October 2024, a total of 2,175 adult mosquitoes were collected both indoors, using pyrethrum spray catch, and outdoors, using BioGents and CDC UV baited traps, across four local government areas (LGAs) (Ibadan North, Ibadan Northwest, Saki West and Oyo West). Immature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were collected from eight LGAs: four urban (Akinyele, Oluyole, Ibadan North, Lagelu) and four rural (Saki West, Atiba, Iseyin, Ogbomosho South). Morphological identification of adults from larval collections showed that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was the dominant species, constituting 92.3% of the total mosquitoes in seven LGAs, while </w:t>
      </w:r>
      <w:r w:rsidRPr="00FE5D1C">
        <w:rPr>
          <w:rFonts w:ascii="Calibri" w:eastAsia="Times New Roman" w:hAnsi="Calibri" w:cs="Calibri"/>
          <w:i/>
          <w:iCs/>
          <w:color w:val="000000"/>
          <w:kern w:val="0"/>
          <w:sz w:val="22"/>
          <w:szCs w:val="22"/>
          <w14:ligatures w14:val="none"/>
        </w:rPr>
        <w:t>Ae. vittatus</w:t>
      </w:r>
      <w:r w:rsidRPr="00FE5D1C">
        <w:rPr>
          <w:rFonts w:ascii="Calibri" w:eastAsia="Times New Roman" w:hAnsi="Calibri" w:cs="Calibri"/>
          <w:color w:val="000000"/>
          <w:kern w:val="0"/>
          <w:sz w:val="22"/>
          <w:szCs w:val="22"/>
          <w14:ligatures w14:val="none"/>
        </w:rPr>
        <w:t> made up 7.7% in the northern part of the state. In the adult traps,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was the most prevalent species (86.56%) in all four LGAs, followed by </w:t>
      </w:r>
      <w:r w:rsidRPr="00FE5D1C">
        <w:rPr>
          <w:rFonts w:ascii="Calibri" w:eastAsia="Times New Roman" w:hAnsi="Calibri" w:cs="Calibri"/>
          <w:i/>
          <w:iCs/>
          <w:color w:val="000000"/>
          <w:kern w:val="0"/>
          <w:sz w:val="22"/>
          <w:szCs w:val="22"/>
          <w14:ligatures w14:val="none"/>
        </w:rPr>
        <w:t>Ae. albopictus</w:t>
      </w:r>
      <w:r w:rsidRPr="00FE5D1C">
        <w:rPr>
          <w:rFonts w:ascii="Calibri" w:eastAsia="Times New Roman" w:hAnsi="Calibri" w:cs="Calibri"/>
          <w:color w:val="000000"/>
          <w:kern w:val="0"/>
          <w:sz w:val="22"/>
          <w:szCs w:val="22"/>
          <w14:ligatures w14:val="none"/>
        </w:rPr>
        <w:t> (12.77%) and </w:t>
      </w:r>
      <w:r w:rsidRPr="00FE5D1C">
        <w:rPr>
          <w:rFonts w:ascii="Calibri" w:eastAsia="Times New Roman" w:hAnsi="Calibri" w:cs="Calibri"/>
          <w:i/>
          <w:iCs/>
          <w:color w:val="000000"/>
          <w:kern w:val="0"/>
          <w:sz w:val="22"/>
          <w:szCs w:val="22"/>
          <w14:ligatures w14:val="none"/>
        </w:rPr>
        <w:t>Ae. vittatus</w:t>
      </w:r>
      <w:r w:rsidRPr="00FE5D1C">
        <w:rPr>
          <w:rFonts w:ascii="Calibri" w:eastAsia="Times New Roman" w:hAnsi="Calibri" w:cs="Calibri"/>
          <w:color w:val="000000"/>
          <w:kern w:val="0"/>
          <w:sz w:val="22"/>
          <w:szCs w:val="22"/>
          <w14:ligatures w14:val="none"/>
        </w:rPr>
        <w:t> (0.67%). A total of 5,200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were exposed to six insecticides from the eight LGAs. Three-to-five-day-old adults were exposed to pyrethroids (Permethrin, Deltamethrin), organochlorines (DDT), organophosphates (Fenitrothion, Malathion), and carbamates (Bendiocarb), following WHO protocols. Mosquitoes were highly resistant to DDT (15-92% mortality) but mildly resistant to pyrethroids (Permethrin 94-100% mortality). However, mosquitoes were susceptible to organophosphates and bendiocarb, resulting in 100% mortality across all sites. The study highlights the diversity of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xml:space="preserve"> species and pyrethroid resistance, which may be contributing to the increasing yellow fever cases in Oyo State. This resistance poses challenges for controlling outbreaks and </w:t>
      </w:r>
      <w:r w:rsidRPr="00FE5D1C">
        <w:rPr>
          <w:rFonts w:ascii="Calibri" w:eastAsia="Times New Roman" w:hAnsi="Calibri" w:cs="Calibri"/>
          <w:color w:val="000000"/>
          <w:kern w:val="0"/>
          <w:sz w:val="22"/>
          <w:szCs w:val="22"/>
          <w14:ligatures w14:val="none"/>
        </w:rPr>
        <w:lastRenderedPageBreak/>
        <w:t>addressing future health threats. To safeguard public health, it is crucial to focus on insecticide resistance management and develop new, effective vector control tools.</w:t>
      </w:r>
    </w:p>
    <w:p w14:paraId="0B2FE1F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25-A-1973-ASTMH</w:t>
      </w:r>
    </w:p>
    <w:p w14:paraId="46FD93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091B3694" w14:textId="54BC2636"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 investment to good to be true: An assessment of official return on investments for global pandemic preparedness and response</w:t>
      </w:r>
    </w:p>
    <w:p w14:paraId="740973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World Health Organization, World Bank, Group of Twenty and key international health organizations have requested investments of US$31.1 billion per year in pandemic preparedness and response. These include US$26.4 from low- and middle-income countries and an additional US$10.5 in new overseas development assistance. To justify these unprecedented costs, these institutions have relied on two return-on-investment cases by the World Health Organization / World Bank and the G20 High Level Independent Panel on Pandemic Preparedness.</w:t>
      </w:r>
      <w:r w:rsidRPr="00FE5D1C">
        <w:rPr>
          <w:rFonts w:ascii="Calibri" w:eastAsia="Times New Roman" w:hAnsi="Calibri" w:cs="Calibri"/>
          <w:color w:val="000000"/>
          <w:kern w:val="0"/>
          <w:sz w:val="22"/>
          <w:szCs w:val="22"/>
          <w14:ligatures w14:val="none"/>
        </w:rPr>
        <w:br/>
        <w:t>An examination of these return-on-investment cases reveals the use of problematic assumptions, crude baselines for comparison, and a failure to properly examine wider economic impacts and disease burdens. These assumptions inflate returns on investment. Issues include the assumption that pandemic investment can mitigate one hundred percent of economic impacts, the comparative combined economic impact of HIV, tuberculosis and malaria grossly underestimated at US$22 billion a year, no disaggregation between direct and indirect pandemic costs, and the assumption that an effective vaccine that can stop transmission will be developed within one year of an outbreak.</w:t>
      </w:r>
      <w:r w:rsidRPr="00FE5D1C">
        <w:rPr>
          <w:rFonts w:ascii="Calibri" w:eastAsia="Times New Roman" w:hAnsi="Calibri" w:cs="Calibri"/>
          <w:color w:val="000000"/>
          <w:kern w:val="0"/>
          <w:sz w:val="22"/>
          <w:szCs w:val="22"/>
          <w14:ligatures w14:val="none"/>
        </w:rPr>
        <w:br/>
        <w:t>Given the identified shortcomings involved with the return-on-investment cases presented by these key global institutions to justify unprecedented financial requests, it becomes important for policymakers to understand the limitations of these investment cases, as well as to reflect upon the associated implications and opportunity costs for wider global health.</w:t>
      </w:r>
    </w:p>
    <w:p w14:paraId="29AE52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25-A-1974-ASTMH</w:t>
      </w:r>
    </w:p>
    <w:p w14:paraId="1FAD5B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589548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Renforcement de la surveillance intégrée de la lèpre et des maladies tropicales négligées cutanées en République de Guinée : examen des cas contacts de la lèpre mb intégré au dépistage des MTN cutanées dans le DPS de Guinée forestière.</w:t>
      </w:r>
    </w:p>
    <w:p w14:paraId="721416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Leprosy, scabies and Buruli ulcer are co-endemic neglected tropical skin diseases in Guinea, which has reached the leprosy elimination threshold. Unfortunately, screening for these and other cutaneous NTDs is still delayed. The proportion of grade 2 leprosy disabilities is high (14%), as is that of multi-bacillary cases (over 94%).It is in this context that Guinea, with the technical and financial support of the WHO and the Sasakawa Foundation, has been conducting an active search for MB leprosy cases. This intervention is part of the surveillance of these NTDs. The activity was carried out using an integrated approach in the Forest Guinea region.The main objective of these interventions was to strengthen the integrated surveillance of cutaneous NTDs based on the implementation of examinations of contacts of index cases of MB leprosy.Once the areas had been targeted using data analysis, social mobilisation was organised to obtain the involvement and support of community leaders and the target population. The data was processed and analysed using free Excel software.Thirteen health workers were trained in screening and dermatological examination. A total of 1053 contacts were screened around 98 index cases, i.e. around 8 contacts per index case.Among the 1053 contacts examined, 5 new cases of leprosy were identified, including 2 children. Six (06) cases of chronic ulcers were detected, of which 03 were swabbed for PCR. No cases of Buruli ulcer were confirmed by PCR. No cases of yaws were confirmed following screening tests on 54 skin lesions. After examination, 11 cases were detected, as well as one (01) case of mycetoma. As regards common skin lesions, 34 mycoses, 6 erysipelas, 6 eczemas, 2 vitiligos, one case of panariasis, one case of cyst and one case of diabetic foot were detected.</w:t>
      </w:r>
    </w:p>
    <w:p w14:paraId="079D30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25-A-1975-ASTMH</w:t>
      </w:r>
    </w:p>
    <w:p w14:paraId="34486C9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Malaria - Antimalarial Resistance and Chemotherapy</w:t>
      </w:r>
    </w:p>
    <w:p w14:paraId="597998FE" w14:textId="5112D7CF"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Treatment of partial artemisinin-resistant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 malaria with pyronaridine-artesunate (Pyramax</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b/>
          <w:bCs/>
          <w:color w:val="000000"/>
          <w:kern w:val="0"/>
          <w:sz w:val="22"/>
          <w:szCs w:val="22"/>
          <w14:ligatures w14:val="none"/>
        </w:rPr>
        <w:t>) in Gia Lai province Vietnam</w:t>
      </w:r>
    </w:p>
    <w:p w14:paraId="28EF29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Since 2020, the artemisinin-based combination therapy of pyronaridine-artesunate (Pyramax®) has been the first-line treatment of</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uncomplicated</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malaria in Vietnam. In accordance with WHO recommendations that first-line treatment antimalarial regimens should be evaluated at least once every 2 years, we conducted a therapeutic efficacy study of Pyramax® in Gia Lai Province, Central Vietnam for the treatment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malaria in 2022 to 2023. In an open-label, single-arm trial, Pyramax® was administered to 120 patients (adults and children)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Patients received Pyramax® once daily for 3 days, dosed according to body weight, plus single-dose primaquine (0.25 mg/kg) on Day 0. Patient’s Day 7 blood pyronaridine concentrations were measured to determine drug exposure. After Pyramax® treatment the proportion of patients with adequate clinical and parasitological response per-protocol with PCR-adjustment at Day 42 was 92.5% (95% CI: 85.5 to 96.2; 98/106). The median parasite and fever clearance times were 84 h (range: 24 to 132) and 36 h (range: 12 to 108), respectively. The median (IQR) parasite clearance half-life was 7.4 h (6.3 to 8.4), with 50.4% (60/119) of patients’ blood film positive at Day 3 after commencing treatment suggestive of partial artemisinin resistance. The eight patients who experienced a recrudescence of infection had lower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=0.065) blood pyronaridine concentrations (median 33.3 ng/mL, range: 12.4 to 90.5) compared to the 95 patients who were malaria-free by Day 42 (median 47.6 ng/mL, range: 10.6 to 123.0). Although Pyramax® remains efficacious in treating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the lower pyronaridine concentrations in those patients who recrudesced is of concern with reduced exposure of the long acting pyronaridine.</w:t>
      </w:r>
    </w:p>
    <w:p w14:paraId="7A1637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25-A-1976-ASTMH</w:t>
      </w:r>
    </w:p>
    <w:p w14:paraId="415D47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329D42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Comparative study of the quality and stability of the same batch of artemether-lumefantrine sampled on receipt and 6 months later under storage conditions in health facilities in Benin in 2024.</w:t>
      </w:r>
    </w:p>
    <w:p w14:paraId="55FE25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quality and stability of antimalarial drugs in emerging countries has long been a major concern. Drug quality can be affected by poor or fraudulent manufacturing processes, while drug stability can be affected by storage conditions. A quality control activity was carried out on receipt and after 6 months' storage in health centers of the same batch of artemether-lumefantrine 20/120 mg. The aim was to study the quality and stability of artemether-lumefantrine 20/120 mg under storage conditions in Benin's health facilities in 2024. A sample of 17 blister packs from a batch of 06 tablets of artemether-lumefantrine 20/120 mg was taken under controlled temperature and humidity conditions in a warehouse upon receipt. Six months later, a sample of the same batch of artemether-lumefantrine 20/120 mg was taken under ambient conditions in health facilities in Benin. Active ingredients were analyzed by thin-layer chromatography, nuclear magnetic resonance and infrared spectroscopy. The reference used is the European Pharmacopoeia, 6th edition. The results of the batch control on receipt were as follows: the physical appearance of the tablet showed a yellow, round, flat tablet. The average weight was 255.9 mg [243.1- 268.7 mg]. Mass uniformity was 0 [≥5%]. Disaggregation time was 5 min 01 s [≤ 15mn]. Active ingredient identification was positive according to USP 42. The active ingredient content was 19.9MG for artemether [19.6 - 20.4 mg] and 121.0 mg for lumefantrine [117.6 - 122.4] according to the internal monograph. The results of the control of the same batch after 6 months of storage in health centers are as follows: The physical appearance of the tablet was yellow, round and flat. The average weight was 255.8 mg [243.1- 268.7 mg]. Mass uniformity was 0 [≥5%]. Disaggregation time was 5 min 02 s [≤ 15mn]. Active ingredient identification was positive according to USP 42. The active ingredient content was 19.8MG for artemether [19.6 - 20.4 mg] and 121.1 mg for lumefantrine [117.6 - 122.4]. These results show that artemether-lumefantrine samples stored under ambient conditions in healthcare facilities were stable after 6 months.</w:t>
      </w:r>
    </w:p>
    <w:p w14:paraId="11EDDC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25-A-1977-ASTMH</w:t>
      </w:r>
    </w:p>
    <w:p w14:paraId="6D33CC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Malaria - Antimalarial Resistance and Chemotherapy</w:t>
      </w:r>
    </w:p>
    <w:p w14:paraId="7735F6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Emerging Molecular Markers Of Resistance To Piperaquine And Lumefantrine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From The Brazilian Amazon Raises Concerns For Cross-Border Control Efforts</w:t>
      </w:r>
    </w:p>
    <w:p w14:paraId="6C42EB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malaria remains a major health challenge in the Brazilian Amazon, particularly among mobile and underserved populations such as Indigenous peoples and gold miners. Despite nationwide efforts to eliminate malaria through artemisinin-based combination therapies (ACTs), the irregular and unsupervised use of antimalarials, especially piperaquine (PPQ)-containing drugs like dihydroartemisinin-piperaquine (Artecom), has increased selective pressure on parasite populations, heightening resistance risk. This study aimed to characterize the profile of molecular markers of antimalarial resistance in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isolates from patients diagnosed in Boa Vista, Roraima, a key entry point for imported cases from neighboring endemic countries. Between 2016 and 2020, 99 patients with confirmed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monoinfection were enrolled. Genetic analysis was conducted using qPCR, Sanger sequencing and next-generation sequencing, focusing on polymorphisms in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pfcrt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pfk13</w:t>
      </w:r>
      <w:r w:rsidRPr="00FE5D1C">
        <w:rPr>
          <w:rFonts w:ascii="Calibri" w:eastAsia="Times New Roman" w:hAnsi="Calibri" w:cs="Calibri"/>
          <w:color w:val="000000"/>
          <w:kern w:val="0"/>
          <w:sz w:val="22"/>
          <w:szCs w:val="22"/>
          <w14:ligatures w14:val="none"/>
        </w:rPr>
        <w:t>, as well as copy number variations (CNVs) in </w:t>
      </w:r>
      <w:r w:rsidRPr="00FE5D1C">
        <w:rPr>
          <w:rFonts w:ascii="Calibri" w:eastAsia="Times New Roman" w:hAnsi="Calibri" w:cs="Calibri"/>
          <w:i/>
          <w:iCs/>
          <w:color w:val="000000"/>
          <w:kern w:val="0"/>
          <w:sz w:val="22"/>
          <w:szCs w:val="22"/>
          <w14:ligatures w14:val="none"/>
        </w:rPr>
        <w:t>pfpm2</w:t>
      </w:r>
      <w:r w:rsidRPr="00FE5D1C">
        <w:rPr>
          <w:rFonts w:ascii="Calibri" w:eastAsia="Times New Roman" w:hAnsi="Calibri" w:cs="Calibri"/>
          <w:color w:val="000000"/>
          <w:kern w:val="0"/>
          <w:sz w:val="22"/>
          <w:szCs w:val="22"/>
          <w14:ligatures w14:val="none"/>
        </w:rPr>
        <w:t> and</w:t>
      </w:r>
      <w:r w:rsidRPr="00FE5D1C">
        <w:rPr>
          <w:rFonts w:ascii="Calibri" w:eastAsia="Times New Roman" w:hAnsi="Calibri" w:cs="Calibri"/>
          <w:i/>
          <w:iCs/>
          <w:color w:val="000000"/>
          <w:kern w:val="0"/>
          <w:sz w:val="22"/>
          <w:szCs w:val="22"/>
          <w14:ligatures w14:val="none"/>
        </w:rPr>
        <w:t> pfpm3</w:t>
      </w:r>
      <w:r w:rsidRPr="00FE5D1C">
        <w:rPr>
          <w:rFonts w:ascii="Calibri" w:eastAsia="Times New Roman" w:hAnsi="Calibri" w:cs="Calibri"/>
          <w:color w:val="000000"/>
          <w:kern w:val="0"/>
          <w:sz w:val="22"/>
          <w:szCs w:val="22"/>
          <w14:ligatures w14:val="none"/>
        </w:rPr>
        <w:t>. We report, to our knowledge for the first time in Brazil, the detection of the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NFD haplotype (N86, 184F, D1246), a marker of reduced susceptibility to lumefantrine (LUM), part Brazil’s first-line ACT. Additionally, CNVs associated with PPQ resistance were observed in 5% (</w:t>
      </w:r>
      <w:r w:rsidRPr="00FE5D1C">
        <w:rPr>
          <w:rFonts w:ascii="Calibri" w:eastAsia="Times New Roman" w:hAnsi="Calibri" w:cs="Calibri"/>
          <w:i/>
          <w:iCs/>
          <w:color w:val="000000"/>
          <w:kern w:val="0"/>
          <w:sz w:val="22"/>
          <w:szCs w:val="22"/>
          <w14:ligatures w14:val="none"/>
        </w:rPr>
        <w:t>pfpm2</w:t>
      </w:r>
      <w:r w:rsidRPr="00FE5D1C">
        <w:rPr>
          <w:rFonts w:ascii="Calibri" w:eastAsia="Times New Roman" w:hAnsi="Calibri" w:cs="Calibri"/>
          <w:color w:val="000000"/>
          <w:kern w:val="0"/>
          <w:sz w:val="22"/>
          <w:szCs w:val="22"/>
          <w14:ligatures w14:val="none"/>
        </w:rPr>
        <w:t>) and 4% (</w:t>
      </w:r>
      <w:r w:rsidRPr="00FE5D1C">
        <w:rPr>
          <w:rFonts w:ascii="Calibri" w:eastAsia="Times New Roman" w:hAnsi="Calibri" w:cs="Calibri"/>
          <w:i/>
          <w:iCs/>
          <w:color w:val="000000"/>
          <w:kern w:val="0"/>
          <w:sz w:val="22"/>
          <w:szCs w:val="22"/>
          <w14:ligatures w14:val="none"/>
        </w:rPr>
        <w:t>pfpm3</w:t>
      </w:r>
      <w:r w:rsidRPr="00FE5D1C">
        <w:rPr>
          <w:rFonts w:ascii="Calibri" w:eastAsia="Times New Roman" w:hAnsi="Calibri" w:cs="Calibri"/>
          <w:color w:val="000000"/>
          <w:kern w:val="0"/>
          <w:sz w:val="22"/>
          <w:szCs w:val="22"/>
          <w14:ligatures w14:val="none"/>
        </w:rPr>
        <w:t>) of isolates, with 3% showing amplification of both genes. The </w:t>
      </w:r>
      <w:r w:rsidRPr="00FE5D1C">
        <w:rPr>
          <w:rFonts w:ascii="Calibri" w:eastAsia="Times New Roman" w:hAnsi="Calibri" w:cs="Calibri"/>
          <w:i/>
          <w:iCs/>
          <w:color w:val="000000"/>
          <w:kern w:val="0"/>
          <w:sz w:val="22"/>
          <w:szCs w:val="22"/>
          <w14:ligatures w14:val="none"/>
        </w:rPr>
        <w:t>pfcrt</w:t>
      </w:r>
      <w:r w:rsidRPr="00FE5D1C">
        <w:rPr>
          <w:rFonts w:ascii="Calibri" w:eastAsia="Times New Roman" w:hAnsi="Calibri" w:cs="Calibri"/>
          <w:color w:val="000000"/>
          <w:kern w:val="0"/>
          <w:sz w:val="22"/>
          <w:szCs w:val="22"/>
          <w14:ligatures w14:val="none"/>
        </w:rPr>
        <w:t>-C350R mutation, previously linked to PPQ resistance, was detected in 7% of samples, over twice the frequency previously documented in Brazil, suggesting a potential recent expansion. These findings raise concerns about the emergence and local circulation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strains with reduced sensitivity to ACT partner drugs. In a region where drug misuse and cross-border transmission are common, this molecular evidence highlights the urgent need to expand genomic surveillance and promote coordinated regional responses. The identification of both NFD in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and CNVs in </w:t>
      </w:r>
      <w:r w:rsidRPr="00FE5D1C">
        <w:rPr>
          <w:rFonts w:ascii="Calibri" w:eastAsia="Times New Roman" w:hAnsi="Calibri" w:cs="Calibri"/>
          <w:i/>
          <w:iCs/>
          <w:color w:val="000000"/>
          <w:kern w:val="0"/>
          <w:sz w:val="22"/>
          <w:szCs w:val="22"/>
          <w14:ligatures w14:val="none"/>
        </w:rPr>
        <w:t>pfpm2/3</w:t>
      </w:r>
      <w:r w:rsidRPr="00FE5D1C">
        <w:rPr>
          <w:rFonts w:ascii="Calibri" w:eastAsia="Times New Roman" w:hAnsi="Calibri" w:cs="Calibri"/>
          <w:color w:val="000000"/>
          <w:kern w:val="0"/>
          <w:sz w:val="22"/>
          <w:szCs w:val="22"/>
          <w14:ligatures w14:val="none"/>
        </w:rPr>
        <w:t> is an early warning of ACT partner drug tolerance, which could compromise Brazil’s malaria elimination goals if left unaddressed.</w:t>
      </w:r>
    </w:p>
    <w:p w14:paraId="5E5E1B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25-A-1978-ASTMH</w:t>
      </w:r>
    </w:p>
    <w:p w14:paraId="5B52D91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145F39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Prevalence and factors associated with latent rheumatic heart disease among young adults in Akwa Ibom State: A community-based cross-sectional study.</w:t>
      </w:r>
    </w:p>
    <w:p w14:paraId="2429C3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 Nigeria, little is known about latent rheumatic heart disease (LRHD) in adults (16-40 years),which tends to progress with associated significant morbidity and mortality. Prevalence, patterns, and risk factors of LRHD among young Nigerian adults was conducted between January 2023 and June 2024. Subjects were selected using a multistage method. Inclusion criteria were young adults and informed consent. Exclusion criteria were congenital heart disease and heart failure. Age, gender, marital status, ethnicity, education, occupation, alcohol consumption, tobacco use, exercise, and fruit and vegetable consumption, as well as height, weight, and waist and hip circumferences, were obtained from the participants. BMI and WHR were calculated. Sono Scape E2 with 3P-A probe(1.0-6.0 MHz) was used. Images were acquired with standard protocol, and diagnosis was based on 2023 WHF Criteria. SPSS 22 was used for analysis. Categorical data is expressed as percentages and continuous as means ± SD. These were compared between those with RHD and those without RHD using independent T-test and Chi-square tests respectively at P-value &lt; 0.05. Association between RHD status and independent variables was determined. Ethical approval obtained. Data of 650 of 709 subjects recruited were analyzed; others were excluded due to incomplete data (28), older age (17), or symptomatic (13). Mean age was 28.82±6.83years, and 61.8% were females. 5.4% of subjects had latent RHD, 30 were stage B, 2 had AR, while the rest showed MR. All stage C cases were MR. At univariate, age, regular fruit consumption(RFC), MV E/e, EF, and LVMI were significantly associated with LRHD (all p-values &lt;0.5). At multivariate, RFC (OR 0.18, 95% CI 0.07-0.48, p .001), HTN (OR 4.48, 95%CI 1.16-17.35, p .030), EF (OR0.93, 95% CI 0.89-0.98, p .009) and LVMI (OR 1.03, 95% CI 1.02-1.05, p .000) were predictors. LRHD is prevalent among young Nigerian adults, and MR is frequent. Regular consumption of fruits appears to </w:t>
      </w:r>
      <w:r w:rsidRPr="00FE5D1C">
        <w:rPr>
          <w:rFonts w:ascii="Calibri" w:eastAsia="Times New Roman" w:hAnsi="Calibri" w:cs="Calibri"/>
          <w:color w:val="000000"/>
          <w:kern w:val="0"/>
          <w:sz w:val="22"/>
          <w:szCs w:val="22"/>
          <w14:ligatures w14:val="none"/>
        </w:rPr>
        <w:lastRenderedPageBreak/>
        <w:t>be protective, while HTN is likely to increase risk 4 times.Lower EF and higher LVMI might predict latent RHD in young adults. Regular screening for LRHD is recommended in endemic areas.</w:t>
      </w:r>
    </w:p>
    <w:p w14:paraId="712D21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25-A-1979-ASTMH</w:t>
      </w:r>
    </w:p>
    <w:p w14:paraId="6B7723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548942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Trends and Risk Factors For Visceral Leishmaniasis Among Women of Childbearing Age in Pastoral Communities of Baringo County, Kenya</w:t>
      </w:r>
    </w:p>
    <w:p w14:paraId="30D3B3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Visceral leishmaniasis (VL) is a neglected tropical disease (NTD) with a 95% fatality rate if left untreated and disproportionately affects East Africa, particularly Kenya, where 4,000 cases occur annually. VL, like other NTDs, is an infection that women are especially susceptible to due to certain biological and sociocultural gender-based factors that contribute to the deprivation of their health and economic potential, further promoting gender inequality. However, there remains a gap concerning the gender-specific risk factors of VL on women because of the underrepresentation of women in NTD studies. This study targeted part of the endemic region, Baringo County, Kenya, where cross-sectional and retrospective study designs were implemented. Data collection took place from July 30 to November 15, 2024, at Chemolingot Sub-County Hospital and at patients’ homes via accessing the hospital’s medical records and implementing questionnaires to female VL patients previously treated and currently infected. The analysis of data identified key risk factors to VL, including lack of education, inadequate protective clothing, distance from nearest health facility, and household duties that exposed women to sand flies during peak exposure hours, among other commonalities. Results support an urgent need for targeted interventions to address these risk factors, including improved accessibility to health facilities, increased education, and prevention measures, both in the hospital and in the communities. These efforts must be gender-sensitive, recognizing the specific barriers faced by women in the prevention and management of VL. The study advocates for the integration of female-focused VL control programs to address health disparities and close knowledge gaps for women in endemic regions.</w:t>
      </w:r>
    </w:p>
    <w:p w14:paraId="4487A1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25-A-1981-ASTMH</w:t>
      </w:r>
    </w:p>
    <w:p w14:paraId="22563C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6165ED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Factors associated with the acceptability of malaria clinical trial in southern Benin</w:t>
      </w:r>
    </w:p>
    <w:p w14:paraId="1E4751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a major public health problem in sub-Saharan Africa, requiring robust clinical trials. In southern Benin, particularly in the Allada-Zé-Toffo health zone, numerous malaria trials have been conducted, the most recent of which is the ASAAP trial, a multicentre trial evaluating triple versus dual therapy in children. The success of these trials depends on community acceptance. The aim of this study is to examine the factors influencing community acceptance of the ASAAP project in the commune of Zè. To assess community acceptability, a community survey of 430 household heads was conducted between January 2024 and February 2024. Households were selected by stratified random sampling in 4 villages of Dodji-bata. Questionnaires were administered to the household heads. Scores were assigned to assess levels of knowledge, attitudes, and practices using the Essi Marie José and Njoya Oudou method. Perceptions of blood collection and financial compensation were also evaluated.The vast majority (97%) of respondents were married and the majority were not in education (56%). The majority were Christians (82%).Herbal tea was the first choice for 67% of the study population when they had a fever. Economic status, distance from home to the clinical trial site, reception by trial staff, expected health benefits, and financial compensation were also factors influencing the acceptability of a clinical trial. The acceptability of a clinical trial is the result of a complex interpretation by the community of the existing incentives, blood collection, and actual management of malaria cases</w:t>
      </w:r>
    </w:p>
    <w:p w14:paraId="311EAE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25-A-1982-ASTMH</w:t>
      </w:r>
    </w:p>
    <w:p w14:paraId="0114FC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D197A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REMOVED FROM PROGRAM 7880 High Cases of Diphtheria in Indonesia: Twelve Years Report from East Java Province</w:t>
      </w:r>
    </w:p>
    <w:p w14:paraId="758F55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Indonesia is currently ranked second in the world in diphtheria cases. East Java province has the most cases in this country. Despite many efforts to solve the problem, the high number of diphtheria cases has continued for at least twelve years. This study aims to explain the diphtheria situation in East Java Province since 2013. This cross-sectional surveillance report-based study used data from 38 districts in East Java from 1 January 2013 until 31 December 2024. Collected data included demographics, clinical information, additional examinations, immunization history, and close contact management. The reports were collected daily, weekly, and monthly at the provincial health office. The inclusion criteria for this report were: had a diagnosis of diphtheria and live in East Java province. Based on the national guidelines, diphtheria-confirmed cases could be based on microbiological culture or a consensus decision from the National Diphtheria Expert Committee. There were 4221 cases during twelve years, and 53.9% were male. The biggest age group was 1-18 (2868=68.1%), especially between 60 and 145 months. The older adults and infant groups were only 1.2% and 1%, respectively. The majority of cases were tonsillopharyngeal diphtheria. The case fatality rate was 2.2% (94/4221). Districts or cities with the most cases were Surabaya, Malang, Blitar, Sidoarjo, and Bangkalan. Cases from the west and south regions were predominant. Microbiological cultures were positive in only 13.39% of patients, dominated by biotype mitis and gravis. Around 20% of cases had complete immunization by age (based on parental memory). Cases from pre-, during, and after the pandemic era were 3408, 333, and 480 patients, respectively. In conclusion, the high number of diphtheria cases in East Java Province continues. Low immunization coverage may still be the main cause. Most patients were children and adolescents with incomplete or zero immunization status. The number of patients after the pandemic era was already similar to that before 2020. Better efforts are needed to resolve this problem in the future.</w:t>
      </w:r>
    </w:p>
    <w:p w14:paraId="16BE10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25-A-1983-ASTMH</w:t>
      </w:r>
    </w:p>
    <w:p w14:paraId="148DBE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Immunology (Including Leishmania and Trypanosomes)</w:t>
      </w:r>
    </w:p>
    <w:p w14:paraId="1CBFCC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Neuroinflammatory responses induced by Trypansoma cruzi in a murine model</w:t>
      </w:r>
    </w:p>
    <w:p w14:paraId="0527D3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Trypanosoma cruzi (TC)</w:t>
      </w:r>
      <w:r w:rsidRPr="00FE5D1C">
        <w:rPr>
          <w:rFonts w:ascii="Calibri" w:eastAsia="Times New Roman" w:hAnsi="Calibri" w:cs="Calibri"/>
          <w:color w:val="000000"/>
          <w:kern w:val="0"/>
          <w:sz w:val="22"/>
          <w:szCs w:val="22"/>
          <w14:ligatures w14:val="none"/>
        </w:rPr>
        <w:t> is a vector-borne intracellular parasite that is responsible for Chagas disease (CD): a neglected illness that mainly affects low and middle-income countries. Chronic TC</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infections are traditionally associated with fatal cardiomyopathies and gastric motility disorders that develop due to the inflammation that the parasite causes in these tissues. The cytokines Interleukin-6 (IL-6) and tumor necrosis alpha (TNF-a) have been detected in both cardiac and gastrointestinal tissues confirming inflammation as the parasite’s strategy for causing significant damage in these organs. Clinical manifestations of central nervous system (CNS) damage such as meningoencephalitis, dementia and motor deficits have been widely reported during both acute and chronic CD. This is especially common in HIV-positive patients, where CD has been reported to cause encephalitis with high mortality rate. Yet, CNS symptoms and their causes in immunocompetent patients have rarely been researched. It is unknown if these clinical signs are associated with the parasite directly invading nervous tissue or if inflammatory mediators are penetrating the blood-brain barrier and leading to further injury. Mechanisms used by the parasite to damage the CNS remain poorly understood and little is known about the interplay between the immune system and Chagas-affected brain tissue. One of the main cell types that react to parasitic neurotropism are astrocytes, a parenchymal cell of the CNS that increases the inflammatory state of nervous tissue through the release of inflammatory chemokines</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During astrogliosis, glial fibrillary acidic protein and neurofilament light protein are also released, indicating loss of astrocytic structure. Both IL-6 and TNF-a are expressed by reactive astrocytes and upregulated in other neurogenerative diseases such as Alzheimer’s disease and Trypanosoma brucei where elevated levels of both cytokines are associated with both cognitive decline and brain inflammation. </w:t>
      </w:r>
      <w:r w:rsidRPr="00FE5D1C">
        <w:rPr>
          <w:rFonts w:ascii="Calibri" w:eastAsia="Times New Roman" w:hAnsi="Calibri" w:cs="Calibri"/>
          <w:color w:val="000000"/>
          <w:kern w:val="0"/>
          <w:sz w:val="22"/>
          <w:szCs w:val="22"/>
          <w:u w:val="single"/>
          <w14:ligatures w14:val="none"/>
        </w:rPr>
        <w:t>Our study explores how CD induced expression of IL-6 and TNF-a leads to damage of the brain.</w:t>
      </w:r>
    </w:p>
    <w:p w14:paraId="63E82F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25-A-1984-ASTMH</w:t>
      </w:r>
    </w:p>
    <w:p w14:paraId="5D7824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Clinical Tropical Medicine</w:t>
      </w:r>
    </w:p>
    <w:p w14:paraId="651F391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Epidemiology, clinical pattern, and outcomes of dengue infection among immunocompromised individuals: a systematic review and meta-analysis</w:t>
      </w:r>
    </w:p>
    <w:p w14:paraId="79DE41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u w:val="single"/>
          <w14:ligatures w14:val="none"/>
        </w:rPr>
        <w:t>Background</w:t>
      </w:r>
      <w:r w:rsidRPr="00FE5D1C">
        <w:rPr>
          <w:rFonts w:ascii="Calibri" w:eastAsia="Times New Roman" w:hAnsi="Calibri" w:cs="Calibri"/>
          <w:color w:val="000000"/>
          <w:kern w:val="0"/>
          <w:sz w:val="22"/>
          <w:szCs w:val="22"/>
          <w14:ligatures w14:val="none"/>
        </w:rPr>
        <w:t>: Dengue infection in immunocompromised population is not well-studied while both dengue infection and immunocompromised population are exponentially increasing. </w:t>
      </w:r>
      <w:r w:rsidRPr="00FE5D1C">
        <w:rPr>
          <w:rFonts w:ascii="Calibri" w:eastAsia="Times New Roman" w:hAnsi="Calibri" w:cs="Calibri"/>
          <w:color w:val="000000"/>
          <w:kern w:val="0"/>
          <w:sz w:val="22"/>
          <w:szCs w:val="22"/>
          <w:u w:val="single"/>
          <w14:ligatures w14:val="none"/>
        </w:rPr>
        <w:t>Objective</w:t>
      </w:r>
      <w:r w:rsidRPr="00FE5D1C">
        <w:rPr>
          <w:rFonts w:ascii="Calibri" w:eastAsia="Times New Roman" w:hAnsi="Calibri" w:cs="Calibri"/>
          <w:color w:val="000000"/>
          <w:kern w:val="0"/>
          <w:sz w:val="22"/>
          <w:szCs w:val="22"/>
          <w14:ligatures w14:val="none"/>
        </w:rPr>
        <w:t>: To estimate the prevalence of dengue infection and proportion of severe dengue, and to describe clinical presentation, source of infection, and length of viremia or viruria in immunocompromised population. </w:t>
      </w:r>
      <w:r w:rsidRPr="00FE5D1C">
        <w:rPr>
          <w:rFonts w:ascii="Calibri" w:eastAsia="Times New Roman" w:hAnsi="Calibri" w:cs="Calibri"/>
          <w:color w:val="000000"/>
          <w:kern w:val="0"/>
          <w:sz w:val="22"/>
          <w:szCs w:val="22"/>
          <w:u w:val="single"/>
          <w14:ligatures w14:val="none"/>
        </w:rPr>
        <w:t>Methods</w:t>
      </w:r>
      <w:r w:rsidRPr="00FE5D1C">
        <w:rPr>
          <w:rFonts w:ascii="Calibri" w:eastAsia="Times New Roman" w:hAnsi="Calibri" w:cs="Calibri"/>
          <w:color w:val="000000"/>
          <w:kern w:val="0"/>
          <w:sz w:val="22"/>
          <w:szCs w:val="22"/>
          <w14:ligatures w14:val="none"/>
        </w:rPr>
        <w:t>: Systematic review and meta-analysis of studies reporting dengue prevalence or dengue clinical outcomes was performed. Non-human studies or review articles were excluded. ROBINS-E tool was used for quality assessment. </w:t>
      </w:r>
      <w:r w:rsidRPr="00FE5D1C">
        <w:rPr>
          <w:rFonts w:ascii="Calibri" w:eastAsia="Times New Roman" w:hAnsi="Calibri" w:cs="Calibri"/>
          <w:color w:val="000000"/>
          <w:kern w:val="0"/>
          <w:sz w:val="22"/>
          <w:szCs w:val="22"/>
          <w:u w:val="single"/>
          <w14:ligatures w14:val="none"/>
        </w:rPr>
        <w:t>Results</w:t>
      </w:r>
      <w:r w:rsidRPr="00FE5D1C">
        <w:rPr>
          <w:rFonts w:ascii="Calibri" w:eastAsia="Times New Roman" w:hAnsi="Calibri" w:cs="Calibri"/>
          <w:color w:val="000000"/>
          <w:kern w:val="0"/>
          <w:sz w:val="22"/>
          <w:szCs w:val="22"/>
          <w14:ligatures w14:val="none"/>
        </w:rPr>
        <w:t>: 86 studies were included, 64 had very high risk of bias. Meta-analysis of 6,619 immunocompromised individuals estimated prevalence with 95% confidence interval of 0.01 [0.01–0.04]. There were 1,162 patients with dengue infection 1,116 were adults aged &gt;18 years. Of 1,162, 664 had underlying autoimmune diseases, 368 post-solid organ transplant (SOT), 20 post-stem cell transplant (HSCT), 28 hematological malignancies, 24 non-hematological malignancies, and 58 HIV infected individuals. The estimates of severe dengue and mortality were 0.27 [0.22–0.33] and 0.14 [0.10–0.18]. These numbers decreased to 0.16 [0.09–0.27] and 0.04 [0.03–0.05] when studies with very high risk of bias or with sample size of less than 10 were excluded. Thirty patients had atypical presentation varied from no fever to prolonged fever more than 7 days, bone marrow failure, hemophagocytic lymphohistiocytosis, encephalitis, rhabdomyolysis, or choroiditis. Among 396 transplant recipients, 23 (5.8%) had dengue infection early post-transplant from donors. Fatality was 66.7% in case of HSCT, and 10% in SOT. Dengue RNA can be detected up to 4 months in blood and 2 years in urine. Virus could also be isolated from urine at 9 months post infection.</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color w:val="000000"/>
          <w:kern w:val="0"/>
          <w:sz w:val="22"/>
          <w:szCs w:val="22"/>
          <w:u w:val="single"/>
          <w14:ligatures w14:val="none"/>
        </w:rPr>
        <w:t>Conclusions</w:t>
      </w:r>
      <w:r w:rsidRPr="00FE5D1C">
        <w:rPr>
          <w:rFonts w:ascii="Calibri" w:eastAsia="Times New Roman" w:hAnsi="Calibri" w:cs="Calibri"/>
          <w:color w:val="000000"/>
          <w:kern w:val="0"/>
          <w:sz w:val="22"/>
          <w:szCs w:val="22"/>
          <w14:ligatures w14:val="none"/>
        </w:rPr>
        <w:t>: Dengue in immunocompromised is associated with significant severity and some evidence of persistent infection.</w:t>
      </w:r>
    </w:p>
    <w:p w14:paraId="5E943D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25-A-1986-ASTMH</w:t>
      </w:r>
    </w:p>
    <w:p w14:paraId="77F8C8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1E3CC0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Epidemiology of malaria in military and civilian populations at a military base in Lae, Papua New Guinea</w:t>
      </w:r>
    </w:p>
    <w:p w14:paraId="1BB219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public health concern in Papua New Guinea (PNG) and poses a considerable force health protection challenge for both PNG and Australian Defence Forces. To investigate the epidemiology and diagnostic challenges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in military and civilian populations residing at Igam Barracks in Lae, PNG, a cross-sectional survey was conducted in April 2024. A total of 864 participants were enrolled, comprising 186 military personnel and 678 civilians. All were asymptomatic at time of survey. Blood samples were collected from each participant and tested for malaria parasites by a rapid diagnostic test (RDT), microscopy, loop-mediated isothermal amplification (LAMP) and qPCR. The overall prevalence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as determined by qPCR, was 12.4% in military personnel and 8.4% in civilians.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was the dominant species in both military and civilian populations, accounting for 86.9% and 82.5%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respectively. The study also found that approximately 60.9% of military and 42.1% of civilian infections were sub-microscopic and detected only by qPCR or LAMP, highlighting the challenges to identify low-density infections using microscopy and RDTs. LAMP results were comparable to qPCR in the military population, offering an alternative diagnostic method for detecting sub-microscopic infections in the field. The prevalence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was not significantly different between the military and civilian populations when using the same diagnostic method. Infection rates between adults (≥16 years old) and children (&lt;15 years old) within the civilian population were also comparable. For all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positive samples, Kelch13 gene was examined to detect artemisinin partial resistance markers. These findings underscore the need for implementing malaria intervention strategies including education, vector control and radical cure, to reduce malaria transmission and burden in both military and civilian populations in Lae, PNG.</w:t>
      </w:r>
    </w:p>
    <w:p w14:paraId="1A7FF7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25-A-1987-ASTMH</w:t>
      </w:r>
    </w:p>
    <w:p w14:paraId="3A4ACE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(Epidemiology)</w:t>
      </w:r>
    </w:p>
    <w:p w14:paraId="62D178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Parasitological, and Entomological Evaluation of Onchocerciasis in Three Ivermectin-Naive Communities in Ijebu Northeast LGA, Ogun State, Southwest Nigeria</w:t>
      </w:r>
    </w:p>
    <w:p w14:paraId="1900753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Onchocerciasis, caused by </w:t>
      </w:r>
      <w:r w:rsidRPr="00FE5D1C">
        <w:rPr>
          <w:rFonts w:ascii="Calibri" w:eastAsia="Times New Roman" w:hAnsi="Calibri" w:cs="Calibri"/>
          <w:i/>
          <w:iCs/>
          <w:color w:val="000000"/>
          <w:kern w:val="0"/>
          <w:sz w:val="22"/>
          <w:szCs w:val="22"/>
          <w14:ligatures w14:val="none"/>
        </w:rPr>
        <w:t>Onchocerca volvulus</w:t>
      </w:r>
      <w:r w:rsidRPr="00FE5D1C">
        <w:rPr>
          <w:rFonts w:ascii="Calibri" w:eastAsia="Times New Roman" w:hAnsi="Calibri" w:cs="Calibri"/>
          <w:color w:val="000000"/>
          <w:kern w:val="0"/>
          <w:sz w:val="22"/>
          <w:szCs w:val="22"/>
          <w14:ligatures w14:val="none"/>
        </w:rPr>
        <w:t>, remains a significant public health issue in Nigeria, contributing to morbidity and socioeconomic burden. Current control efforts focus on preventive chemotherapy (PC) with ivermectin in endemic areas. However, expanding interventions to all at-risk communities is vital to achieving the World Health Organization’s (WHO) 2030 elimination targets. This study evaluated the distribution of </w:t>
      </w:r>
      <w:r w:rsidRPr="00FE5D1C">
        <w:rPr>
          <w:rFonts w:ascii="Calibri" w:eastAsia="Times New Roman" w:hAnsi="Calibri" w:cs="Calibri"/>
          <w:i/>
          <w:iCs/>
          <w:color w:val="000000"/>
          <w:kern w:val="0"/>
          <w:sz w:val="22"/>
          <w:szCs w:val="22"/>
          <w14:ligatures w14:val="none"/>
        </w:rPr>
        <w:t>O. volvulus</w:t>
      </w:r>
      <w:r w:rsidRPr="00FE5D1C">
        <w:rPr>
          <w:rFonts w:ascii="Calibri" w:eastAsia="Times New Roman" w:hAnsi="Calibri" w:cs="Calibri"/>
          <w:color w:val="000000"/>
          <w:kern w:val="0"/>
          <w:sz w:val="22"/>
          <w:szCs w:val="22"/>
          <w14:ligatures w14:val="none"/>
        </w:rPr>
        <w:t> microfilariae,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blackfly populations, clinical signs, and transmission in three ivermectin-naïve communities (Idode, Orunwa, and Igede) in Ijebu Northeast, Ogun State. A total of 230 participants aged 5-70 years were examined clinically, skin-snipped for microfilariae, and tested for onchocerciasis antigen using the O-150 pooled screen assay. Monthly blackfly collections (February 2023-January 2024) were used to assess vector abundance, monthly biting rate (MBR), and annual transmission potential (ATP). Clinical signs observed included visual impairment (0.9%; 95% CI: 0.1%-3.3%), onchodermatitis (4.8%; 95% CI: 2.4%-8.4%), and nodules (9.1%; 95% CI: 5.7%-13.8%), mainly in adults ≥50 years. Microfilaria prevalence was 10.0% (95% CI: 6.3%-14.9%), while O-150 antigen detection was 14.8% (95% CI: 10.4%-20.3%). The 21-30 age group had the highest infection rate (20.0%; 95% CI: 10.0%-34.3%). A total of 418 blackflies were collected, with peak abundance (73%; 95% CI: 68.7%-77.1%) in November-December. MBR peaked at 1,260 bites/person/month in October and rose to 1,890 bites/person/month by December. No infected flies were found, resulting in an ATP of 0%. Community surveys showed 69% were unaware of breeding sites (95% CI: 62.9%-74.6%), 87% lacked prevention knowledge (95% CI: 82.0%-91.0%), and 58.7% did not know blackflies transmit the disease (95% CI: 52.1%-64.9%). These findings confirmed the endemicity of onchocerciasis and the presence of breeding blackflies in the study communities. Therefore, the inclusion of Ijebu Northeast LGA in ivermectin PC programmes is recommended to support national elimination efforts.</w:t>
      </w:r>
    </w:p>
    <w:p w14:paraId="419E94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25-A-1989-ASTMH</w:t>
      </w:r>
    </w:p>
    <w:p w14:paraId="7BB3EF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40F9FA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Human-water interactions associated with cercarial emergence pattern and their influences on urinary schistosomiasis transmission in two endemic areas in Mali</w:t>
      </w:r>
    </w:p>
    <w:p w14:paraId="510BA0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Rural populations use natural water sources for numerous activities, such as laundry, agriculture, fishing, and swimming. Limited studies have specifically examined the connections between definitive hosts, intermediate hosts, and human water contact activities. This study aimed to investigate human-water interactions and their effects on urinary schistosomiasis transmission. We carried out a prospective cross-sectional study of a parasitological survey of schoolchildren in September 2021 quantitative observational study of HWC of these activities- along with cercarial chronobiology research conducted on naturally infected snails in September 2022. Molecular genotyping of cercariae using RD-PCR targeting the Cox1 region and ARMS-PCR targeting the ITS and 18S regions was undertaken. The HWC involved 97 participants, with domestic activities 62.9% identified as the leading risk factor for exposure to unsafe surface water p&lt;0.001. significant correlation was observed between the presence of blood in urine and water-contact activities p&lt;0.001. The emission pattern of schistosome cercariae showed two or three different emission modes. The percentage of recreational activities decreased with age, while that of domestic and professional activities increased p&lt;0.001. We collected 378 shellfish samples, of which 7.1% were identified as carriers of schistosome cercariae. Natural infestation rates ranged from 15.0% at Fangouné Bamanan to 3.3% at Diakalel. Early and late emergence peaks of hybrid cercariae were negatively correlated with the presence of populations at HWC points. In contrast, mid-day emergence peaks associated with pure strains coincided with the frequentation of water points (p&lt;0.001). Our study showed that domestic activity was the main source of cercarial exposure. Two to three cercarial emission patterns associated with early, midday, and late diurnal peaks were observed in Diakalèl and Fangouné Bamanan, respectively. The water frequentation by human populations </w:t>
      </w:r>
      <w:r w:rsidRPr="00FE5D1C">
        <w:rPr>
          <w:rFonts w:ascii="Calibri" w:eastAsia="Times New Roman" w:hAnsi="Calibri" w:cs="Calibri"/>
          <w:color w:val="000000"/>
          <w:kern w:val="0"/>
          <w:sz w:val="22"/>
          <w:szCs w:val="22"/>
          <w14:ligatures w14:val="none"/>
        </w:rPr>
        <w:lastRenderedPageBreak/>
        <w:t>influenced the period of parasite emission genotypes (hybrid or pure). Human plays a key role in the schistosomiasis transmission generally</w:t>
      </w:r>
    </w:p>
    <w:p w14:paraId="462470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25-A-1990-ASTMH</w:t>
      </w:r>
    </w:p>
    <w:p w14:paraId="7F008A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52C0DB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Antimicrobial Potential of </w:t>
      </w:r>
      <w:r w:rsidRPr="00FE5D1C">
        <w:rPr>
          <w:rFonts w:ascii="Calibri" w:eastAsia="Times New Roman" w:hAnsi="Calibri" w:cs="Calibri"/>
          <w:i/>
          <w:iCs/>
          <w:color w:val="000000"/>
          <w:kern w:val="0"/>
          <w:sz w:val="22"/>
          <w:szCs w:val="22"/>
          <w14:ligatures w14:val="none"/>
        </w:rPr>
        <w:t>Catha Edulis</w:t>
      </w:r>
      <w:r w:rsidRPr="00FE5D1C">
        <w:rPr>
          <w:rFonts w:ascii="Calibri" w:eastAsia="Times New Roman" w:hAnsi="Calibri" w:cs="Calibri"/>
          <w:color w:val="000000"/>
          <w:kern w:val="0"/>
          <w:sz w:val="22"/>
          <w:szCs w:val="22"/>
          <w14:ligatures w14:val="none"/>
        </w:rPr>
        <w:t> Forsk. Against </w:t>
      </w:r>
      <w:r w:rsidRPr="00FE5D1C">
        <w:rPr>
          <w:rFonts w:ascii="Calibri" w:eastAsia="Times New Roman" w:hAnsi="Calibri" w:cs="Calibri"/>
          <w:i/>
          <w:iCs/>
          <w:color w:val="000000"/>
          <w:kern w:val="0"/>
          <w:sz w:val="22"/>
          <w:szCs w:val="22"/>
          <w14:ligatures w14:val="none"/>
        </w:rPr>
        <w:t>Neisseria gonorrhoeae</w:t>
      </w:r>
      <w:r w:rsidRPr="00FE5D1C">
        <w:rPr>
          <w:rFonts w:ascii="Calibri" w:eastAsia="Times New Roman" w:hAnsi="Calibri" w:cs="Calibri"/>
          <w:color w:val="000000"/>
          <w:kern w:val="0"/>
          <w:sz w:val="22"/>
          <w:szCs w:val="22"/>
          <w14:ligatures w14:val="none"/>
        </w:rPr>
        <w:t> and Common Bacterial Species.</w:t>
      </w:r>
    </w:p>
    <w:p w14:paraId="4BB475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Neisseria gonorrhea has shown resistance to antibiotics on and on. Besides other things, gonorrhea increases susceptibility to HIV (Human Immuno-deficiency Virus). Neisseria gonorrhea is currently susceptible to the third-generation medicine of Ceftriaxone, there is an undefined time until it also becomes resistant to it, and therefore, alternate ways of producing antibacterial against it are appearing. Medicinal plants are significant and need critical attention as plants consist of crucial compounds beneficial for such diseases. Two solvents 80% Ethanol and 95% n-hexane are used for extraction of secondary metabolite content by using maceration for at least 3 days with frequent agitation until the soluble matter gets dissolved then by using agar well diffusion the plant extract is applied to inoculum bacteria. Chat, being a natural herb, can now be a possible alternative to inhibit the growth of Neisseria gonorrhea, S. aureus because the chat contains antioxidant and anti-inflammatory components like tannin, flavonoids, polyphenolic compounds zone of inhibition was compared between two chat strains and the Gurage chat has many effects. In this study, Chat's anti-microbial activity was undertaken. The result showed potential anti-bacterial effects of Catha edulis extracts against the bacterial strains of N. gonorrhea, E. coli, and S. aureus.</w:t>
      </w:r>
    </w:p>
    <w:p w14:paraId="650643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25-A-1991-ASTMH</w:t>
      </w:r>
    </w:p>
    <w:p w14:paraId="3C5494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13C32A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Safety of primaquine for the radical cure of Plasmodium vivax in Ethiopia and Madagascar, results of a large scale cluster randomised intervention study.</w:t>
      </w:r>
    </w:p>
    <w:p w14:paraId="414618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malaria contributes significantly to the burden of malaria in Northeast Africa and Madagascar. Radical cure of </w:t>
      </w:r>
      <w:r w:rsidRPr="00FE5D1C">
        <w:rPr>
          <w:rFonts w:ascii="Calibri" w:eastAsia="Times New Roman" w:hAnsi="Calibri" w:cs="Calibri"/>
          <w:i/>
          <w:iCs/>
          <w:color w:val="000000"/>
          <w:kern w:val="0"/>
          <w:sz w:val="22"/>
          <w:szCs w:val="22"/>
          <w14:ligatures w14:val="none"/>
        </w:rPr>
        <w:t>P. vivax </w:t>
      </w:r>
      <w:r w:rsidRPr="00FE5D1C">
        <w:rPr>
          <w:rFonts w:ascii="Calibri" w:eastAsia="Times New Roman" w:hAnsi="Calibri" w:cs="Calibri"/>
          <w:color w:val="000000"/>
          <w:kern w:val="0"/>
          <w:sz w:val="22"/>
          <w:szCs w:val="22"/>
          <w14:ligatures w14:val="none"/>
        </w:rPr>
        <w:t>involves the use of 8-aminoquinolines such as primaquine. The risk of primaquine induced hemolysis is a barrier towards the implementation of primaquine based mass drug administration for the elimination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as the use of 8-aminoquinolines in G6PD deficient patients can result in hemolysis. Point of care (POC) testing of G6PD enzyme activity reduces the risk of hemolysis. However, misinterpretation or incorrect use of these POC tests could result in drug induced hemolysis. Furthermore, females carrying one gene conferring G6PD deficiency (heterozygous) could suffer significant hemolysis, even if semi-quantitative POC tests indicate intermediate or normal G6PD enzyme activity. Data on the safety of large-scale deployment of 8-aminoquinolines in areas were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and G6PD deficiency co-occur are needed. In the PvSTATEM study, which starts in April 2025, blood samples of over 12,000 participants in the Mandoto district in Madagascar and the Shashamene district in Ethiopia are tested for the presence of serological markers of a recent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infection. All participants with positive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serology are reidentified for treatment. G6PD enzyme activity is assessed using the STANDARD G6PD Test (SD Biosensor), and all participants with a G6PD enzyme activity above 4.0 U/gram Hb are treated with chloroquine (Ethiopia) or artesunate-amodiaquine (Madagascar) plus primaquine (both countries, 0.5mg/kg for 7 days). All participants are assessed for hemolysis by reviewing symptoms, urine color and hemoglobin levels at day 1, 4 and 7 of primaquine treatment. We expect 40% serology positivity, resulting in treating around 4,800 individuals. The prevalence of genes conferring G6PD deficiency is 7.9% in Madagascar and 0.2% in Ethiopia. We will present the results on the safety of primaquine treatment in our study, with a specific focus on the safety of primaquine in women with intermediate G6PD enzyme activity in both Madagascar and Ethiopia.</w:t>
      </w:r>
    </w:p>
    <w:p w14:paraId="39232C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25-A-1992-ASTMH</w:t>
      </w:r>
    </w:p>
    <w:p w14:paraId="155D68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Bacteriology - Antimicrobial Resistance</w:t>
      </w:r>
    </w:p>
    <w:p w14:paraId="3B8A73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Phenotypic and Genomic characterisation of Shigella isolates from under five children in Lusaka, Zambia</w:t>
      </w:r>
    </w:p>
    <w:p w14:paraId="4974B5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Shigella</w:t>
      </w:r>
      <w:r w:rsidRPr="00FE5D1C">
        <w:rPr>
          <w:rFonts w:ascii="Calibri" w:eastAsia="Times New Roman" w:hAnsi="Calibri" w:cs="Calibri"/>
          <w:color w:val="000000"/>
          <w:kern w:val="0"/>
          <w:sz w:val="22"/>
          <w:szCs w:val="22"/>
          <w14:ligatures w14:val="none"/>
        </w:rPr>
        <w:t> is a leading pathogenic causes of childhood diarrhea in lower-middle-income countries (LMICs), with reports of increasing antimicrobial resistance. However, data on this pathogen from high-burden regions is limited. We conducted a community </w:t>
      </w:r>
      <w:r w:rsidRPr="00FE5D1C">
        <w:rPr>
          <w:rFonts w:ascii="Calibri" w:eastAsia="Times New Roman" w:hAnsi="Calibri" w:cs="Calibri"/>
          <w:i/>
          <w:iCs/>
          <w:color w:val="000000"/>
          <w:kern w:val="0"/>
          <w:sz w:val="22"/>
          <w:szCs w:val="22"/>
          <w14:ligatures w14:val="none"/>
        </w:rPr>
        <w:t>Shigella</w:t>
      </w:r>
      <w:r w:rsidRPr="00FE5D1C">
        <w:rPr>
          <w:rFonts w:ascii="Calibri" w:eastAsia="Times New Roman" w:hAnsi="Calibri" w:cs="Calibri"/>
          <w:color w:val="000000"/>
          <w:kern w:val="0"/>
          <w:sz w:val="22"/>
          <w:szCs w:val="22"/>
          <w14:ligatures w14:val="none"/>
        </w:rPr>
        <w:t> surveillance study in under-five children to determine the burden and genomic characteristics of local</w:t>
      </w:r>
      <w:r w:rsidRPr="00FE5D1C">
        <w:rPr>
          <w:rFonts w:ascii="Calibri" w:eastAsia="Times New Roman" w:hAnsi="Calibri" w:cs="Calibri"/>
          <w:i/>
          <w:iCs/>
          <w:color w:val="000000"/>
          <w:kern w:val="0"/>
          <w:sz w:val="22"/>
          <w:szCs w:val="22"/>
          <w14:ligatures w14:val="none"/>
        </w:rPr>
        <w:t> Shigella</w:t>
      </w:r>
      <w:r w:rsidRPr="00FE5D1C">
        <w:rPr>
          <w:rFonts w:ascii="Calibri" w:eastAsia="Times New Roman" w:hAnsi="Calibri" w:cs="Calibri"/>
          <w:color w:val="000000"/>
          <w:kern w:val="0"/>
          <w:sz w:val="22"/>
          <w:szCs w:val="22"/>
          <w14:ligatures w14:val="none"/>
        </w:rPr>
        <w:t> strains. Whole-genome sequencing was used to determine the genomic characteristics. Phenotypic antimicrobial susceptibility testing was conducted using the Phoenix™ Automated Microbiology System, and results were interpreted using the Clinical and Laboratory Standards Institute (CLSI M100). 22 shigella isolates were genomically classified as </w:t>
      </w:r>
      <w:r w:rsidRPr="00FE5D1C">
        <w:rPr>
          <w:rFonts w:ascii="Calibri" w:eastAsia="Times New Roman" w:hAnsi="Calibri" w:cs="Calibri"/>
          <w:i/>
          <w:iCs/>
          <w:color w:val="000000"/>
          <w:kern w:val="0"/>
          <w:sz w:val="22"/>
          <w:szCs w:val="22"/>
          <w14:ligatures w14:val="none"/>
        </w:rPr>
        <w:t>S. flexneri</w:t>
      </w:r>
      <w:r w:rsidRPr="00FE5D1C">
        <w:rPr>
          <w:rFonts w:ascii="Calibri" w:eastAsia="Times New Roman" w:hAnsi="Calibri" w:cs="Calibri"/>
          <w:color w:val="000000"/>
          <w:kern w:val="0"/>
          <w:sz w:val="22"/>
          <w:szCs w:val="22"/>
          <w14:ligatures w14:val="none"/>
        </w:rPr>
        <w:t> (n=10), </w:t>
      </w:r>
      <w:r w:rsidRPr="00FE5D1C">
        <w:rPr>
          <w:rFonts w:ascii="Calibri" w:eastAsia="Times New Roman" w:hAnsi="Calibri" w:cs="Calibri"/>
          <w:i/>
          <w:iCs/>
          <w:color w:val="000000"/>
          <w:kern w:val="0"/>
          <w:sz w:val="22"/>
          <w:szCs w:val="22"/>
          <w14:ligatures w14:val="none"/>
        </w:rPr>
        <w:t>S. sonnei</w:t>
      </w:r>
      <w:r w:rsidRPr="00FE5D1C">
        <w:rPr>
          <w:rFonts w:ascii="Calibri" w:eastAsia="Times New Roman" w:hAnsi="Calibri" w:cs="Calibri"/>
          <w:color w:val="000000"/>
          <w:kern w:val="0"/>
          <w:sz w:val="22"/>
          <w:szCs w:val="22"/>
          <w14:ligatures w14:val="none"/>
        </w:rPr>
        <w:t> (n=9), and </w:t>
      </w:r>
      <w:r w:rsidRPr="00FE5D1C">
        <w:rPr>
          <w:rFonts w:ascii="Calibri" w:eastAsia="Times New Roman" w:hAnsi="Calibri" w:cs="Calibri"/>
          <w:i/>
          <w:iCs/>
          <w:color w:val="000000"/>
          <w:kern w:val="0"/>
          <w:sz w:val="22"/>
          <w:szCs w:val="22"/>
          <w14:ligatures w14:val="none"/>
        </w:rPr>
        <w:t>S. boydii</w:t>
      </w:r>
      <w:r w:rsidRPr="00FE5D1C">
        <w:rPr>
          <w:rFonts w:ascii="Calibri" w:eastAsia="Times New Roman" w:hAnsi="Calibri" w:cs="Calibri"/>
          <w:color w:val="000000"/>
          <w:kern w:val="0"/>
          <w:sz w:val="22"/>
          <w:szCs w:val="22"/>
          <w14:ligatures w14:val="none"/>
        </w:rPr>
        <w:t> (n=3). Phylogenetic analysis revealed three </w:t>
      </w:r>
      <w:r w:rsidRPr="00FE5D1C">
        <w:rPr>
          <w:rFonts w:ascii="Calibri" w:eastAsia="Times New Roman" w:hAnsi="Calibri" w:cs="Calibri"/>
          <w:i/>
          <w:iCs/>
          <w:color w:val="000000"/>
          <w:kern w:val="0"/>
          <w:sz w:val="22"/>
          <w:szCs w:val="22"/>
          <w14:ligatures w14:val="none"/>
        </w:rPr>
        <w:t>S. flexneri</w:t>
      </w:r>
      <w:r w:rsidRPr="00FE5D1C">
        <w:rPr>
          <w:rFonts w:ascii="Calibri" w:eastAsia="Times New Roman" w:hAnsi="Calibri" w:cs="Calibri"/>
          <w:color w:val="000000"/>
          <w:kern w:val="0"/>
          <w:sz w:val="22"/>
          <w:szCs w:val="22"/>
          <w14:ligatures w14:val="none"/>
        </w:rPr>
        <w:t> isolates belonged to phylogroup 1 (PG1), five in PG3 and 2 in PG2. The </w:t>
      </w:r>
      <w:r w:rsidRPr="00FE5D1C">
        <w:rPr>
          <w:rFonts w:ascii="Calibri" w:eastAsia="Times New Roman" w:hAnsi="Calibri" w:cs="Calibri"/>
          <w:i/>
          <w:iCs/>
          <w:color w:val="000000"/>
          <w:kern w:val="0"/>
          <w:sz w:val="22"/>
          <w:szCs w:val="22"/>
          <w14:ligatures w14:val="none"/>
        </w:rPr>
        <w:t>S. sonnei </w:t>
      </w:r>
      <w:r w:rsidRPr="00FE5D1C">
        <w:rPr>
          <w:rFonts w:ascii="Calibri" w:eastAsia="Times New Roman" w:hAnsi="Calibri" w:cs="Calibri"/>
          <w:color w:val="000000"/>
          <w:kern w:val="0"/>
          <w:sz w:val="22"/>
          <w:szCs w:val="22"/>
          <w14:ligatures w14:val="none"/>
        </w:rPr>
        <w:t>phylogeny showed the isolated belonged to Lineage III, of which five were virulent S. sonnei form I (+) and four avirulent </w:t>
      </w:r>
      <w:r w:rsidRPr="00FE5D1C">
        <w:rPr>
          <w:rFonts w:ascii="Calibri" w:eastAsia="Times New Roman" w:hAnsi="Calibri" w:cs="Calibri"/>
          <w:i/>
          <w:iCs/>
          <w:color w:val="000000"/>
          <w:kern w:val="0"/>
          <w:sz w:val="22"/>
          <w:szCs w:val="22"/>
          <w14:ligatures w14:val="none"/>
        </w:rPr>
        <w:t>S.sonnei </w:t>
      </w:r>
      <w:r w:rsidRPr="00FE5D1C">
        <w:rPr>
          <w:rFonts w:ascii="Calibri" w:eastAsia="Times New Roman" w:hAnsi="Calibri" w:cs="Calibri"/>
          <w:color w:val="000000"/>
          <w:kern w:val="0"/>
          <w:sz w:val="22"/>
          <w:szCs w:val="22"/>
          <w14:ligatures w14:val="none"/>
        </w:rPr>
        <w:t>form II. The three </w:t>
      </w:r>
      <w:r w:rsidRPr="00FE5D1C">
        <w:rPr>
          <w:rFonts w:ascii="Calibri" w:eastAsia="Times New Roman" w:hAnsi="Calibri" w:cs="Calibri"/>
          <w:i/>
          <w:iCs/>
          <w:color w:val="000000"/>
          <w:kern w:val="0"/>
          <w:sz w:val="22"/>
          <w:szCs w:val="22"/>
          <w14:ligatures w14:val="none"/>
        </w:rPr>
        <w:t>S. boydii</w:t>
      </w:r>
      <w:r w:rsidRPr="00FE5D1C">
        <w:rPr>
          <w:rFonts w:ascii="Calibri" w:eastAsia="Times New Roman" w:hAnsi="Calibri" w:cs="Calibri"/>
          <w:color w:val="000000"/>
          <w:kern w:val="0"/>
          <w:sz w:val="22"/>
          <w:szCs w:val="22"/>
          <w14:ligatures w14:val="none"/>
        </w:rPr>
        <w:t> isolates belonged to the phylogenetic clade II. Phenotypic susceptibility testing showed resistance to Trimethoprim-sulfamethoxazole (77.3%, n=17), Ampicillin (72.7%, n=16), cefazolin (63.6%0 and Cefuroxime (54.6%, n=12). Ciprofloxacin resistance was observed in 4 </w:t>
      </w:r>
      <w:r w:rsidRPr="00FE5D1C">
        <w:rPr>
          <w:rFonts w:ascii="Calibri" w:eastAsia="Times New Roman" w:hAnsi="Calibri" w:cs="Calibri"/>
          <w:i/>
          <w:iCs/>
          <w:color w:val="000000"/>
          <w:kern w:val="0"/>
          <w:sz w:val="22"/>
          <w:szCs w:val="22"/>
          <w14:ligatures w14:val="none"/>
        </w:rPr>
        <w:t>S. flexneri</w:t>
      </w:r>
      <w:r w:rsidRPr="00FE5D1C">
        <w:rPr>
          <w:rFonts w:ascii="Calibri" w:eastAsia="Times New Roman" w:hAnsi="Calibri" w:cs="Calibri"/>
          <w:color w:val="000000"/>
          <w:kern w:val="0"/>
          <w:sz w:val="22"/>
          <w:szCs w:val="22"/>
          <w14:ligatures w14:val="none"/>
        </w:rPr>
        <w:t> isolates, and no macrolide resistance was observed. Multi-drug resistance was observed in 63.6% (n=14) of the isolates. The genomic analysis revealed several resistance genes, including </w:t>
      </w:r>
      <w:r w:rsidRPr="00FE5D1C">
        <w:rPr>
          <w:rFonts w:ascii="Calibri" w:eastAsia="Times New Roman" w:hAnsi="Calibri" w:cs="Calibri"/>
          <w:i/>
          <w:iCs/>
          <w:color w:val="000000"/>
          <w:kern w:val="0"/>
          <w:sz w:val="22"/>
          <w:szCs w:val="22"/>
          <w14:ligatures w14:val="none"/>
        </w:rPr>
        <w:t>dfrA1</w:t>
      </w:r>
      <w:r w:rsidRPr="00FE5D1C">
        <w:rPr>
          <w:rFonts w:ascii="Calibri" w:eastAsia="Times New Roman" w:hAnsi="Calibri" w:cs="Calibri"/>
          <w:color w:val="000000"/>
          <w:kern w:val="0"/>
          <w:sz w:val="22"/>
          <w:szCs w:val="22"/>
          <w14:ligatures w14:val="none"/>
        </w:rPr>
        <w:t> (trimethoprim), </w:t>
      </w:r>
      <w:r w:rsidRPr="00FE5D1C">
        <w:rPr>
          <w:rFonts w:ascii="Calibri" w:eastAsia="Times New Roman" w:hAnsi="Calibri" w:cs="Calibri"/>
          <w:i/>
          <w:iCs/>
          <w:color w:val="000000"/>
          <w:kern w:val="0"/>
          <w:sz w:val="22"/>
          <w:szCs w:val="22"/>
          <w14:ligatures w14:val="none"/>
        </w:rPr>
        <w:t>aac(6')-Ib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aadA1</w:t>
      </w:r>
      <w:r w:rsidRPr="00FE5D1C">
        <w:rPr>
          <w:rFonts w:ascii="Calibri" w:eastAsia="Times New Roman" w:hAnsi="Calibri" w:cs="Calibri"/>
          <w:color w:val="000000"/>
          <w:kern w:val="0"/>
          <w:sz w:val="22"/>
          <w:szCs w:val="22"/>
          <w14:ligatures w14:val="none"/>
        </w:rPr>
        <w:t> (aminoglycoside), </w:t>
      </w:r>
      <w:r w:rsidRPr="00FE5D1C">
        <w:rPr>
          <w:rFonts w:ascii="Calibri" w:eastAsia="Times New Roman" w:hAnsi="Calibri" w:cs="Calibri"/>
          <w:i/>
          <w:iCs/>
          <w:color w:val="000000"/>
          <w:kern w:val="0"/>
          <w:sz w:val="22"/>
          <w:szCs w:val="22"/>
          <w14:ligatures w14:val="none"/>
        </w:rPr>
        <w:t>sul1</w:t>
      </w:r>
      <w:r w:rsidRPr="00FE5D1C">
        <w:rPr>
          <w:rFonts w:ascii="Calibri" w:eastAsia="Times New Roman" w:hAnsi="Calibri" w:cs="Calibri"/>
          <w:color w:val="000000"/>
          <w:kern w:val="0"/>
          <w:sz w:val="22"/>
          <w:szCs w:val="22"/>
          <w14:ligatures w14:val="none"/>
        </w:rPr>
        <w:t> (sulfonamide), and </w:t>
      </w:r>
      <w:r w:rsidRPr="00FE5D1C">
        <w:rPr>
          <w:rFonts w:ascii="Calibri" w:eastAsia="Times New Roman" w:hAnsi="Calibri" w:cs="Calibri"/>
          <w:i/>
          <w:iCs/>
          <w:color w:val="000000"/>
          <w:kern w:val="0"/>
          <w:sz w:val="22"/>
          <w:szCs w:val="22"/>
          <w14:ligatures w14:val="none"/>
        </w:rPr>
        <w:t>blaEC</w:t>
      </w:r>
      <w:r w:rsidRPr="00FE5D1C">
        <w:rPr>
          <w:rFonts w:ascii="Calibri" w:eastAsia="Times New Roman" w:hAnsi="Calibri" w:cs="Calibri"/>
          <w:color w:val="000000"/>
          <w:kern w:val="0"/>
          <w:sz w:val="22"/>
          <w:szCs w:val="22"/>
          <w14:ligatures w14:val="none"/>
        </w:rPr>
        <w:t> (beta-lactam). </w:t>
      </w:r>
      <w:r w:rsidRPr="00FE5D1C">
        <w:rPr>
          <w:rFonts w:ascii="Calibri" w:eastAsia="Times New Roman" w:hAnsi="Calibri" w:cs="Calibri"/>
          <w:i/>
          <w:iCs/>
          <w:color w:val="000000"/>
          <w:kern w:val="0"/>
          <w:sz w:val="22"/>
          <w:szCs w:val="22"/>
          <w14:ligatures w14:val="none"/>
        </w:rPr>
        <w:t>S. flexneri </w:t>
      </w:r>
      <w:r w:rsidRPr="00FE5D1C">
        <w:rPr>
          <w:rFonts w:ascii="Calibri" w:eastAsia="Times New Roman" w:hAnsi="Calibri" w:cs="Calibri"/>
          <w:color w:val="000000"/>
          <w:kern w:val="0"/>
          <w:sz w:val="22"/>
          <w:szCs w:val="22"/>
          <w14:ligatures w14:val="none"/>
        </w:rPr>
        <w:t>had the most AMR genes detected, including the </w:t>
      </w:r>
      <w:r w:rsidRPr="00FE5D1C">
        <w:rPr>
          <w:rFonts w:ascii="Calibri" w:eastAsia="Times New Roman" w:hAnsi="Calibri" w:cs="Calibri"/>
          <w:i/>
          <w:iCs/>
          <w:color w:val="000000"/>
          <w:kern w:val="0"/>
          <w:sz w:val="22"/>
          <w:szCs w:val="22"/>
          <w14:ligatures w14:val="none"/>
        </w:rPr>
        <w:t>qnrS1</w:t>
      </w:r>
      <w:r w:rsidRPr="00FE5D1C">
        <w:rPr>
          <w:rFonts w:ascii="Calibri" w:eastAsia="Times New Roman" w:hAnsi="Calibri" w:cs="Calibri"/>
          <w:color w:val="000000"/>
          <w:kern w:val="0"/>
          <w:sz w:val="22"/>
          <w:szCs w:val="22"/>
          <w14:ligatures w14:val="none"/>
        </w:rPr>
        <w:t> gene, conferring quinolone resistance. Further analysis revealed that this and other genes were carried on the IncFIB(K)_1_Kpn3 plasmid. There was good concordance between phenotypic and genotypic AMR. Our results show multi-drug resistant </w:t>
      </w:r>
      <w:r w:rsidRPr="00FE5D1C">
        <w:rPr>
          <w:rFonts w:ascii="Calibri" w:eastAsia="Times New Roman" w:hAnsi="Calibri" w:cs="Calibri"/>
          <w:i/>
          <w:iCs/>
          <w:color w:val="000000"/>
          <w:kern w:val="0"/>
          <w:sz w:val="22"/>
          <w:szCs w:val="22"/>
          <w14:ligatures w14:val="none"/>
        </w:rPr>
        <w:t>Shigella</w:t>
      </w:r>
      <w:r w:rsidRPr="00FE5D1C">
        <w:rPr>
          <w:rFonts w:ascii="Calibri" w:eastAsia="Times New Roman" w:hAnsi="Calibri" w:cs="Calibri"/>
          <w:color w:val="000000"/>
          <w:kern w:val="0"/>
          <w:sz w:val="22"/>
          <w:szCs w:val="22"/>
          <w14:ligatures w14:val="none"/>
        </w:rPr>
        <w:t> strains with quinolone resistance, highlighting the importance of ongoing AMR surveillance for antibiotic stewardship and informing treatment guidelines.</w:t>
      </w:r>
    </w:p>
    <w:p w14:paraId="1D6A43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25-A-1994-ASTMH</w:t>
      </w:r>
    </w:p>
    <w:p w14:paraId="10A3D2B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77D65F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Promotion of Mosquito Net Coverage for a Nomadic Pastoralist Community through Digitalization of Mass Net Campaign in Turkana, Kenya</w:t>
      </w:r>
    </w:p>
    <w:p w14:paraId="762958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use of Insecticide-treated nets (ITNs) is an effective malaria prevention and control intervention. Turkana faces unique challenges, including geographic remoteness, nomadic populations, and infrastructure limitations, which complicate the equitable distribution of ITNs. In 2024, ITNS were distributed through a digitalized campaign. This study aimed to assess ITN coverage and use following the campaign in Turkana County. A cross-sectional household survey was conducted in two peri-urban areas: Loima and Lodwar. Household heads were interviewed to collect data on household characteristics, ITN ownership, and utilization. Data were analyzed using frequencies and proportions and compared using chi-square tests to compare ITN coverage and utilization for the two areas. A total of 370 households were surveyed, and household heads were interviewed. The mean age of household heads was 38.5 years (SD = 13.5); 65.9% had no more than primary education, and 77% were not employed. While 57.3% of households in Loima had ≥7 members (mean, 7.5; SD, 3.0), they were 46.8% in Lodwar (mean, 6.9; SD, 3.4). Disparities were noted for ITN ownership [94.5%; 89.3% (χ² = 3.46, p = 0.0627)] and ITN Access [72.7%; 51.3% (χ² = 17.73, p &lt; 0.0001)] for Lodwar and Loima, respectively. Lodwar had lower ITN utilization, with 11.4% of those with access to ITN not utilizing them. The campaign improved ITN access by 185% and 627% in Loima and Lodwar, respectively. The campaign significantly improved ITN coverage in both study areas, with better coverage achieved in the area that had not previously received a campaign but with a lower utilization rate. Tailored campaign strategies and socio-behavioral change communication are necessary to promote ITN universal coverage among hard-to-reach and nomadic populations.</w:t>
      </w:r>
    </w:p>
    <w:p w14:paraId="2B44CD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25-A-1996-ASTMH</w:t>
      </w:r>
    </w:p>
    <w:p w14:paraId="098F15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513145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A new family of compounds irresistible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and active against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clinical isolates</w:t>
      </w:r>
    </w:p>
    <w:p w14:paraId="6A37A2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 recently characterized the potent antiplasmodial activity of the aggregated protein dye YAT2150, whose presumed mode of action is the inhibition of protein aggregation in the parasite. Using single-dose and ramping methods, assays were done to select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parasites resistant to concentrations of YAT2150 and four of its improved derivatives ranging from 3× to 0.25× their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(in the two-digit nM range) and performed a cross-resistance assessment in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lines harboring mutations that make them resistant to a variety of antimalarial drugs. Resistant parasites did not emerge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after 60 days of incubation, which postulates this family of compounds as ‘irresistible’ antimalarials. Tests performed in clinical isolates indicated that YAT2150 and its selected analogs had also strong activity against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as low as 4 nM) and </w:t>
      </w:r>
      <w:r w:rsidRPr="00FE5D1C">
        <w:rPr>
          <w:rFonts w:ascii="Calibri" w:eastAsia="Times New Roman" w:hAnsi="Calibri" w:cs="Calibri"/>
          <w:i/>
          <w:iCs/>
          <w:color w:val="000000"/>
          <w:kern w:val="0"/>
          <w:sz w:val="22"/>
          <w:szCs w:val="22"/>
          <w14:ligatures w14:val="none"/>
        </w:rPr>
        <w:t>Leishmania infantum</w:t>
      </w:r>
      <w:r w:rsidRPr="00FE5D1C">
        <w:rPr>
          <w:rFonts w:ascii="Calibri" w:eastAsia="Times New Roman" w:hAnsi="Calibri" w:cs="Calibri"/>
          <w:color w:val="000000"/>
          <w:kern w:val="0"/>
          <w:sz w:val="22"/>
          <w:szCs w:val="22"/>
          <w14:ligatures w14:val="none"/>
        </w:rPr>
        <w:t>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of 1 µM), placing them as unique agents with perspectives of becoming the first drugs to be used against both malaria and leishmaniasis. Our hypothesis for the presumed antiparasitic mechanism of action postulates that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uses dynamic protein interactions through partially unfolded (aggregation-prone) regions to regulate essential cellular processes, and that molecules having affinity for these unstructured protein stretches interfere with their functionality, thus compromising the parasite’s viability. Although a similar mechanism might be operating in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the differences between both pathogens in the aggregation propensity of their proteomes will be discussed. Since this mode of action would target multiple proteins in the pathogen, it could represent the molecular basis for the observed irresistibility character. Because drug development is expensive, entering into it with compounds that will be a good medicine for leishmaniasis and malaria would contribute to reduce the associated expenses and make the process sufficiently cost-efficient to have realistic perspectives of obtaining a cure that can fit into the economic landscape of the endemic areas of these two diseases.</w:t>
      </w:r>
    </w:p>
    <w:p w14:paraId="735434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25-A-1998-ASTMH</w:t>
      </w:r>
    </w:p>
    <w:p w14:paraId="0065F1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61FB96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Flow cytometry-based evaluation of hepatic infection by non-fluoresecent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parasites</w:t>
      </w:r>
    </w:p>
    <w:p w14:paraId="0BCB8A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parasites, the causative agent of malaria, have a complex life cycle involving transmission by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and distinct liver and blood stages of infection in the mammalian host. The liver stage of the parasite’s life cycle represents a critical but asymptomatic phase preceding the onset of disease, in which sporozoites infect hepatocytes and mature into exoerythrocytic forms (EEFs), eventually releasing merozoites that initiate the symptomatic blood stage of infection. Because the liver stage represents a bottleneck in the parasite’s life cycle, it is an important target for prophylactic interventions, including whole-sporozoite (WSpz) vaccines, which rely on live attenuated sporozoites to elicit protective immunity. However, assessing the hepatic infectivity of WSpz vaccine candidates may be complicated by the absence of fluorescent reporter genes due to regulatory constraints. Current methods, such as immunofluorescence microscopy and RT-qPCR, are time-consuming and impractical for high-throughput applications. To address these limitations, we developed a flow cytometry-based approach leveraging heat shock protein 70 (HSP70) and/or upregulated in infectious sporozoites 4 (UIS4) as markers to detect infected cells and assess parasite development. This method enables the flow cytometry-based quantification of hepatic infection by non-fluorescent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parasites, supporting the preclinical evaluation of WSpz vaccines and interventions targeting the liver stage. Moreover, by eliminating the need for fluorescent reporter genes, this method broadens its applicability beyond WSpz vaccine research, making it useful for studies requiring non-modified parasites. By providing a rapid, high-throughput, and cost-effective alternative to existing techniques, this approach has the potential to support broader malaria vaccine development and accelerate preclinical validation efforts.</w:t>
      </w:r>
    </w:p>
    <w:p w14:paraId="1A7CBD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25-A-1999-ASTMH</w:t>
      </w:r>
    </w:p>
    <w:p w14:paraId="3E7F36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3165A1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Study of the Immune Restoration Syndrome in HIV patients at the Department of Infectious and Tropical Diseases of the CHU du Point G Bamako, Mali</w:t>
      </w:r>
    </w:p>
    <w:p w14:paraId="2302B4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aim of our work was to study the immune restoration syndrome in HIV-positive people at the G-spot infectious and tropical diseases department. This was a descriptive cross-sectional study with retro prospective data collection carried out over a period from January 2023 to March 2024 including patients initiated and informed of antiretroviral treatment and who presented a sudden appearance of relevant symptoms an opportunistic infection after initiation of antiretroviral treatment in hospitalization in the G-spot infectious and tropical diseases department. We found a frequency of 25.0% of IRIS in patients living with HIV on ARV, 75.6% of whom unmasked tuberculosis. represented as the most represented with 58.5%. The average age was 37.1± 10.7 years. The most represented residence was that of the district of Bamako with 58.5%, housewives representing 39.0%. The general condition of the patients was altered at 75.6%. The viral load was high in the majority of our patients at 34,1% with an average 13456,7±31098,7 copies per ml. Almost all patients who had a CD4 count between 200 and 500 after introduction of ARV treatment were the most represented with an average 170,4± 160,5 cell per µl, the interstitial images were present at 51.2%, the search for acid-alcohol-resistant bacilli was positive in the patients. Cough was a depandante variable of the immune restoration syndrome, there was there for a significant relationship (p= 0,01) unlike age was not a depandante variable of the immune restoration syndrome there was no significant link (p= 0,8). The evolution was favorable in patients at 53.0% in patients infected with HIV after starting antiretroviral treatment. Although IRIS demonstrates an improved immune response, its high incidence highlights the importance of carefully monitoring patients during the first months of treatment, especially in the era of test and treat in the management of HIV AIDS.</w:t>
      </w:r>
    </w:p>
    <w:p w14:paraId="39D1A36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25-A-2000-ASTMH</w:t>
      </w:r>
    </w:p>
    <w:p w14:paraId="3A776B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12737E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Factors Associated with the Occurrence of Malaria in Pregnant Women in Guinea: A Retrospective Cohort Study</w:t>
      </w:r>
    </w:p>
    <w:p w14:paraId="73D8DC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 In Guinea Conakry, malaria in pregnant women is a major problem, with substantial risks for the mother, the foetus and the newborn. The aim of this study was to assess the prevalence and factors associated with the occurrence of malaria in pregnant women attending two health centres in Guinea. </w:t>
      </w:r>
      <w:r w:rsidRPr="00FE5D1C">
        <w:rPr>
          <w:rFonts w:ascii="Calibri" w:eastAsia="Times New Roman" w:hAnsi="Calibri" w:cs="Calibri"/>
          <w:b/>
          <w:bCs/>
          <w:color w:val="000000"/>
          <w:kern w:val="0"/>
          <w:sz w:val="22"/>
          <w:szCs w:val="22"/>
          <w14:ligatures w14:val="none"/>
        </w:rPr>
        <w:t>Methodology</w:t>
      </w:r>
      <w:r w:rsidRPr="00FE5D1C">
        <w:rPr>
          <w:rFonts w:ascii="Calibri" w:eastAsia="Times New Roman" w:hAnsi="Calibri" w:cs="Calibri"/>
          <w:color w:val="000000"/>
          <w:kern w:val="0"/>
          <w:sz w:val="22"/>
          <w:szCs w:val="22"/>
          <w14:ligatures w14:val="none"/>
        </w:rPr>
        <w:t>. This was a retrospective cohort of pregnant women followed up for antenatal care and delivered in the Kaporo Fondis and Kakossa health centres during the period June 2018 to December 2019. Multivariate logistic regression analysis was used. Adjusted odds ratios (aORs) and their confidence intervals (CIs) were reported.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We followed 952 pregnant women, 447 of whom presented with malaria symptoms, giving a prevalence of 14% (95% CI: 11.2-17.3). The most common age group was under 25 (51.5%, n = 251), followed by 25-34 (41.5%, n = 202), with an average age of 24.4 ± 5.8 years. Women from the Kaporo Fondis site (aOR = 3.82; 95% CI: 1.52-9.58), single pregnant women (aOR = 2.54; 95% CI: 1.09-5.89), women with an unfavourable pregnancy outcome (aOR = 4.36; 95% CI: 1.52-12.48) were more likely to have malaria in their category.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Preventing malaria in pregnant women remains a challenge in Guinea Conakry. Intensified preventive measures, health education and quality antenatal care would reduce malaria infection during pregnancy.</w:t>
      </w:r>
    </w:p>
    <w:p w14:paraId="619C9A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25-A-2002-ASTMH</w:t>
      </w:r>
    </w:p>
    <w:p w14:paraId="4FE36A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626BFE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Assessing the importance of Digitally generated Unique Identifiers for tracking children receiving SMC across different cycles in Nigeria.</w:t>
      </w:r>
    </w:p>
    <w:p w14:paraId="64183E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Effective tracking of children receiving seasonal malaria chemoprevention (SMC) is critical for optimising the effectiveness of the intervention as children receiving the medicines across all cycles are better protected. Generating unique identifiers (UIDs) for each child at registration can facilitate cohort </w:t>
      </w:r>
      <w:r w:rsidRPr="00FE5D1C">
        <w:rPr>
          <w:rFonts w:ascii="Calibri" w:eastAsia="Times New Roman" w:hAnsi="Calibri" w:cs="Calibri"/>
          <w:color w:val="000000"/>
          <w:kern w:val="0"/>
          <w:sz w:val="22"/>
          <w:szCs w:val="22"/>
          <w14:ligatures w14:val="none"/>
        </w:rPr>
        <w:lastRenderedPageBreak/>
        <w:t>monitoring by enabling program teams to track children longitudinally. Unique IDs have not previously been used in the seven states to monitor cohort retention This study evaluates the use of digitally generated UIDs in subsequent cycles for cohort monitoring of eligible children across the 2024 SMC round. We extracted data of 9,240 caregivers of SMC-eligible children randomly sampled during the SMC end-of-round survey conducted in November 2024 across seven states. Mixed effect logistic regression model was fitted to evaluate association between retrieval of UIDs in subsequent cycles and selected predictor variables - assigning of UIDs to eligible children, documentation of UIDs on child record cards, explanation on its importance and the use of mobile phones to record eligible children’s data. The likelihood of being tracked in subsequent cycles increased among children who were assigned UIDs (aOR: 2.97, 95% CI: 2.24-3.93, p &lt; 0.001), had their assigned UIDs documented on SMC child record cards (aOR: 8.21, 95% CI: 6.16-10.95, p &lt; 0.001), and whose caregivers received an explanation on the use of UIDs (aOR: 19.81, 95% CI: 15.34-25.59, p &lt; 0.001). These findings highlight the critical role of digitally generated UIDs in improving child tracking across SMC cycles. Strengthening adherence to UID assignment by community drug distributors couple with caregiver engagement, can enhance SMC program efficiency by reducing duplication and ensuring all eligible children receive full course to optimize SMC impact and contribute to malaria control efforts.</w:t>
      </w:r>
    </w:p>
    <w:p w14:paraId="111CC4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25-A-2003-ASTMH</w:t>
      </w:r>
    </w:p>
    <w:p w14:paraId="179F0F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4C216A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Genomic population structure and insecticide resistance mechanisms in the malaria vector An coluzzii across contrasting bioclimatic zones in West Africa.</w:t>
      </w:r>
    </w:p>
    <w:p w14:paraId="3911C0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Diverse environmental conditions often shape variation in physiological, behavioural, and genomic traits that impact on the distribution of disease transmission risk. We investigated geographical population structure of the major malaria vector, An. coluzzii, across different bioclimatic zones of West Africa using 1810 individual whole genomes. We identified restricted gene flow between populations from northern arid and the southern humid regions based on thousands of SNPs. Furthermore, the inversion karyotypes of 2La and 2Rb exhibited geographical differences. The inverted karyotypes dominated in northern arid regions, while the standard karyotype was common in southern humid forests. Ghana samples showed genetically different populations and showed marked differences in their insecticide resistance profiles, suggesting a lack of adaptive gene flow. Samples from northern Ghana exhibited greater evidence for both target site resistance and metabolic cross-resistance than the southern populations. Northern samples had higher frequencies of Vgsc-V402L, I1527T and Gste2-I114T substitutions, Gste2 and carboxylesterase gene copy number variants. Also, RDL- A296S/T345S and A296G/T345M substitution pairs were associated with the different 2La inversion karyotypes found across the contrasting bioclimatic zones. The southern region had distinct resistance mechanisms (novel selection signals at Keap1 gene on chromosome 2, cytochrome P450s and UDP glucuronosyltransferase on chromosome 3), which could be linked to intense urban agricultural activities. Our findings suggest that environmental conditions are crucial barriers to An. coluzzii gene flow and that impacts the distribution of molecular resistance along with differences in selection pressure from insecticide use. Our findings raise the question of whether ecological and phenotypic variations that impact on malaria transmission are important drivers of the population structure. Geographical variation in molecular insecticide mechanisms underscores the importance of regionally tailored vector control strategies for sustainable malaria control.</w:t>
      </w:r>
    </w:p>
    <w:p w14:paraId="790E0E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25-A-2004-ASTMH</w:t>
      </w:r>
    </w:p>
    <w:p w14:paraId="2B53CB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48A8EF8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Collagen loaded nano-liposome encapsulating bacteriophages for targeted antimicrobial delivery in Methicillin-resistant </w:t>
      </w:r>
      <w:r w:rsidRPr="00FE5D1C">
        <w:rPr>
          <w:rFonts w:ascii="Calibri" w:eastAsia="Times New Roman" w:hAnsi="Calibri" w:cs="Calibri"/>
          <w:b/>
          <w:bCs/>
          <w:i/>
          <w:iCs/>
          <w:color w:val="000000"/>
          <w:kern w:val="0"/>
          <w:sz w:val="22"/>
          <w:szCs w:val="22"/>
          <w14:ligatures w14:val="none"/>
        </w:rPr>
        <w:t>Staphylococcus aureus</w:t>
      </w:r>
      <w:r w:rsidRPr="00FE5D1C">
        <w:rPr>
          <w:rFonts w:ascii="Calibri" w:eastAsia="Times New Roman" w:hAnsi="Calibri" w:cs="Calibri"/>
          <w:b/>
          <w:bCs/>
          <w:color w:val="000000"/>
          <w:kern w:val="0"/>
          <w:sz w:val="22"/>
          <w:szCs w:val="22"/>
          <w14:ligatures w14:val="none"/>
        </w:rPr>
        <w:t> wound infections</w:t>
      </w:r>
    </w:p>
    <w:p w14:paraId="13F8E3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Poor hygiene, including infrequent hand washing and sharing personal items, significantly increases the risk of Methicillin-resistant </w:t>
      </w:r>
      <w:r w:rsidRPr="00FE5D1C">
        <w:rPr>
          <w:rFonts w:ascii="Calibri" w:eastAsia="Times New Roman" w:hAnsi="Calibri" w:cs="Calibri"/>
          <w:i/>
          <w:iCs/>
          <w:color w:val="000000"/>
          <w:kern w:val="0"/>
          <w:sz w:val="22"/>
          <w:szCs w:val="22"/>
          <w14:ligatures w14:val="none"/>
        </w:rPr>
        <w:t>Staphylococcus aureus</w:t>
      </w:r>
      <w:r w:rsidRPr="00FE5D1C">
        <w:rPr>
          <w:rFonts w:ascii="Calibri" w:eastAsia="Times New Roman" w:hAnsi="Calibri" w:cs="Calibri"/>
          <w:color w:val="000000"/>
          <w:kern w:val="0"/>
          <w:sz w:val="22"/>
          <w:szCs w:val="22"/>
          <w14:ligatures w14:val="none"/>
        </w:rPr>
        <w:t xml:space="preserve"> (MRSA) skin infections. Antimicrobial resistance is a </w:t>
      </w:r>
      <w:r w:rsidRPr="00FE5D1C">
        <w:rPr>
          <w:rFonts w:ascii="Calibri" w:eastAsia="Times New Roman" w:hAnsi="Calibri" w:cs="Calibri"/>
          <w:color w:val="000000"/>
          <w:kern w:val="0"/>
          <w:sz w:val="22"/>
          <w:szCs w:val="22"/>
          <w14:ligatures w14:val="none"/>
        </w:rPr>
        <w:lastRenderedPageBreak/>
        <w:t>global threat with consequences and despite a burgeoning advanced wound care market, novel approaches are crucial to combat drug-resistant wound infections. Our study aims to assess the wound healing ability of collagen loaded nano-liposome loaded with specific bacteriophages against MRSA skin infections. MRSA were clinical isolates from wound culture from in-patient in Lagos Orthopedic Hospital, Nigeria and confirmed to be resistant through phenotypic detection and conventional PCR for mecA gene. Bacteriophages targeting MRSA were isolated from sewage water, and a phage cocktail was prepared. Collagen loaded nanoliposome were fabricated from phosphatidyl choline phospholipid, loaded with bacteriophages, and evaluated for therapeutic efficacy using an in-vivo mouse wound infection model, skin irritancy, histology, and histomorphometry. Characterization of the fabricated phosphatidyl choline lipid formulation was through scanning electron microscopy (SEM), stability studies (SS), tensile strength testing (TT), Fourier-transform infrared spectroscopy (FTIR), differential scanning calorimetry (DSC), and X-ray Diffraction (XRD). Two distinct MRSA-specific phages (Pɸ-Mi-Sa169 and Pɸ-Mi-Sa133) exhibited clear zones against the bacterial strains. The SEM and TEM results show that nano-liposomes were well formed. The morphology of the liposomes is displayed as spherical with a smooth surface and average size of 183.8nm with a PDI of 0.325. Animals treated with bacteriophage-loaded nanoliposome gel demonstrated a progressive reduction in infected wound size, achieving complete closure by day 7 (100% ± 31.4). Our findings demonstrate the promising potential of collagen loaded nano-liposome loaded with bacteriophages for effectively treating MRSA wound infections and introduces a novel approach to combat drug-resistant wound infections.</w:t>
      </w:r>
    </w:p>
    <w:p w14:paraId="4E3CBC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25-A-2005-ASTMH</w:t>
      </w:r>
    </w:p>
    <w:p w14:paraId="0B0C15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6998A2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Delayed Onset of Malaria-Associated Kidney Disease in Macaque Models of </w:t>
      </w:r>
      <w:r w:rsidRPr="00FE5D1C">
        <w:rPr>
          <w:rFonts w:ascii="Calibri" w:eastAsia="Times New Roman" w:hAnsi="Calibri" w:cs="Calibri"/>
          <w:i/>
          <w:iCs/>
          <w:color w:val="000000"/>
          <w:kern w:val="0"/>
          <w:sz w:val="22"/>
          <w:szCs w:val="22"/>
          <w14:ligatures w14:val="none"/>
        </w:rPr>
        <w:t>Plasmodium knowlesi</w:t>
      </w:r>
    </w:p>
    <w:p w14:paraId="1F9B14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Of the species that contribute to morbidity and mortality in humans, Plasmodium knowlesi, a simian malaria parasite, has emerged as a fifth cause of human malaria with clinical manifestations akin to Plasmodium falciparum. Among its severe complications are acute kidney injury (AKI) and acute kidney disease (AKD), these conditions are marked by impaired kidney function indicated by increases in serum creatinine levels; over 7 days (AKI) and within 90 days (AKD). Understanding P. knowlesi-associated kidney pathology necessitates models paralleling human pathogenesis, particularly non-human primates (NHPs). Our study re-analyzed previously published serum creatinine data from rhesus (Macaca mulatta) and long-tailed macaques (Macaca fascicularis) infected with P. knowlesi to assess malaria-associated renal injury. Despite antimalarial treatments reducing parasitemia, AKD onset was delayed, suggesting a disconnect between parasite levels and kidney injury. In rhesus macaques, hyperparasitemia peaked early, but AKD manifested later, indicating parasitemia does not directly predict AKD. Their high mortality prevented extended studies, limiting understanding of long-term renal trajectories. Contrarily, long-tailed macaques, natural hosts with inherent resistance, exhibited controlled parasitemia yet showed delayed AKD onset post-peak parasitemia. Even with 76.9% developing AKD, resilience factors yielded 100% short-term recovery among survivors. Analysis revealed varying AKD stages in both species, with 61.5% of long-tailed macaques developing AKI compared to a smaller proportion in rhesus macaques. This highlights potential non-parasitic factors like inflammation or structural kidney damage as key contributors to renal injury.Our findings suggest that while parasitemia management is crucial, it does not alone mitigate renal risk in malaria. This emphasizes the need for further exploration into factors precipitating kidney injury. The study enhances the macaque model's relevance, offering insights into kidney dysfunction's pathophysiology in malaria, with implications for human health strategies.</w:t>
      </w:r>
    </w:p>
    <w:p w14:paraId="1B7F65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25-A-2007-ASTMH</w:t>
      </w:r>
    </w:p>
    <w:p w14:paraId="015FF4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5936A5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Clinical presentation, diagnosis, and laboratory results of children with Tuberculosis with and without HIV in a Tertiary facility in Ghana, West Africa</w:t>
      </w:r>
    </w:p>
    <w:p w14:paraId="206AF6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Children with HIV (CWH) are exceptionally susceptible to tuberculosis (TB). They have up to 20-fold increased incidence of TB and up to 6-fold greater risk of dying from TB than children without HIV. Diagnosing TB in children is very challenging due to the paucibacillary nature of the disease. This study reports on the clinical presentation, diagnosis, and laboratory findings in children with TB, with and without HIV, at the Komfo Anokye Teaching Hospital (KATH), Kumasi. This study used participants’ baseline data in pharmacokinetic studies of antituberculosis and antiretroviral therapy (ART) performed at the KATH chest clinic from 2019-2024. Records on clinical symptoms, signs, investigations, and diagnosis were extracted and analyzed using descriptive and analytical statistical tools.184 children were enrolled,138 (75%) had HIV coinfection and 110 (59.8%) were males. Mean (SD) age was 6.2 (3.8) years. The majority [142 (77.2%)] presented with cough. Weight loss and fever were reported in 68 (37.0%) and 34(18.5%) participants respectively. Significantly, children with HIV coinfection were 2.3 times and 4.4 times more likely to present with cough and weight loss than children with TB only. Lymphadenopathy and failure to thrive were observed in 24 (13%) and 10 (5.4%) participants, respectively. Pulmonary TB was diagnosed in 168 (91.3%). Overall, 144 (78.3%) were diagnosed clinically and 3 (1.6%) had microbiologically confirmed TB. Radiological diagnoses of TB were made in 148 participants (80.4%). Multivariable logistic regression showed no significant difference between HIV co-infected and TB only. HIV coinfection was associated significantly with raised alanine aminotransferase (p&lt; 0.04) and hyponatremia (p&lt;0.001) compared to TB only. A vast majority of children with TB enrolled in our studies had pulmonary TB without microbiologic confirmation. There is a need for baseline testing and monitoring of transaminases and serum sodium levels during treatment, especially for those with HIV coinfection.</w:t>
      </w:r>
    </w:p>
    <w:p w14:paraId="42703171" w14:textId="77777777" w:rsidR="00FE5D1C" w:rsidRPr="00FE5D1C" w:rsidRDefault="00FE5D1C" w:rsidP="00FE5D1C">
      <w:pPr>
        <w:pBdr>
          <w:bottom w:val="single" w:sz="6" w:space="1" w:color="auto"/>
        </w:pBdr>
        <w:spacing w:after="0" w:line="240" w:lineRule="auto"/>
        <w:jc w:val="center"/>
        <w:rPr>
          <w:rFonts w:ascii="Calibri" w:eastAsia="Times New Roman" w:hAnsi="Calibri" w:cs="Calibri"/>
          <w:vanish/>
          <w:kern w:val="0"/>
          <w:sz w:val="22"/>
          <w:szCs w:val="22"/>
          <w14:ligatures w14:val="none"/>
        </w:rPr>
      </w:pPr>
      <w:r w:rsidRPr="00FE5D1C">
        <w:rPr>
          <w:rFonts w:ascii="Calibri" w:eastAsia="Times New Roman" w:hAnsi="Calibri" w:cs="Calibri"/>
          <w:vanish/>
          <w:kern w:val="0"/>
          <w:sz w:val="22"/>
          <w:szCs w:val="22"/>
          <w14:ligatures w14:val="none"/>
        </w:rPr>
        <w:t>Top of Form</w:t>
      </w:r>
    </w:p>
    <w:p w14:paraId="44C5F2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25-A-2008-ASTMH</w:t>
      </w:r>
    </w:p>
    <w:p w14:paraId="78F337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(Genetics/Genomics)</w:t>
      </w:r>
    </w:p>
    <w:p w14:paraId="25A878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Widespread Gene Fusion Artifacts in Helminth Genomes</w:t>
      </w:r>
    </w:p>
    <w:p w14:paraId="4B225A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Previously published helminth genomes possess thousands of predicted fusion genes, including novel domain architectures that are completely unique to these species. To investigate this phenomenon, we performed a comprehensive analysis of 20,313 two-domain architectures in helminth genomes, of which 10,297 are unique to helminths. These were compared to a set of 400 high confidence, evolutionarily conserved domain fusions that are present in both helminth and non-helminth species. Our findings suggest that most helminth-specific two-domain architectures are likely artifacts based on four criteria: 1) they show a lack of correlation between RNA-seq derived expression levels of the first domain, the interdomain region, and the second domain; 2) they have significantly longer interdomain regions; 3) RNA-seq data contain significantly fewer sets of mate pairs spanning both domains; and 4) their constituent domains are among the most common domains in helminth proteomes. From the data presented here, we propose that many helminth-specific domain fusion proteins are more correctly annotated as two separate proteins, and that these errors may have arisen due to reductive genome evolution and the shortening of intergenic distances. To date, proteins containing novel domain combinations have been included in widely-used sequence and protein databases, including WormBase ParaSite and InterPro. Our findings suggest that novel pairings of domains in helminths require further investigation using RNA-seq and other tools to determine their validity. The accuracy of proteome annotation in widely used genomic databases is essential, given the increasing need to accurately identify helminth-specific proteins that could serve as future drug targets.</w:t>
      </w:r>
    </w:p>
    <w:p w14:paraId="7FF8AD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25-A-2012-ASTMH</w:t>
      </w:r>
    </w:p>
    <w:p w14:paraId="02282F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Diversity, Inclusion, Decolonization and Human Rights</w:t>
      </w:r>
    </w:p>
    <w:p w14:paraId="5AB623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Adapting Infectious Disease Interventions in Conflict and Post-Conflict Settings: A Scoping Review</w:t>
      </w:r>
    </w:p>
    <w:p w14:paraId="18862E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Infectious diseases remain a major cause of morbidity and mortality, especially in low-income contexts, including conflict-affected settings. Working in conflict and post-conflict settings poses unique challenges due to health system fragmentation, inadequate infrastructure, shortages of trained </w:t>
      </w:r>
      <w:r w:rsidRPr="00FE5D1C">
        <w:rPr>
          <w:rFonts w:ascii="Calibri" w:eastAsia="Times New Roman" w:hAnsi="Calibri" w:cs="Calibri"/>
          <w:color w:val="000000"/>
          <w:kern w:val="0"/>
          <w:sz w:val="22"/>
          <w:szCs w:val="22"/>
          <w14:ligatures w14:val="none"/>
        </w:rPr>
        <w:lastRenderedPageBreak/>
        <w:t>personnel, supply chain disruptions, insecurity, and conditions that facilitate disease transmission. While previous research has described the burden of infectious diseases and types of interventions (e.g. vaccination, mass drug administration, and test-and-treat) deployed in humanitarian settings, there is limited understanding of how these interventions are adapted to ensure effectiveness. Furthermore, existing reviews typically focus on specific diseases, limiting generalizability of findings. We conducted a scoping review following JBI methodology and PRISMA-ScR guidelines to examine community-based infectious disease interventions in conflict and post-conflict settings. We included studies published since 2000 that evaluated adapted interventions such as vaccination, mass drug administration, test-and-treat, mass screening, and bed net distribution. Searches were conducted in Ovid MEDLINE, Ovid Embase, and Web of Science. Of 1,273 screened articles, 63 met inclusion criteria. Data were extracted on context, intervention design, adaptations, implementation strategies, barriers, and facilitators. This session will present results of an analysis of this data, including common challenges and specific adaptations used to enhance reach, uptake, and effectiveness. Research methods employed across studies will be summarized to guide future inquiry. This review maps adaptation strategies across multiple diseases and settings, offering practical insights to strengthen infectious disease response in fragile contexts and to guide future implementation research.</w:t>
      </w:r>
    </w:p>
    <w:p w14:paraId="6EA76D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25-A-2013-ASTMH</w:t>
      </w:r>
    </w:p>
    <w:p w14:paraId="281689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Planetary Health including Climate Change</w:t>
      </w:r>
    </w:p>
    <w:p w14:paraId="03AC03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Safeguarding Community Health Workers' Mental Health and wellbeing in the face of extreme weather and Climate change in Kenya</w:t>
      </w:r>
    </w:p>
    <w:p w14:paraId="79195B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Climate change is identified as the biggest 21st Century global health threat. The increased frequency and severity of heatwaves and floods are projected to disproportionately affect resource constrained settings with complex health challenges. Nevertheless, Mental wellbeing implications of these events though significant are often overlooked by policy and practice surrounding Community Health Workers (CHWs). The impact of extreme weather events (EWEs) on Mental wellbeing of CHWs in Kenya was explored within four rural and urban informal settlements. Body mapping workshops (29F, 11 M) and Photovoice in-depth interviews (15F, 9M) were conducted with CHWs co-researchers during and following severe flooding in 2024. The data was visually and audio recorded, transcribed and analyzed through content analysis. Most CHWs articulated their vulnerability directly from adverse heat exposures, explaining how they manifested as headaches and fatigue experienced walking through soaring temperatures. Mobility constraints were intensified by adverse floods as CHWs struggled to provide services within households with inadequate Personal Protective Equipment (PPE). Prolonged rainfall caused psychological distress from landslides and acute damage to infrastructure, rendering routes impassable thereby curtailing households' accessibility. Most CHWs felt their diminished productivity affected their performance-based remuneration. Indirectly, environmental related stress at informal settlements, contributed to “eco-anxiety” with confusion and threats of exposure to water borne diseases. Most CHWs felt overwhelmed conducting digitized household remapping and re-enrolment after displacements. Majority of CHWs expressed feelings of inadequacy to provide Psychological First Aid exacerbating their stressors. However, they informally adopted protective coping mechanisms including peer and social support. Building climate resilient health systems requires prioritization of safeguarding and mitigation efforts through research catalyzing policy shifts by integrating adaptation strategies with CHWs' mental health.</w:t>
      </w:r>
    </w:p>
    <w:p w14:paraId="5CCCD4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25-A-2015-ASTMH</w:t>
      </w:r>
    </w:p>
    <w:p w14:paraId="38FD26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62B2F1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Current State of Neglected Tropical Diseases - Ghana's perspective</w:t>
      </w:r>
    </w:p>
    <w:p w14:paraId="05F6D8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Neglected Tropical Diseases (NTDs) are a major cause of morbidity and disability among vulnerable populations. In Ghana, NTD control efforts are multifaceted with significant progress made through partnerships and support from donors. Similar to the World Health Organization’s (WHO) NTD roadmap, </w:t>
      </w:r>
      <w:r w:rsidRPr="00FE5D1C">
        <w:rPr>
          <w:rFonts w:ascii="Calibri" w:eastAsia="Times New Roman" w:hAnsi="Calibri" w:cs="Calibri"/>
          <w:color w:val="000000"/>
          <w:kern w:val="0"/>
          <w:sz w:val="22"/>
          <w:szCs w:val="22"/>
          <w14:ligatures w14:val="none"/>
        </w:rPr>
        <w:lastRenderedPageBreak/>
        <w:t>the Ghana NTD roadmap aims to reduce morbidity, disability and mortality associated with NTDs by the year 2030 using integrated and cost-effective measures. Here, we present the progress and current state of NTDs control from Ghana’s perspective. We analysed data from the Ghana NTD Master Plan (2016 – 2020) from inception to 2020 and the various interventions employed by the Ghana NTD control programme. Analysed data included 12 WHO-listed NTDs endemic in Ghana – onchocerciasis; schistosomiasis; lymphatic filariasis (LF); buruli ulcer; yaws; trachoma; Guinea worm; soil-transmitted helminths (STHs); leprosy; rabies; human African trypanosomiasis (HAT) and leishmaniasis. The interventions analysed included - mass drug administration (MDA); integrated vector control; surveillance and monitoring; health education and community engagement; as well as water, sanitation and hygiene (WASH). The data shows that trachoma, HAT and Guinea worm have been eliminated in Ghana. The prevalence of onchocerciasis and LF has significantly decreased (-93% and -92% respectively) with the possibility of the elimination of these diseases in the foreseeable future. However, reduction in the prevalence of schistosomiasis, STH, leprosy (-32%, +05% and -26% respectively), as well as the other NTDs has been less rapid necessitating alternative approaches. Integrated MDA and WASH interventions have been largely successful in helping to reduce the prevalence of these NTDs since its inception, despite some pockets of challenges. In conclsuion, the control of NTDs is still relevant for the prevention of NTD-associated morbidity and diasbility in Ghana. Ghana’s programme’s successes chalked calls for continuous integrated and multi-sectoral approaches to achieve the 2030 elimination target.</w:t>
      </w:r>
    </w:p>
    <w:p w14:paraId="69DE64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25-A-2018-ASTMH</w:t>
      </w:r>
    </w:p>
    <w:p w14:paraId="13C077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59BD0B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REMOVED FROM PROGRAM 7860 Rosetting of </w:t>
      </w:r>
      <w:r w:rsidRPr="00FE5D1C">
        <w:rPr>
          <w:rFonts w:ascii="Calibri" w:eastAsia="Times New Roman" w:hAnsi="Calibri" w:cs="Calibri"/>
          <w:i/>
          <w:iCs/>
          <w:color w:val="000000"/>
          <w:kern w:val="0"/>
          <w:sz w:val="22"/>
          <w:szCs w:val="22"/>
          <w14:ligatures w14:val="none"/>
        </w:rPr>
        <w:t>Plasmodium knowlesi</w:t>
      </w:r>
      <w:r w:rsidRPr="00FE5D1C">
        <w:rPr>
          <w:rFonts w:ascii="Calibri" w:eastAsia="Times New Roman" w:hAnsi="Calibri" w:cs="Calibri"/>
          <w:color w:val="000000"/>
          <w:kern w:val="0"/>
          <w:sz w:val="22"/>
          <w:szCs w:val="22"/>
          <w14:ligatures w14:val="none"/>
        </w:rPr>
        <w:t>-infected red blood cells</w:t>
      </w:r>
    </w:p>
    <w:p w14:paraId="4478E3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the most lethal parasitic disease, responsible for an estimated 597,000 deaths in 2023. The rise of zoonotic forms of malaria, particularly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knowlesi</w:t>
      </w:r>
      <w:r w:rsidRPr="00FE5D1C">
        <w:rPr>
          <w:rFonts w:ascii="Calibri" w:eastAsia="Times New Roman" w:hAnsi="Calibri" w:cs="Calibri"/>
          <w:color w:val="000000"/>
          <w:kern w:val="0"/>
          <w:sz w:val="22"/>
          <w:szCs w:val="22"/>
          <w14:ligatures w14:val="none"/>
        </w:rPr>
        <w:t>, presents a significant challenge to malaria elimination efforts in Southeast Asia. A major pathognomonic feature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including </w:t>
      </w:r>
      <w:r w:rsidRPr="00FE5D1C">
        <w:rPr>
          <w:rFonts w:ascii="Calibri" w:eastAsia="Times New Roman" w:hAnsi="Calibri" w:cs="Calibri"/>
          <w:i/>
          <w:iCs/>
          <w:color w:val="000000"/>
          <w:kern w:val="0"/>
          <w:sz w:val="22"/>
          <w:szCs w:val="22"/>
          <w14:ligatures w14:val="none"/>
        </w:rPr>
        <w:t>knowlesi</w:t>
      </w:r>
      <w:r w:rsidRPr="00FE5D1C">
        <w:rPr>
          <w:rFonts w:ascii="Calibri" w:eastAsia="Times New Roman" w:hAnsi="Calibri" w:cs="Calibri"/>
          <w:color w:val="000000"/>
          <w:kern w:val="0"/>
          <w:sz w:val="22"/>
          <w:szCs w:val="22"/>
          <w14:ligatures w14:val="none"/>
        </w:rPr>
        <w:t> malaria, is the observance of rosetting. This process, where infected red blood cells (iRBCs) adhere to uninfected RBCs (uRBCs), leads to the blockage of microvasculature in vital organs and hampers the clearance of iRBCs by the immune system, which may lead to severe malaria. While extensively studied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our understanding of rosetting in other types of malaria, specifically those not caused by the </w:t>
      </w:r>
      <w:r w:rsidRPr="00FE5D1C">
        <w:rPr>
          <w:rFonts w:ascii="Calibri" w:eastAsia="Times New Roman" w:hAnsi="Calibri" w:cs="Calibri"/>
          <w:i/>
          <w:iCs/>
          <w:color w:val="000000"/>
          <w:kern w:val="0"/>
          <w:sz w:val="22"/>
          <w:szCs w:val="22"/>
          <w14:ligatures w14:val="none"/>
        </w:rPr>
        <w:t>Laverania</w:t>
      </w:r>
      <w:r w:rsidRPr="00FE5D1C">
        <w:rPr>
          <w:rFonts w:ascii="Calibri" w:eastAsia="Times New Roman" w:hAnsi="Calibri" w:cs="Calibri"/>
          <w:color w:val="000000"/>
          <w:kern w:val="0"/>
          <w:sz w:val="22"/>
          <w:szCs w:val="22"/>
          <w14:ligatures w14:val="none"/>
        </w:rPr>
        <w:t> subgenus, is still limited. In this study, we revealed that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could form stable rosettes with </w:t>
      </w:r>
      <w:r w:rsidRPr="00FE5D1C">
        <w:rPr>
          <w:rFonts w:ascii="Calibri" w:eastAsia="Times New Roman" w:hAnsi="Calibri" w:cs="Calibri"/>
          <w:i/>
          <w:iCs/>
          <w:color w:val="000000"/>
          <w:kern w:val="0"/>
          <w:sz w:val="22"/>
          <w:szCs w:val="22"/>
          <w14:ligatures w14:val="none"/>
        </w:rPr>
        <w:t>Macaca mulatta</w:t>
      </w:r>
      <w:r w:rsidRPr="00FE5D1C">
        <w:rPr>
          <w:rFonts w:ascii="Calibri" w:eastAsia="Times New Roman" w:hAnsi="Calibri" w:cs="Calibri"/>
          <w:color w:val="000000"/>
          <w:kern w:val="0"/>
          <w:sz w:val="22"/>
          <w:szCs w:val="22"/>
          <w14:ligatures w14:val="none"/>
        </w:rPr>
        <w:t> RBCs in a laboratory setting, without the need for antibodies or serum factors. Using a cloned line of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we observed that the ability to form rosettes can be sustained through a process of enrichment. This trait reverses approximately 53 days after enrichment, thus suggesting a mechanism of epigenetic regulation as observed in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We also developed a new imaging flow cytometric procedure to measure rosette formation more quantitatively and efficiently, for which we are currently developing a deep learning model to fully automate the identification of rosettes from images obtained via cytometry. These discoveries would enhance our comprehension of the pathogenesis of severe </w:t>
      </w:r>
      <w:r w:rsidRPr="00FE5D1C">
        <w:rPr>
          <w:rFonts w:ascii="Calibri" w:eastAsia="Times New Roman" w:hAnsi="Calibri" w:cs="Calibri"/>
          <w:i/>
          <w:iCs/>
          <w:color w:val="000000"/>
          <w:kern w:val="0"/>
          <w:sz w:val="22"/>
          <w:szCs w:val="22"/>
          <w14:ligatures w14:val="none"/>
        </w:rPr>
        <w:t>knowlesi</w:t>
      </w:r>
      <w:r w:rsidRPr="00FE5D1C">
        <w:rPr>
          <w:rFonts w:ascii="Calibri" w:eastAsia="Times New Roman" w:hAnsi="Calibri" w:cs="Calibri"/>
          <w:color w:val="000000"/>
          <w:kern w:val="0"/>
          <w:sz w:val="22"/>
          <w:szCs w:val="22"/>
          <w14:ligatures w14:val="none"/>
        </w:rPr>
        <w:t> malaria and establish a foundation for future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studies on rosetting, an important step in developing new intervention methods against severe malaria.</w:t>
      </w:r>
    </w:p>
    <w:p w14:paraId="6CB7A1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25-A-2019-ASTMH</w:t>
      </w:r>
    </w:p>
    <w:p w14:paraId="5BC744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068AE6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Steps for integrating Neglected Tropical Diseases into the Health System. Feasibility study in Kilifi and Siaya Counties, Kenya</w:t>
      </w:r>
    </w:p>
    <w:p w14:paraId="19C3B5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Vertical and siloed implementation of NTD programs continue to hinder alignment with national health system structures, contrary to the WHO 2030 NTD Roadmap and Kenya 2027 NTD Master Plan, which call for integrated, country-owned approaches. Such fragmentation results in high costs, overburdened health systems, and role duplication among healthcare workers, undermining efforts toward NTD elimination. This study assessed the feasibility of integrating NTD services into Kenya’s health system, </w:t>
      </w:r>
      <w:r w:rsidRPr="00FE5D1C">
        <w:rPr>
          <w:rFonts w:ascii="Calibri" w:eastAsia="Times New Roman" w:hAnsi="Calibri" w:cs="Calibri"/>
          <w:color w:val="000000"/>
          <w:kern w:val="0"/>
          <w:sz w:val="22"/>
          <w:szCs w:val="22"/>
          <w14:ligatures w14:val="none"/>
        </w:rPr>
        <w:lastRenderedPageBreak/>
        <w:t>exploring implementation approaches, enablers, barriers, and lessons learned. A baseline mixed-methods study in 32 public health facilities informed the development of an NTD integration model. Using the WHO SARA framework, Hennessy-Hicks TNA tool, and qualitative interviews with health workers, community promoters, and national/sub-national officials, the study highlighted critical service delivery gaps. The integration model included embedding NTD services into national systems, targeted training, and incorporating NTD messaging into community health structures. Routine monitoring supported disease and commodity reporting and costing. Data was analyzed using R (quantitative) and NVivo (qualitative). Baseline findings revealed that none of the facilities were fully prepared for NTD service delivery. Only 26% had praziquantel, over 75% lacked DEC, and lab readiness was below 12%, with just 4% meeting full standards. Though 91% offered outpatient services and 81% had basic equipment, commodity and diagnostic gaps persisted. Training needs were highest in dispensaries and among lab staff. Monitoring of the interventions showed improved reporting in integration sites (80%) vs controls (32%) and enhanced provider suspicion index for NTDs. Communities linked to pilot facilities showed better health-seeking behavior, higher enrollment of hydrocele patients into health insurance, and a 30% increase in deworming uptake. Findings highlight the need to increase domestic investment, strengthen supply chain, continuous trainings, and strengthening community engagement for effective NTD integration into the health system.</w:t>
      </w:r>
    </w:p>
    <w:p w14:paraId="041A00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25-A-2020-ASTMH</w:t>
      </w:r>
    </w:p>
    <w:p w14:paraId="749D92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5C1CB7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Forecasting West Nile Virus in Maricopa County using climate factors</w:t>
      </w:r>
    </w:p>
    <w:p w14:paraId="54BB36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Mosquito-borne diseases present a significant public health challenge, with effective prevention requiring accurate forecasting of mosquito populations and associated disease prevalence. Using a 10-year time series of weekly mosquito abundance and West Nile Virus (WNV) prevalence data collected in Maricopa County, we investigated how local climate variations influence mosquito population dynamics and disease transmission. We developed a mechanistic model of WNV dynamics driven by daily temperature and 30-day accumulated precipitation to predict mosquito populations and WNV prevalence. Our statistical forecasting framework leveraged climate factors to improve predictive accuracy by integrating adaptive modeling techniques and Bayesian methods to infer precise model parameters. To achieve this, we applied the Ensemble Kalman Filter (EnKF) method to estimate both time-varying parameters and static parameters. Using generalized additive models (GAMs), we forecasted these time-varying parameters on a two-week basis, incorporating precipitation and temperature as covariates. These forecasts were used as inputs for a mechanistic ordinary differential equation (ODE) model, which predicted mosquito abundance and WNV prevalence while capturing associated uncertainties. Our iterative framework was applied over a 52-week period, successfully capturing seasonal variations in mosquito populations and WNV prevalence throughout the decade-long dataset. Despite changes in environmental conditions, data quality, and underlying dynamics over the 10-year period, our method consistently captured key trends and variations, highlighting its robustness and adaptability. Our findings underscore the importance of integrating climate data with adaptive filtering techniques to address forecasting challenges and enable effective responses to emerging or re-emerging mosquito-borne pathogens, which, driven by human behavior and environmental changes, may potentially escalate to pandemic levels.</w:t>
      </w:r>
    </w:p>
    <w:p w14:paraId="2D3148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25-A-2021-ASTMH</w:t>
      </w:r>
    </w:p>
    <w:p w14:paraId="56C4EE3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5BF3D36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Anticholinesterase, Anti-Urease, Anti-Tyrosinase and Anti-Diabetic Activities of Various Fractions From </w:t>
      </w:r>
      <w:r w:rsidRPr="00FE5D1C">
        <w:rPr>
          <w:rFonts w:ascii="Calibri" w:eastAsia="Times New Roman" w:hAnsi="Calibri" w:cs="Calibri"/>
          <w:b/>
          <w:bCs/>
          <w:i/>
          <w:iCs/>
          <w:color w:val="000000"/>
          <w:kern w:val="0"/>
          <w:sz w:val="22"/>
          <w:szCs w:val="22"/>
          <w14:ligatures w14:val="none"/>
        </w:rPr>
        <w:t>Maesa kamerunensis</w:t>
      </w:r>
    </w:p>
    <w:p w14:paraId="3402EA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this research, a new saponine, the 3</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-O-{([</w:t>
      </w:r>
      <w:r w:rsidRPr="00FE5D1C">
        <w:rPr>
          <w:rFonts w:ascii="Calibri" w:eastAsia="Times New Roman" w:hAnsi="Calibri" w:cs="Calibri"/>
          <w:i/>
          <w:iCs/>
          <w:color w:val="000000"/>
          <w:kern w:val="0"/>
          <w:sz w:val="22"/>
          <w:szCs w:val="22"/>
          <w14:ligatures w14:val="none"/>
        </w:rPr>
        <w:t>α</w:t>
      </w:r>
      <w:r w:rsidRPr="00FE5D1C">
        <w:rPr>
          <w:rFonts w:ascii="Calibri" w:eastAsia="Times New Roman" w:hAnsi="Calibri" w:cs="Calibri"/>
          <w:color w:val="000000"/>
          <w:kern w:val="0"/>
          <w:sz w:val="22"/>
          <w:szCs w:val="22"/>
          <w14:ligatures w14:val="none"/>
        </w:rPr>
        <w:t>-L-rhamnopyranosyl-(1→2)-</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-D-galactopyranosyl-(1→3)]-[β-D-galactopyranosyl-(1→2)]-</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-D-glucuronopyranosyl)}-21</w:t>
      </w:r>
      <w:r w:rsidRPr="00FE5D1C">
        <w:rPr>
          <w:rFonts w:ascii="Calibri" w:eastAsia="Times New Roman" w:hAnsi="Calibri" w:cs="Calibri"/>
          <w:i/>
          <w:iCs/>
          <w:color w:val="000000"/>
          <w:kern w:val="0"/>
          <w:sz w:val="22"/>
          <w:szCs w:val="22"/>
          <w14:ligatures w14:val="none"/>
        </w:rPr>
        <w:t>α</w:t>
      </w:r>
      <w:r w:rsidRPr="00FE5D1C">
        <w:rPr>
          <w:rFonts w:ascii="Calibri" w:eastAsia="Times New Roman" w:hAnsi="Calibri" w:cs="Calibri"/>
          <w:color w:val="000000"/>
          <w:kern w:val="0"/>
          <w:sz w:val="22"/>
          <w:szCs w:val="22"/>
          <w14:ligatures w14:val="none"/>
        </w:rPr>
        <w:t>-angeloyloxy,22</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-(2′-methylpropanoyl)-13</w:t>
      </w:r>
      <w:r w:rsidRPr="00FE5D1C">
        <w:rPr>
          <w:rFonts w:ascii="Calibri" w:eastAsia="Times New Roman" w:hAnsi="Calibri" w:cs="Calibri"/>
          <w:i/>
          <w:iCs/>
          <w:color w:val="000000"/>
          <w:kern w:val="0"/>
          <w:sz w:val="22"/>
          <w:szCs w:val="22"/>
          <w14:ligatures w14:val="none"/>
        </w:rPr>
        <w:t>α</w:t>
      </w:r>
      <w:r w:rsidRPr="00FE5D1C">
        <w:rPr>
          <w:rFonts w:ascii="Calibri" w:eastAsia="Times New Roman" w:hAnsi="Calibri" w:cs="Calibri"/>
          <w:color w:val="000000"/>
          <w:kern w:val="0"/>
          <w:sz w:val="22"/>
          <w:szCs w:val="22"/>
          <w14:ligatures w14:val="none"/>
        </w:rPr>
        <w:t>,28-oxido-olean-16</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,28</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 xml:space="preserve">-diol, namely maesakamerunoside D was isolated and the </w:t>
      </w:r>
      <w:r w:rsidRPr="00FE5D1C">
        <w:rPr>
          <w:rFonts w:ascii="Calibri" w:eastAsia="Times New Roman" w:hAnsi="Calibri" w:cs="Calibri"/>
          <w:color w:val="000000"/>
          <w:kern w:val="0"/>
          <w:sz w:val="22"/>
          <w:szCs w:val="22"/>
          <w14:ligatures w14:val="none"/>
        </w:rPr>
        <w:lastRenderedPageBreak/>
        <w:t>anticholinesterase, antidiabetics, Urease and tyrosinase inhibitors properties of different extracts of </w:t>
      </w:r>
      <w:r w:rsidRPr="00FE5D1C">
        <w:rPr>
          <w:rFonts w:ascii="Calibri" w:eastAsia="Times New Roman" w:hAnsi="Calibri" w:cs="Calibri"/>
          <w:i/>
          <w:iCs/>
          <w:color w:val="000000"/>
          <w:kern w:val="0"/>
          <w:sz w:val="22"/>
          <w:szCs w:val="22"/>
          <w14:ligatures w14:val="none"/>
        </w:rPr>
        <w:t>Maesa kamerunensis</w:t>
      </w:r>
      <w:r w:rsidRPr="00FE5D1C">
        <w:rPr>
          <w:rFonts w:ascii="Calibri" w:eastAsia="Times New Roman" w:hAnsi="Calibri" w:cs="Calibri"/>
          <w:color w:val="000000"/>
          <w:kern w:val="0"/>
          <w:sz w:val="22"/>
          <w:szCs w:val="22"/>
          <w14:ligatures w14:val="none"/>
        </w:rPr>
        <w:t> with the new compound were determined. The enzyme inhibitory potential of extracts was investigated against key enzymes involved in neurodegenerative (acetylcholinesterase (AChE) and butyrylcholinesterase (BChE), and antidiabetics (α-amylase and </w:t>
      </w:r>
      <w:r w:rsidRPr="00FE5D1C">
        <w:rPr>
          <w:rFonts w:ascii="Calibri" w:eastAsia="Times New Roman" w:hAnsi="Calibri" w:cs="Calibri"/>
          <w:i/>
          <w:iCs/>
          <w:color w:val="000000"/>
          <w:kern w:val="0"/>
          <w:sz w:val="22"/>
          <w:szCs w:val="22"/>
          <w14:ligatures w14:val="none"/>
        </w:rPr>
        <w:t>α</w:t>
      </w:r>
      <w:r w:rsidRPr="00FE5D1C">
        <w:rPr>
          <w:rFonts w:ascii="Calibri" w:eastAsia="Times New Roman" w:hAnsi="Calibri" w:cs="Calibri"/>
          <w:color w:val="000000"/>
          <w:kern w:val="0"/>
          <w:sz w:val="22"/>
          <w:szCs w:val="22"/>
          <w14:ligatures w14:val="none"/>
        </w:rPr>
        <w:t>-glucosidase) and skin (tyrosinase) disorders and Urease inhibitory. In the cholinesterase inhibitory assays, the aqueous extracts of fruits (24.05±0.32 µg/ml) and the n-butanol extract of stems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23.20±0.41 µg/mL) exhibited the best activity against AChE and BChE. For the α-amylase and α-glucosidase, the ethyl acetate extract presented the higher activities with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at 10.61±0.31 and 12.07±0.37 µg/mL respectively. While the hexane extract of fruits showed the best activity for Urease inhibitory with the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at 17.06±0.36 µg/mL. All sample tested presented the good activities for Tyrosinase inhibitory. For the compounds, maekamerunoside D presented the highest activity. For the Cholinesterase inhibitory activity, it presented an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at 17.93±0.60 and 32.63±0.50 for the AChE and the BChE respectively. The spectrophotometric methods were used to determine the total phenolic, flavonoid, ascorbic acid, </w:t>
      </w:r>
      <w:r w:rsidRPr="00FE5D1C">
        <w:rPr>
          <w:rFonts w:ascii="Calibri" w:eastAsia="Times New Roman" w:hAnsi="Calibri" w:cs="Calibri"/>
          <w:i/>
          <w:iCs/>
          <w:color w:val="000000"/>
          <w:kern w:val="0"/>
          <w:sz w:val="22"/>
          <w:szCs w:val="22"/>
          <w14:ligatures w14:val="none"/>
        </w:rPr>
        <w:t>β</w:t>
      </w:r>
      <w:r w:rsidRPr="00FE5D1C">
        <w:rPr>
          <w:rFonts w:ascii="Calibri" w:eastAsia="Times New Roman" w:hAnsi="Calibri" w:cs="Calibri"/>
          <w:color w:val="000000"/>
          <w:kern w:val="0"/>
          <w:sz w:val="22"/>
          <w:szCs w:val="22"/>
          <w14:ligatures w14:val="none"/>
        </w:rPr>
        <w:t>-carotene, and lycopene contents. Keywords: Saponine, anticholinesterase, antidiabetics, Urease, tyrosinase, </w:t>
      </w:r>
      <w:r w:rsidRPr="00FE5D1C">
        <w:rPr>
          <w:rFonts w:ascii="Calibri" w:eastAsia="Times New Roman" w:hAnsi="Calibri" w:cs="Calibri"/>
          <w:i/>
          <w:iCs/>
          <w:color w:val="000000"/>
          <w:kern w:val="0"/>
          <w:sz w:val="22"/>
          <w:szCs w:val="22"/>
          <w14:ligatures w14:val="none"/>
        </w:rPr>
        <w:t>Maesa kamerunensis</w:t>
      </w:r>
    </w:p>
    <w:p w14:paraId="6EF735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25-A-2022-ASTMH</w:t>
      </w:r>
    </w:p>
    <w:p w14:paraId="1CC01D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Systemic Infections</w:t>
      </w:r>
    </w:p>
    <w:p w14:paraId="112823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Threat of Invasive Non-Typhoidal </w:t>
      </w:r>
      <w:r w:rsidRPr="00FE5D1C">
        <w:rPr>
          <w:rFonts w:ascii="Calibri" w:eastAsia="Times New Roman" w:hAnsi="Calibri" w:cs="Calibri"/>
          <w:b/>
          <w:bCs/>
          <w:i/>
          <w:iCs/>
          <w:color w:val="000000"/>
          <w:kern w:val="0"/>
          <w:sz w:val="22"/>
          <w:szCs w:val="22"/>
          <w14:ligatures w14:val="none"/>
        </w:rPr>
        <w:t>Salmonella</w:t>
      </w:r>
      <w:r w:rsidRPr="00FE5D1C">
        <w:rPr>
          <w:rFonts w:ascii="Calibri" w:eastAsia="Times New Roman" w:hAnsi="Calibri" w:cs="Calibri"/>
          <w:b/>
          <w:bCs/>
          <w:color w:val="000000"/>
          <w:kern w:val="0"/>
          <w:sz w:val="22"/>
          <w:szCs w:val="22"/>
          <w14:ligatures w14:val="none"/>
        </w:rPr>
        <w:t> in Ghana: Evidence from Eight Years of Surveillance</w:t>
      </w:r>
    </w:p>
    <w:p w14:paraId="4BD424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Invasive non-typhoidal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(iNTS) infections pose a significant public health burden, particularly in Sub-Saharan Africa, where they contribute to high morbidity and mortality among vulnerable populations. Despite ongoing vaccine trials, there remains a critical knowledge gap regarding the clinical characteristics and epidemiology of iNTS disease in Ghana, necessitating further investigation. This study utilized data collected from 2016 - 2023 at 4 major hospitals which served as fever surveillance sites under the SETA/SETA PLUS fever study in Ghana. Patients presenting with fever (≥38°C) and/or a history of fever for three or more consecutive days within the past week were enrolled, and blood cultures were done for pathogen identification. Data were analyzed using Chi-Square test and multivariable logistic regression to explore associations. A total of 14,824 blood cultures were performed over the 8-year period with a total of 273 positive for pathogenic bacteria. Invasive NTS 42(15.4%) was second only to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Typhi 95(34.8%) in all causes of blood culture-confirmed bacteremia. None of the patients with confirmed iNTS infection had an initial clinical suspicion of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-related disease. Of the iNTS isolates 10 (23.8%) were multidrug-resistant (MDR), with 2 (4.8%) being extensively drug-resistant strains, showing resistance to both ceftriaxone and ciprofloxacin. The crude prevalence of iNTS was 2.8 per 1,000 blood cultures, with an incidence proportion of 26.92 per 100,000 people in Agogo. Seasonal peaks of iNTS cases coincided with Ghana’s major and minor rainy seasons (June-July and September-October). In addition to known risk factors, our findings suggest potential associations between iNTS disease and underlying cardiac (P = 0.014) or renal conditions (P &lt;0.001). Invasive NTS infection presents as a highly non-specific febrile illness in Ghana, often eluding clinical suspicion. The presence of extensively drug-resistant strains, coupled with its burden and seasonal peaks, underscores the urgent need for increased awareness, improved diagnostics, and most importantly, an effective iNTS vaccine.</w:t>
      </w:r>
    </w:p>
    <w:p w14:paraId="24843B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25-A-2023-ASTMH</w:t>
      </w:r>
    </w:p>
    <w:p w14:paraId="7FDD73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6DA0E70B" w14:textId="5AEDF32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Molecular Detection of Ambler classes A and C β-lactamases Resistance Genes in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Vibrio parahaemolyticus</w:t>
      </w:r>
      <w:r w:rsidRPr="00FE5D1C">
        <w:rPr>
          <w:rFonts w:ascii="Calibri" w:eastAsia="Times New Roman" w:hAnsi="Calibri" w:cs="Calibri"/>
          <w:color w:val="000000"/>
          <w:kern w:val="0"/>
          <w:sz w:val="22"/>
          <w:szCs w:val="22"/>
          <w14:ligatures w14:val="none"/>
        </w:rPr>
        <w:t> from Aquaculture Clusters in Two Southern Nigerian States</w:t>
      </w:r>
    </w:p>
    <w:p w14:paraId="50CC8C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global rise in antibiotic-resistant bacteria poses a serious threat to public health, especially in aquatic environments where </w:t>
      </w:r>
      <w:r w:rsidRPr="00FE5D1C">
        <w:rPr>
          <w:rFonts w:ascii="Calibri" w:eastAsia="Times New Roman" w:hAnsi="Calibri" w:cs="Calibri"/>
          <w:i/>
          <w:iCs/>
          <w:color w:val="000000"/>
          <w:kern w:val="0"/>
          <w:sz w:val="22"/>
          <w:szCs w:val="22"/>
          <w14:ligatures w14:val="none"/>
        </w:rPr>
        <w:t>Vibrio</w:t>
      </w:r>
      <w:r w:rsidRPr="00FE5D1C">
        <w:rPr>
          <w:rFonts w:ascii="Calibri" w:eastAsia="Times New Roman" w:hAnsi="Calibri" w:cs="Calibri"/>
          <w:color w:val="000000"/>
          <w:kern w:val="0"/>
          <w:sz w:val="22"/>
          <w:szCs w:val="22"/>
          <w14:ligatures w14:val="none"/>
        </w:rPr>
        <w:t> species are widespread and linked to foodborne diseases.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Vibrio parahaemolyticus</w:t>
      </w:r>
      <w:r w:rsidRPr="00FE5D1C">
        <w:rPr>
          <w:rFonts w:ascii="Calibri" w:eastAsia="Times New Roman" w:hAnsi="Calibri" w:cs="Calibri"/>
          <w:color w:val="000000"/>
          <w:kern w:val="0"/>
          <w:sz w:val="22"/>
          <w:szCs w:val="22"/>
          <w14:ligatures w14:val="none"/>
        </w:rPr>
        <w:t xml:space="preserve"> are common fish pathogens, and their ability to harbour β-lactamase resistance genes raises concerns about the potential spread of resistance to other bacteria, including those infecting humans. Liver, kidney and spleen were collected from adult fish (n=285). </w:t>
      </w:r>
      <w:r w:rsidRPr="00FE5D1C">
        <w:rPr>
          <w:rFonts w:ascii="Calibri" w:eastAsia="Times New Roman" w:hAnsi="Calibri" w:cs="Calibri"/>
          <w:color w:val="000000"/>
          <w:kern w:val="0"/>
          <w:sz w:val="22"/>
          <w:szCs w:val="22"/>
          <w14:ligatures w14:val="none"/>
        </w:rPr>
        <w:lastRenderedPageBreak/>
        <w:t>Sampled tissues were enriched in buffered peptone water and incubated at 30</w:t>
      </w:r>
      <w:r w:rsidRPr="00FE5D1C">
        <w:rPr>
          <w:rFonts w:ascii="Cambria Math" w:eastAsia="Times New Roman" w:hAnsi="Cambria Math" w:cs="Cambria Math"/>
          <w:color w:val="000000"/>
          <w:kern w:val="0"/>
          <w:sz w:val="22"/>
          <w:szCs w:val="22"/>
          <w14:ligatures w14:val="none"/>
        </w:rPr>
        <w:t>℃</w:t>
      </w:r>
      <w:r w:rsidRPr="00FE5D1C">
        <w:rPr>
          <w:rFonts w:ascii="Calibri" w:eastAsia="Times New Roman" w:hAnsi="Calibri" w:cs="Calibri"/>
          <w:color w:val="000000"/>
          <w:kern w:val="0"/>
          <w:sz w:val="22"/>
          <w:szCs w:val="22"/>
          <w14:ligatures w14:val="none"/>
        </w:rPr>
        <w:t xml:space="preserve"> for 24 hours, followed by culture on Thiosulfate Citrate-Bile salts Sucrose (TCBS) Agar. Colonies were identified based on morphology and biochemical tests. Real-time PCR (NZYtech) and whole-genome sequencing were used to confirm species identity and detect β-lactamase resistance genes.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appeared as yellow, round colonies with smooth edges, while </w:t>
      </w:r>
      <w:r w:rsidRPr="00FE5D1C">
        <w:rPr>
          <w:rFonts w:ascii="Calibri" w:eastAsia="Times New Roman" w:hAnsi="Calibri" w:cs="Calibri"/>
          <w:i/>
          <w:iCs/>
          <w:color w:val="000000"/>
          <w:kern w:val="0"/>
          <w:sz w:val="22"/>
          <w:szCs w:val="22"/>
          <w14:ligatures w14:val="none"/>
        </w:rPr>
        <w:t>V. parahaemolyticus</w:t>
      </w:r>
      <w:r w:rsidRPr="00FE5D1C">
        <w:rPr>
          <w:rFonts w:ascii="Calibri" w:eastAsia="Times New Roman" w:hAnsi="Calibri" w:cs="Calibri"/>
          <w:color w:val="000000"/>
          <w:kern w:val="0"/>
          <w:sz w:val="22"/>
          <w:szCs w:val="22"/>
          <w14:ligatures w14:val="none"/>
        </w:rPr>
        <w:t> formed green colonies with similar morphology. </w:t>
      </w:r>
      <w:r w:rsidRPr="00FE5D1C">
        <w:rPr>
          <w:rFonts w:ascii="Calibri" w:eastAsia="Times New Roman" w:hAnsi="Calibri" w:cs="Calibri"/>
          <w:i/>
          <w:iCs/>
          <w:color w:val="000000"/>
          <w:kern w:val="0"/>
          <w:sz w:val="22"/>
          <w:szCs w:val="22"/>
          <w14:ligatures w14:val="none"/>
        </w:rPr>
        <w:t>Vibrio parahaemolyticus</w:t>
      </w:r>
      <w:r w:rsidRPr="00FE5D1C">
        <w:rPr>
          <w:rFonts w:ascii="Calibri" w:eastAsia="Times New Roman" w:hAnsi="Calibri" w:cs="Calibri"/>
          <w:color w:val="000000"/>
          <w:kern w:val="0"/>
          <w:sz w:val="22"/>
          <w:szCs w:val="22"/>
          <w14:ligatures w14:val="none"/>
        </w:rPr>
        <w:t> showed a typical sigmoid curve in RT-PCR, while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did not. Genomic analysis revealed that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carried the </w:t>
      </w:r>
      <w:r w:rsidRPr="00FE5D1C">
        <w:rPr>
          <w:rFonts w:ascii="Calibri" w:eastAsia="Times New Roman" w:hAnsi="Calibri" w:cs="Calibri"/>
          <w:i/>
          <w:iCs/>
          <w:color w:val="000000"/>
          <w:kern w:val="0"/>
          <w:sz w:val="22"/>
          <w:szCs w:val="22"/>
          <w14:ligatures w14:val="none"/>
        </w:rPr>
        <w:t>HugA</w:t>
      </w:r>
      <w:r w:rsidRPr="00FE5D1C">
        <w:rPr>
          <w:rFonts w:ascii="Calibri" w:eastAsia="Times New Roman" w:hAnsi="Calibri" w:cs="Calibri"/>
          <w:color w:val="000000"/>
          <w:kern w:val="0"/>
          <w:sz w:val="22"/>
          <w:szCs w:val="22"/>
          <w14:ligatures w14:val="none"/>
        </w:rPr>
        <w:t> gene, an Ambler class A β-lactamase. </w:t>
      </w:r>
      <w:r w:rsidRPr="00FE5D1C">
        <w:rPr>
          <w:rFonts w:ascii="Calibri" w:eastAsia="Times New Roman" w:hAnsi="Calibri" w:cs="Calibri"/>
          <w:i/>
          <w:iCs/>
          <w:color w:val="000000"/>
          <w:kern w:val="0"/>
          <w:sz w:val="22"/>
          <w:szCs w:val="22"/>
          <w14:ligatures w14:val="none"/>
        </w:rPr>
        <w:t>V. parahaemolyticus</w:t>
      </w:r>
      <w:r w:rsidRPr="00FE5D1C">
        <w:rPr>
          <w:rFonts w:ascii="Calibri" w:eastAsia="Times New Roman" w:hAnsi="Calibri" w:cs="Calibri"/>
          <w:color w:val="000000"/>
          <w:kern w:val="0"/>
          <w:sz w:val="22"/>
          <w:szCs w:val="22"/>
          <w14:ligatures w14:val="none"/>
        </w:rPr>
        <w:t> harboured multiple resistance genes, including Ambler class A β-lactamases (</w:t>
      </w:r>
      <w:r w:rsidRPr="00FE5D1C">
        <w:rPr>
          <w:rFonts w:ascii="Calibri" w:eastAsia="Times New Roman" w:hAnsi="Calibri" w:cs="Calibri"/>
          <w:i/>
          <w:iCs/>
          <w:color w:val="000000"/>
          <w:kern w:val="0"/>
          <w:sz w:val="22"/>
          <w:szCs w:val="22"/>
          <w14:ligatures w14:val="none"/>
        </w:rPr>
        <w:t>blaTEM-1, blaLAP-2, HugA</w:t>
      </w:r>
      <w:r w:rsidRPr="00FE5D1C">
        <w:rPr>
          <w:rFonts w:ascii="Calibri" w:eastAsia="Times New Roman" w:hAnsi="Calibri" w:cs="Calibri"/>
          <w:color w:val="000000"/>
          <w:kern w:val="0"/>
          <w:sz w:val="22"/>
          <w:szCs w:val="22"/>
          <w14:ligatures w14:val="none"/>
        </w:rPr>
        <w:t>) and class C β-lactamases (</w:t>
      </w:r>
      <w:r w:rsidRPr="00FE5D1C">
        <w:rPr>
          <w:rFonts w:ascii="Calibri" w:eastAsia="Times New Roman" w:hAnsi="Calibri" w:cs="Calibri"/>
          <w:i/>
          <w:iCs/>
          <w:color w:val="000000"/>
          <w:kern w:val="0"/>
          <w:sz w:val="22"/>
          <w:szCs w:val="22"/>
          <w14:ligatures w14:val="none"/>
        </w:rPr>
        <w:t>blaACT-41, blaMIR-14</w:t>
      </w:r>
      <w:r w:rsidRPr="00FE5D1C">
        <w:rPr>
          <w:rFonts w:ascii="Calibri" w:eastAsia="Times New Roman" w:hAnsi="Calibri" w:cs="Calibri"/>
          <w:color w:val="000000"/>
          <w:kern w:val="0"/>
          <w:sz w:val="22"/>
          <w:szCs w:val="22"/>
          <w14:ligatures w14:val="none"/>
        </w:rPr>
        <w:t>). Other resistance genes detected included those conferring resistance to aminoglycosides [</w:t>
      </w:r>
      <w:r w:rsidRPr="00FE5D1C">
        <w:rPr>
          <w:rFonts w:ascii="Calibri" w:eastAsia="Times New Roman" w:hAnsi="Calibri" w:cs="Calibri"/>
          <w:i/>
          <w:iCs/>
          <w:color w:val="000000"/>
          <w:kern w:val="0"/>
          <w:sz w:val="22"/>
          <w:szCs w:val="22"/>
          <w14:ligatures w14:val="none"/>
        </w:rPr>
        <w:t>aac(6')-Iid, aadA1, aadA2, aph(3'')-Ib, aph(6)-Id</w:t>
      </w:r>
      <w:r w:rsidRPr="00FE5D1C">
        <w:rPr>
          <w:rFonts w:ascii="Calibri" w:eastAsia="Times New Roman" w:hAnsi="Calibri" w:cs="Calibri"/>
          <w:color w:val="000000"/>
          <w:kern w:val="0"/>
          <w:sz w:val="22"/>
          <w:szCs w:val="22"/>
          <w14:ligatures w14:val="none"/>
        </w:rPr>
        <w:t>], chloramphenicol (</w:t>
      </w:r>
      <w:r w:rsidRPr="00FE5D1C">
        <w:rPr>
          <w:rFonts w:ascii="Calibri" w:eastAsia="Times New Roman" w:hAnsi="Calibri" w:cs="Calibri"/>
          <w:i/>
          <w:iCs/>
          <w:color w:val="000000"/>
          <w:kern w:val="0"/>
          <w:sz w:val="22"/>
          <w:szCs w:val="22"/>
          <w14:ligatures w14:val="none"/>
        </w:rPr>
        <w:t>catA4</w:t>
      </w:r>
      <w:r w:rsidRPr="00FE5D1C">
        <w:rPr>
          <w:rFonts w:ascii="Calibri" w:eastAsia="Times New Roman" w:hAnsi="Calibri" w:cs="Calibri"/>
          <w:color w:val="000000"/>
          <w:kern w:val="0"/>
          <w:sz w:val="22"/>
          <w:szCs w:val="22"/>
          <w14:ligatures w14:val="none"/>
        </w:rPr>
        <w:t>), trimethoprim (</w:t>
      </w:r>
      <w:r w:rsidRPr="00FE5D1C">
        <w:rPr>
          <w:rFonts w:ascii="Calibri" w:eastAsia="Times New Roman" w:hAnsi="Calibri" w:cs="Calibri"/>
          <w:i/>
          <w:iCs/>
          <w:color w:val="000000"/>
          <w:kern w:val="0"/>
          <w:sz w:val="22"/>
          <w:szCs w:val="22"/>
          <w14:ligatures w14:val="none"/>
        </w:rPr>
        <w:t>dfrA1, dfrA14</w:t>
      </w:r>
      <w:r w:rsidRPr="00FE5D1C">
        <w:rPr>
          <w:rFonts w:ascii="Calibri" w:eastAsia="Times New Roman" w:hAnsi="Calibri" w:cs="Calibri"/>
          <w:color w:val="000000"/>
          <w:kern w:val="0"/>
          <w:sz w:val="22"/>
          <w:szCs w:val="22"/>
          <w14:ligatures w14:val="none"/>
        </w:rPr>
        <w:t>), florfenicol (</w:t>
      </w:r>
      <w:r w:rsidRPr="00FE5D1C">
        <w:rPr>
          <w:rFonts w:ascii="Calibri" w:eastAsia="Times New Roman" w:hAnsi="Calibri" w:cs="Calibri"/>
          <w:i/>
          <w:iCs/>
          <w:color w:val="000000"/>
          <w:kern w:val="0"/>
          <w:sz w:val="22"/>
          <w:szCs w:val="22"/>
          <w14:ligatures w14:val="none"/>
        </w:rPr>
        <w:t>floR</w:t>
      </w:r>
      <w:r w:rsidRPr="00FE5D1C">
        <w:rPr>
          <w:rFonts w:ascii="Calibri" w:eastAsia="Times New Roman" w:hAnsi="Calibri" w:cs="Calibri"/>
          <w:color w:val="000000"/>
          <w:kern w:val="0"/>
          <w:sz w:val="22"/>
          <w:szCs w:val="22"/>
          <w14:ligatures w14:val="none"/>
        </w:rPr>
        <w:t>), fosfomycin (</w:t>
      </w:r>
      <w:r w:rsidRPr="00FE5D1C">
        <w:rPr>
          <w:rFonts w:ascii="Calibri" w:eastAsia="Times New Roman" w:hAnsi="Calibri" w:cs="Calibri"/>
          <w:i/>
          <w:iCs/>
          <w:color w:val="000000"/>
          <w:kern w:val="0"/>
          <w:sz w:val="22"/>
          <w:szCs w:val="22"/>
          <w14:ligatures w14:val="none"/>
        </w:rPr>
        <w:t>fosA</w:t>
      </w:r>
      <w:r w:rsidRPr="00FE5D1C">
        <w:rPr>
          <w:rFonts w:ascii="Calibri" w:eastAsia="Times New Roman" w:hAnsi="Calibri" w:cs="Calibri"/>
          <w:color w:val="000000"/>
          <w:kern w:val="0"/>
          <w:sz w:val="22"/>
          <w:szCs w:val="22"/>
          <w14:ligatures w14:val="none"/>
        </w:rPr>
        <w:t>), quinolones (</w:t>
      </w:r>
      <w:r w:rsidRPr="00FE5D1C">
        <w:rPr>
          <w:rFonts w:ascii="Calibri" w:eastAsia="Times New Roman" w:hAnsi="Calibri" w:cs="Calibri"/>
          <w:i/>
          <w:iCs/>
          <w:color w:val="000000"/>
          <w:kern w:val="0"/>
          <w:sz w:val="22"/>
          <w:szCs w:val="22"/>
          <w14:ligatures w14:val="none"/>
        </w:rPr>
        <w:t>oqxA, oqxB9, qnrD1, qnrS1</w:t>
      </w:r>
      <w:r w:rsidRPr="00FE5D1C">
        <w:rPr>
          <w:rFonts w:ascii="Calibri" w:eastAsia="Times New Roman" w:hAnsi="Calibri" w:cs="Calibri"/>
          <w:color w:val="000000"/>
          <w:kern w:val="0"/>
          <w:sz w:val="22"/>
          <w:szCs w:val="22"/>
          <w14:ligatures w14:val="none"/>
        </w:rPr>
        <w:t>), streptothricin (</w:t>
      </w:r>
      <w:r w:rsidRPr="00FE5D1C">
        <w:rPr>
          <w:rFonts w:ascii="Calibri" w:eastAsia="Times New Roman" w:hAnsi="Calibri" w:cs="Calibri"/>
          <w:i/>
          <w:iCs/>
          <w:color w:val="000000"/>
          <w:kern w:val="0"/>
          <w:sz w:val="22"/>
          <w:szCs w:val="22"/>
          <w14:ligatures w14:val="none"/>
        </w:rPr>
        <w:t>sat2_gen</w:t>
      </w:r>
      <w:r w:rsidRPr="00FE5D1C">
        <w:rPr>
          <w:rFonts w:ascii="Calibri" w:eastAsia="Times New Roman" w:hAnsi="Calibri" w:cs="Calibri"/>
          <w:color w:val="000000"/>
          <w:kern w:val="0"/>
          <w:sz w:val="22"/>
          <w:szCs w:val="22"/>
          <w14:ligatures w14:val="none"/>
        </w:rPr>
        <w:t>), sulfonamides (</w:t>
      </w:r>
      <w:r w:rsidRPr="00FE5D1C">
        <w:rPr>
          <w:rFonts w:ascii="Calibri" w:eastAsia="Times New Roman" w:hAnsi="Calibri" w:cs="Calibri"/>
          <w:i/>
          <w:iCs/>
          <w:color w:val="000000"/>
          <w:kern w:val="0"/>
          <w:sz w:val="22"/>
          <w:szCs w:val="22"/>
          <w14:ligatures w14:val="none"/>
        </w:rPr>
        <w:t>sul2</w:t>
      </w:r>
      <w:r w:rsidRPr="00FE5D1C">
        <w:rPr>
          <w:rFonts w:ascii="Calibri" w:eastAsia="Times New Roman" w:hAnsi="Calibri" w:cs="Calibri"/>
          <w:color w:val="000000"/>
          <w:kern w:val="0"/>
          <w:sz w:val="22"/>
          <w:szCs w:val="22"/>
          <w14:ligatures w14:val="none"/>
        </w:rPr>
        <w:t>), and tetracyclines [</w:t>
      </w:r>
      <w:r w:rsidRPr="00FE5D1C">
        <w:rPr>
          <w:rFonts w:ascii="Calibri" w:eastAsia="Times New Roman" w:hAnsi="Calibri" w:cs="Calibri"/>
          <w:i/>
          <w:iCs/>
          <w:color w:val="000000"/>
          <w:kern w:val="0"/>
          <w:sz w:val="22"/>
          <w:szCs w:val="22"/>
          <w14:ligatures w14:val="none"/>
        </w:rPr>
        <w:t>tet(57), tet(59), tet(H), tet(J</w:t>
      </w:r>
      <w:r w:rsidRPr="00FE5D1C">
        <w:rPr>
          <w:rFonts w:ascii="Calibri" w:eastAsia="Times New Roman" w:hAnsi="Calibri" w:cs="Calibri"/>
          <w:color w:val="000000"/>
          <w:kern w:val="0"/>
          <w:sz w:val="22"/>
          <w:szCs w:val="22"/>
          <w14:ligatures w14:val="none"/>
        </w:rPr>
        <w:t>)]. The presence of multidrug resistance genes, particularly β-lactamases, in </w:t>
      </w:r>
      <w:r w:rsidRPr="00FE5D1C">
        <w:rPr>
          <w:rFonts w:ascii="Calibri" w:eastAsia="Times New Roman" w:hAnsi="Calibri" w:cs="Calibri"/>
          <w:i/>
          <w:iCs/>
          <w:color w:val="000000"/>
          <w:kern w:val="0"/>
          <w:sz w:val="22"/>
          <w:szCs w:val="22"/>
          <w14:ligatures w14:val="none"/>
        </w:rPr>
        <w:t>Vibrio</w:t>
      </w:r>
      <w:r w:rsidRPr="00FE5D1C">
        <w:rPr>
          <w:rFonts w:ascii="Calibri" w:eastAsia="Times New Roman" w:hAnsi="Calibri" w:cs="Calibri"/>
          <w:color w:val="000000"/>
          <w:kern w:val="0"/>
          <w:sz w:val="22"/>
          <w:szCs w:val="22"/>
          <w14:ligatures w14:val="none"/>
        </w:rPr>
        <w:t> species from aquaculture environments, underscores the risk of resistance gene transfer and potential public health implications. Continuous monitoring of antibiotic use and resistance in aquaculture is critical for safeguarding animal, human, and environmental health within a One Health framework.</w:t>
      </w:r>
    </w:p>
    <w:p w14:paraId="52446A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25-A-2024-ASTMH</w:t>
      </w:r>
    </w:p>
    <w:p w14:paraId="25C117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7BA127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Knowledge, Awareness and Perception of Sustainable Development Goals (SDGs) among undergraduate students at the College of Medicine campus of the University of Lagos (CMUL), Lagos, Nigeria</w:t>
      </w:r>
    </w:p>
    <w:p w14:paraId="707DE3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Sustainable Development Goals (SDGs) represent a global framework to addressing social, economic, and environmental challenges. Universities are traditionally seen as centers of knowledge and offer a prime environment to explore awareness and understanding of the SDGs. A cross-sectional study was conducted among 296 undergraduate students of CMUL in their penultimate and final year over a period of 2 months using a structured questionnaire. The questionnaire assessed students' knowledge of the SDGs, their awareness of specific goals, and their perceptions regarding the relevance of the SDGs to healthcare. Descriptive and inferential statistics were employed to analyze the data using SPSS version 25.0. The association between socio-demographic characteristics and SDG knowledge, awareness and perception were examined using chi-square tests. Response rate was about 91%. Majority of the respondents were females (67.3%). Over 90% of respondents had heard of the SDGs, yet only about one-third were familiar with specific targets. Students have low knowledge on the total number of SDGs and goals. Health-related SDGs were better known than others. Positive perceptions about the importance of SDGs were observed; however, only 15% of the students reported exposure to SDG-related content in their academic curriculum. The students perceived that SDGs are achievable (76.2%); learning about SDGs is important for students (82.5%) and that healthcare professionals have a role to play in achieving the SDGs (89.9%). Significant differences were observed in awareness and knowledge between students in different courses but no significant difference in perception. Despite the positive perception of importance of SDGs, there is need for a concerted effort to improve awareness and knowledge of SDGs among the students. Also there is need to integrate SDGs into education curricular and offer opportunities for practical engagement in SDG related activities to enhance the students’ ability to contribute and participate in sustainable developments.</w:t>
      </w:r>
    </w:p>
    <w:p w14:paraId="287F84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25-A-2025-ASTMH</w:t>
      </w:r>
    </w:p>
    <w:p w14:paraId="3EFE1FF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361E19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ACE Mali: A genomic and metagenomic analysis platform for West Africa</w:t>
      </w:r>
    </w:p>
    <w:p w14:paraId="3BD2C4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African Centre of Excellence in Bioinformatics and Data Science at the University ofSciences, Techniques and Technologies of Bamako (USTTB) is a research training structurecreated by USTTB in collaboration with NIH. It aims to carry out high-level relevant researchby integrating public health </w:t>
      </w:r>
      <w:r w:rsidRPr="00FE5D1C">
        <w:rPr>
          <w:rFonts w:ascii="Calibri" w:eastAsia="Times New Roman" w:hAnsi="Calibri" w:cs="Calibri"/>
          <w:color w:val="000000"/>
          <w:kern w:val="0"/>
          <w:sz w:val="22"/>
          <w:szCs w:val="22"/>
          <w14:ligatures w14:val="none"/>
        </w:rPr>
        <w:lastRenderedPageBreak/>
        <w:t>needs and serve as a data analysis platform accessible to the WestAfrican scientific community. Currently, the microbiological challenges in Africa range frommicrobiological food safety to endemic and epidemic bacterial and viral diseases. Currently,antimicrobial resistance has become a public health concern.Since most bacteria are not identifiable by laboratory culture techniques, a high-throughputsequencing allows to study the whole genomes of pathogenic microorganisms. Also, thesequencing of the bacterial rRNA 16S gene allows us to analyze its coding sequence andidentify the bacterial strains involved as well as phylogenetic, taxonomic studies and potentialmicrobial functions. At the ACE Mali, some thesis and master’s works have focused on: i)Microbiome of soils and plants infected and not infected with RYMV ; ii) Diversity ofendophyte bio stimulating bacterial species in Mali by targeted metagenomic approach, iii)Molecular and phylogenetic analysis of the highly pathogenic avian influenza virus H5N1 inMali and iv) Diversity of</w:t>
      </w:r>
      <w:r w:rsidRPr="00FE5D1C">
        <w:rPr>
          <w:rFonts w:ascii="Calibri" w:eastAsia="Times New Roman" w:hAnsi="Calibri" w:cs="Calibri"/>
          <w:i/>
          <w:iCs/>
          <w:color w:val="000000"/>
          <w:kern w:val="0"/>
          <w:sz w:val="22"/>
          <w:szCs w:val="22"/>
          <w14:ligatures w14:val="none"/>
        </w:rPr>
        <w:t> Bacillus thuringiens</w:t>
      </w:r>
      <w:r w:rsidRPr="00FE5D1C">
        <w:rPr>
          <w:rFonts w:ascii="Calibri" w:eastAsia="Times New Roman" w:hAnsi="Calibri" w:cs="Calibri"/>
          <w:color w:val="000000"/>
          <w:kern w:val="0"/>
          <w:sz w:val="22"/>
          <w:szCs w:val="22"/>
          <w14:ligatures w14:val="none"/>
        </w:rPr>
        <w:t> by metagenomic analysis in the bacterialmicroflora of soils under rice and wheat.To date, different research institutions across Africa have sequencing felicities, but they lacktrained scientists to conduct genomic analysis as well. ACE Mali is making its bio-informaticsanalysis platform available to the scientific community in West Africa for public healthmicrobiological genomic analyses.</w:t>
      </w:r>
    </w:p>
    <w:p w14:paraId="1FC713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25-A-2026-ASTMH</w:t>
      </w:r>
    </w:p>
    <w:p w14:paraId="334D41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35C598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High Circulation Of Respiratory Syncytial Virus In Patients With Influenza Like Illness In The Gambia: Results From A Newly Implemented Sentinel Surveillance Program</w:t>
      </w:r>
    </w:p>
    <w:p w14:paraId="7879D9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syncytial virus (RSV) is a major cause of acute respiratory infections in children worldwide and can cause high mortality, especially in developing countries. The Gambia, experiences a high burden of respiratory illnesses among pediatric populations, yet there is limited data on the epidemiology and clinical characteristics of RSV infections. Here, we present results of a newly implemented sentinel surveillance program in two hospitals with a focus on epidemiological and clinical characteristics of RSV infection. From January 2023 to December 2024, nasopharyngeal samples were collected from outpatient with influenza-like illness in two referral hospitals. Clinical and socio-demographic data were obtained using a standardized questionnaire. Collected samples together with the clinical forms were sent to the National Public Health Laboratory (NPHL) on a weekly basis through the Sample Referral Network. Once in the laboratory, samples were tested by targeting 3 respiratory pathogens, including RSV, SARS-CoV2 and influenza A/B viruses using a multiplex RT-PCR. Overall, 837 respiratory specimens were received and analyzed during this surveillance period. Among enrolled patients, 438 (52.3%) were males and 399 (47.7%) were females. Their age ranged from 1 month to 86 years and children under 5 years old represented 49.3% (413/837). RSV was detected in 13.6% (114/8370), among which RSV type A was confirmed in 43.2% and RSV type B in 56.8%. RSV positivity was significantly higher in infants aged ≤11 months (58.3%) than in the other age groups. The highest detection rate of RSV was noted in August (36.8%), which coincide with the rainy season in the Gambia. The most frequently observed symptoms among patients with confirmed RSV infection were cough (90.5%), fever (80.9%) and Dyspnea (52.4%). In summary, our findings from the newly implemented sentinel surveillance program reveal a relatively high prevalence of RSV infection among pediatric patients in the Gambia with co-circulation of both type of RSV. Enhanced surveillance of Severe acute respiratory illnesses in pediatric inpatients in needed.</w:t>
      </w:r>
    </w:p>
    <w:p w14:paraId="75A918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25-A-2027-ASTMH</w:t>
      </w:r>
    </w:p>
    <w:p w14:paraId="73193A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29E7E9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Understanding the complex formation of falstatin; an endogenous macromolecular inhibitor in malaria</w:t>
      </w:r>
    </w:p>
    <w:p w14:paraId="40FD2D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Proteolytic activity constitutes a fundamental process essential for the survival of the malaria parasite and is therefore highly regulated. Falstatin, an inhibitor of cysteine proteases (ICPs)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xml:space="preserve">, tightly regulates the activity of cysteine hemoglobinases, falcipain-2 (FP2) and falcipain-3 (FP3). Falstatin is unique as compared to other plasmodium ICPs as it inhibits FP2 through a single </w:t>
      </w:r>
      <w:r w:rsidRPr="00FE5D1C">
        <w:rPr>
          <w:rFonts w:ascii="Calibri" w:eastAsia="Times New Roman" w:hAnsi="Calibri" w:cs="Calibri"/>
          <w:color w:val="000000"/>
          <w:kern w:val="0"/>
          <w:sz w:val="22"/>
          <w:szCs w:val="22"/>
          <w14:ligatures w14:val="none"/>
        </w:rPr>
        <w:lastRenderedPageBreak/>
        <w:t>surface exposed loop, and forms a multimeric structure. However, the interactions of falstatin with FP2, and its multimeric nature remained unexplored. Here we report that the N-terminal falstatin region is highly disordered, and needs chaperone activity (heat-shock protein 70, HSP70) for its folding. Protein-protein interaction assays showed a significant interaction between falstatin and HSP70. Further, characterization of the falstatin multimer through a series of biophysical techniques identified the formation of a falstatin decamer, which was extremely thermostable. Computational analysis of the falstatin decamer showed the presence of five falstatin dimers, with each dimer aligned in a head-to-tail orientation. Further, the falstatin C-terminal region was revealed to be primarily involved in the oligomerization process. Stoichiometric analysis of the FP2-falstatin multimer showed the formation of a heterooligomeric complex in a 1:1 ratio, involving ten subunits of falstatin and FP2. Taken together, our work reports a novel protease-inhibitor complex in plasmodium and strengthens our understanding of the regulatory mechanisms of major plasmodial hemoglobinases.</w:t>
      </w:r>
    </w:p>
    <w:p w14:paraId="4BCB41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25-A-2029-ASTMH</w:t>
      </w:r>
    </w:p>
    <w:p w14:paraId="4FAC87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28C7A2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Modeling urban malaria infection in </w:t>
      </w: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hotspot area in Ethiopia: Application of Structural Equation Modeling</w:t>
      </w:r>
    </w:p>
    <w:p w14:paraId="0DBD48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In Ethiopia, the fight against malaria faces significant challenges, including the emergence of insecticide resistance, civil unrest, unplanned urbanization, invasion, and spread of urban malaria vector </w:t>
      </w: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Modeling the complex relationship and contribution of these factors to malaria infection is of paramount importance for ultimate malaria elimination. Hence, this study aimed to model the direct and indirect effect of factors affecting the risk of urban malaria infection in eastern Ethiopia using Structural Equation Modeling technique (SEM) </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A study was conducted among febrile urban resident patients visiting public health facilities. Then, data were analyzed with R software for analysis. Structural Equation Modeling was done to identify the direct and indirect effects of factors for malaria infection. Lavaan package was used in R and Diagonally Weighted least square (DWLS) estimation method was employed. </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The confirmatory Factor Analysis indicated that all selected factors were significantly loaded on their respective latent variables. The direct effect of the final model indicated that Wealth index had a negative statistically significant effect on ITN utilization (-0.66; p&lt;0.001) and knowledge on malaria and its prevention (-0.63; p&lt;0.001). Attitude had positive effect on ITN utilization (0.16; p=0.049) and having history of travel outside the city had significant positive effect on malaria infection (0.969; p= 0.01). The indirect effect analysis revealed two path ways in which attitude and utilization as the mediating factor significantly influenced the risk of malaria infection (indirect path coefficient=-0.091; p=0.038) and (indirect path coefficient= 0.029; p=0.048) respectively. </w:t>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SEM was an effective technique and identified the direct and indirect effects of wealth index, ITN utilization, knowledge, attitude and history of travel on risk of urban malaria infection. Hence, strengthening holistic approach and urban-targeted malaria interventions should be enhanced to prevent and control malaria infection in urban settings.</w:t>
      </w:r>
    </w:p>
    <w:p w14:paraId="318D48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25-A-2030-ASTMH</w:t>
      </w:r>
    </w:p>
    <w:p w14:paraId="142F1C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6E5877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Resurgence of Malaria in Myanmar A Regional Crisis Fueled by Conflict and Health System Collapse</w:t>
      </w:r>
    </w:p>
    <w:p w14:paraId="52FA1A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Between 2012-2019, Myanmar reduced malaria cases by 88% and deaths by 97%, positioning itself in the Greater Mekong Subregion elimination efforts. However, the COVID19 pandemic and the February 2021 political crisis triggered a catastrophic reversal, with cases surging by 200% from 2019 to 2023, threatening regional elimination goals and risking the spread of drug-resistant strains. Data were synthesized from WHO Mekong Malaria Elimination reports, Myanmar’s Presidential Malaria Initiative (PMI) Malaria Operational Plans (2022-2023), and UNHCR displacement statistics. Trends in case incidence, availability of services, and cross-border transmission were analyzed, with a focus on high-burden border townships. Post-2021, malaria services collapsed amid violence, displacement, and </w:t>
      </w:r>
      <w:r w:rsidRPr="00FE5D1C">
        <w:rPr>
          <w:rFonts w:ascii="Calibri" w:eastAsia="Times New Roman" w:hAnsi="Calibri" w:cs="Calibri"/>
          <w:color w:val="000000"/>
          <w:kern w:val="0"/>
          <w:sz w:val="22"/>
          <w:szCs w:val="22"/>
          <w14:ligatures w14:val="none"/>
        </w:rPr>
        <w:lastRenderedPageBreak/>
        <w:t>health worker strikes. Testing rates in public health facilities dropped by 73% in 2021, while confirmed cases in PMI-supported villages surged to 30% test positivity rate (vs. 5% pre-coup). By 2023, 38% of Myanmar’s cases were concentrated in 15 Thailand-Myanmar border townships, accounting for a 400% increase in Thailand’s border areas. The internal displacement of 3.2 million people and the exodus of 59,500 Burmese abroad has forced vulnerable populations into forested areas with limited access to bed nets or treatment, exacerbating transmission. Thailand reported a fivefold rise in cases (16,692 in 2023), 60% of which were imported from Myanmar. The collapse of Myanmar’s health system—marked by a 46% reduction in service delivery, stockouts of commodities, and the exodus of 70% of healthcare workers between 2021-2024—has created a perfect storm for malaria resurgence. Gaps in data systems obscure the true burden, while cross-border mobility fuels regional transmission. Myanmar’s malaria crisis requires decentralized cross-border collaborations, innovative and adaptive service delivery, and community-led interventions to combat malaria and revive elimination efforts. The crisis underscores how conflict and displacement hinder disease control, demanding urgent political and financial commitment from the global health community</w:t>
      </w:r>
    </w:p>
    <w:p w14:paraId="5FE688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25-A-2031-ASTMH</w:t>
      </w:r>
    </w:p>
    <w:p w14:paraId="29FE31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17C8EE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Characterization and genetic diversity of emerging tick-borne zoonotic </w:t>
      </w:r>
      <w:r w:rsidRPr="00FE5D1C">
        <w:rPr>
          <w:rFonts w:ascii="Calibri" w:eastAsia="Times New Roman" w:hAnsi="Calibri" w:cs="Calibri"/>
          <w:b/>
          <w:bCs/>
          <w:i/>
          <w:iCs/>
          <w:color w:val="000000"/>
          <w:kern w:val="0"/>
          <w:sz w:val="22"/>
          <w:szCs w:val="22"/>
          <w14:ligatures w14:val="none"/>
        </w:rPr>
        <w:t>Plasmodium</w:t>
      </w:r>
      <w:r w:rsidRPr="00FE5D1C">
        <w:rPr>
          <w:rFonts w:ascii="Calibri" w:eastAsia="Times New Roman" w:hAnsi="Calibri" w:cs="Calibri"/>
          <w:b/>
          <w:bCs/>
          <w:color w:val="000000"/>
          <w:kern w:val="0"/>
          <w:sz w:val="22"/>
          <w:szCs w:val="22"/>
          <w14:ligatures w14:val="none"/>
        </w:rPr>
        <w:t> -like piroplasm among cattle population in Southeast Asia</w:t>
      </w:r>
    </w:p>
    <w:p w14:paraId="127CD3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Ticks are obligate hematophagous ectoparasites negatively impact humans, domestic and wild animals through tick bites, blood feeding and by transmission of viral, bacterial, and protozoan pathogens. Our study determined the factors, seroprevalence, genotypic diversity and evolutionary status of </w:t>
      </w:r>
      <w:r w:rsidRPr="00FE5D1C">
        <w:rPr>
          <w:rFonts w:ascii="Calibri" w:eastAsia="Times New Roman" w:hAnsi="Calibri" w:cs="Calibri"/>
          <w:i/>
          <w:iCs/>
          <w:color w:val="000000"/>
          <w:kern w:val="0"/>
          <w:sz w:val="22"/>
          <w:szCs w:val="22"/>
          <w14:ligatures w14:val="none"/>
        </w:rPr>
        <w:t>Anaplasma, Babesia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Theileria</w:t>
      </w:r>
      <w:r w:rsidRPr="00FE5D1C">
        <w:rPr>
          <w:rFonts w:ascii="Calibri" w:eastAsia="Times New Roman" w:hAnsi="Calibri" w:cs="Calibri"/>
          <w:color w:val="000000"/>
          <w:kern w:val="0"/>
          <w:sz w:val="22"/>
          <w:szCs w:val="22"/>
          <w14:ligatures w14:val="none"/>
        </w:rPr>
        <w:t> from cattle. A total of 1472 sera analysis revealed 45.93% regional seroprevalence of </w:t>
      </w:r>
      <w:r w:rsidRPr="00FE5D1C">
        <w:rPr>
          <w:rFonts w:ascii="Calibri" w:eastAsia="Times New Roman" w:hAnsi="Calibri" w:cs="Calibri"/>
          <w:i/>
          <w:iCs/>
          <w:color w:val="000000"/>
          <w:kern w:val="0"/>
          <w:sz w:val="22"/>
          <w:szCs w:val="22"/>
          <w14:ligatures w14:val="none"/>
        </w:rPr>
        <w:t>Anaplasma </w:t>
      </w:r>
      <w:r w:rsidRPr="00FE5D1C">
        <w:rPr>
          <w:rFonts w:ascii="Calibri" w:eastAsia="Times New Roman" w:hAnsi="Calibri" w:cs="Calibri"/>
          <w:color w:val="000000"/>
          <w:kern w:val="0"/>
          <w:sz w:val="22"/>
          <w:szCs w:val="22"/>
          <w14:ligatures w14:val="none"/>
        </w:rPr>
        <w:t>indicating an emerging state of the disease. </w:t>
      </w:r>
      <w:r w:rsidRPr="00FE5D1C">
        <w:rPr>
          <w:rFonts w:ascii="Calibri" w:eastAsia="Times New Roman" w:hAnsi="Calibri" w:cs="Calibri"/>
          <w:i/>
          <w:iCs/>
          <w:color w:val="000000"/>
          <w:kern w:val="0"/>
          <w:sz w:val="22"/>
          <w:szCs w:val="22"/>
          <w14:ligatures w14:val="none"/>
        </w:rPr>
        <w:t>Anaplasma</w:t>
      </w:r>
      <w:r w:rsidRPr="00FE5D1C">
        <w:rPr>
          <w:rFonts w:ascii="Calibri" w:eastAsia="Times New Roman" w:hAnsi="Calibri" w:cs="Calibri"/>
          <w:color w:val="000000"/>
          <w:kern w:val="0"/>
          <w:sz w:val="22"/>
          <w:szCs w:val="22"/>
          <w14:ligatures w14:val="none"/>
        </w:rPr>
        <w:t> species characterized by partial nested PCR amplification of 16s rRNA, groEL, </w:t>
      </w:r>
      <w:r w:rsidRPr="00FE5D1C">
        <w:rPr>
          <w:rFonts w:ascii="Calibri" w:eastAsia="Times New Roman" w:hAnsi="Calibri" w:cs="Calibri"/>
          <w:i/>
          <w:iCs/>
          <w:color w:val="000000"/>
          <w:kern w:val="0"/>
          <w:sz w:val="22"/>
          <w:szCs w:val="22"/>
          <w14:ligatures w14:val="none"/>
        </w:rPr>
        <w:t>MSP1α</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MSP1β</w:t>
      </w:r>
      <w:r w:rsidRPr="00FE5D1C">
        <w:rPr>
          <w:rFonts w:ascii="Calibri" w:eastAsia="Times New Roman" w:hAnsi="Calibri" w:cs="Calibri"/>
          <w:color w:val="000000"/>
          <w:kern w:val="0"/>
          <w:sz w:val="22"/>
          <w:szCs w:val="22"/>
          <w14:ligatures w14:val="none"/>
        </w:rPr>
        <w:t>. The phylogenetic analysis revealed that 16s rRNA, groEL, </w:t>
      </w:r>
      <w:r w:rsidRPr="00FE5D1C">
        <w:rPr>
          <w:rFonts w:ascii="Calibri" w:eastAsia="Times New Roman" w:hAnsi="Calibri" w:cs="Calibri"/>
          <w:i/>
          <w:iCs/>
          <w:color w:val="000000"/>
          <w:kern w:val="0"/>
          <w:sz w:val="22"/>
          <w:szCs w:val="22"/>
          <w14:ligatures w14:val="none"/>
        </w:rPr>
        <w:t>MSP1α</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MSp1β</w:t>
      </w:r>
      <w:r w:rsidRPr="00FE5D1C">
        <w:rPr>
          <w:rFonts w:ascii="Calibri" w:eastAsia="Times New Roman" w:hAnsi="Calibri" w:cs="Calibri"/>
          <w:color w:val="000000"/>
          <w:kern w:val="0"/>
          <w:sz w:val="22"/>
          <w:szCs w:val="22"/>
          <w14:ligatures w14:val="none"/>
        </w:rPr>
        <w:t> gene sequences were clustered together with the </w:t>
      </w:r>
      <w:r w:rsidRPr="00FE5D1C">
        <w:rPr>
          <w:rFonts w:ascii="Calibri" w:eastAsia="Times New Roman" w:hAnsi="Calibri" w:cs="Calibri"/>
          <w:i/>
          <w:iCs/>
          <w:color w:val="000000"/>
          <w:kern w:val="0"/>
          <w:sz w:val="22"/>
          <w:szCs w:val="22"/>
          <w14:ligatures w14:val="none"/>
        </w:rPr>
        <w:t>A. platys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 phagocytophilum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 bovis, A. marginale,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 centrale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Babesia bigemina, B. bovis. </w:t>
      </w:r>
      <w:r w:rsidRPr="00FE5D1C">
        <w:rPr>
          <w:rFonts w:ascii="Calibri" w:eastAsia="Times New Roman" w:hAnsi="Calibri" w:cs="Calibri"/>
          <w:color w:val="000000"/>
          <w:kern w:val="0"/>
          <w:sz w:val="22"/>
          <w:szCs w:val="22"/>
          <w14:ligatures w14:val="none"/>
        </w:rPr>
        <w:t>The genetic characterization, haplotype network analysis and non-synonymous to synonymous substitution of </w:t>
      </w:r>
      <w:r w:rsidRPr="00FE5D1C">
        <w:rPr>
          <w:rFonts w:ascii="Calibri" w:eastAsia="Times New Roman" w:hAnsi="Calibri" w:cs="Calibri"/>
          <w:i/>
          <w:iCs/>
          <w:color w:val="000000"/>
          <w:kern w:val="0"/>
          <w:sz w:val="22"/>
          <w:szCs w:val="22"/>
          <w14:ligatures w14:val="none"/>
        </w:rPr>
        <w:t>Theileria orientalis</w:t>
      </w:r>
      <w:r w:rsidRPr="00FE5D1C">
        <w:rPr>
          <w:rFonts w:ascii="Calibri" w:eastAsia="Times New Roman" w:hAnsi="Calibri" w:cs="Calibri"/>
          <w:color w:val="000000"/>
          <w:kern w:val="0"/>
          <w:sz w:val="22"/>
          <w:szCs w:val="22"/>
          <w14:ligatures w14:val="none"/>
        </w:rPr>
        <w:t> was conducted by targeting MPSP gene and determined 63.75% (n = 800) prevalence of </w:t>
      </w:r>
      <w:r w:rsidRPr="00FE5D1C">
        <w:rPr>
          <w:rFonts w:ascii="Calibri" w:eastAsia="Times New Roman" w:hAnsi="Calibri" w:cs="Calibri"/>
          <w:i/>
          <w:iCs/>
          <w:color w:val="000000"/>
          <w:kern w:val="0"/>
          <w:sz w:val="22"/>
          <w:szCs w:val="22"/>
          <w14:ligatures w14:val="none"/>
        </w:rPr>
        <w:t>T. orientalis</w:t>
      </w:r>
      <w:r w:rsidRPr="00FE5D1C">
        <w:rPr>
          <w:rFonts w:ascii="Calibri" w:eastAsia="Times New Roman" w:hAnsi="Calibri" w:cs="Calibri"/>
          <w:color w:val="000000"/>
          <w:kern w:val="0"/>
          <w:sz w:val="22"/>
          <w:szCs w:val="22"/>
          <w14:ligatures w14:val="none"/>
        </w:rPr>
        <w:t> across eight divisions. </w:t>
      </w:r>
      <w:r w:rsidRPr="00FE5D1C">
        <w:rPr>
          <w:rFonts w:ascii="Calibri" w:eastAsia="Times New Roman" w:hAnsi="Calibri" w:cs="Calibri"/>
          <w:i/>
          <w:iCs/>
          <w:color w:val="000000"/>
          <w:kern w:val="0"/>
          <w:sz w:val="22"/>
          <w:szCs w:val="22"/>
          <w14:ligatures w14:val="none"/>
        </w:rPr>
        <w:t>T. orientalis</w:t>
      </w:r>
      <w:r w:rsidRPr="00FE5D1C">
        <w:rPr>
          <w:rFonts w:ascii="Calibri" w:eastAsia="Times New Roman" w:hAnsi="Calibri" w:cs="Calibri"/>
          <w:color w:val="000000"/>
          <w:kern w:val="0"/>
          <w:sz w:val="22"/>
          <w:szCs w:val="22"/>
          <w14:ligatures w14:val="none"/>
        </w:rPr>
        <w:t> separated into three clades, corresponding to genotypes 3, 5, and 7 and this is the first documentation of genotype 3 in Bangladesh. These findings underscore extensive genetic variants among cattle suggest varying evolutionary pressures across ecological zones and genotypes that may be responsible for newly emerging highly pathogenic </w:t>
      </w:r>
      <w:r w:rsidRPr="00FE5D1C">
        <w:rPr>
          <w:rFonts w:ascii="Calibri" w:eastAsia="Times New Roman" w:hAnsi="Calibri" w:cs="Calibri"/>
          <w:i/>
          <w:iCs/>
          <w:color w:val="000000"/>
          <w:kern w:val="0"/>
          <w:sz w:val="22"/>
          <w:szCs w:val="22"/>
          <w14:ligatures w14:val="none"/>
        </w:rPr>
        <w:t>T. orientalis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Anaplasma</w:t>
      </w:r>
      <w:r w:rsidRPr="00FE5D1C">
        <w:rPr>
          <w:rFonts w:ascii="Calibri" w:eastAsia="Times New Roman" w:hAnsi="Calibri" w:cs="Calibri"/>
          <w:color w:val="000000"/>
          <w:kern w:val="0"/>
          <w:sz w:val="22"/>
          <w:szCs w:val="22"/>
          <w14:ligatures w14:val="none"/>
        </w:rPr>
        <w:t> that strongly suggest a possible relevance of piroplasms and rickettsia for humans at risk in Southeast Asia.</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However, there are few medical microbiological investigations and epidemiological data on the distribution and relevance of these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like piroplasms</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for humans in Southeast Asia. Further studies on </w:t>
      </w:r>
      <w:r w:rsidRPr="00FE5D1C">
        <w:rPr>
          <w:rFonts w:ascii="Calibri" w:eastAsia="Times New Roman" w:hAnsi="Calibri" w:cs="Calibri"/>
          <w:i/>
          <w:iCs/>
          <w:color w:val="000000"/>
          <w:kern w:val="0"/>
          <w:sz w:val="22"/>
          <w:szCs w:val="22"/>
          <w14:ligatures w14:val="none"/>
        </w:rPr>
        <w:t>A. platys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A. phagocytophilum</w:t>
      </w:r>
      <w:r w:rsidRPr="00FE5D1C">
        <w:rPr>
          <w:rFonts w:ascii="Calibri" w:eastAsia="Times New Roman" w:hAnsi="Calibri" w:cs="Calibri"/>
          <w:color w:val="000000"/>
          <w:kern w:val="0"/>
          <w:sz w:val="22"/>
          <w:szCs w:val="22"/>
          <w14:ligatures w14:val="none"/>
        </w:rPr>
        <w:t> is imperative to understand the virulence, zoonosis and epidemiology in the socio-economic perspectives of Southeast Asia.</w:t>
      </w:r>
    </w:p>
    <w:p w14:paraId="59DD2A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25-A-2032-ASTMH</w:t>
      </w:r>
    </w:p>
    <w:p w14:paraId="14C407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3F64B2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Asymptomatic</w:t>
      </w:r>
      <w:r w:rsidRPr="00FE5D1C">
        <w:rPr>
          <w:rFonts w:ascii="Calibri" w:eastAsia="Times New Roman" w:hAnsi="Calibri" w:cs="Calibri"/>
          <w:b/>
          <w:bCs/>
          <w:i/>
          <w:iCs/>
          <w:color w:val="000000"/>
          <w:kern w:val="0"/>
          <w:sz w:val="22"/>
          <w:szCs w:val="22"/>
          <w14:ligatures w14:val="none"/>
        </w:rPr>
        <w:t> Plasmodium</w:t>
      </w:r>
      <w:r w:rsidRPr="00FE5D1C">
        <w:rPr>
          <w:rFonts w:ascii="Calibri" w:eastAsia="Times New Roman" w:hAnsi="Calibri" w:cs="Calibri"/>
          <w:b/>
          <w:bCs/>
          <w:color w:val="000000"/>
          <w:kern w:val="0"/>
          <w:sz w:val="22"/>
          <w:szCs w:val="22"/>
          <w14:ligatures w14:val="none"/>
        </w:rPr>
        <w:t> infections among pregnant women at first antenatal care contact in northwest Ethiopia: implications for malaria control and elimination</w:t>
      </w:r>
    </w:p>
    <w:p w14:paraId="152B64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high malaria transmission settings, malaria in pregnancy is largely asymptomatic and submicroscopic. These infections can be left untreated and be a potential source of new infections and a cause of adverse pregnancy outcomes. First antenatal care contact attendee pregnant women are considered an easily accessible population segment for malaria surveillance that could provide information on malaria burden in pregnancy, community-level transmission, and intervention coverage, which is vital for targeted interventions. This study investigated asymptomatic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xml:space="preserve"> infections along with their </w:t>
      </w:r>
      <w:r w:rsidRPr="00FE5D1C">
        <w:rPr>
          <w:rFonts w:ascii="Calibri" w:eastAsia="Times New Roman" w:hAnsi="Calibri" w:cs="Calibri"/>
          <w:color w:val="000000"/>
          <w:kern w:val="0"/>
          <w:sz w:val="22"/>
          <w:szCs w:val="22"/>
          <w14:ligatures w14:val="none"/>
        </w:rPr>
        <w:lastRenderedPageBreak/>
        <w:t>risk factors among 503 first antenatal care contact attendee pregnant women at selected health facilities in Jawi district, northwest Ethiopia, between November 2021 and July 2022.</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Data on the socio-demographic, clinical, obstetric, and malaria prevention practices of pregnant women were collected using interviewer-administered questionnaires and from women’s treatment cards. Malaria was diagnosed by light microscopy, rapid diagnostic tests, and multiplex qPCR. Predictors of asymptomatic malaria were evaluated using logistic regression analysis.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were detected among 17.3% (95% CI: 14.1-20.9%) of the pregnant women. About 85%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were due to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42.5% were sub-microscopic, and 26.4% were subpatent infections. Primigravidity (AOR=2.37, 95% CI: 1.44-3.91) and lack of insecticide-treated bed net use (AOR=2.68, 95% CI: 1.31-5.48) were significant predictors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in pregnancy.</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Overall, a high prevalence of asymptomatic malaria was observed among pregnant women in northwest Ethiopia. A substantial proportion of malaria was submicroscopic, indicating a significant proportion of malaria cases were left undiagnosed and untreated, which might cause adverse pregnancy outcomes and be a hub of malaria transmission in the community, hindering the ongoing malaria elimination efforts. Thus, strengthening of malaria prevention and control practices and screening of asymptomatic malaria in pregnancy are suggested to alleviate the burden.</w:t>
      </w:r>
    </w:p>
    <w:p w14:paraId="3CBEEF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25-A-2034-ASTMH</w:t>
      </w:r>
    </w:p>
    <w:p w14:paraId="03E61C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2DDEF1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Hepatitis B infection in outpatients and pregnant women visiting a hospital in Ghana</w:t>
      </w:r>
    </w:p>
    <w:p w14:paraId="5CDFAC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Millions of individuals worldwide suffer from Hepatitis B, a serious, potentially fatal liver infection brought on by the hepatitis B virus (HBV). Although vaccines are available for HBV, infections continue to persist in Ghana. This study reports the prevalence of HBV infections in outpatients and pregnant women who visited the antenatal care unit of the SDA Hospital in Gbawe, Ghana. This retrospective study involved the review of medical records of outpatients and pregnant women who visited the hospital from 2022 to 2024. Data on their HBV infection status, sex and age were analysed using R version 4.4.1. A total of 531 outpatients and 768 pregnant women visited the hospital during the study period. The prevalence of HBV infection was 7.5% in outpatients and 3.9% in pregnant women. It was observed that outpatients were more likely to be HBsAg positive (OR=2.0, 95%CI=1.24-3.28, p=0.005). It was also seen that HBV prevalence increased from 2022 to 2023 and decreased in 2024. There is a need for more educational campaigns to raise awareness of HBV infections, especially in pregnant women due to the risk of mother-to-child transmission. Furthermore, vaccinations need to be made affordable and easily accessible to the general population to ensure maximum coverage within the country.</w:t>
      </w:r>
    </w:p>
    <w:p w14:paraId="0BF01B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25-A-2035-ASTMH</w:t>
      </w:r>
    </w:p>
    <w:p w14:paraId="1558EF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0FE41A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Malaria Surge and Role of Leadership in Fight Against Malaria in Rwanda</w:t>
      </w:r>
    </w:p>
    <w:p w14:paraId="3CD3DE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 2023, malaria affected an estimated 263 million people across 83 countries, with the African region accounting for 94% of the global cases. In Rwanda, from 2008-2024, the incidence was hectic176 to 45 cases per1000people.However, the 2023-2024 FY proved a significant increase in malaria cases, particularly in five districts Bugesera, Gicumbi, Nyamasheke, Gisagara, and Nyamagabe. These districts recorded an average of 114 cases per 1000 people, were above the national average of 45 cases. Despite of malaria control interventions, including indoor residual spraying, community and facility-level quarterly supervision, data reviews, the surge persisted. Notably, there had been no formal assessment to understand the underlying causes of this increase. This study aimed to learn the factors driving the malaria surge and to evaluate the role of leadership in addressing the issue. Between August-September 2024, the malaria program team, district representatives and partners conducted a rapid assessment. Data from the health management information System from January to June 2024 were analyzed, focusing on high-incidence districts. The data was cross-checked by categorizing reports from CHW by village, and Geographic Information Systems were used to map the most affected areas. District </w:t>
      </w:r>
      <w:r w:rsidRPr="00FE5D1C">
        <w:rPr>
          <w:rFonts w:ascii="Calibri" w:eastAsia="Times New Roman" w:hAnsi="Calibri" w:cs="Calibri"/>
          <w:color w:val="000000"/>
          <w:kern w:val="0"/>
          <w:sz w:val="22"/>
          <w:szCs w:val="22"/>
          <w14:ligatures w14:val="none"/>
        </w:rPr>
        <w:lastRenderedPageBreak/>
        <w:t>leadership played a key role in surveillance and data use in taking decisions. The study found factors contributing to the surge, including rainwater harvesting and unprotected water containers, inadequate housing, malaria drug stockouts, and delays in indoor residual spraying. Despite these challenges, collaboration among local authorities, community leaders, and the Ministry of Health led to significant progress in controlling the surge. Only Bugesera and Gisagara continued to experience higher than average incidences. The study proposed the intervention including, redistribution of malaria drugs, and training on how to monitor malaria cases and commodities status. The findings highlight the importance of district leadership in achieving sustainable malaria control through multi-sectoral collaboration and data-driven interventions.</w:t>
      </w:r>
    </w:p>
    <w:p w14:paraId="2716BB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25-A-2036-ASTMH</w:t>
      </w:r>
    </w:p>
    <w:p w14:paraId="2E11FEF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036F3A8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Silent Circulation of Crimean-Congo Haemorrhagic Fever Virus in Northern Nigeria: Insights from Tick and Dromedary Camel Surveillance.</w:t>
      </w:r>
    </w:p>
    <w:p w14:paraId="5D2402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Crimean-Congo Haemorrhagic Fever Virus (CCHFV) is a zoonotic pathogen that circulates silently in an enzootic cycle between ticks and animals, posing a public health threat. Due to its nonspecific early symptoms, infections are often misdiagnosed as endemic febrile disease, complicating surveillance and control efforts. In this study, we investigated the molecular and serological evidence of CCHFV in ticks and dromedary camels (</w:t>
      </w:r>
      <w:r w:rsidRPr="00FE5D1C">
        <w:rPr>
          <w:rFonts w:ascii="Calibri" w:eastAsia="Times New Roman" w:hAnsi="Calibri" w:cs="Calibri"/>
          <w:i/>
          <w:iCs/>
          <w:color w:val="000000"/>
          <w:kern w:val="0"/>
          <w:sz w:val="22"/>
          <w:szCs w:val="22"/>
          <w14:ligatures w14:val="none"/>
        </w:rPr>
        <w:t>camelus dromedarius</w:t>
      </w:r>
      <w:r w:rsidRPr="00FE5D1C">
        <w:rPr>
          <w:rFonts w:ascii="Calibri" w:eastAsia="Times New Roman" w:hAnsi="Calibri" w:cs="Calibri"/>
          <w:color w:val="000000"/>
          <w:kern w:val="0"/>
          <w:sz w:val="22"/>
          <w:szCs w:val="22"/>
          <w14:ligatures w14:val="none"/>
        </w:rPr>
        <w:t>) in Kano and Borno states, northern Nigeria. Between 2023 and 2025, a total of 2,702 </w:t>
      </w:r>
      <w:r w:rsidRPr="00FE5D1C">
        <w:rPr>
          <w:rFonts w:ascii="Calibri" w:eastAsia="Times New Roman" w:hAnsi="Calibri" w:cs="Calibri"/>
          <w:i/>
          <w:iCs/>
          <w:color w:val="000000"/>
          <w:kern w:val="0"/>
          <w:sz w:val="22"/>
          <w:szCs w:val="22"/>
          <w14:ligatures w14:val="none"/>
        </w:rPr>
        <w:t>Hyalomma</w:t>
      </w:r>
      <w:r w:rsidRPr="00FE5D1C">
        <w:rPr>
          <w:rFonts w:ascii="Calibri" w:eastAsia="Times New Roman" w:hAnsi="Calibri" w:cs="Calibri"/>
          <w:color w:val="000000"/>
          <w:kern w:val="0"/>
          <w:sz w:val="22"/>
          <w:szCs w:val="22"/>
          <w14:ligatures w14:val="none"/>
        </w:rPr>
        <w:t> ticks were collected from 549 slaughtered camels at Fagge Abattoir, Kano (1,397) and Maiduguri Central Abattoir, Borno (1,305). The ticks were identified using a stereomicroscope, pooled into 540 groups based on species, and tested for CCHFV using RT- qPCR targeting the S-segment. In addition, 372 of the 549 sera (Kano = 146, Maiduguri = 226) from the dromedaries were screened for IgG antibodies using the ID vet competitive ELISA kit. Of the 540 tick pools tested, one pool of </w:t>
      </w:r>
      <w:r w:rsidRPr="00FE5D1C">
        <w:rPr>
          <w:rFonts w:ascii="Calibri" w:eastAsia="Times New Roman" w:hAnsi="Calibri" w:cs="Calibri"/>
          <w:i/>
          <w:iCs/>
          <w:color w:val="000000"/>
          <w:kern w:val="0"/>
          <w:sz w:val="22"/>
          <w:szCs w:val="22"/>
          <w14:ligatures w14:val="none"/>
        </w:rPr>
        <w:t>Hyalomma truncatum</w:t>
      </w:r>
      <w:r w:rsidRPr="00FE5D1C">
        <w:rPr>
          <w:rFonts w:ascii="Calibri" w:eastAsia="Times New Roman" w:hAnsi="Calibri" w:cs="Calibri"/>
          <w:b/>
          <w:bCs/>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tested positive for CCHFV, with CT value of 26.87, confirming active viral circulation within the tick population. Notably, 351(94. 35%) of the 372 camel sera tested positive for CCHFV IgG antibodies: 89.73% and 97.35% from Kano and Borno, respectively, suggesting widespread past exposure to CCHFV. The high seroprevalence indicates sustained enzootic viral circulation, with camels serving as important amplifying hosts in the transmission cycle. Sequencing and phylogeny of the virus revealed the highest similarity to CCHFV sequences from Southern Africa, clustering within lineage III. The concurrent detection of CCHFV in ticks and high seropositivity in dromedaries is indicative of an ongoing enzootic transmission of CCHFV in Northern Nigeria and a persistent risk of spillover to humans. Abattoir workers and those with close contact with livestock are exposed and possibly at higher risk. These findings underscore the urgent need for enhanced genomic and sero-surveillance, occupational health risk assessment, and integrated One Health approache</w:t>
      </w:r>
      <w:r w:rsidRPr="00FE5D1C">
        <w:rPr>
          <w:rFonts w:ascii="Calibri" w:eastAsia="Times New Roman" w:hAnsi="Calibri" w:cs="Calibri"/>
          <w:b/>
          <w:bCs/>
          <w:color w:val="000000"/>
          <w:kern w:val="0"/>
          <w:sz w:val="22"/>
          <w:szCs w:val="22"/>
          <w14:ligatures w14:val="none"/>
        </w:rPr>
        <w:t>s</w:t>
      </w:r>
      <w:r w:rsidRPr="00FE5D1C">
        <w:rPr>
          <w:rFonts w:ascii="Calibri" w:eastAsia="Times New Roman" w:hAnsi="Calibri" w:cs="Calibri"/>
          <w:color w:val="000000"/>
          <w:kern w:val="0"/>
          <w:sz w:val="22"/>
          <w:szCs w:val="22"/>
          <w14:ligatures w14:val="none"/>
        </w:rPr>
        <w:t> to mitigate the potential zoonotic threat CCHFV poses in Nigeria.</w:t>
      </w:r>
    </w:p>
    <w:p w14:paraId="4972D7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25-A-2038-ASTMH</w:t>
      </w:r>
    </w:p>
    <w:p w14:paraId="55B0DB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7CE185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Tracking Asymptomatic Leishmania-HIV Co-infection in a High-Burden Region: A Longitudinal Perspective from Northeastern Brazil</w:t>
      </w:r>
    </w:p>
    <w:p w14:paraId="72D714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Monitoring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infection in HIV-positive individuals is crucial for identifying those at risk of developing visceral leishmaniasis (VL), especially in endemic areas.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-HIV coinfection is known to worsen clinical outcomes, increasing the risk of mortality and relapse. We conducted a prospective longitudinal study from 2017 to 2023 in Northeastern Brazil to evaluate asymptomatic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-HIV coinfected and HIV-positive outpatients originally enrolled in a 2017 cross-sectional study. Epidemiological, clinical, and laboratory data were reviewed from medical records, and all patients were retested for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xml:space="preserve"> in 2023 using serological and conventional PCR methods. Categorical variables were analyzed using the chi-square test, and non-parametric tests were applied for continuous variables. During follow-up, six individuals developed symptomatic VL—five from the coinfected group </w:t>
      </w:r>
      <w:r w:rsidRPr="00FE5D1C">
        <w:rPr>
          <w:rFonts w:ascii="Calibri" w:eastAsia="Times New Roman" w:hAnsi="Calibri" w:cs="Calibri"/>
          <w:color w:val="000000"/>
          <w:kern w:val="0"/>
          <w:sz w:val="22"/>
          <w:szCs w:val="22"/>
          <w14:ligatures w14:val="none"/>
        </w:rPr>
        <w:lastRenderedPageBreak/>
        <w:t>and one from the HIV-only group (OR 10.4; 95% CI: 1.2-94.2; p = 0.023). Three patients experienced VL relapse (two coinfected, one HIV-positive), and one death occurred in the coinfected group. Among 80 individuals retested in 2023, five coinfected patients remained positive, and two HIV-positive individuals newly tested positive. These findings highlight the clinical relevance of long-term follow-up in asymptomatic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-HIV patients, who remain at substantial risk for disease progression, reactivation, and adverse outcomes even in the absence of initial symptoms.</w:t>
      </w:r>
    </w:p>
    <w:p w14:paraId="403BD0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25-A-2039-ASTMH</w:t>
      </w:r>
    </w:p>
    <w:p w14:paraId="51C4D8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7C2E1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Longitudinal Antibody Responses to Bacterial Diarrheal Pathogens: A Scoping Review</w:t>
      </w:r>
    </w:p>
    <w:p w14:paraId="5A4836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Enteric diarrheal pathogens contribute significantly to global morbidity and mortality, particularly in low- and middle-income countries. Understanding population-wide immunity through immunological markers offers valuable insights into long-term antibody responses and can inform epidemiological studies of bacterial enteric pathogens. This scoping review analyzed existing literature published from 1968 to 2021 to gather evidence on longitudinal antibody kinetics in humans following exposure to five major bacterial pathogens: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Enterotoxigenic Escherichia coli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Salmonella spp.</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Shigella spp.</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Campylobacter spp</w:t>
      </w:r>
      <w:r w:rsidRPr="00FE5D1C">
        <w:rPr>
          <w:rFonts w:ascii="Calibri" w:eastAsia="Times New Roman" w:hAnsi="Calibri" w:cs="Calibri"/>
          <w:color w:val="000000"/>
          <w:kern w:val="0"/>
          <w:sz w:val="22"/>
          <w:szCs w:val="22"/>
          <w14:ligatures w14:val="none"/>
        </w:rPr>
        <w:t>. 136 studies representing adult (18-65 years) and pediatric (2 months-17 years) populations from 26 countries (18 upper-middle- and high-income countries and 8 lower-middle income countries) were included. 44 studies involved natural infection, 84 were vaccine trials, and 22 involved a challenge strain, with some overlap. Among studies of naturally infected individuals, peak antibody titers were typically observed 5 to 14 days post-infection. While antibody levels gradually declined over several months in high income countries, more rapid declines were seen in lower-middle income countries. Vaccine studies revealed distinct antibody kinetics patterns: seroconversion and peak titers occurring between 14 to 28 days post-vaccination, a dose-response relationship with higher immune responses at moderate vaccine doses, and antibody decay within 1 month to a year. Across study designs, longevity of antibody responses was generally influenced by isotype, with IgG persisting longer than IgA and IgM. Studies with a challenge strain showed earlier peaks for IgM and IgA, but IgG was more sustained over time. This review enhances our understanding of immune responses to enteric diarrheal pathogens, highlighting variability in antibody kinetics across populations, geographic regions, and study designs, and underscores the need for tailored epidemiological approaches to address bacterial diarrheal diseases on a global scale. Analysis for the inclusion of more recent studies is ongoing. </w:t>
      </w:r>
    </w:p>
    <w:p w14:paraId="1F592B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25-A-2040-ASTMH</w:t>
      </w:r>
    </w:p>
    <w:p w14:paraId="3AF237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795790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Associations between maternal experience of intimate partner violence, maternal depressive symptoms, and parental stress and child immune status in rural Bangladesh</w:t>
      </w:r>
    </w:p>
    <w:p w14:paraId="2F49BB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Intimate partner violence (IPV) and psychosocial challenges in parents are linked to poor health outcomes in children, but limited studies have investigated the role of the immune system in this intergenerational relationship. We conducted an observational substudy in the WASH Benefits Bangladesh randomized controlled trial that occurred in 2012-2016 to assess if parental stress, maternal depressive symptoms, maternal exposure to IPV were associated with child immune status. A total of 624 families were assessed at Year 1 (child median age 14 months) and 1392 families at Year 2 (28 months). Maternal depressive symptoms were measured at Years 1 and 2 using the CESD-20; maternal and paternal perceived stress were measured at Year 2 with the Perceived Stress Scale (PSS); and maternal exposure to physical, emotional, or sexual IPV during pregnancy, 2 years post-pregnancy, and cumulative lifetime were measured at Year 2 via the WHO Women’s Health and Life Experiences Survey tool. Child outcomes measured at Years 1 and 2 included C-reactive protein (CRP), alpha-1-acid glycoprotein (AGP), and thirteen cytokines. Cytokines were evaluated as combined ratios and as an inflammation sum score. Associations of child outcomes with parental exposures were estimated with </w:t>
      </w:r>
      <w:r w:rsidRPr="00FE5D1C">
        <w:rPr>
          <w:rFonts w:ascii="Calibri" w:eastAsia="Times New Roman" w:hAnsi="Calibri" w:cs="Calibri"/>
          <w:color w:val="000000"/>
          <w:kern w:val="0"/>
          <w:sz w:val="22"/>
          <w:szCs w:val="22"/>
          <w14:ligatures w14:val="none"/>
        </w:rPr>
        <w:lastRenderedPageBreak/>
        <w:t>generalized additive models, and the mean difference between the absence and presence of binary exposure or the 25th and 75th percentiles of continuous exposure distribution is reported. Of the women surveyed, 57% (n=790) reported lifetime exposure to any type of IPV. Maternal exposure to IPV during pregnancy and the maternal CESD-20 score at Year 1 were associated with higher child Th1/Th17 ratio at Year 1 (0.17 adjusted difference, [95% CI 0.02, 0.32]; and 0.12, [0.02, 0.22] respectively). Higher maternal depressive symptoms (binary) at Year 1 were associated with lower child CRP at Year 2 (-0.51 mg/L adjusted difference, [-1.01, -0.01]). Maternal exposure to IPV and depressive symptoms may shape the child’s immune profile towards Th1-dominance relative to Th17 and decreased CRP, which may elevate the risk of impaired immune responses and chronic inflammation.</w:t>
      </w:r>
    </w:p>
    <w:p w14:paraId="3A9A44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25-A-2041-ASTMH</w:t>
      </w:r>
    </w:p>
    <w:p w14:paraId="4B32A9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7197C5B9" w14:textId="7595AF33"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Dermato-Fight: A Curious Rash Following Tropical Travel</w:t>
      </w:r>
    </w:p>
    <w:p w14:paraId="668936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Dermatologic disorders are a common problem in returning travelers. The extensive differential and unfamiliarity make travel-related rashes challenging to accurately diagnose. We present a case of Majocchi's Granuloma in a traveler initially misdiagnosed as bacterial cellulitis. An 18-year-old previously healthy male developed a bilateral rash on his lower legs, beginning on the right ankle after local trauma while traveling in the Philippines 4 months earlier. The rash spread to the left ankle several weeks later and has become increasingly erythematous and pruritic. He has been covering the areas with bandages and treating with topical steroid creams. At an urgent care a culture grew methicillin-sensitive </w:t>
      </w:r>
      <w:r w:rsidRPr="00FE5D1C">
        <w:rPr>
          <w:rFonts w:ascii="Calibri" w:eastAsia="Times New Roman" w:hAnsi="Calibri" w:cs="Calibri"/>
          <w:i/>
          <w:iCs/>
          <w:color w:val="000000"/>
          <w:kern w:val="0"/>
          <w:sz w:val="22"/>
          <w:szCs w:val="22"/>
          <w14:ligatures w14:val="none"/>
        </w:rPr>
        <w:t>Staphylococcus aureus</w:t>
      </w:r>
      <w:r w:rsidRPr="00FE5D1C">
        <w:rPr>
          <w:rFonts w:ascii="Calibri" w:eastAsia="Times New Roman" w:hAnsi="Calibri" w:cs="Calibri"/>
          <w:color w:val="000000"/>
          <w:kern w:val="0"/>
          <w:sz w:val="22"/>
          <w:szCs w:val="22"/>
          <w14:ligatures w14:val="none"/>
        </w:rPr>
        <w:t>, and he was treated with amoxicillin-clavulanate and ciprofloxacin without improvement. He has denied fever or other systemic symptoms, did not recall any insect bites or other atypical travel exposures, and spent most of his trip in cities. His complete blood count revealed an elevated eosinophil count (710). Upon consultation with Infectious Disease the infection was recognized and treatment with oral terbinafine (250mg once daily) was initiated. At follow-up 2 weeks later, the rash had significantly improved and fully resolved after 6 weeks of therapy. The spread of this rash raised concern for an infectious etiology. Most infectious rashes with this description are caused by cutaneous leishmaniasis, nontuberculous mycobacteria, or dermatophytes. Leishmaniasis has a narrow worldwide distribution that does not include the Philippines. Nontuberculous mycobacteria often have a more nodular appearance. Majocchi’s Granuloma, caused by dermatophytes, commonly affects the lower extremities in young adults with preceding local trauma in warm, humid environments. It can be exacerbated by topical steroids. Systemic antifungal therapy is required, as topical treatments are ineffective. The characteristics, evolution, and response to treatment in our patient is consistent with Majocchi’s Granuloma. Greater awareness of this condition would facilitate early recognition and appropriate management.</w:t>
      </w:r>
    </w:p>
    <w:p w14:paraId="390A31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25-A-2042-ASTMH</w:t>
      </w:r>
    </w:p>
    <w:p w14:paraId="572248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5947C6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Comparative transcriptomic analysis of pyrethroid-resistant </w:t>
      </w:r>
      <w:r w:rsidRPr="00FE5D1C">
        <w:rPr>
          <w:rFonts w:ascii="Calibri" w:eastAsia="Times New Roman" w:hAnsi="Calibri" w:cs="Calibri"/>
          <w:b/>
          <w:bCs/>
          <w:i/>
          <w:iCs/>
          <w:color w:val="000000"/>
          <w:kern w:val="0"/>
          <w:sz w:val="22"/>
          <w:szCs w:val="22"/>
          <w14:ligatures w14:val="none"/>
        </w:rPr>
        <w:t>Anopheles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b/>
          <w:bCs/>
          <w:i/>
          <w:iCs/>
          <w:color w:val="000000"/>
          <w:kern w:val="0"/>
          <w:sz w:val="22"/>
          <w:szCs w:val="22"/>
          <w14:ligatures w14:val="none"/>
        </w:rPr>
        <w:t>gambiae</w:t>
      </w:r>
      <w:r w:rsidRPr="00FE5D1C">
        <w:rPr>
          <w:rFonts w:ascii="Calibri" w:eastAsia="Times New Roman" w:hAnsi="Calibri" w:cs="Calibri"/>
          <w:b/>
          <w:bCs/>
          <w:color w:val="000000"/>
          <w:kern w:val="0"/>
          <w:sz w:val="22"/>
          <w:szCs w:val="22"/>
          <w14:ligatures w14:val="none"/>
        </w:rPr>
        <w:t> s.l. from Ghana reveals concentration-dependent and site-specific patterns of gene expression</w:t>
      </w:r>
    </w:p>
    <w:p w14:paraId="31975A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Understanding the biochemical drivers of high-pyrethroid resistance is crucial to sustaining effective malaria vector control. This study investigated the role of detoxification enzymes in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from two high-resistance sites in Ghana: Tema and Abossey Okai and a control site, Dansoman. High-intensity deltamethrin resistance was observed across all sites [Tema (1x = 13%, 5x = 84%, 10x = 90%); Abossey Okai (1x = 20%, 5x = 34%, 10x = 75%); Dansoman (1x = 34%, 5x = 66%, 10x = 91%)]. Pre-exposure to PBO (4%) before deltamethrin (0.05%) significantly increased mortality [Tema: 13% - 56%, Abossey Okai: 20% - 91%, Dansoman: 34% - 88%] (χ² = 1, df = 40, P &lt; 0.001), however, full susceptibility was not restored. The </w:t>
      </w:r>
      <w:r w:rsidRPr="00FE5D1C">
        <w:rPr>
          <w:rFonts w:ascii="Calibri" w:eastAsia="Times New Roman" w:hAnsi="Calibri" w:cs="Calibri"/>
          <w:i/>
          <w:iCs/>
          <w:color w:val="000000"/>
          <w:kern w:val="0"/>
          <w:sz w:val="22"/>
          <w:szCs w:val="22"/>
          <w14:ligatures w14:val="none"/>
        </w:rPr>
        <w:t>L995F</w:t>
      </w:r>
      <w:r w:rsidRPr="00FE5D1C">
        <w:rPr>
          <w:rFonts w:ascii="Calibri" w:eastAsia="Times New Roman" w:hAnsi="Calibri" w:cs="Calibri"/>
          <w:color w:val="000000"/>
          <w:kern w:val="0"/>
          <w:sz w:val="22"/>
          <w:szCs w:val="22"/>
          <w14:ligatures w14:val="none"/>
        </w:rPr>
        <w:t> mutation was detected at similar frequencies in resistant (0.43 - 0.77) and susceptible (0.38 - 0.80) mosquitoes. Transcriptomic analysis revealed site-specific and concentration-dependent gene expression. In Tema, </w:t>
      </w:r>
      <w:r w:rsidRPr="00FE5D1C">
        <w:rPr>
          <w:rFonts w:ascii="Calibri" w:eastAsia="Times New Roman" w:hAnsi="Calibri" w:cs="Calibri"/>
          <w:i/>
          <w:iCs/>
          <w:color w:val="000000"/>
          <w:kern w:val="0"/>
          <w:sz w:val="22"/>
          <w:szCs w:val="22"/>
          <w14:ligatures w14:val="none"/>
        </w:rPr>
        <w:t>CYP9K1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CYP6M2</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CYP6P1</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CYP6P3</w:t>
      </w:r>
      <w:r w:rsidRPr="00FE5D1C">
        <w:rPr>
          <w:rFonts w:ascii="Calibri" w:eastAsia="Times New Roman" w:hAnsi="Calibri" w:cs="Calibri"/>
          <w:color w:val="000000"/>
          <w:kern w:val="0"/>
          <w:sz w:val="22"/>
          <w:szCs w:val="22"/>
          <w14:ligatures w14:val="none"/>
        </w:rPr>
        <w:t xml:space="preserve"> were </w:t>
      </w:r>
      <w:r w:rsidRPr="00FE5D1C">
        <w:rPr>
          <w:rFonts w:ascii="Calibri" w:eastAsia="Times New Roman" w:hAnsi="Calibri" w:cs="Calibri"/>
          <w:color w:val="000000"/>
          <w:kern w:val="0"/>
          <w:sz w:val="22"/>
          <w:szCs w:val="22"/>
          <w14:ligatures w14:val="none"/>
        </w:rPr>
        <w:lastRenderedPageBreak/>
        <w:t>significantly overexpressed [fold change (FC) = 43.71 - 1222.98] in deltamethrin-resistant mosquitoes in comparison to the Kisumu susceptible laboratory strain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0.05). </w:t>
      </w:r>
      <w:r w:rsidRPr="00FE5D1C">
        <w:rPr>
          <w:rFonts w:ascii="Calibri" w:eastAsia="Times New Roman" w:hAnsi="Calibri" w:cs="Calibri"/>
          <w:i/>
          <w:iCs/>
          <w:color w:val="000000"/>
          <w:kern w:val="0"/>
          <w:sz w:val="22"/>
          <w:szCs w:val="22"/>
          <w14:ligatures w14:val="none"/>
        </w:rPr>
        <w:t>CYP4G16</w:t>
      </w:r>
      <w:r w:rsidRPr="00FE5D1C">
        <w:rPr>
          <w:rFonts w:ascii="Calibri" w:eastAsia="Times New Roman" w:hAnsi="Calibri" w:cs="Calibri"/>
          <w:color w:val="000000"/>
          <w:kern w:val="0"/>
          <w:sz w:val="22"/>
          <w:szCs w:val="22"/>
          <w14:ligatures w14:val="none"/>
        </w:rPr>
        <w:t> expression increased with insecticide concentration [FC: 1x = 11.5, 5x = 15.9, 10x = 26.3], whilst </w:t>
      </w:r>
      <w:r w:rsidRPr="00FE5D1C">
        <w:rPr>
          <w:rFonts w:ascii="Calibri" w:eastAsia="Times New Roman" w:hAnsi="Calibri" w:cs="Calibri"/>
          <w:i/>
          <w:iCs/>
          <w:color w:val="000000"/>
          <w:kern w:val="0"/>
          <w:sz w:val="22"/>
          <w:szCs w:val="22"/>
          <w14:ligatures w14:val="none"/>
        </w:rPr>
        <w:t>GSTe2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CYP6Z1</w:t>
      </w:r>
      <w:r w:rsidRPr="00FE5D1C">
        <w:rPr>
          <w:rFonts w:ascii="Calibri" w:eastAsia="Times New Roman" w:hAnsi="Calibri" w:cs="Calibri"/>
          <w:color w:val="000000"/>
          <w:kern w:val="0"/>
          <w:sz w:val="22"/>
          <w:szCs w:val="22"/>
          <w14:ligatures w14:val="none"/>
        </w:rPr>
        <w:t> were moderately expressed (FC = 1.85 - 4.20). In Abossey Okai, </w:t>
      </w:r>
      <w:r w:rsidRPr="00FE5D1C">
        <w:rPr>
          <w:rFonts w:ascii="Calibri" w:eastAsia="Times New Roman" w:hAnsi="Calibri" w:cs="Calibri"/>
          <w:i/>
          <w:iCs/>
          <w:color w:val="000000"/>
          <w:kern w:val="0"/>
          <w:sz w:val="22"/>
          <w:szCs w:val="22"/>
          <w14:ligatures w14:val="none"/>
        </w:rPr>
        <w:t>CYP9K1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CYP6P1</w:t>
      </w:r>
      <w:r w:rsidRPr="00FE5D1C">
        <w:rPr>
          <w:rFonts w:ascii="Calibri" w:eastAsia="Times New Roman" w:hAnsi="Calibri" w:cs="Calibri"/>
          <w:color w:val="000000"/>
          <w:kern w:val="0"/>
          <w:sz w:val="22"/>
          <w:szCs w:val="22"/>
          <w14:ligatures w14:val="none"/>
        </w:rPr>
        <w:t>, CYP6M2 and </w:t>
      </w:r>
      <w:r w:rsidRPr="00FE5D1C">
        <w:rPr>
          <w:rFonts w:ascii="Calibri" w:eastAsia="Times New Roman" w:hAnsi="Calibri" w:cs="Calibri"/>
          <w:i/>
          <w:iCs/>
          <w:color w:val="000000"/>
          <w:kern w:val="0"/>
          <w:sz w:val="22"/>
          <w:szCs w:val="22"/>
          <w14:ligatures w14:val="none"/>
        </w:rPr>
        <w:t>CYP6P3</w:t>
      </w:r>
      <w:r w:rsidRPr="00FE5D1C">
        <w:rPr>
          <w:rFonts w:ascii="Calibri" w:eastAsia="Times New Roman" w:hAnsi="Calibri" w:cs="Calibri"/>
          <w:color w:val="000000"/>
          <w:kern w:val="0"/>
          <w:sz w:val="22"/>
          <w:szCs w:val="22"/>
          <w14:ligatures w14:val="none"/>
        </w:rPr>
        <w:t> were overexpressed [FC = 5.54 - 162.84] in deltamethrin-resistant mosquitoes, while </w:t>
      </w:r>
      <w:r w:rsidRPr="00FE5D1C">
        <w:rPr>
          <w:rFonts w:ascii="Calibri" w:eastAsia="Times New Roman" w:hAnsi="Calibri" w:cs="Calibri"/>
          <w:i/>
          <w:iCs/>
          <w:color w:val="000000"/>
          <w:kern w:val="0"/>
          <w:sz w:val="22"/>
          <w:szCs w:val="22"/>
          <w14:ligatures w14:val="none"/>
        </w:rPr>
        <w:t>GSTe2</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CYP6Z1</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CYP4G16</w:t>
      </w:r>
      <w:r w:rsidRPr="00FE5D1C">
        <w:rPr>
          <w:rFonts w:ascii="Calibri" w:eastAsia="Times New Roman" w:hAnsi="Calibri" w:cs="Calibri"/>
          <w:color w:val="000000"/>
          <w:kern w:val="0"/>
          <w:sz w:val="22"/>
          <w:szCs w:val="22"/>
          <w14:ligatures w14:val="none"/>
        </w:rPr>
        <w:t> showed low expression [FC = 0.01 - 2.52] of the genes. In contrast, mosquitoes from the control site, Dansoman, exhibited generally low expression for most of the genes tested; </w:t>
      </w:r>
      <w:r w:rsidRPr="00FE5D1C">
        <w:rPr>
          <w:rFonts w:ascii="Calibri" w:eastAsia="Times New Roman" w:hAnsi="Calibri" w:cs="Calibri"/>
          <w:i/>
          <w:iCs/>
          <w:color w:val="000000"/>
          <w:kern w:val="0"/>
          <w:sz w:val="22"/>
          <w:szCs w:val="22"/>
          <w14:ligatures w14:val="none"/>
        </w:rPr>
        <w:t>CYP6M2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CYP6P3 </w:t>
      </w:r>
      <w:r w:rsidRPr="00FE5D1C">
        <w:rPr>
          <w:rFonts w:ascii="Calibri" w:eastAsia="Times New Roman" w:hAnsi="Calibri" w:cs="Calibri"/>
          <w:color w:val="000000"/>
          <w:kern w:val="0"/>
          <w:sz w:val="22"/>
          <w:szCs w:val="22"/>
          <w14:ligatures w14:val="none"/>
        </w:rPr>
        <w:t>(FC = 120.80 - 292.68) were overexpressed, whilst low expression of </w:t>
      </w:r>
      <w:r w:rsidRPr="00FE5D1C">
        <w:rPr>
          <w:rFonts w:ascii="Calibri" w:eastAsia="Times New Roman" w:hAnsi="Calibri" w:cs="Calibri"/>
          <w:i/>
          <w:iCs/>
          <w:color w:val="000000"/>
          <w:kern w:val="0"/>
          <w:sz w:val="22"/>
          <w:szCs w:val="22"/>
          <w14:ligatures w14:val="none"/>
        </w:rPr>
        <w:t>GSTe2</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CYP9K1, CYP6P1, CYP6Z1</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CYP4G16</w:t>
      </w:r>
      <w:r w:rsidRPr="00FE5D1C">
        <w:rPr>
          <w:rFonts w:ascii="Calibri" w:eastAsia="Times New Roman" w:hAnsi="Calibri" w:cs="Calibri"/>
          <w:color w:val="000000"/>
          <w:kern w:val="0"/>
          <w:sz w:val="22"/>
          <w:szCs w:val="22"/>
          <w14:ligatures w14:val="none"/>
        </w:rPr>
        <w:t> (FC = 0.00 to 1.43) were observed. </w:t>
      </w:r>
      <w:r w:rsidRPr="00FE5D1C">
        <w:rPr>
          <w:rFonts w:ascii="Calibri" w:eastAsia="Times New Roman" w:hAnsi="Calibri" w:cs="Calibri"/>
          <w:i/>
          <w:iCs/>
          <w:color w:val="000000"/>
          <w:kern w:val="0"/>
          <w:sz w:val="22"/>
          <w:szCs w:val="22"/>
          <w14:ligatures w14:val="none"/>
        </w:rPr>
        <w:t>CYP6P1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CYP4G16</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CYP9KI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CYP6P3</w:t>
      </w:r>
      <w:r w:rsidRPr="00FE5D1C">
        <w:rPr>
          <w:rFonts w:ascii="Calibri" w:eastAsia="Times New Roman" w:hAnsi="Calibri" w:cs="Calibri"/>
          <w:color w:val="000000"/>
          <w:kern w:val="0"/>
          <w:sz w:val="22"/>
          <w:szCs w:val="22"/>
          <w14:ligatures w14:val="none"/>
        </w:rPr>
        <w:t> were significantly overexpressed [FC = 26.33 - 162.84] in 10x-deltamethrin-resistant mosquitoes versus 1x-deltamethrin-susceptible mosquitoes [FC = 0.13 - 2.59] (P &lt; 0.005). These findings may suggest the dominant role of metabolic resistance in driving high-pyrethroid resistance intensity in Ghana.</w:t>
      </w:r>
    </w:p>
    <w:p w14:paraId="16786C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25-A-2044-ASTMH</w:t>
      </w:r>
    </w:p>
    <w:p w14:paraId="24E23A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15D7E2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Vaccines to prevent antimicrobial resistance - the impact of typhoid conjugate vaccines on antibiotic use. Data from three randomised controlled trials</w:t>
      </w:r>
    </w:p>
    <w:p w14:paraId="161539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Antimicrobial resistance (AMR) poses a significant global health threat. Antimicrobial usage (AMU) is a known driver of AMR. Vaccines can reduce AMU through prevention of infection with the targeted pathogen or a clinical syndrome for which antimicrobials are prescribed. Three phase 3 typhoid conjugate vaccine (TCV) randomized controlled trials (RCTs) in Bangladesh, Malawi and Nepal have demonstrated vaccine efficacy (VE = 79-85%) against blood-culture confirmed typhoid infection. Using data from these trials, we aimed to assess the impact of TCV on AMU.Trial participants from 9 months to 15 years of age presenting with febrile illness at healthcare facilities had AMU recorded. We pre-specified two analyses: Efficacy of TCV on 1) any prescription of all antibiotics and 2) any prescription of ‘typhoid-specific’ antibiotics, for each site. VE was calculated as (1-incidence rate ratio [IRR])x100%.In Malawi, 7,135 unique participants presented with febrile illness with 9,950 total febrile visits over a median follow-up period of 4.34 years. VE against all antibiotic usage was -0.5% ([95% Confidence Interval (CI)] = -4.5%, 3.6%). However, for ‘typhoid-specific antibiotics’ (ciprofloxacin or ceftriaxone) VE was 13.5% [2.5%, 23.2%]. VE against ceftriaxone alone was 34.0% [11.1%, 51.2%]. In Bangladesh, 6,864 unique participants presented with febrile illness, with 7,709 total febrile visits over a median follow-up period of 1.94 years. VE against all antibiotic usage and typhoid-specific usage was 9.6% [3.2%, 15.6%] and 9.3% [2.2%, 15.8%] respectively. In Nepal, 3,485 unique participants were recorded seeking healthcare with 12,351 total healthcare visits over a median follow-up period of 3.13 years. The estimated VE for all antibiotic usage and typhoid-specific usage was 2.7% [-3.0%, 8.1%] and 8.8% [-5.5%, 21.2%] respectively.For all three RCTs, TCV reduced AMU with varying statistical significance. These first results from RCTs on TCV impact on AMU provide additional data on the benefit of TCV to policymakers. Results support that TCV can reduce antibiotic prescriptions and subsequent development of AMR at the population level.</w:t>
      </w:r>
    </w:p>
    <w:p w14:paraId="473B55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25-A-2045-ASTMH</w:t>
      </w:r>
    </w:p>
    <w:p w14:paraId="4A4A55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20B559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Whole genome sequence data reveals evidence of insecticide resistance selection in </w:t>
      </w:r>
      <w:r w:rsidRPr="00FE5D1C">
        <w:rPr>
          <w:rFonts w:ascii="Calibri" w:eastAsia="Times New Roman" w:hAnsi="Calibri" w:cs="Calibri"/>
          <w:b/>
          <w:bCs/>
          <w:i/>
          <w:iCs/>
          <w:color w:val="000000"/>
          <w:kern w:val="0"/>
          <w:sz w:val="22"/>
          <w:szCs w:val="22"/>
          <w14:ligatures w14:val="none"/>
        </w:rPr>
        <w:t>An. funestus</w:t>
      </w:r>
      <w:r w:rsidRPr="00FE5D1C">
        <w:rPr>
          <w:rFonts w:ascii="Calibri" w:eastAsia="Times New Roman" w:hAnsi="Calibri" w:cs="Calibri"/>
          <w:b/>
          <w:bCs/>
          <w:color w:val="000000"/>
          <w:kern w:val="0"/>
          <w:sz w:val="22"/>
          <w:szCs w:val="22"/>
          <w14:ligatures w14:val="none"/>
        </w:rPr>
        <w:t> populations from Uganda during a cluster randomised trial</w:t>
      </w:r>
    </w:p>
    <w:p w14:paraId="684040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LLINEUP trial in Uganda, covering 40% of the country in 104 health sub-districts, evaluated the effectiveness of combined Pyrethroid and synergist long-lasting insecticidal nets against malaria vectors. Genomic surveillance was embedded in the trial to detect and track insecticide resistance variants. At baseline and throughout the trial, we sampled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by Prokopack aspirators and performed whole-genome sequencing on individual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xml:space="preserve"> mosquitoes, resulting in high-quality </w:t>
      </w:r>
      <w:r w:rsidRPr="00FE5D1C">
        <w:rPr>
          <w:rFonts w:ascii="Calibri" w:eastAsia="Times New Roman" w:hAnsi="Calibri" w:cs="Calibri"/>
          <w:color w:val="000000"/>
          <w:kern w:val="0"/>
          <w:sz w:val="22"/>
          <w:szCs w:val="22"/>
          <w14:ligatures w14:val="none"/>
        </w:rPr>
        <w:lastRenderedPageBreak/>
        <w:t>SNP, CNV and haplotype data for 1149 specimens. </w:t>
      </w:r>
      <w:r w:rsidRPr="00FE5D1C">
        <w:rPr>
          <w:rFonts w:ascii="Calibri" w:eastAsia="Times New Roman" w:hAnsi="Calibri" w:cs="Calibri"/>
          <w:i/>
          <w:iCs/>
          <w:color w:val="000000"/>
          <w:kern w:val="0"/>
          <w:sz w:val="22"/>
          <w:szCs w:val="22"/>
          <w14:ligatures w14:val="none"/>
        </w:rPr>
        <w:t>An. funestus </w:t>
      </w:r>
      <w:r w:rsidRPr="00FE5D1C">
        <w:rPr>
          <w:rFonts w:ascii="Calibri" w:eastAsia="Times New Roman" w:hAnsi="Calibri" w:cs="Calibri"/>
          <w:color w:val="000000"/>
          <w:kern w:val="0"/>
          <w:sz w:val="22"/>
          <w:szCs w:val="22"/>
          <w14:ligatures w14:val="none"/>
        </w:rPr>
        <w:t>populations were relatively unperturbed by the interventions, compared to </w:t>
      </w:r>
      <w:r w:rsidRPr="00FE5D1C">
        <w:rPr>
          <w:rFonts w:ascii="Calibri" w:eastAsia="Times New Roman" w:hAnsi="Calibri" w:cs="Calibri"/>
          <w:i/>
          <w:iCs/>
          <w:color w:val="000000"/>
          <w:kern w:val="0"/>
          <w:sz w:val="22"/>
          <w:szCs w:val="22"/>
          <w14:ligatures w14:val="none"/>
        </w:rPr>
        <w:t>An. gambiae sl</w:t>
      </w:r>
      <w:r w:rsidRPr="00FE5D1C">
        <w:rPr>
          <w:rFonts w:ascii="Calibri" w:eastAsia="Times New Roman" w:hAnsi="Calibri" w:cs="Calibri"/>
          <w:color w:val="000000"/>
          <w:kern w:val="0"/>
          <w:sz w:val="22"/>
          <w:szCs w:val="22"/>
          <w14:ligatures w14:val="none"/>
        </w:rPr>
        <w:t>, which were markedly reduced six months following LLIN deployment. Standard approaches for describing genetic diversity and population structure e.g. </w:t>
      </w:r>
      <w:r w:rsidRPr="00FE5D1C">
        <w:rPr>
          <w:rFonts w:ascii="Calibri" w:eastAsia="Times New Roman" w:hAnsi="Calibri" w:cs="Calibri"/>
          <w:i/>
          <w:iCs/>
          <w:color w:val="000000"/>
          <w:kern w:val="0"/>
          <w:sz w:val="22"/>
          <w:szCs w:val="22"/>
          <w14:ligatures w14:val="none"/>
        </w:rPr>
        <w:t>Fst</w:t>
      </w:r>
      <w:r w:rsidRPr="00FE5D1C">
        <w:rPr>
          <w:rFonts w:ascii="Calibri" w:eastAsia="Times New Roman" w:hAnsi="Calibri" w:cs="Calibri"/>
          <w:color w:val="000000"/>
          <w:kern w:val="0"/>
          <w:sz w:val="22"/>
          <w:szCs w:val="22"/>
          <w14:ligatures w14:val="none"/>
        </w:rPr>
        <w:t>, PCA, NJT, were consistent with the density’s observations and suggestive of a single large </w:t>
      </w:r>
      <w:r w:rsidRPr="00FE5D1C">
        <w:rPr>
          <w:rFonts w:ascii="Calibri" w:eastAsia="Times New Roman" w:hAnsi="Calibri" w:cs="Calibri"/>
          <w:i/>
          <w:iCs/>
          <w:color w:val="000000"/>
          <w:kern w:val="0"/>
          <w:sz w:val="22"/>
          <w:szCs w:val="22"/>
          <w14:ligatures w14:val="none"/>
        </w:rPr>
        <w:t>An. funestus </w:t>
      </w:r>
      <w:r w:rsidRPr="00FE5D1C">
        <w:rPr>
          <w:rFonts w:ascii="Calibri" w:eastAsia="Times New Roman" w:hAnsi="Calibri" w:cs="Calibri"/>
          <w:color w:val="000000"/>
          <w:kern w:val="0"/>
          <w:sz w:val="22"/>
          <w:szCs w:val="22"/>
          <w14:ligatures w14:val="none"/>
        </w:rPr>
        <w:t>population in Uganda. Genome-wide selection scans revealed strong signals of selection at the </w:t>
      </w:r>
      <w:r w:rsidRPr="00FE5D1C">
        <w:rPr>
          <w:rFonts w:ascii="Calibri" w:eastAsia="Times New Roman" w:hAnsi="Calibri" w:cs="Calibri"/>
          <w:i/>
          <w:iCs/>
          <w:color w:val="000000"/>
          <w:kern w:val="0"/>
          <w:sz w:val="22"/>
          <w:szCs w:val="22"/>
          <w14:ligatures w14:val="none"/>
        </w:rPr>
        <w:t>Resistance to pyrethroid -1</w:t>
      </w:r>
      <w:r w:rsidRPr="00FE5D1C">
        <w:rPr>
          <w:rFonts w:ascii="Calibri" w:eastAsia="Times New Roman" w:hAnsi="Calibri" w:cs="Calibri"/>
          <w:color w:val="000000"/>
          <w:kern w:val="0"/>
          <w:sz w:val="22"/>
          <w:szCs w:val="22"/>
          <w14:ligatures w14:val="none"/>
        </w:rPr>
        <w:t> locus and </w:t>
      </w:r>
      <w:r w:rsidRPr="00FE5D1C">
        <w:rPr>
          <w:rFonts w:ascii="Calibri" w:eastAsia="Times New Roman" w:hAnsi="Calibri" w:cs="Calibri"/>
          <w:i/>
          <w:iCs/>
          <w:color w:val="000000"/>
          <w:kern w:val="0"/>
          <w:sz w:val="22"/>
          <w:szCs w:val="22"/>
          <w14:ligatures w14:val="none"/>
        </w:rPr>
        <w:t>Cyp9k1, </w:t>
      </w:r>
      <w:r w:rsidRPr="00FE5D1C">
        <w:rPr>
          <w:rFonts w:ascii="Calibri" w:eastAsia="Times New Roman" w:hAnsi="Calibri" w:cs="Calibri"/>
          <w:color w:val="000000"/>
          <w:kern w:val="0"/>
          <w:sz w:val="22"/>
          <w:szCs w:val="22"/>
          <w14:ligatures w14:val="none"/>
        </w:rPr>
        <w:t>both loci previously implicated in pyrethroid resistance. Two additional loci centred around,</w:t>
      </w:r>
      <w:r w:rsidRPr="00FE5D1C">
        <w:rPr>
          <w:rFonts w:ascii="Calibri" w:eastAsia="Times New Roman" w:hAnsi="Calibri" w:cs="Calibri"/>
          <w:i/>
          <w:iCs/>
          <w:color w:val="000000"/>
          <w:kern w:val="0"/>
          <w:sz w:val="22"/>
          <w:szCs w:val="22"/>
          <w14:ligatures w14:val="none"/>
        </w:rPr>
        <w:t> eye diacylglycerol kinase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O-mannosyl-transferase </w:t>
      </w:r>
      <w:r w:rsidRPr="00FE5D1C">
        <w:rPr>
          <w:rFonts w:ascii="Calibri" w:eastAsia="Times New Roman" w:hAnsi="Calibri" w:cs="Calibri"/>
          <w:color w:val="000000"/>
          <w:kern w:val="0"/>
          <w:sz w:val="22"/>
          <w:szCs w:val="22"/>
          <w14:ligatures w14:val="none"/>
        </w:rPr>
        <w:t>genes also showed signals of selection. Known DDT and permethrin resistance-associated variants at the </w:t>
      </w:r>
      <w:r w:rsidRPr="00FE5D1C">
        <w:rPr>
          <w:rFonts w:ascii="Calibri" w:eastAsia="Times New Roman" w:hAnsi="Calibri" w:cs="Calibri"/>
          <w:i/>
          <w:iCs/>
          <w:color w:val="000000"/>
          <w:kern w:val="0"/>
          <w:sz w:val="22"/>
          <w:szCs w:val="22"/>
          <w14:ligatures w14:val="none"/>
        </w:rPr>
        <w:t>Gste2 </w:t>
      </w:r>
      <w:r w:rsidRPr="00FE5D1C">
        <w:rPr>
          <w:rFonts w:ascii="Calibri" w:eastAsia="Times New Roman" w:hAnsi="Calibri" w:cs="Calibri"/>
          <w:color w:val="000000"/>
          <w:kern w:val="0"/>
          <w:sz w:val="22"/>
          <w:szCs w:val="22"/>
          <w14:ligatures w14:val="none"/>
        </w:rPr>
        <w:t>locus, L119F and L119V, were identified. During the trial, changes in haplotype frequencies were observed in loci under selection. Notably, there were significant reductions in the frequencies of swept haplotypes in the </w:t>
      </w:r>
      <w:r w:rsidRPr="00FE5D1C">
        <w:rPr>
          <w:rFonts w:ascii="Calibri" w:eastAsia="Times New Roman" w:hAnsi="Calibri" w:cs="Calibri"/>
          <w:i/>
          <w:iCs/>
          <w:color w:val="000000"/>
          <w:kern w:val="0"/>
          <w:sz w:val="22"/>
          <w:szCs w:val="22"/>
          <w14:ligatures w14:val="none"/>
        </w:rPr>
        <w:t>Dgk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Cyp6p9a </w:t>
      </w:r>
      <w:r w:rsidRPr="00FE5D1C">
        <w:rPr>
          <w:rFonts w:ascii="Calibri" w:eastAsia="Times New Roman" w:hAnsi="Calibri" w:cs="Calibri"/>
          <w:color w:val="000000"/>
          <w:kern w:val="0"/>
          <w:sz w:val="22"/>
          <w:szCs w:val="22"/>
          <w14:ligatures w14:val="none"/>
        </w:rPr>
        <w:t>regions, while significant increases in haplotype frequency were observed at </w:t>
      </w:r>
      <w:r w:rsidRPr="00FE5D1C">
        <w:rPr>
          <w:rFonts w:ascii="Calibri" w:eastAsia="Times New Roman" w:hAnsi="Calibri" w:cs="Calibri"/>
          <w:i/>
          <w:iCs/>
          <w:color w:val="000000"/>
          <w:kern w:val="0"/>
          <w:sz w:val="22"/>
          <w:szCs w:val="22"/>
          <w14:ligatures w14:val="none"/>
        </w:rPr>
        <w:t>Gste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Cyp9k1</w:t>
      </w:r>
      <w:r w:rsidRPr="00FE5D1C">
        <w:rPr>
          <w:rFonts w:ascii="Calibri" w:eastAsia="Times New Roman" w:hAnsi="Calibri" w:cs="Calibri"/>
          <w:color w:val="000000"/>
          <w:kern w:val="0"/>
          <w:sz w:val="22"/>
          <w:szCs w:val="22"/>
          <w14:ligatures w14:val="none"/>
        </w:rPr>
        <w:t> loci. Embedding genomic surveillance in cRCTs enables the vector control community to discover putative resistance variants in a timely fashion and also can provide evidence of their impact on vector control tool efficacy.</w:t>
      </w:r>
    </w:p>
    <w:p w14:paraId="04042C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25-A-2046-ASTMH</w:t>
      </w:r>
    </w:p>
    <w:p w14:paraId="2F36C2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62D964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Prevalence of arboviruses among Papua New Guinea (PNG) military personnel by multiplex assays</w:t>
      </w:r>
    </w:p>
    <w:p w14:paraId="48E280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presence of a number of vector borne infectious diseases in the Asia-Pacific region is a significant concern for the US and Australian Defence Force (ADF) military personnel. Surveillance data evaluating risks of soldier infections and exposure to pathogens within the region are lacking. This project aims to fill in this gap by collaborating with Asia-Pacific partners to determine sero prevalence and transmission of arboviruses of significance to Force Health Protection (FHP). We collected blood samples from PNG military staff in 2023 and 2024 and tested for presence of viral antigens (Zika, Dengue, Chikungunya) by multiplex PCR and for IgG antibodies against Dengue Virus (DENV), Japanese Encephalitis Virus (JEV), Ross River Virus (RRV) and Barmah Forest Virus (BFV) by multiplex bead -based serological assays. In 2023, 14/185 (7.6%) of blood samples collected from military staff from Lae, PNG tested positive to arboviral RNA. In 2024, 15/256 (5.9%) of blood samples collected from military personnel in Port Moresby and Manus Island, PNG were positive for arboviral RNA. Multiplex serology assay results showed that PNG military personnel have a high seropositivity to DENV n= 177/185 (95.7%) and JEV n= 161/185 (87%) and low seropositivity to RRV n= 16/185 (8.6%) and BFV 19/185 (10.3%). Data from arboviral antigen and antibody testing of blood samples collected from PNG Defence Force personnel during annual health surveys showed extensive exposure to arboviruses and provides useful surveillance tools in mapping geographic distribution of arbovirus transmission areas in the country. This project will assist in increasing overall health and troop readiness in terms of force health protection in the Asia-Pacific region.</w:t>
      </w:r>
    </w:p>
    <w:p w14:paraId="34724C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25-A-2047-ASTMH</w:t>
      </w:r>
    </w:p>
    <w:p w14:paraId="1FE3E8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05595C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Spatio-temporal and Climatic Correlates of Dengue and Dengue-Like Illnesses in Pakistan from 2015 to 2022: Practical Utilization of Laboratory and Meteorological Data.</w:t>
      </w:r>
    </w:p>
    <w:p w14:paraId="50358A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is considered one of the most common vector-borne viral infections, affecting around 50 million people annually worldwide. In the past few years, several cases of dengue-like illnesses (DLI) have also been reported, and they have caused concern among the authorities for implementing swift measures to prevent it. The objective of our study was to observe the spatio-temporal distribution of dengue and DLI in Pakistan and its correlation with temperature, precipitation, and seasonal variations. Retrospective data of test requests generated for dengue from country-wide patient sample collection points (n=322) across Pakistan from 1</w:t>
      </w:r>
      <w:r w:rsidRPr="00FE5D1C">
        <w:rPr>
          <w:rFonts w:ascii="Calibri" w:eastAsia="Times New Roman" w:hAnsi="Calibri" w:cs="Calibri"/>
          <w:color w:val="000000"/>
          <w:kern w:val="0"/>
          <w:sz w:val="22"/>
          <w:szCs w:val="22"/>
          <w:vertAlign w:val="superscript"/>
          <w14:ligatures w14:val="none"/>
        </w:rPr>
        <w:t>st</w:t>
      </w:r>
      <w:r w:rsidRPr="00FE5D1C">
        <w:rPr>
          <w:rFonts w:ascii="Calibri" w:eastAsia="Times New Roman" w:hAnsi="Calibri" w:cs="Calibri"/>
          <w:color w:val="000000"/>
          <w:kern w:val="0"/>
          <w:sz w:val="22"/>
          <w:szCs w:val="22"/>
          <w14:ligatures w14:val="none"/>
        </w:rPr>
        <w:t> January 2015 to 31</w:t>
      </w:r>
      <w:r w:rsidRPr="00FE5D1C">
        <w:rPr>
          <w:rFonts w:ascii="Calibri" w:eastAsia="Times New Roman" w:hAnsi="Calibri" w:cs="Calibri"/>
          <w:color w:val="000000"/>
          <w:kern w:val="0"/>
          <w:sz w:val="22"/>
          <w:szCs w:val="22"/>
          <w:vertAlign w:val="superscript"/>
          <w14:ligatures w14:val="none"/>
        </w:rPr>
        <w:t>st</w:t>
      </w:r>
      <w:r w:rsidRPr="00FE5D1C">
        <w:rPr>
          <w:rFonts w:ascii="Calibri" w:eastAsia="Times New Roman" w:hAnsi="Calibri" w:cs="Calibri"/>
          <w:color w:val="000000"/>
          <w:kern w:val="0"/>
          <w:sz w:val="22"/>
          <w:szCs w:val="22"/>
          <w14:ligatures w14:val="none"/>
        </w:rPr>
        <w:t xml:space="preserve"> December 2022 was extracted for analysis. Average monthly temperature and precipitation data were used, and a negative binomial regression model (NBR) was employed to examine the effects on the number of cases. For this study, we </w:t>
      </w:r>
      <w:r w:rsidRPr="00FE5D1C">
        <w:rPr>
          <w:rFonts w:ascii="Calibri" w:eastAsia="Times New Roman" w:hAnsi="Calibri" w:cs="Calibri"/>
          <w:color w:val="000000"/>
          <w:kern w:val="0"/>
          <w:sz w:val="22"/>
          <w:szCs w:val="22"/>
          <w14:ligatures w14:val="none"/>
        </w:rPr>
        <w:lastRenderedPageBreak/>
        <w:t>distributed Pakistan into 5 climatic zones from A to E. A total of 215,931 serum samples were tested for dengue. It was found that the number of test requests in all the zones were significantly higher during the monsoon season (May-September) compared to the non-monsoon season (p&lt;0.001). An overall substantial increase in the number of dengue and dengue-like illnesses was evident in 2019, followed by another peak in 2022. The year 2020 showed an overall decrease in dengue and DLI illness, a 29.3% reduction from preceding years, and the dengue positivity rate at its minimum of 23%. It was observed that the total number of cases of dengue and DLI increased by two-fold by 2022. Our observation showed that temperature distribution did not show a significant correlation, and the number of test results followed rainfall trends. Dengue and DLI are extremely prevalent in Pakistan due to rapid urbanization, climate change, poor solid waste management. Policymakers can use seasonal and climatic trends as predictors to implement preventive measures against the spread of dengue infections in Pakistan.</w:t>
      </w:r>
    </w:p>
    <w:p w14:paraId="310B41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25-A-2048-ASTMH</w:t>
      </w:r>
    </w:p>
    <w:p w14:paraId="17EBDC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4E652A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Persistence of Malaria-Induced Immunosuppression in Common Childhood Infectious Diseases and Vaccine Responses</w:t>
      </w:r>
    </w:p>
    <w:p w14:paraId="1A0AF3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public health challenge in Sub-Saharan Africa, disproportionately affecting children under five. Chronic exposure to malaria in endemic regions has been associated with immune suppression, impairing antibody responses to secondary infections and vaccines. While malaria-induced immunosuppression has been linked to reduced antibody-mediated immunity upon antigenic stimulation, its breadth and duration in pediatric immunity remain poorly understood. This study investigated the persistence of malaria-induced immunosuppression and its impact on antibody-mediated immunity to childhood infections and vaccines in Kilifi, Kenya. Utilizing a longitudinal cohort study conducted over a decade, individuals from two regions with high and low malaria transmission intensities were sampled annually from early childhood under active malaria surveillance. From this cohort, a total of 1202 serum samples collected from a subset of 121 children with complete follow-up was analyzed. Antibody responses to infectious disease antigens were quantified using an in-house protein microarray and validated using ELISA, with vaccine antigen seropositivity further assessed using Luminex multiplex immunoassays. Comparative analysis assessed the persistence and extent of malaria-induced immunosuppression on immune responses to childhood infections and vaccines between the two regions. Repeated malaria episodes early in life were linked to significantly reduced antibody responses to vaccine antigens, including measles and pertussis, as well as childhood infections like Streptococcus pneumoniae, coxsackie virus, and cytomegalovirus. Notably, this immunosuppressive effect persisted for over 10 years. However, some antigens, such as influenza, exhibited no significant differences between cohorts, suggesting antigen-specific variability in the malaria immunomodulatory effect. These results underscore the importance of considering malaria exposure in evaluating vaccine efficacy and designing immunization strategies in endemic regions.</w:t>
      </w:r>
    </w:p>
    <w:p w14:paraId="313E09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25-A-2050-ASTMH</w:t>
      </w:r>
    </w:p>
    <w:p w14:paraId="340E74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29A1CC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Determinants of household investigation coverage among malaria cases reported in Zanzibar's Malaria Surveillance System</w:t>
      </w:r>
    </w:p>
    <w:p w14:paraId="3F2C7A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Since 2012, Zanzibar has implemented a Case-based Malaria Surveillance System that allows health facilities to report all confirmed malaria cases within 24 hours of diagnosis. This allows timely household case investigations by District Malaria Surveillance Officers (DMSOs) within 48 hours and responses within seven days. Household investigations aim to identify the sources of transmission and factors that contribute to ongoing transmission. However, the coverage of household investigations for malaria cases remains challenging; the average of all notified cases that underwent household investigation from 2022 to 2024 is 71%. An analytical cross-sectional design was employed to analyse secondary data </w:t>
      </w:r>
      <w:r w:rsidRPr="00FE5D1C">
        <w:rPr>
          <w:rFonts w:ascii="Calibri" w:eastAsia="Times New Roman" w:hAnsi="Calibri" w:cs="Calibri"/>
          <w:color w:val="000000"/>
          <w:kern w:val="0"/>
          <w:sz w:val="22"/>
          <w:szCs w:val="22"/>
          <w14:ligatures w14:val="none"/>
        </w:rPr>
        <w:lastRenderedPageBreak/>
        <w:t>on malaria cases reported in the surveillance system from 2022 to 2024, aiming to assess the determinants of household investigation coverage using STATA software. A total of 29,897 malaria cases were included in the analysis. Of these, 22,854 (76.4%) malaria cases underwent household investigation. The analysis showed that districts reporting a high number of malaria cases had 0. 67 times lower odds of complete household investigations (AOR = 0.67; 95% CI: 0.617-0.735, P&lt; 0.001). Furthermore, an association was found between household investigation of malaria cases and sending notification SMS to the DMSOs (AOR = 261.56; 95% CI: 82.23-831.99, P&lt; 0.001), the completeness of patient information provided at health facilities including the name of a notable person from the village (AOR = 2.23; 95% CI: 2.05-2.44, P&lt; 0.001) and the mobile contact of the patient (AOR = 2.54; 95% CI: 2.22-2.91, P&lt; 0.001). Conversely, cases reported beyond 24 hours after diagnosis were less likely to be investigated at the household level compared to those reported within 24 hours (AOR = 0.67; 95% CI: 0.61-0.73, P&lt; 0.001). The findings highlight that timely notification of DMSOs and the provision of complete patient information at health facilities are key determinants of household investigation coverage. Therefore, efforts to ensure timely notification and comprehensive patient data collection are essential for improving malaria surveillance in Zanzibar.</w:t>
      </w:r>
    </w:p>
    <w:p w14:paraId="285B68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25-A-2051-ASTMH</w:t>
      </w:r>
    </w:p>
    <w:p w14:paraId="55C5FD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279A03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Clinical profile and outcome of severe scrub typhus in children requiring pediatric critical care in a tertiary care center, Nepal.</w:t>
      </w:r>
    </w:p>
    <w:p w14:paraId="5A85C2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 have described the clinical characteristics and outcome of children with severe scrub typhus admitted in pediatric intensive care (PICU). This was a retrospective study done at Patan Academy of Health Sciences, a tertiary care center in Nepal in children aged 1 month-15 years of age admitted to PICU with the diagnosis of scrub typhus from April 2023 to April 2025. Of 1022 patients admitted in PICU during this period, 15 patients were diagnosed with scrub typhus with severe symptoms. Out of the 15 patients, 9 (60%) were female and the median age of patients was 9 years (IQR 9). Fever was present in all patients with median duration of 9 days (IQR 3.5) and median temperature of 100.9 F (IQR 2.5). Other symptoms were fast breathing and cough (9), pain abdomen (8), vomiting (5), and headache (3). The indication of admission to the intensive care unit were respiratory distress and or failure in 9 cases, altered sensorium in 4 and shock in 2 cases. All patients had multi-system involvement, 11 had complicated pneumonia, 7 had shock, 5 had raised intracranial pressure, 5 had myocarditis, 4 had meningoencephalitis, 2 had lateral rectus palsy, and 3 had acute kidney injury. Five of the patients had hepatosplenomegaly at the time of presentation. All patients had elevated liver enzymes with median serum aspartate transferase and alanine transferase of 111 IU/L (IQR 167.5) and 80 IU/L (IQR 48) respectively. Thirteen patients had anemia with median hemoglobin of 9.8 gm/dl (IQR 1.9), 7 patients had thrombocytopenia with median platelet count of 1.5 thousand/ul (IQR 1.02x103), Of 15 patients, 7 required assisted ventilation, non-invasive ventilation in 5 and invasive ventilation in 2. 4 patients required inotropes. All patients were treated with doxycycline and 3 patients received combination of doxycycline and azithromycin. The median PICU length of stay was 4 days (IQR 3) and all patients improved on treatment without sequelae. The overall outcome of severe scrub typhus was good at our center.</w:t>
      </w:r>
    </w:p>
    <w:p w14:paraId="588D64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25-A-2052-ASTMH</w:t>
      </w:r>
    </w:p>
    <w:p w14:paraId="434A86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1D1F1A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Strengthening Health Information Systems for Chagas Disease: A Multi-Level Qualitative Study in Bolivia and Paraguay</w:t>
      </w:r>
    </w:p>
    <w:p w14:paraId="4D49BD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Chagas disease, caused by the parasite </w:t>
      </w:r>
      <w:r w:rsidRPr="00FE5D1C">
        <w:rPr>
          <w:rFonts w:ascii="Calibri" w:eastAsia="Times New Roman" w:hAnsi="Calibri" w:cs="Calibri"/>
          <w:i/>
          <w:iCs/>
          <w:color w:val="000000"/>
          <w:kern w:val="0"/>
          <w:sz w:val="22"/>
          <w:szCs w:val="22"/>
          <w14:ligatures w14:val="none"/>
        </w:rPr>
        <w:t>Trypanosoma cruzi</w:t>
      </w:r>
      <w:r w:rsidRPr="00FE5D1C">
        <w:rPr>
          <w:rFonts w:ascii="Calibri" w:eastAsia="Times New Roman" w:hAnsi="Calibri" w:cs="Calibri"/>
          <w:color w:val="000000"/>
          <w:kern w:val="0"/>
          <w:sz w:val="22"/>
          <w:szCs w:val="22"/>
          <w14:ligatures w14:val="none"/>
        </w:rPr>
        <w:t xml:space="preserve">, continues to pose a major public health challenge in the Americas, with Bolivia and Paraguay bearing a disproportionate burden of cases. In both countries, gaps in the quality, consistency, and interoperability of health information systems hinder the </w:t>
      </w:r>
      <w:r w:rsidRPr="00FE5D1C">
        <w:rPr>
          <w:rFonts w:ascii="Calibri" w:eastAsia="Times New Roman" w:hAnsi="Calibri" w:cs="Calibri"/>
          <w:color w:val="000000"/>
          <w:kern w:val="0"/>
          <w:sz w:val="22"/>
          <w:szCs w:val="22"/>
          <w14:ligatures w14:val="none"/>
        </w:rPr>
        <w:lastRenderedPageBreak/>
        <w:t>ability to track disease trends, allocate resources, and coordinate control strategies. This qualitative study aimed to explore stakeholder perspectives on the current state of Chagas disease data management in Bolivia and Paraguay, identify challenges and facilitators in the system, and gather actionable recommendations for improvement. A total of 44 in-depth interviews were conducted between July and September 2024 with health workers, data managers, and Chagas disease program directors across the local, municipal, departmental, and national levels in Bolivia and Paraguay. Interviews explored perceptions of data flow, documentation tools, integration with other health programs, and experiences with data sharing within and across borders. Transcripts were coded using an inductive-deductive approach and analyzed thematically. Findings revealed five core themes, including: 1) Data reporting and flow, 2) Data collection practices and infrastructure, 3) Barriers to data quality, 4) Cross-border data management and sharing, and 5) Recommendations for improving data management. Participants emphasized the need for standardized reporting tools, improved training, and institutional support for data management, particularly at the local level. Key recommendations included strengthening digital infrastructure, promoting interoperability across systems, and fostering regional collaboration for cross-border data exchange. The study highlights critical gaps in routine data management for Chagas disease and underscores the importance of user-driven solutions to support surveillance and control efforts. These findings offer concrete, context-specific guidance for national health authorities and international stakeholders working to improve neglected tropical disease data systems in endemic regions.</w:t>
      </w:r>
    </w:p>
    <w:p w14:paraId="20F7DF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25-A-2053-ASTMH</w:t>
      </w:r>
    </w:p>
    <w:p w14:paraId="6045D8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7293D1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Vector-borne and zoonotic pathogens in ectoparasites and exposure risk to pets and their owners in Vientiane, Laos</w:t>
      </w:r>
    </w:p>
    <w:p w14:paraId="2BE5A7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Vector-borne zoonotic pathogens (Rickettsiae and Ehrlichiaceae), often causative agents of febrile illness in humans and animals, have been reported in ticks and fleas from companion animals in Laos. However, there have been no reports on the risk of exposure to these pathogens among pets and their owners in the region. This study collected ectoparasites from pets and blood samples from both pets and their owners to assess pathogen prevalence and exposure risk. In five veterinary clinics across Vientiane, dogs and cats were checked for the presence of ectoparasites. Blood samples were obtained from 179 dogs, 25 cats, and 303 pet owners. Ectoparasites were identified to the species level. Ectoparasite DNA samples were screened for bacteria. Blood samples were tested for IgG against spotted fever rickettsias (SFGR) by ELISA and IFA. A total of 3,771 ectoparasites (3,658 ticks, 105 fleas, and 8 lice). Ticks were identified as </w:t>
      </w:r>
      <w:r w:rsidRPr="00FE5D1C">
        <w:rPr>
          <w:rFonts w:ascii="Calibri" w:eastAsia="Times New Roman" w:hAnsi="Calibri" w:cs="Calibri"/>
          <w:i/>
          <w:iCs/>
          <w:color w:val="000000"/>
          <w:kern w:val="0"/>
          <w:sz w:val="22"/>
          <w:szCs w:val="22"/>
          <w14:ligatures w14:val="none"/>
        </w:rPr>
        <w:t>Rhipicephalus sanguineus</w:t>
      </w:r>
      <w:r w:rsidRPr="00FE5D1C">
        <w:rPr>
          <w:rFonts w:ascii="Calibri" w:eastAsia="Times New Roman" w:hAnsi="Calibri" w:cs="Calibri"/>
          <w:color w:val="000000"/>
          <w:kern w:val="0"/>
          <w:sz w:val="22"/>
          <w:szCs w:val="22"/>
          <w14:ligatures w14:val="none"/>
        </w:rPr>
        <w:t>, whilst fleas were classified as either </w:t>
      </w:r>
      <w:r w:rsidRPr="00FE5D1C">
        <w:rPr>
          <w:rFonts w:ascii="Calibri" w:eastAsia="Times New Roman" w:hAnsi="Calibri" w:cs="Calibri"/>
          <w:i/>
          <w:iCs/>
          <w:color w:val="000000"/>
          <w:kern w:val="0"/>
          <w:sz w:val="22"/>
          <w:szCs w:val="22"/>
          <w14:ligatures w14:val="none"/>
        </w:rPr>
        <w:t>Ctenocephalides felis orientis</w:t>
      </w:r>
      <w:r w:rsidRPr="00FE5D1C">
        <w:rPr>
          <w:rFonts w:ascii="Calibri" w:eastAsia="Times New Roman" w:hAnsi="Calibri" w:cs="Calibri"/>
          <w:color w:val="000000"/>
          <w:kern w:val="0"/>
          <w:sz w:val="22"/>
          <w:szCs w:val="22"/>
          <w14:ligatures w14:val="none"/>
        </w:rPr>
        <w:t> (52.38%) or </w:t>
      </w:r>
      <w:r w:rsidRPr="00FE5D1C">
        <w:rPr>
          <w:rFonts w:ascii="Calibri" w:eastAsia="Times New Roman" w:hAnsi="Calibri" w:cs="Calibri"/>
          <w:i/>
          <w:iCs/>
          <w:color w:val="000000"/>
          <w:kern w:val="0"/>
          <w:sz w:val="22"/>
          <w:szCs w:val="22"/>
          <w14:ligatures w14:val="none"/>
        </w:rPr>
        <w:t>C. f. felis </w:t>
      </w:r>
      <w:r w:rsidRPr="00FE5D1C">
        <w:rPr>
          <w:rFonts w:ascii="Calibri" w:eastAsia="Times New Roman" w:hAnsi="Calibri" w:cs="Calibri"/>
          <w:color w:val="000000"/>
          <w:kern w:val="0"/>
          <w:sz w:val="22"/>
          <w:szCs w:val="22"/>
          <w14:ligatures w14:val="none"/>
        </w:rPr>
        <w:t>(47.62%), and lice were </w:t>
      </w:r>
      <w:r w:rsidRPr="00FE5D1C">
        <w:rPr>
          <w:rFonts w:ascii="Calibri" w:eastAsia="Times New Roman" w:hAnsi="Calibri" w:cs="Calibri"/>
          <w:i/>
          <w:iCs/>
          <w:color w:val="000000"/>
          <w:kern w:val="0"/>
          <w:sz w:val="22"/>
          <w:szCs w:val="22"/>
          <w14:ligatures w14:val="none"/>
        </w:rPr>
        <w:t>Heterodoxus spiniger</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Rickettsia</w:t>
      </w:r>
      <w:r w:rsidRPr="00FE5D1C">
        <w:rPr>
          <w:rFonts w:ascii="Calibri" w:eastAsia="Times New Roman" w:hAnsi="Calibri" w:cs="Calibri"/>
          <w:color w:val="000000"/>
          <w:kern w:val="0"/>
          <w:sz w:val="22"/>
          <w:szCs w:val="22"/>
          <w14:ligatures w14:val="none"/>
        </w:rPr>
        <w:t> spp.</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R. asembonensis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R. felis</w:t>
      </w:r>
      <w:r w:rsidRPr="00FE5D1C">
        <w:rPr>
          <w:rFonts w:ascii="Calibri" w:eastAsia="Times New Roman" w:hAnsi="Calibri" w:cs="Calibri"/>
          <w:color w:val="000000"/>
          <w:kern w:val="0"/>
          <w:sz w:val="22"/>
          <w:szCs w:val="22"/>
          <w14:ligatures w14:val="none"/>
        </w:rPr>
        <w:t>) were detected in 44.44% of flea pools collected from dogs and cats, as well as 3.52% of tick pools collected from dogs, and 50% of lice pools collected from dogs. Ehrlichiaceae (</w:t>
      </w:r>
      <w:r w:rsidRPr="00FE5D1C">
        <w:rPr>
          <w:rFonts w:ascii="Calibri" w:eastAsia="Times New Roman" w:hAnsi="Calibri" w:cs="Calibri"/>
          <w:i/>
          <w:iCs/>
          <w:color w:val="000000"/>
          <w:kern w:val="0"/>
          <w:sz w:val="22"/>
          <w:szCs w:val="22"/>
          <w14:ligatures w14:val="none"/>
        </w:rPr>
        <w:t>Ehrlichia canis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Anaplasma platys</w:t>
      </w:r>
      <w:r w:rsidRPr="00FE5D1C">
        <w:rPr>
          <w:rFonts w:ascii="Calibri" w:eastAsia="Times New Roman" w:hAnsi="Calibri" w:cs="Calibri"/>
          <w:color w:val="000000"/>
          <w:kern w:val="0"/>
          <w:sz w:val="22"/>
          <w:szCs w:val="22"/>
          <w14:ligatures w14:val="none"/>
        </w:rPr>
        <w:t>) were detected in 22.54% of ticks collected from dogs. SFGRs seropositivity was 1.3% among pet owners and 12% in cats, whilst there was no seropositivity in dogs. No significant correlation was seen between the seropositivity in pets compared to pet owners or between participants with or without ectoparasites present on their pets (p-value &gt;0.05). Among seropositive pet owners, IFA IgG titers ranged from 1:4 to 1:16, while positive cats exhibited titers up to 1:64. This study highlights the prevalence of pathogens in ectoparasites and describes seroprevalence of SFGRs amongst pets and their owners in Laos. Serology suggests that whilst no active infections were detected, owners and their pets may have had previous exposure to SFGR. The result highlights the possible risk of exposure to SFGRs among pet owners.</w:t>
      </w:r>
    </w:p>
    <w:p w14:paraId="244C53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25-A-2054-ASTMH</w:t>
      </w:r>
    </w:p>
    <w:p w14:paraId="1F1A04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443B68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Human-Bat Interactions in Bangladesh: A One Health Perspective on Perceived Benefits, Health Risks, and Cultural Beliefs in a Bat-Hunting Community</w:t>
      </w:r>
    </w:p>
    <w:p w14:paraId="3633AB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Bats are natural reservoirs of many emerging infectious diseases, including Nipah virus, Hendra virus, Ebola and Marburgvirus, and severe acute respiratory syndrome (SARS)-like coronaviruses, causing significant human morbidity and mortality. Bat hunting is a common practice in Bangladesh and may pose a risk of deadly bat-borne zoonotic diseases in humans and animals. This research aimed to explore human-bat interactions through bat-hunting and associated socioeconomic factors, cultural beliefs, and health risks in a bat-hunting community in Bangladesh. We conducted a qualitative ethnographic study in a bat-hunting community in Bangladesh from May 2017 to April 2018, including observations of bat-hunting events, in-depth interviews with 4 bat-hunters, and 20 individuals involved in bat meat processing and selling. Collected data was analyzed using a thematic analysis approach. The bat hunters were involved in hunting when there was no work to earn in winter, which is an alternative source of income and lower-cost animal protein compared to domestic animal meats that they could not afford for the higher price. They believed that bats don’t transmit infections but are used as beneficial animals for treating several illnesses like asthma, heart disease, and sexual vigor by using bat meat and body parts. One individual exhibited symptoms of Nipah-like encephalitis and died before testing, leading to beliefs in supernatural causes among the community people. We observed that bat processing was placed at their homestead where family members, including children, were exposed to bat blood and raw meat, and domestic animals like dogs and cats eat the offal of bats. The study findings highlight the statements of livelihood, cultural beliefs, and health risks associated with bat hunting and consumption. The study underscores the urgent need for a culture-sensitive intervention with educational outreach programs in one health approach aimed at augmenting awareness and economic outcomes of these hunters to reduce the health risks of zoonotic diseases.</w:t>
      </w:r>
    </w:p>
    <w:p w14:paraId="773AA7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25-A-2055-ASTMH</w:t>
      </w:r>
    </w:p>
    <w:p w14:paraId="203C990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Systemic Infections</w:t>
      </w:r>
    </w:p>
    <w:p w14:paraId="4FC6C8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Comparison of Molecular Assays for Burkholderia pseudomallei Detection in Clinical Isolates and Samples</w:t>
      </w:r>
    </w:p>
    <w:p w14:paraId="1804E5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Melioidosis, caused by the bacterium </w:t>
      </w:r>
      <w:r w:rsidRPr="00FE5D1C">
        <w:rPr>
          <w:rFonts w:ascii="Calibri" w:eastAsia="Times New Roman" w:hAnsi="Calibri" w:cs="Calibri"/>
          <w:i/>
          <w:iCs/>
          <w:color w:val="000000"/>
          <w:kern w:val="0"/>
          <w:sz w:val="22"/>
          <w:szCs w:val="22"/>
          <w14:ligatures w14:val="none"/>
        </w:rPr>
        <w:t>Burkholderia pseudomallei</w:t>
      </w:r>
      <w:r w:rsidRPr="00FE5D1C">
        <w:rPr>
          <w:rFonts w:ascii="Calibri" w:eastAsia="Times New Roman" w:hAnsi="Calibri" w:cs="Calibri"/>
          <w:color w:val="000000"/>
          <w:kern w:val="0"/>
          <w:sz w:val="22"/>
          <w:szCs w:val="22"/>
          <w14:ligatures w14:val="none"/>
        </w:rPr>
        <w:t>, is a significant contributor to infectious disease-associated morbidity and mortality in Southeast Asia. Rapid detection of </w:t>
      </w:r>
      <w:r w:rsidRPr="00FE5D1C">
        <w:rPr>
          <w:rFonts w:ascii="Calibri" w:eastAsia="Times New Roman" w:hAnsi="Calibri" w:cs="Calibri"/>
          <w:i/>
          <w:iCs/>
          <w:color w:val="000000"/>
          <w:kern w:val="0"/>
          <w:sz w:val="22"/>
          <w:szCs w:val="22"/>
          <w14:ligatures w14:val="none"/>
        </w:rPr>
        <w:t>B. pseudomallei</w:t>
      </w:r>
      <w:r w:rsidRPr="00FE5D1C">
        <w:rPr>
          <w:rFonts w:ascii="Calibri" w:eastAsia="Times New Roman" w:hAnsi="Calibri" w:cs="Calibri"/>
          <w:color w:val="000000"/>
          <w:kern w:val="0"/>
          <w:sz w:val="22"/>
          <w:szCs w:val="22"/>
          <w14:ligatures w14:val="none"/>
        </w:rPr>
        <w:t> is crucial for timely triage and treatment. This study evaluated the performance of in-house real-time polymerase chain reaction (PCR) assays and commercially available tests (PCR and immunochromatography tests [ICT]) to detect </w:t>
      </w:r>
      <w:r w:rsidRPr="00FE5D1C">
        <w:rPr>
          <w:rFonts w:ascii="Calibri" w:eastAsia="Times New Roman" w:hAnsi="Calibri" w:cs="Calibri"/>
          <w:i/>
          <w:iCs/>
          <w:color w:val="000000"/>
          <w:kern w:val="0"/>
          <w:sz w:val="22"/>
          <w:szCs w:val="22"/>
          <w14:ligatures w14:val="none"/>
        </w:rPr>
        <w:t>B. pseudomallei</w:t>
      </w:r>
      <w:r w:rsidRPr="00FE5D1C">
        <w:rPr>
          <w:rFonts w:ascii="Calibri" w:eastAsia="Times New Roman" w:hAnsi="Calibri" w:cs="Calibri"/>
          <w:color w:val="000000"/>
          <w:kern w:val="0"/>
          <w:sz w:val="22"/>
          <w:szCs w:val="22"/>
          <w14:ligatures w14:val="none"/>
        </w:rPr>
        <w:t> in clinical isolates and samples from Cambodians with culture-confirmed melioidosis. In-house assay conditions were optimized and limits of detection (LOD) established in spiked samples. Participants aged 2 months to 65 years (N=371) with growth of </w:t>
      </w:r>
      <w:r w:rsidRPr="00FE5D1C">
        <w:rPr>
          <w:rFonts w:ascii="Calibri" w:eastAsia="Times New Roman" w:hAnsi="Calibri" w:cs="Calibri"/>
          <w:i/>
          <w:iCs/>
          <w:color w:val="000000"/>
          <w:kern w:val="0"/>
          <w:sz w:val="22"/>
          <w:szCs w:val="22"/>
          <w14:ligatures w14:val="none"/>
        </w:rPr>
        <w:t>B. pseudomallei </w:t>
      </w:r>
      <w:r w:rsidRPr="00FE5D1C">
        <w:rPr>
          <w:rFonts w:ascii="Calibri" w:eastAsia="Times New Roman" w:hAnsi="Calibri" w:cs="Calibri"/>
          <w:color w:val="000000"/>
          <w:kern w:val="0"/>
          <w:sz w:val="22"/>
          <w:szCs w:val="22"/>
          <w14:ligatures w14:val="none"/>
        </w:rPr>
        <w:t>from clinical cultures were enrolled across six hospitals from 2023-2024 (NCT04034264). PCR and ICT were performed on participant serum/plasma. In-house primer sets A and B performed best in spiked serum and plasma samples extracted using the QIAamp DNA Mini Kit (Qiagen) with LOD 6.29 genomic equivalents (GE)/reaction for set A in both sera and plasma, and 6.29 and 6.29 x 10</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GE/reaction for set B in sera and plasma, respectively. Both sets of primers exhibited 100% sensitivity and 96% specificity for detection of </w:t>
      </w:r>
      <w:r w:rsidRPr="00FE5D1C">
        <w:rPr>
          <w:rFonts w:ascii="Calibri" w:eastAsia="Times New Roman" w:hAnsi="Calibri" w:cs="Calibri"/>
          <w:i/>
          <w:iCs/>
          <w:color w:val="000000"/>
          <w:kern w:val="0"/>
          <w:sz w:val="22"/>
          <w:szCs w:val="22"/>
          <w14:ligatures w14:val="none"/>
        </w:rPr>
        <w:t>B. pseudomallei</w:t>
      </w:r>
      <w:r w:rsidRPr="00FE5D1C">
        <w:rPr>
          <w:rFonts w:ascii="Calibri" w:eastAsia="Times New Roman" w:hAnsi="Calibri" w:cs="Calibri"/>
          <w:color w:val="000000"/>
          <w:kern w:val="0"/>
          <w:sz w:val="22"/>
          <w:szCs w:val="22"/>
          <w14:ligatures w14:val="none"/>
        </w:rPr>
        <w:t> in clinical isolates. Sensitivity and specificity were reduced in clinical serum/plasma samples (set A: 50% sensitivity and 98% specificity; set B: 53% sensitivity and 95% specificity; commercial PCR: 56% sensitivity and 100% specificity). When used in combination with the ICT, PCR set A and B sensitivity in clinical samples improved to 92% and 90%, respectively. In-house primers demonstrated high sensitivity and specificity for detecting </w:t>
      </w:r>
      <w:r w:rsidRPr="00FE5D1C">
        <w:rPr>
          <w:rFonts w:ascii="Calibri" w:eastAsia="Times New Roman" w:hAnsi="Calibri" w:cs="Calibri"/>
          <w:i/>
          <w:iCs/>
          <w:color w:val="000000"/>
          <w:kern w:val="0"/>
          <w:sz w:val="22"/>
          <w:szCs w:val="22"/>
          <w14:ligatures w14:val="none"/>
        </w:rPr>
        <w:t>B. pseudomallei</w:t>
      </w:r>
      <w:r w:rsidRPr="00FE5D1C">
        <w:rPr>
          <w:rFonts w:ascii="Calibri" w:eastAsia="Times New Roman" w:hAnsi="Calibri" w:cs="Calibri"/>
          <w:color w:val="000000"/>
          <w:kern w:val="0"/>
          <w:sz w:val="22"/>
          <w:szCs w:val="22"/>
          <w14:ligatures w14:val="none"/>
        </w:rPr>
        <w:t> in cultured isolates. Both in-house and commercial PCR tests were highly specific but poorly sensitive for detection of </w:t>
      </w:r>
      <w:r w:rsidRPr="00FE5D1C">
        <w:rPr>
          <w:rFonts w:ascii="Calibri" w:eastAsia="Times New Roman" w:hAnsi="Calibri" w:cs="Calibri"/>
          <w:i/>
          <w:iCs/>
          <w:color w:val="000000"/>
          <w:kern w:val="0"/>
          <w:sz w:val="22"/>
          <w:szCs w:val="22"/>
          <w14:ligatures w14:val="none"/>
        </w:rPr>
        <w:t>B. pseudomallei </w:t>
      </w:r>
      <w:r w:rsidRPr="00FE5D1C">
        <w:rPr>
          <w:rFonts w:ascii="Calibri" w:eastAsia="Times New Roman" w:hAnsi="Calibri" w:cs="Calibri"/>
          <w:color w:val="000000"/>
          <w:kern w:val="0"/>
          <w:sz w:val="22"/>
          <w:szCs w:val="22"/>
          <w14:ligatures w14:val="none"/>
        </w:rPr>
        <w:t>in participant sera/plasma. PCR performance was improved when combined with the use of a commercially available antibody-based ICT.</w:t>
      </w:r>
    </w:p>
    <w:p w14:paraId="0ED603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25-A-2057-ASTMH</w:t>
      </w:r>
    </w:p>
    <w:p w14:paraId="436110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Other Bacterial Infections</w:t>
      </w:r>
    </w:p>
    <w:p w14:paraId="7DBB7A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"Beneath the Tropical Calm: Mapping the Clinical Spectrum and Disease Burden of Leptospirosis in Northern Andaman"</w:t>
      </w:r>
    </w:p>
    <w:p w14:paraId="1C590A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Leptospirosis is a re-emerging zoonotic disease endemic to the Andaman and Nicobar Islands, India, posing significant public health challenges in remote, resource-limited areas. A prospective longitudinal study was conducted at the sub-district hospital, Diglipur (Aug 2021-Jan 2022), to evaluate clinical and epidemiological features of leptospirosis with emphasis on early pulmonary complication detection. Among 201 patients with acute febrile illness, 62 (30.8%) were diagnosed with leptospirosis using Modified Faine’s criteria (score &gt;25), supported by weekly PCR/serological testing at RMRC, Port Blair. Most patients were males (61.2%), aged 31-40 years, reflecting occupational exposure. Fever (100%), headache (83.8%), myalgia (64.5%), conjunctival suffusion (54.8%), and vomiting (52.6%) were common. Hepatic and renal involvement occurred in 20.9% of cases. Pulmonary involvement (14.5%) as ARDS or hemoptysis accounted for the highest mortality (22%). Overall, mortality was 4.8% (3/62), including one fatal case of leptospiral encephalopathy. Early empirical treatment with doxycycline or IV antibiotics, along with supportive care, led to favorable outcomes; none required dialysis. Notably, a household cluster of three cases indicated possible local environmental transmission. This study reinforces the role of clinical vigilance, empirical therapy, and early intervention, especially during monsoon peaks. Improved diagnostic infrastructure, public awareness, and targeted surveillance are critical to reduce morbidity and mortality in isolated endemic regions.</w:t>
      </w:r>
    </w:p>
    <w:p w14:paraId="1EE744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25-A-2058-ASTMH</w:t>
      </w:r>
    </w:p>
    <w:p w14:paraId="292D3D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47A94BA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Effectiveness of Oral Cholera Vaccination During the 2022-2023 Cholera Outbreak in Malawi: An Analytical Epidemiological Study</w:t>
      </w:r>
    </w:p>
    <w:p w14:paraId="44C704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Vibrio cholerae (Vc) remains a significant public health concern in low-middle income countries like Malawi. From January 2022 to May 2023, Malawi experienced its largest cholera outbreak, with &gt;58,000 cases and &gt;1,700 deaths, a case fatality rate (CFR) of 3.1%. Oral cholera vaccine (OCV) was deployed as part of cholera control. Estimating vaccine effectiveness (VE) in the past has predominantly used case control methods. We estimate the impact of cholera vaccine on the epidemic using routinely collected data during Blantyre district's reactive vaccination campaign, a highly populated district in southern Malawi. A confirmed cholera case was defined as Vc detection by stool RDT plus ≥3 episodes of watery diarrhoea in 24 hours (± dehydration/vomiting). Probable cases met clinical criteria and had contact with a confirmed case. A total of 8,013 cases were recorded in Blantyre: 6,831 (85.8%) probable, 1,107 (13.9%) confirmed, and 21 (0.3%) test-negative. There were 201 deaths with a CFR of 2.6%. Males comprised 60.1% (4,812) of cases, with 80% (6,425) occurring in urban areas. The age distribution was 44.6% (20-39 years), 28.3% (5-19 years), 11% (0-4 years), and 16.1% (40+ years). Using a Bayesian framework in R's EpiEstim package, we calculated time-varying reproductive numbers (Rt) from Blantyre's outbreak data, parameterized with Malawi-specific serial intervals (mean = 5 days, SD = 8 days). We plotted the relationship between Rt, daily incidence and cumulative vaccine coverage. Using linear modelling, we quantified both the Rt before vaccination (y-intercept) and the rate at which Rt decreased with increasing vaccine coverage (slope). This approach allowed us to measure how population-level protection developed as vaccination campaigns progressed. With these values, we calculated the hazard ratio (HR) using the formula HR=1+(slope/intercept) and a preliminary VE of 52% was calculated using VE=1-HR. Our novel method offers a practical and efficient method of estimating VE during epidemics. We are currently investigating methods to provide uncertainty estimates for this approach</w:t>
      </w:r>
    </w:p>
    <w:p w14:paraId="220A58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25-A-2059-ASTMH</w:t>
      </w:r>
    </w:p>
    <w:p w14:paraId="01E2CA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7486BB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Combination of LC-MS/MS-Driven Molecular Networking and Machine Learning Accelerates the Identification of Stage-Specific Antimalarial Leads from </w:t>
      </w:r>
      <w:r w:rsidRPr="00FE5D1C">
        <w:rPr>
          <w:rFonts w:ascii="Calibri" w:eastAsia="Times New Roman" w:hAnsi="Calibri" w:cs="Calibri"/>
          <w:b/>
          <w:bCs/>
          <w:i/>
          <w:iCs/>
          <w:color w:val="000000"/>
          <w:kern w:val="0"/>
          <w:sz w:val="22"/>
          <w:szCs w:val="22"/>
          <w14:ligatures w14:val="none"/>
        </w:rPr>
        <w:t>Diospyros gilletii</w:t>
      </w:r>
      <w:r w:rsidRPr="00FE5D1C">
        <w:rPr>
          <w:rFonts w:ascii="Calibri" w:eastAsia="Times New Roman" w:hAnsi="Calibri" w:cs="Calibri"/>
          <w:b/>
          <w:bCs/>
          <w:color w:val="000000"/>
          <w:kern w:val="0"/>
          <w:sz w:val="22"/>
          <w:szCs w:val="22"/>
          <w14:ligatures w14:val="none"/>
        </w:rPr>
        <w:t> De Wild</w:t>
      </w:r>
    </w:p>
    <w:p w14:paraId="6FDB7B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Pharmaceuticals derived from natural products (NPs) have historically been important in treating diseases like cancer and malaria. However, since the 1990s, challenges in screening and optimizing NPs </w:t>
      </w:r>
      <w:r w:rsidRPr="00FE5D1C">
        <w:rPr>
          <w:rFonts w:ascii="Calibri" w:eastAsia="Times New Roman" w:hAnsi="Calibri" w:cs="Calibri"/>
          <w:color w:val="000000"/>
          <w:kern w:val="0"/>
          <w:sz w:val="22"/>
          <w:szCs w:val="22"/>
          <w14:ligatures w14:val="none"/>
        </w:rPr>
        <w:lastRenderedPageBreak/>
        <w:t>have led to decreased discovery efforts. Recently, renewed interest in NP drug discovery has emerged due to technological advancements facilitating their exploration. Here, we have adopted a holistic approach combining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biology, mass spectrometry, and machine learning (ML) tools to successfully tackle the challenges associated with the identification and prioritization of innovative NPs for malaria treatment. Ethanol, methanol, and hydroethanol extracts were obtained by maceration and screened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on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strains (Dd2 and 3D7) and normal Vero and Raw cell lines. Metabolomic and bioassay-guided molecular networking were employed to assess the correlation score for each metabolite identified from the LC-MS/MS profile of the extracts. Selected chemotypes were subjected to ML-assisted tools to virtually predict stage-specific antimalarial efficacy and pharmacokinetic properties. The hydroethanolic extracts demonstrated the highest potency against parasites in the screened extracts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&lt; 10 µg/ml,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Dd2 /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3D7) and showed a favorable selectivity profile (SI &gt; 6) compared to mammalian cells. Metabolomic analysis identified 387 metabolites, with 57 showing strong correlations associated with the anti-plasmodial action. Notably, 22 metabolites were predicted to inhibit both asexual blood stages and sexual stages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including the flavonoid metabolite, santin and the benzophenone metabolite, isoxanthochymol. The ML-based prediction of dual activity was supported by direct experimental evidence of inhibition of the growth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parasite stages, making these compounds promising starting points for developing novel NP-based drugs for treating malaria. The present strategy has led to a shortened NP drug discovery process and generated a promising chemotype with dual-stage anti-plasmodial action, a key global strategy prerequisite for effectively treating malaria.</w:t>
      </w:r>
    </w:p>
    <w:p w14:paraId="522C13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25-A-2060-ASTMH</w:t>
      </w:r>
    </w:p>
    <w:p w14:paraId="7FF98D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3A736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Modeling the impact of intermittent preventive treatment on malaria in pregnant women in Ghana</w:t>
      </w:r>
    </w:p>
    <w:p w14:paraId="60E48E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in pregnancy poses substantial risks to both mothers and unborn children, including maternal mortality, stillbirth, and low birth weight. Intermittent Preventive Treatment in Pregnancy (IPTp) has been pivotal in mitigating these risks since the early 2000s. However, the emergence of drug-resistant malaria parasites introduces uncertainty about IPTp's effectiveness, and the interplay between malaria infection, acquired immunity, pregnancy, and drug resistance is complex. Understanding the potential impact of drug resistance on malaria in pregnancy is imperative for informed healthcare planning. This study uses the EMOD agent-based transmission model, calibrated to capture the characteristics of three eco-epidemiological zones in Ghana, to simulate malaria transmission during pregnancy and evaluate the potential impact of IPTp in the context of drug resistance and other community interventions. Each model was parameterized using Demographic Health Survey and Malaria Indicator Survey data for coverage of insecticide-treated bednets, IPTp, and case management. The test positivity rate during pregnancy, derived from a systematic review of IPTp studies from Ghana, was utilized to calibrate transmission intensity in the three models. By considering various scenarios of IPTp coverage and drug resistance, our study provides valuable information for healthcare planners to make informed decisions on preventive measures and treatment strategies. This study provides valuable insights for reducing malaria transmission and improving maternal and child health outcomes, emphasizing the need for continuous monitoring and evaluation of interventions.</w:t>
      </w:r>
    </w:p>
    <w:p w14:paraId="3B49DE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25-A-2061-ASTMH</w:t>
      </w:r>
    </w:p>
    <w:p w14:paraId="1BD949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79DE1D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Identification Of An Oligomerization Domain Of KAHRP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And Its Structural And Functional Analysis</w:t>
      </w:r>
    </w:p>
    <w:p w14:paraId="59184A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knob-associated histidine-rich protein (KAHRP) is a crucial component in the pathophysiology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xml:space="preserve"> malaria, facilitating the formation of membrane protrusions, known as knobs, on infected erythrocytes. These knobs anchor parasite-encoded adhesins to the erythrocyte membrane skeleton, leading to the sequestration of infected cells within the microvasculature and contributing to </w:t>
      </w:r>
      <w:r w:rsidRPr="00FE5D1C">
        <w:rPr>
          <w:rFonts w:ascii="Calibri" w:eastAsia="Times New Roman" w:hAnsi="Calibri" w:cs="Calibri"/>
          <w:color w:val="000000"/>
          <w:kern w:val="0"/>
          <w:sz w:val="22"/>
          <w:szCs w:val="22"/>
          <w14:ligatures w14:val="none"/>
        </w:rPr>
        <w:lastRenderedPageBreak/>
        <w:t>severe disease manifestations. Recent evidence has provided insights into the structural organization of KAHRP within these knobs, largely comprised of a spiral structure. Different studies suggest a dynamic model of KAHRP organization, proposing its role in attaching other factors to the spiral scaffold, thereby stabilizing the knob structure and facilitating cytoadherence. In our study, we identified an oligomerization domain in KAHRP. AlphaFold3 predicted secondary structures which establish intra- and inter-molecular interactions, allowing KAHRP to produce multimers. When the oligomerization domain is recombinantly expressed, transmission electron microscopy and atomic force microscopy reveal the assembly of ring-like structures, which are absent when full-length KAHRP is studied. Given their flexibility and dynamics, there is ongoing research to elucidate the exact composition and structure of these KAHRP oligomers. Our work will significantly advance our understanding of the molecular mechanisms underlying knob formation and the pathogenesis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malaria.</w:t>
      </w:r>
    </w:p>
    <w:p w14:paraId="13F1DD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25-A-2062-ASTMH</w:t>
      </w:r>
    </w:p>
    <w:p w14:paraId="40CFC5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7DDF38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Variation in parasite density among patients seen for malaria symptoms in Bougoula-Hameau Sikasso (Mali) in 2024</w:t>
      </w:r>
    </w:p>
    <w:p w14:paraId="7776C3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 :</w:t>
      </w:r>
      <w:r w:rsidRPr="00FE5D1C">
        <w:rPr>
          <w:rFonts w:ascii="Calibri" w:eastAsia="Times New Roman" w:hAnsi="Calibri" w:cs="Calibri"/>
          <w:color w:val="000000"/>
          <w:kern w:val="0"/>
          <w:sz w:val="22"/>
          <w:szCs w:val="22"/>
          <w14:ligatures w14:val="none"/>
        </w:rPr>
        <w:t> Malaria is a major cause of morbidity, mortality and poverty, especially in sub-Saharan Africa, and particularly in the health district of Sikasso (Mali). Rural populations livingin poverty are disadvantaged in terms of access to education and health. These populations,along with other at-risk groups, continue to be excluded from necessary malaria prevention,detection and treatment services. The aim of this study was to determine the variation in parasitedensity in patients seen for malaria symptoms in and around Bougoula-Hameau.</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 This was a descriptive epidemiological study of adults and children aged ≥ 2 monthsresiding in Bougoula-Hameau and surrounding areas seen for malaria symptoms. Data werecollected from August 17 to December 25, 2024. Rapid diagnostic test and thick drop wereperformed to determine parasitic carriage.</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 The study included data from 291 patients aged between 1 and 70 years. Male genderwas predominant with 55.7% and participants aged 6 - 9 years were the most represented with33.7%. Parasitemia of 5000 to 49999 trophozoites/μl was most frequently observed at 54.6%.The highest parasitaemia was observed in males with 17.3%. Participants aged 10 to 14 and 6to 9 years were the most affected by parasitemia.</w:t>
      </w:r>
      <w:r w:rsidRPr="00FE5D1C">
        <w:rPr>
          <w:rFonts w:ascii="Calibri" w:eastAsia="Times New Roman" w:hAnsi="Calibri" w:cs="Calibri"/>
          <w:b/>
          <w:bCs/>
          <w:color w:val="000000"/>
          <w:kern w:val="0"/>
          <w:sz w:val="22"/>
          <w:szCs w:val="22"/>
          <w14:ligatures w14:val="none"/>
        </w:rPr>
        <w:t>Conclusions :</w:t>
      </w:r>
      <w:r w:rsidRPr="00FE5D1C">
        <w:rPr>
          <w:rFonts w:ascii="Calibri" w:eastAsia="Times New Roman" w:hAnsi="Calibri" w:cs="Calibri"/>
          <w:color w:val="000000"/>
          <w:kern w:val="0"/>
          <w:sz w:val="22"/>
          <w:szCs w:val="22"/>
          <w14:ligatures w14:val="none"/>
        </w:rPr>
        <w:t> At the end of this study, we can say that all age groups can be affected by malariawith a high parasitaemia, and rural populations present the highest parasite density.</w:t>
      </w:r>
    </w:p>
    <w:p w14:paraId="222AC8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25-A-2063-ASTMH</w:t>
      </w:r>
    </w:p>
    <w:p w14:paraId="5E4F3C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20D28F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Decoding mosquito feeding for vector control</w:t>
      </w:r>
    </w:p>
    <w:p w14:paraId="48D982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Conventional vector control strategies are increasingly being challenged, underscoring the urgent need for innovative approaches to disrupt malaria transmission. Mosquito feeding is a combination of precisely regulated processes, guided by a hierarchy of stimuli influencing meal acceptance, ingestion, and digestion. The malaria parasite modulates feeding by stimulating mosquito probing and increasing blood meal size. In this study, we mechanistically dissect the roles of meal temperature, feeding mode, and meal composition in shaping Anopheles coluzzii’s feeding behaviour by quantifying different digestion metrics. We then explore the role of the Plasmodium-derived intermediate metabolite, (E)-4-Hydroxy-3-methyl-but-2-enyl pyrophosphate (HMBPP), in feeding behaviour by measuring meal size and distribution in the gut. Lastly, we investigate the neuromodulatory pathways associated with phagostimulants such as adenosine triphosphate (ATP) and HMBPP, and how they influence the transcriptome of the mosquito gut. Our findings reveal that temperature acts as a primary trigger for meal acceptance and phagostimulation, regulating both blood and nectar feeding. We demonstrate that feeding mode dictates nectar acquisition efficiency, influencing how mosquitoes process and sort different meal types. Furthermore, we unravel the complex process of diet destination, governed by phagostimulants and sensory cues. We also find that parasite-derived HMBPP and host-derived ATP </w:t>
      </w:r>
      <w:r w:rsidRPr="00FE5D1C">
        <w:rPr>
          <w:rFonts w:ascii="Calibri" w:eastAsia="Times New Roman" w:hAnsi="Calibri" w:cs="Calibri"/>
          <w:color w:val="000000"/>
          <w:kern w:val="0"/>
          <w:sz w:val="22"/>
          <w:szCs w:val="22"/>
          <w14:ligatures w14:val="none"/>
        </w:rPr>
        <w:lastRenderedPageBreak/>
        <w:t>modulate the expression of behavioural and physiological genes in mosquitoes. By manipulating these feeding mechanisms, we propose an innovative approach: phagostimulant-enhanced feeding-killing traps, designed to exploit mosquito feeding and disrupt malaria transmission at its core. These mechanistic insights not only advance our understanding of mosquito feeding biology but also lay the foundation for precision-targeted, behaviour-driven mosquito control strategies. This research represents a potential paradigm shift in vector control, moving beyond conventional approaches toward exploiting mosquito’s own feeding circuitry.</w:t>
      </w:r>
    </w:p>
    <w:p w14:paraId="5B6927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25-A-2064-ASTMH</w:t>
      </w:r>
    </w:p>
    <w:p w14:paraId="6C1B78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74F0DE55" w14:textId="0A6F32CA"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Civil society engagement with community health workers as a driver of change to increase antenatal care attendance and uptake of intermittent preventative treatment of malaria in pregnancy in hard to reach communities</w:t>
      </w:r>
    </w:p>
    <w:p w14:paraId="578E55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Civil society serves as the voice of the people across all levels of the healthcare system to increase demand and resources for essential health interventions. Few studies have however been conducted to understand how advocacy efforts and channels used by local and grassroot civil society organisations to community health workers and volunteers can serve as a powerful force for promoting increased uptake of malaria preventive interventions especially during the latter stages of pregnancy and for pregnant adolescents who are often stigmatized. Using the Speed Up Scale Up campaign of the RBM Partnership to end malaria in the hard to reach district of Buuyao in Liberia as a case study, we present results on how advocacy efforts from civil society advocacy can serve as a bridge to increase access to malaria preventative services for late stage pregnancy and for pregnant adolescents. </w:t>
      </w:r>
      <w:r w:rsidRPr="00FE5D1C">
        <w:rPr>
          <w:rFonts w:ascii="Calibri" w:eastAsia="Times New Roman" w:hAnsi="Calibri" w:cs="Calibri"/>
          <w:b/>
          <w:bCs/>
          <w:color w:val="000000"/>
          <w:kern w:val="0"/>
          <w:sz w:val="22"/>
          <w:szCs w:val="22"/>
          <w14:ligatures w14:val="none"/>
        </w:rPr>
        <w:t>Methodology:</w:t>
      </w:r>
      <w:r w:rsidRPr="00FE5D1C">
        <w:rPr>
          <w:rFonts w:ascii="Calibri" w:eastAsia="Times New Roman" w:hAnsi="Calibri" w:cs="Calibri"/>
          <w:color w:val="000000"/>
          <w:kern w:val="0"/>
          <w:sz w:val="22"/>
          <w:szCs w:val="22"/>
          <w14:ligatures w14:val="none"/>
        </w:rPr>
        <w:t> By means of qualitative interviews held with pregnant women and national district officers, the study attempts to understand the most effective advocacy approaches for increasing attendance and acceptance of antenatal care services especially in the later stages of pregnancy. It also explores advocacy gaps civil society can fill to increase uptake of malaria preventive interventions and other maternal health interventions as well as facilitators and barriers to influencing ANC and IPTp uptake among pregnant adolescent girls and women especially in hard to reach areas. </w:t>
      </w:r>
      <w:r w:rsidRPr="00FE5D1C">
        <w:rPr>
          <w:rFonts w:ascii="Calibri" w:eastAsia="Times New Roman" w:hAnsi="Calibri" w:cs="Calibri"/>
          <w:b/>
          <w:bCs/>
          <w:color w:val="000000"/>
          <w:kern w:val="0"/>
          <w:sz w:val="22"/>
          <w:szCs w:val="22"/>
          <w14:ligatures w14:val="none"/>
        </w:rPr>
        <w:t>Outcomes:</w:t>
      </w:r>
      <w:r w:rsidRPr="00FE5D1C">
        <w:rPr>
          <w:rFonts w:ascii="Calibri" w:eastAsia="Times New Roman" w:hAnsi="Calibri" w:cs="Calibri"/>
          <w:color w:val="000000"/>
          <w:kern w:val="0"/>
          <w:sz w:val="22"/>
          <w:szCs w:val="22"/>
          <w14:ligatures w14:val="none"/>
        </w:rPr>
        <w:t> Co-ownership of advocacy efforts by civil society and the community removes barriers to the uptake of malaria preventive interventions especially in hard-to-reach areas. Effectively communication between civil society actors, district level national health staff and field healthcare workers in remote areas can improve and sustain the results of pilot projects for preventing malaria in pregnancy.</w:t>
      </w:r>
    </w:p>
    <w:p w14:paraId="0A6B06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25-A-2065-ASTMH</w:t>
      </w:r>
    </w:p>
    <w:p w14:paraId="46D89D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7F1957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Sensitive, Specific and Practical: Multiplexed Amplicon Sequencing for Efficacy Determination in Antimalarial Clinical Trials</w:t>
      </w:r>
    </w:p>
    <w:p w14:paraId="0A422A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PCR correction is used in clinical trials to assess the efficacy of antimalarial drugs against Plasmodium falciparum. The method consists of comparing parasite genotypes from samples collected before and after treatment to distinguish recrudescence from new infection in case of parasite recurrence. In 2021, the World Health Organization (WHO) recommended exploring the use of next-generation sequencing-based amplicon sequencing (AmpSeq) assays due to their higher sensitivity and specificity compared with currently used capillary electrophoresis-based assays. However, AmpSeq usually requires substantial investment in time and cost. We implemented a multiplexed AmpSeq assay to simultaneously amplify 22 highly diverse microhaplotype loci in the P. falciparum genome. We assessed the specificity and sensitivity with laboratory strain mixtures mimicking polyclonal infections and validated the assay with 40 samples collected from a phase II clinical trial. The assay successfully detected minority clones in ratios up to 50:1:1:1 with less than 0.02% false haplotypes observed. Clinical samples with parasitemias as low as 40 parasites/µl achieved coverages of up to 10,000 reads across </w:t>
      </w:r>
      <w:r w:rsidRPr="00FE5D1C">
        <w:rPr>
          <w:rFonts w:ascii="Calibri" w:eastAsia="Times New Roman" w:hAnsi="Calibri" w:cs="Calibri"/>
          <w:color w:val="000000"/>
          <w:kern w:val="0"/>
          <w:sz w:val="22"/>
          <w:szCs w:val="22"/>
          <w14:ligatures w14:val="none"/>
        </w:rPr>
        <w:lastRenderedPageBreak/>
        <w:t>several markers and up to 24 different genotypes were detected in all samples. This assay will be further validated with samples collected from two phase II clinical trials with over 700 patients, providing a robust sample size to assess its applicability in PCR correction. The results are comparable to singleplex AmpSeq protocols from different sequencing platforms. A major advantage of our multiplexed assay is that it requires less DNA input, hands-on laboratory time and reagents, providing a cost- and time-effective alternative while maintaining the sensitivity and specificity of AmpSeq. The assay could be implemented in malaria- endemic countries to provide robust estimates of antimalarial drug efficacy, ultimately contributing to the fight against malaria.</w:t>
      </w:r>
    </w:p>
    <w:p w14:paraId="2757DC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25-A-2066-ASTMH</w:t>
      </w:r>
    </w:p>
    <w:p w14:paraId="70A0EB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68823F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Experimental evidence for protein condensates in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 a novel molecule reveals conserved phase-separation mechanisms</w:t>
      </w:r>
    </w:p>
    <w:p w14:paraId="67C84E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formation of biomolecular condensates via liquid-liquid phase separation (LLPS) is increasingly recognized as a fundamental mechanism regulating cellular processes. While LLPS has been extensively studied in eukaryotes and yeast models forming prion-like condensates, little is known about the presence of such condensates in the malaria parasite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Here, we report experimental evidence suggesting that condensate-like structures may form in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We identified a novel molecule, which binds to condensates across multiple systems, including a yeast prion-like condensate model and a eukaryotic model known to induce phase separation. Moreover,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cells treated with this compound displayed puncta formations visible through confocal microscopy, which rapidly dissolved upon treatment with 1,6-hexanediol, a known disruptor of phase-separated condensates. The novel molecule also displayed significant antiplasmodial activity in the two-digit nanomolar range in </w:t>
      </w:r>
      <w:r w:rsidRPr="00FE5D1C">
        <w:rPr>
          <w:rFonts w:ascii="Calibri" w:eastAsia="Times New Roman" w:hAnsi="Calibri" w:cs="Calibri"/>
          <w:i/>
          <w:iCs/>
          <w:color w:val="000000"/>
          <w:kern w:val="0"/>
          <w:sz w:val="22"/>
          <w:szCs w:val="22"/>
          <w14:ligatures w14:val="none"/>
        </w:rPr>
        <w:t>in vitro </w:t>
      </w:r>
      <w:r w:rsidRPr="00FE5D1C">
        <w:rPr>
          <w:rFonts w:ascii="Calibri" w:eastAsia="Times New Roman" w:hAnsi="Calibri" w:cs="Calibri"/>
          <w:color w:val="000000"/>
          <w:kern w:val="0"/>
          <w:sz w:val="22"/>
          <w:szCs w:val="22"/>
          <w14:ligatures w14:val="none"/>
        </w:rPr>
        <w:t>cultures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These findings suggest the existence of condensate-like structures in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and hint at conserved mechanisms of phase separation that may be exploitable for therapeutic targeting. Further studies will focus on characterizing the molecular components of these condensates and understanding their functional implications in the parasite’s biology.</w:t>
      </w:r>
    </w:p>
    <w:p w14:paraId="0A84FC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25-A-2067-ASTMH</w:t>
      </w:r>
    </w:p>
    <w:p w14:paraId="2AC91AB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00119B3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Longitudinal Study on Infections of African Green Monkey (</w:t>
      </w:r>
      <w:r w:rsidRPr="00FE5D1C">
        <w:rPr>
          <w:rFonts w:ascii="Calibri" w:eastAsia="Times New Roman" w:hAnsi="Calibri" w:cs="Calibri"/>
          <w:i/>
          <w:iCs/>
          <w:color w:val="000000"/>
          <w:kern w:val="0"/>
          <w:sz w:val="22"/>
          <w:szCs w:val="22"/>
          <w14:ligatures w14:val="none"/>
        </w:rPr>
        <w:t>Chlorocebus sabaeus</w:t>
      </w:r>
      <w:r w:rsidRPr="00FE5D1C">
        <w:rPr>
          <w:rFonts w:ascii="Calibri" w:eastAsia="Times New Roman" w:hAnsi="Calibri" w:cs="Calibri"/>
          <w:color w:val="000000"/>
          <w:kern w:val="0"/>
          <w:sz w:val="22"/>
          <w:szCs w:val="22"/>
          <w14:ligatures w14:val="none"/>
        </w:rPr>
        <w:t>) by Soil-transmitted Helminths</w:t>
      </w:r>
    </w:p>
    <w:p w14:paraId="3E7C7F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African green monkey (AGM, </w:t>
      </w:r>
      <w:r w:rsidRPr="00FE5D1C">
        <w:rPr>
          <w:rFonts w:ascii="Calibri" w:eastAsia="Times New Roman" w:hAnsi="Calibri" w:cs="Calibri"/>
          <w:i/>
          <w:iCs/>
          <w:color w:val="000000"/>
          <w:kern w:val="0"/>
          <w:sz w:val="22"/>
          <w:szCs w:val="22"/>
          <w14:ligatures w14:val="none"/>
        </w:rPr>
        <w:t>Chlorocebus sabaeus</w:t>
      </w:r>
      <w:r w:rsidRPr="00FE5D1C">
        <w:rPr>
          <w:rFonts w:ascii="Calibri" w:eastAsia="Times New Roman" w:hAnsi="Calibri" w:cs="Calibri"/>
          <w:color w:val="000000"/>
          <w:kern w:val="0"/>
          <w:sz w:val="22"/>
          <w:szCs w:val="22"/>
          <w14:ligatures w14:val="none"/>
        </w:rPr>
        <w:t>) is an invasive species on the island of St. Kitts that was introduced in the 17</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century. It is estimated that the population of AGM is equivalent to half of the human population, yet they play a pivotal role in the residents’ life. They harbor and serve as a reservoir for zoonotic pathogens. In addition, they are used as an attraction for tourists, and they cause great economic loss by damaging fruits and other valuable crops. We have found in previous studies that AGMs are infected with </w:t>
      </w:r>
      <w:r w:rsidRPr="00FE5D1C">
        <w:rPr>
          <w:rFonts w:ascii="Calibri" w:eastAsia="Times New Roman" w:hAnsi="Calibri" w:cs="Calibri"/>
          <w:i/>
          <w:iCs/>
          <w:color w:val="000000"/>
          <w:kern w:val="0"/>
          <w:sz w:val="22"/>
          <w:szCs w:val="22"/>
          <w14:ligatures w14:val="none"/>
        </w:rPr>
        <w:t>Trichuris trichiura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Hymenolepis diminuta</w:t>
      </w:r>
      <w:r w:rsidRPr="00FE5D1C">
        <w:rPr>
          <w:rFonts w:ascii="Calibri" w:eastAsia="Times New Roman" w:hAnsi="Calibri" w:cs="Calibri"/>
          <w:color w:val="000000"/>
          <w:kern w:val="0"/>
          <w:sz w:val="22"/>
          <w:szCs w:val="22"/>
          <w14:ligatures w14:val="none"/>
        </w:rPr>
        <w:t>, which are zoonotic parasites. However, there is no longitudinal study on their infections by soil-transmitted helminths. Convenient fecal samples were collected from a troop of AGMs living close to a residential area and frequently playing in the backyard of a house between May 2020 and March 2022. Each of the 45 samples was examined by microscopy (two direct smears/sample) and molecular detection (PCR and DNA sequencing). Molecular detection was only applied to the 27 fecal DNAs that were PCR positive for the AGM’s housekeeping gene </w:t>
      </w:r>
      <w:r w:rsidRPr="00FE5D1C">
        <w:rPr>
          <w:rFonts w:ascii="Calibri" w:eastAsia="Times New Roman" w:hAnsi="Calibri" w:cs="Calibri"/>
          <w:i/>
          <w:iCs/>
          <w:color w:val="000000"/>
          <w:kern w:val="0"/>
          <w:sz w:val="22"/>
          <w:szCs w:val="22"/>
          <w14:ligatures w14:val="none"/>
        </w:rPr>
        <w:t>nadh1</w:t>
      </w:r>
      <w:r w:rsidRPr="00FE5D1C">
        <w:rPr>
          <w:rFonts w:ascii="Calibri" w:eastAsia="Times New Roman" w:hAnsi="Calibri" w:cs="Calibri"/>
          <w:color w:val="000000"/>
          <w:kern w:val="0"/>
          <w:sz w:val="22"/>
          <w:szCs w:val="22"/>
          <w14:ligatures w14:val="none"/>
        </w:rPr>
        <w:t xml:space="preserve"> to safeguard presence of no PCR inhibitors. The positive rates of each smear and the two smears combined together for whipworm were 60.0%, 60.0% and 77.7%, respectively. The positive rates for hookworm were 13.3%, 6.7% and 15.6%, respectively. Agreement between microscopy and molecular technique for whipworm was only 44.4% due to PCR detecting less than 50% microscopic positive samples. For hookworm it was 88.9%, mainly due to twofold DNAs were tested positive by PCR than microscopy. DNA sequencing has confirmed the hookworm species to </w:t>
      </w:r>
      <w:r w:rsidRPr="00FE5D1C">
        <w:rPr>
          <w:rFonts w:ascii="Calibri" w:eastAsia="Times New Roman" w:hAnsi="Calibri" w:cs="Calibri"/>
          <w:color w:val="000000"/>
          <w:kern w:val="0"/>
          <w:sz w:val="22"/>
          <w:szCs w:val="22"/>
          <w14:ligatures w14:val="none"/>
        </w:rPr>
        <w:lastRenderedPageBreak/>
        <w:t>be </w:t>
      </w:r>
      <w:r w:rsidRPr="00FE5D1C">
        <w:rPr>
          <w:rFonts w:ascii="Calibri" w:eastAsia="Times New Roman" w:hAnsi="Calibri" w:cs="Calibri"/>
          <w:i/>
          <w:iCs/>
          <w:color w:val="000000"/>
          <w:kern w:val="0"/>
          <w:sz w:val="22"/>
          <w:szCs w:val="22"/>
          <w14:ligatures w14:val="none"/>
        </w:rPr>
        <w:t>Ancylostoma duodenale</w:t>
      </w:r>
      <w:r w:rsidRPr="00FE5D1C">
        <w:rPr>
          <w:rFonts w:ascii="Calibri" w:eastAsia="Times New Roman" w:hAnsi="Calibri" w:cs="Calibri"/>
          <w:color w:val="000000"/>
          <w:kern w:val="0"/>
          <w:sz w:val="22"/>
          <w:szCs w:val="22"/>
          <w14:ligatures w14:val="none"/>
        </w:rPr>
        <w:t>, the human hookworm. This is the first study to identify AGMs being infected with </w:t>
      </w:r>
      <w:r w:rsidRPr="00FE5D1C">
        <w:rPr>
          <w:rFonts w:ascii="Calibri" w:eastAsia="Times New Roman" w:hAnsi="Calibri" w:cs="Calibri"/>
          <w:i/>
          <w:iCs/>
          <w:color w:val="000000"/>
          <w:kern w:val="0"/>
          <w:sz w:val="22"/>
          <w:szCs w:val="22"/>
          <w14:ligatures w14:val="none"/>
        </w:rPr>
        <w:t>A. duodenale</w:t>
      </w:r>
      <w:r w:rsidRPr="00FE5D1C">
        <w:rPr>
          <w:rFonts w:ascii="Calibri" w:eastAsia="Times New Roman" w:hAnsi="Calibri" w:cs="Calibri"/>
          <w:color w:val="000000"/>
          <w:kern w:val="0"/>
          <w:sz w:val="22"/>
          <w:szCs w:val="22"/>
          <w14:ligatures w14:val="none"/>
        </w:rPr>
        <w:t>. AGMs have to be included as an integral part of the control and elimination of soil-transmitted helminths on St. Kitts using One Health approach.</w:t>
      </w:r>
    </w:p>
    <w:p w14:paraId="4935ED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25-A-2070-ASTMH</w:t>
      </w:r>
    </w:p>
    <w:p w14:paraId="34DCDF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186FD9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User perceptions of the Continuing Medical Education Solutions Program (CMES): A qualitative study</w:t>
      </w:r>
    </w:p>
    <w:p w14:paraId="15E7A6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There is a universal expectation for healthcare workers to stay up-to-date with the rapidly advancing pace of medicine. Accessibility to high-quality continuing medical education (CME) for healthcare professionals in low- and middle-income countries can be challenging due to barriers such as cost and limited internet connectivity. To ameliorate this, the non-profit organization Techies Without Borders (TWB) has created the Continuing Medical Education Solutions (CMES) program. CMES consists of low-cost information and communication technology (ICT) solutions that provide CME access even in remote regions without the need for consistent internet or electricity. The CMES program has undergone substantial expansion across Africa over the past two years. To determine whether the program is meeting the CME needs of users, baseline qualitative interviews were conducted prior to CMES program installation at four sites across three countries (The Gambia, Nigeria, and Uganda) from 2023-2024. Interviews to assess post-installation usage are ongoing at three sites across two countries (The Gambia and Nigeria). Interviewees have highlighted that participation in a global digital community facilitates learning and keeps people up to date on current research and practices. Challenges highlighted throughout interviews have included unique individual motivators and levels of motivation for continuing education, as well as accessibility of educational materials such as ICT for all users at a given site. Ongoing interviews will elucidate strategies for facilitating bidirectional knowledge sharing and fostering a strong culture of continuous learning at CMES partner sites.</w:t>
      </w:r>
    </w:p>
    <w:p w14:paraId="72D8A1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25-A-2071-ASTMH</w:t>
      </w:r>
    </w:p>
    <w:p w14:paraId="7BB682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23C7E4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Serotype Diversity and Antibiotic Resistance of Non-typhoidal</w:t>
      </w:r>
      <w:r w:rsidRPr="00FE5D1C">
        <w:rPr>
          <w:rFonts w:ascii="Calibri" w:eastAsia="Times New Roman" w:hAnsi="Calibri" w:cs="Calibri"/>
          <w:i/>
          <w:iCs/>
          <w:color w:val="000000"/>
          <w:kern w:val="0"/>
          <w:sz w:val="22"/>
          <w:szCs w:val="22"/>
          <w14:ligatures w14:val="none"/>
        </w:rPr>
        <w:t> Salmonella</w:t>
      </w:r>
      <w:r w:rsidRPr="00FE5D1C">
        <w:rPr>
          <w:rFonts w:ascii="Calibri" w:eastAsia="Times New Roman" w:hAnsi="Calibri" w:cs="Calibri"/>
          <w:color w:val="000000"/>
          <w:kern w:val="0"/>
          <w:sz w:val="22"/>
          <w:szCs w:val="22"/>
          <w14:ligatures w14:val="none"/>
        </w:rPr>
        <w:t>Recovered from Food of Animal Origin and Environment in Accra, Ghana</w:t>
      </w:r>
    </w:p>
    <w:p w14:paraId="468E53D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Non-typhoidal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(NTS) is a significant cause of foodborne diarrheal disease. The burden of non-typhoidal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is aggravated by the emergence of multidrug-resistant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serotypes that are virulent and are responsible for treatment failures in infected patients. To optimize health interventions and develop comprehensive national and local guidelines for the effective control and treatment of NTS infections, it is crucial to elucidate the sources of infection, transmission pathways, antimicrobial resistance profiles, and prevalent serotypes. The study investigated the occurrence, serotypes, antimicrobial resistance, and virulence genes of NTS from animal-sourced foods and fecal samples in five districts in the Greater Accra Region of Ghana. A total of 696 samples (meat, eggs, milk, vegetables, feces) were analyzed. NTS was isolated using standard microbiological methods and identified by matrix-assisted desorption/ionization-time-of-flight (MALDI-TOF). Serotyping, antimicrobial susceptibility testing (Kirby-Bauer, MIC for colistin), and whole-genome sequencing (WGS) were performed. The overall NTS prevalence was 3.7%, with the highest prevalence in pork (73.1%) and raw milk (15.4%). Seven serotypes were identified, with </w:t>
      </w:r>
      <w:r w:rsidRPr="00FE5D1C">
        <w:rPr>
          <w:rFonts w:ascii="Calibri" w:eastAsia="Times New Roman" w:hAnsi="Calibri" w:cs="Calibri"/>
          <w:i/>
          <w:iCs/>
          <w:color w:val="000000"/>
          <w:kern w:val="0"/>
          <w:sz w:val="22"/>
          <w:szCs w:val="22"/>
          <w14:ligatures w14:val="none"/>
        </w:rPr>
        <w:t>S. Typhimurium</w:t>
      </w:r>
      <w:r w:rsidRPr="00FE5D1C">
        <w:rPr>
          <w:rFonts w:ascii="Calibri" w:eastAsia="Times New Roman" w:hAnsi="Calibri" w:cs="Calibri"/>
          <w:color w:val="000000"/>
          <w:kern w:val="0"/>
          <w:sz w:val="22"/>
          <w:szCs w:val="22"/>
          <w14:ligatures w14:val="none"/>
        </w:rPr>
        <w:t> being the most prevalent (59.1%). 57.6% of isolates showed resistance to multiple antimicrobials, with 66.6% resistant to ampicillin. Multidrug resistance (MDR) was observed in 11.3% of isolates, particularly in milk, including </w:t>
      </w:r>
      <w:r w:rsidRPr="00FE5D1C">
        <w:rPr>
          <w:rFonts w:ascii="Calibri" w:eastAsia="Times New Roman" w:hAnsi="Calibri" w:cs="Calibri"/>
          <w:i/>
          <w:iCs/>
          <w:color w:val="000000"/>
          <w:kern w:val="0"/>
          <w:sz w:val="22"/>
          <w:szCs w:val="22"/>
          <w14:ligatures w14:val="none"/>
        </w:rPr>
        <w:t>S. Kaapstad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S. Enteritidis</w:t>
      </w:r>
      <w:r w:rsidRPr="00FE5D1C">
        <w:rPr>
          <w:rFonts w:ascii="Calibri" w:eastAsia="Times New Roman" w:hAnsi="Calibri" w:cs="Calibri"/>
          <w:color w:val="000000"/>
          <w:kern w:val="0"/>
          <w:sz w:val="22"/>
          <w:szCs w:val="22"/>
          <w14:ligatures w14:val="none"/>
        </w:rPr>
        <w:t>. WGS of nine isolates revealed resistance genes to aminoglycosides, tetracycline, and fosfomycin, as well as virulence genes (</w:t>
      </w:r>
      <w:r w:rsidRPr="00FE5D1C">
        <w:rPr>
          <w:rFonts w:ascii="Calibri" w:eastAsia="Times New Roman" w:hAnsi="Calibri" w:cs="Calibri"/>
          <w:i/>
          <w:iCs/>
          <w:color w:val="000000"/>
          <w:kern w:val="0"/>
          <w:sz w:val="22"/>
          <w:szCs w:val="22"/>
          <w14:ligatures w14:val="none"/>
        </w:rPr>
        <w:t>cdtB, sseG, sip</w:t>
      </w:r>
      <w:r w:rsidRPr="00FE5D1C">
        <w:rPr>
          <w:rFonts w:ascii="Calibri" w:eastAsia="Times New Roman" w:hAnsi="Calibri" w:cs="Calibri"/>
          <w:color w:val="000000"/>
          <w:kern w:val="0"/>
          <w:sz w:val="22"/>
          <w:szCs w:val="22"/>
          <w14:ligatures w14:val="none"/>
        </w:rPr>
        <w:t>). Univariate logistic regression showed a significantly higher likelihood of antibiotic use in urban farms (OR=6.59, P=0.001). The high prevalence of NTS, especially in pork and milk, coupled with MDR in </w:t>
      </w:r>
      <w:r w:rsidRPr="00FE5D1C">
        <w:rPr>
          <w:rFonts w:ascii="Calibri" w:eastAsia="Times New Roman" w:hAnsi="Calibri" w:cs="Calibri"/>
          <w:i/>
          <w:iCs/>
          <w:color w:val="000000"/>
          <w:kern w:val="0"/>
          <w:sz w:val="22"/>
          <w:szCs w:val="22"/>
          <w14:ligatures w14:val="none"/>
        </w:rPr>
        <w:t>S. Typhimurium</w:t>
      </w:r>
      <w:r w:rsidRPr="00FE5D1C">
        <w:rPr>
          <w:rFonts w:ascii="Calibri" w:eastAsia="Times New Roman" w:hAnsi="Calibri" w:cs="Calibri"/>
          <w:color w:val="000000"/>
          <w:kern w:val="0"/>
          <w:sz w:val="22"/>
          <w:szCs w:val="22"/>
          <w14:ligatures w14:val="none"/>
        </w:rPr>
        <w:t xml:space="preserve">, highlights a significant public health risk. Improved surveillance, control programs for animal production, </w:t>
      </w:r>
      <w:r w:rsidRPr="00FE5D1C">
        <w:rPr>
          <w:rFonts w:ascii="Calibri" w:eastAsia="Times New Roman" w:hAnsi="Calibri" w:cs="Calibri"/>
          <w:color w:val="000000"/>
          <w:kern w:val="0"/>
          <w:sz w:val="22"/>
          <w:szCs w:val="22"/>
          <w14:ligatures w14:val="none"/>
        </w:rPr>
        <w:lastRenderedPageBreak/>
        <w:t>responsible antibiotic use, and effective waste management are crucial for ensuring food safety and protecting human health.</w:t>
      </w:r>
    </w:p>
    <w:p w14:paraId="5D3307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25-A-2072-ASTMH</w:t>
      </w:r>
    </w:p>
    <w:p w14:paraId="09C1A2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647BFE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Genomic surveillance reveals geographical heterogeneity and differences in known and novel insecticide resistance mechanisms in </w:t>
      </w:r>
      <w:r w:rsidRPr="00FE5D1C">
        <w:rPr>
          <w:rFonts w:ascii="Calibri" w:eastAsia="Times New Roman" w:hAnsi="Calibri" w:cs="Calibri"/>
          <w:i/>
          <w:iCs/>
          <w:color w:val="000000"/>
          <w:kern w:val="0"/>
          <w:sz w:val="22"/>
          <w:szCs w:val="22"/>
          <w14:ligatures w14:val="none"/>
        </w:rPr>
        <w:t>Anopheles arabiensis</w:t>
      </w:r>
      <w:r w:rsidRPr="00FE5D1C">
        <w:rPr>
          <w:rFonts w:ascii="Calibri" w:eastAsia="Times New Roman" w:hAnsi="Calibri" w:cs="Calibri"/>
          <w:color w:val="000000"/>
          <w:kern w:val="0"/>
          <w:sz w:val="22"/>
          <w:szCs w:val="22"/>
          <w14:ligatures w14:val="none"/>
        </w:rPr>
        <w:t> across Kenya</w:t>
      </w:r>
    </w:p>
    <w:p w14:paraId="03DF33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resistance in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critically threatens malaria control efforts globally. </w:t>
      </w:r>
      <w:r w:rsidRPr="00FE5D1C">
        <w:rPr>
          <w:rFonts w:ascii="Calibri" w:eastAsia="Times New Roman" w:hAnsi="Calibri" w:cs="Calibri"/>
          <w:i/>
          <w:iCs/>
          <w:color w:val="000000"/>
          <w:kern w:val="0"/>
          <w:sz w:val="22"/>
          <w:szCs w:val="22"/>
          <w14:ligatures w14:val="none"/>
        </w:rPr>
        <w:t>Anopheles arabiensis</w:t>
      </w:r>
      <w:r w:rsidRPr="00FE5D1C">
        <w:rPr>
          <w:rFonts w:ascii="Calibri" w:eastAsia="Times New Roman" w:hAnsi="Calibri" w:cs="Calibri"/>
          <w:color w:val="000000"/>
          <w:kern w:val="0"/>
          <w:sz w:val="22"/>
          <w:szCs w:val="22"/>
          <w14:ligatures w14:val="none"/>
        </w:rPr>
        <w:t>, a major malaria vector, presents significant challenges due to a limited understanding of its genetic diversity and resistance mechanisms across different geographical regions. This study investigates the genomic landscape of insecticide resistance in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populations across Kenya to inform targeted vector control strategies. We analyzed whole-genome data from 498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specimens. These specimens were collected from six regions representing diverse malaria transmission zones, namely, Teso (Lake endemic), Kwale and Kilifi (coastal endemic), Turkana (seasonal epidemic), and Mwea and Thika (low epidemic areas). Comprehensive genomic approaches were employed, including population structure analysis, single-nucleotide polymorphism and copy number variant frequency assessments, genome-wide selection scans, and haplotype clustering. Key findings revealed a pronounced geographical population structure, influenced by the Great Rift Valley as a geological and ecological barrier. Distinct regional resistance profiles emerged, reflecting variations in ecology, land use, and insecticide selection pressures. Central Kenyan (Mwea and Thika) populations exhibited fixed copy number variants in </w:t>
      </w:r>
      <w:r w:rsidRPr="00FE5D1C">
        <w:rPr>
          <w:rFonts w:ascii="Calibri" w:eastAsia="Times New Roman" w:hAnsi="Calibri" w:cs="Calibri"/>
          <w:i/>
          <w:iCs/>
          <w:color w:val="000000"/>
          <w:kern w:val="0"/>
          <w:sz w:val="22"/>
          <w:szCs w:val="22"/>
          <w14:ligatures w14:val="none"/>
        </w:rPr>
        <w:t>Cyp6aa/p</w:t>
      </w:r>
      <w:r w:rsidRPr="00FE5D1C">
        <w:rPr>
          <w:rFonts w:ascii="Calibri" w:eastAsia="Times New Roman" w:hAnsi="Calibri" w:cs="Calibri"/>
          <w:color w:val="000000"/>
          <w:kern w:val="0"/>
          <w:sz w:val="22"/>
          <w:szCs w:val="22"/>
          <w14:ligatures w14:val="none"/>
        </w:rPr>
        <w:t> gene clusters and carboxylesterase genes, indicating metabolic resistance to pyrethroids and organophosphates. Turkana populations demonstrated high frequencies of target site and metabolic resistance mechanisms, with </w:t>
      </w:r>
      <w:r w:rsidRPr="00FE5D1C">
        <w:rPr>
          <w:rFonts w:ascii="Calibri" w:eastAsia="Times New Roman" w:hAnsi="Calibri" w:cs="Calibri"/>
          <w:i/>
          <w:iCs/>
          <w:color w:val="000000"/>
          <w:kern w:val="0"/>
          <w:sz w:val="22"/>
          <w:szCs w:val="22"/>
          <w14:ligatures w14:val="none"/>
        </w:rPr>
        <w:t>Vgsc-L995F</w:t>
      </w:r>
      <w:r w:rsidRPr="00FE5D1C">
        <w:rPr>
          <w:rFonts w:ascii="Calibri" w:eastAsia="Times New Roman" w:hAnsi="Calibri" w:cs="Calibri"/>
          <w:color w:val="000000"/>
          <w:kern w:val="0"/>
          <w:sz w:val="22"/>
          <w:szCs w:val="22"/>
          <w14:ligatures w14:val="none"/>
        </w:rPr>
        <w:t> mutations reaching 44% and </w:t>
      </w:r>
      <w:r w:rsidRPr="00FE5D1C">
        <w:rPr>
          <w:rFonts w:ascii="Calibri" w:eastAsia="Times New Roman" w:hAnsi="Calibri" w:cs="Calibri"/>
          <w:i/>
          <w:iCs/>
          <w:color w:val="000000"/>
          <w:kern w:val="0"/>
          <w:sz w:val="22"/>
          <w:szCs w:val="22"/>
          <w14:ligatures w14:val="none"/>
        </w:rPr>
        <w:t>Cyp9k1</w:t>
      </w:r>
      <w:r w:rsidRPr="00FE5D1C">
        <w:rPr>
          <w:rFonts w:ascii="Calibri" w:eastAsia="Times New Roman" w:hAnsi="Calibri" w:cs="Calibri"/>
          <w:color w:val="000000"/>
          <w:kern w:val="0"/>
          <w:sz w:val="22"/>
          <w:szCs w:val="22"/>
          <w14:ligatures w14:val="none"/>
        </w:rPr>
        <w:t> duplications up to 66%. Notably, genome-wide selection scans identified novel candidate genes under selection, including </w:t>
      </w:r>
      <w:r w:rsidRPr="00FE5D1C">
        <w:rPr>
          <w:rFonts w:ascii="Calibri" w:eastAsia="Times New Roman" w:hAnsi="Calibri" w:cs="Calibri"/>
          <w:i/>
          <w:iCs/>
          <w:color w:val="000000"/>
          <w:kern w:val="0"/>
          <w:sz w:val="22"/>
          <w:szCs w:val="22"/>
          <w14:ligatures w14:val="none"/>
        </w:rPr>
        <w:t>Keap1</w:t>
      </w:r>
      <w:r w:rsidRPr="00FE5D1C">
        <w:rPr>
          <w:rFonts w:ascii="Calibri" w:eastAsia="Times New Roman" w:hAnsi="Calibri" w:cs="Calibri"/>
          <w:color w:val="000000"/>
          <w:kern w:val="0"/>
          <w:sz w:val="22"/>
          <w:szCs w:val="22"/>
          <w14:ligatures w14:val="none"/>
        </w:rPr>
        <w:t> gene, which regulates multiple detoxification pathways. The significant heterogeneity in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insecticide resistance profiles underscore the necessity for region-specific vector control interventions and ongoing genomic surveillance. The emergence of novel and high-frequency resistance variants in Kenya threatens current malaria control strategies.</w:t>
      </w:r>
    </w:p>
    <w:p w14:paraId="24C81F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25-A-2073-ASTMH</w:t>
      </w:r>
    </w:p>
    <w:p w14:paraId="2C7035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67BA92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Advancing Dengue Serodiagnostics: Leveraging Epitope Insights for Peptide-Based Test Development</w:t>
      </w:r>
    </w:p>
    <w:p w14:paraId="7B9B16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Dengue remains the most prevalent mosquito-borne disease worldwide. Following the large outbreak in 2024 and the expansion of mosquito vectors, the risks of local transmission and traveler-related cases are increasing. Additionally, the introduction of DENV3 into previously unaffected dengue-endemic areas of the Americas has raised concerns about a potential rise in severe cases. As a result, PAHO and WHO emphasize the urgent need for earlier and more accurate diagnoses through laboratory confirmation, enhanced surveillance, and status determination for vaccination. Given the cross-reactivity issues of current serological tests based on viral lysates or recombinant proteins, we are developing more accurate peptide- and linear epitope-based tests alternatively. We identified virus-specific serological markers at the peptide and epitope levels. Using a 15-mer peptide library (n = 10,500) spanning the proteomes of dengue, Zika, and yellow fever viruses, we screened serum samples from flavivirus-convalescent and negative cases. This approach identified 50 dengue-specific peptides, which were further evaluated by multiplex peptide immunoassays (MPIAs). Eleven confirmed peptides were further evaluated against an expanded serum panel (n = 500), and four core epitopes were identified. Single-epitope (SE, n = 4) and multi-epitope (ME, n = 10) peptides were then designed and evaluated in MPIAs. Here, we evaluated the performance of SE and ME peptides, highlighting the importance of balancing epitope length and composition with antigen recognition and diagnostic accuracy. Epitope scanning showed that amino acids surrounding the core epitope significantly impact </w:t>
      </w:r>
      <w:r w:rsidRPr="00FE5D1C">
        <w:rPr>
          <w:rFonts w:ascii="Calibri" w:eastAsia="Times New Roman" w:hAnsi="Calibri" w:cs="Calibri"/>
          <w:color w:val="000000"/>
          <w:kern w:val="0"/>
          <w:sz w:val="22"/>
          <w:szCs w:val="22"/>
          <w14:ligatures w14:val="none"/>
        </w:rPr>
        <w:lastRenderedPageBreak/>
        <w:t>sensitivity, with a seven-fold increase in reactivity following certain modifications. Moving forward, we aim to optimize ME peptides by refining linker design and considering virus strain diversity and amino acid context to improve patient coverage. We also plan to translate SE and ME peptides into a cost-effective rapid diagnostic test, similar as done previously for RDT testing of several of our 15-mer peptides.</w:t>
      </w:r>
    </w:p>
    <w:p w14:paraId="07BFCF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25-A-2074-ASTMH</w:t>
      </w:r>
    </w:p>
    <w:p w14:paraId="6476A7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3702A1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Environmental and Meteorological Drivers of Dengue Transmission in Temperate and Tropical Latin American Cities</w:t>
      </w:r>
    </w:p>
    <w:p w14:paraId="7AEA15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a mosquito-borne viral disease, is expanding into temperate regions, with nearly half the global population at risk. Its distribution is influenced by environmental and meteorological factors affecting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 ecology. This study identifies and compares key environmental and meteorological drivers of dengue transmission in temperate and tropical Latin American cities. Based on remote sensing and meteorological data, generalized linear models were used to assess dengue occurrence from 2009-2023 in Córdoba, Argentina (temperate), and Santa Marta, Colombia (tropical). Environmental data were obtained from MODIS products: NDVI, EVI (as vegetation indexes), NDWI (water index), day/night Land Surface Temperature (dLST/nLST), and CHIRPS precipitation. Córdoba models also included ground-based humidity, temperature, and precipitation data. Variables were summarized by epidemiological week and assessed with negative binomial models in R. In Córdoba, temperature-related variables (dLST/nLST variance) with 3-4 week lags, maximum relative humidity, with 4-week lags, or without a time lag were the most significant predictors of dengue. Other positive associations included 4-week relative humidity, vapor tension, and nLST mean, while negative associations included dLST variance and precipitation. In Santa Marta, stable and cooler conditions (lower dLST variance and minimum nLST) and higher NDVI were positively associated with dengue. Conversely, precipitation (4 week-lags), NDWI (1 week-lag), and dLST measures (4 week-lag) showed negative associations. Distinct models confirmed vegetation’s role and inverse links with temperature variability and precipitation. Findings reveal contrasting dengue drivers: temperature and humidity dominate in Córdoba, while vegetation, lower temperature variability, and cooler nighttime conditions play a more significant role in Santa Marta. Understanding these differences is vital for designing effective, localized vector control strategies.</w:t>
      </w:r>
    </w:p>
    <w:p w14:paraId="01484A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25-A-2075-ASTMH</w:t>
      </w:r>
    </w:p>
    <w:p w14:paraId="4D7089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7150F3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Modeling the impact of PfCRT-mediated Piperaquine resistance on antimalarial deployment strategies in </w:t>
      </w:r>
      <w:r w:rsidRPr="00FE5D1C">
        <w:rPr>
          <w:rFonts w:ascii="Calibri" w:eastAsia="Times New Roman" w:hAnsi="Calibri" w:cs="Calibri"/>
          <w:i/>
          <w:iCs/>
          <w:color w:val="000000"/>
          <w:kern w:val="0"/>
          <w:sz w:val="22"/>
          <w:szCs w:val="22"/>
          <w14:ligatures w14:val="none"/>
        </w:rPr>
        <w:t>Plasmodium falciparum</w:t>
      </w:r>
    </w:p>
    <w:p w14:paraId="499453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efficacy of artemisinin-based combination therapies (ACTs) is increasingly compromised by the emergence of drug-resistant Plasmodium falciparum strains, notably those with mutations in the chloroquine resistance transporter (PfCRT) linked to piperaquine resistance. Consequently, resistance to dihydroartemisinin-piperaquine (DHA-PPQ) has become a growing concern. In this study, we introduce a comprehensive model integrating ten drug-resistance loci, including pfcrt-mediated piperaquine resistance, and incorporating a recombination mechanism to simulate transmission dynamics via mosquito vectors. Using this model, we evaluate the efficacy of various antimalarial deployment strategies: cycling, adaptive cycling, multiple first-line therapies (MFT), and triple ACT (TACT). Our findings indicate that over a 15-year horizon, TACT strategies achieve the most significant reduction in treatment failures, followed by MFT approaches, with ACT cycling strategies yielding comparatively modest improvements. Among cycling strategies, initiating rotation with artemether-lumefantrine (AL), followed by artesunate-amodiaquine (ASAQ), and then DHA-PPQ demonstrates initial advantages over the reverse order, but only in settings where there is no partner-drug resistance. In general, when rotating therapies in order to slow down drug resistance, it is not known which therapy is optimal to use </w:t>
      </w:r>
      <w:r w:rsidRPr="00FE5D1C">
        <w:rPr>
          <w:rFonts w:ascii="Calibri" w:eastAsia="Times New Roman" w:hAnsi="Calibri" w:cs="Calibri"/>
          <w:color w:val="000000"/>
          <w:kern w:val="0"/>
          <w:sz w:val="22"/>
          <w:szCs w:val="22"/>
          <w14:ligatures w14:val="none"/>
        </w:rPr>
        <w:lastRenderedPageBreak/>
        <w:t>first. Typically, we would expect that therapies with high efficacy, therapies to which there is currently little drug resistance, and therapies that are not expected to generate strong drug resistance quickly should be used first. However, the emergence of pfcrt mutations conferring piperaquine resistance challenges this paradigm—particularly when resistance arises during periods of predominant DHA-PPQ use. These results highlight the importance of optimizing both the sequence and duration of therapies use in ACT cycling strategies while awaiting the approval and deployment of more effective interventions.</w:t>
      </w:r>
    </w:p>
    <w:p w14:paraId="5A46030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25-A-2077-ASTMH</w:t>
      </w:r>
    </w:p>
    <w:p w14:paraId="4AEE64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(Epidemiology)</w:t>
      </w:r>
    </w:p>
    <w:p w14:paraId="369C11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Evaluation of a 2% Ov16 Seroprevalence Threshold for Stopping Mass Drug Administration in Northern Ghana: Few Seropositive Children 2 Years after Stopping Treatment</w:t>
      </w:r>
    </w:p>
    <w:p w14:paraId="1C6045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River blindness is targeted for elimination using mass drug administration (MDA) with ivermectin, which has been ongoing for &gt;15 years in many endemic areas. However, modeling suggests the current Ov16 serological threshold of &lt;0.1% in children &lt;10 years to stop MDA may be too strict. Since last administering MDA in 2021, 4 districts in Northern Ghana have been participating in a study to evaluate a higher (≤2%) threshold. Baseline Ov16 seroprevalence from 2022 in 5–9-year-olds was 1.3% (95% CI 0.7 – 2.3%) by Ov16 rapid diagnostic test (RDT) and 0.09% (95% CI 0.02 – 0.55%) by Ov16m ELISA. Baseline prevalence from 2022 of infective blackflies was 0.013% (95% CI 0.003 – 0.038%) by qPCR. Serological and entomological monitoring to evaluate for signs of active transmission or recrudescence in the area are ongoing. In the 2024 monitoring study, 10 previously unsampled communities were purposefully selected, based on their proximity to known blackfly breeding sites or high numbers of positive RDTs at baseline. Within each community, 50 – 100 children aged 5 – 9 years were randomly chosen to provide dried blood spot (DBS) specimens. In communities with fewer than 50 eligible children, the next closest community was also sampled. DBS were eluted and analyzed by Ov16 IgG4 RDT and Ov16m ELISA. Blackflies were collected in the same 10 sites as baseline. Of 783 participants, only 4 children (0.5%) from 3 communities had positive results; 1 was positive by RDT and ELISA and 3 were positive only by ELISA. The maximum number of Ov16 seropositive children in a community was 2 out of 85 children (2.4%). No blackflies collected in this community at baseline were positive by qPCR. A total of 12,141 blackflies were collected during 2024 (qPCR results pending). Serological test results collected more than 2 years after the last MDA showed few seropositive children, even in communities where qPCR positive flies were captured in the baseline study. These results support that transmission may have been interrupted and a 2% threshold may be reasonable, although the pending qPCR results in blackflies are crucial as this indicator would be expected to become positive sooner than RDT or ELISA.</w:t>
      </w:r>
    </w:p>
    <w:p w14:paraId="3458917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25-A-2078-ASTMH</w:t>
      </w:r>
    </w:p>
    <w:p w14:paraId="44D1E7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439A20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Beyond Neutralization: A Comprehensive Framework for Evaluating Humoral Immunity Induced by the TAK-003 Dengue Vaccine</w:t>
      </w:r>
    </w:p>
    <w:p w14:paraId="0AD66C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global threat of dengue highlights an urgent need for expanded vaccine implementation. Vaccine safety, efficacy, and immunogenicity data can guide broader vaccine deployment. Neutralizing antibody (NAb) titers are the primary measure of dengue vaccine immunogenicity but NAbs alone neither reflect the complex immune response to dengue virus (DENV), nor always correlate with vaccine efficacy (VE). This study assessed the humoral immunogenicity attributes, beyond NAbs, of Takeda’s live-attenuated tetravalent dengue vaccine, TAK-003, based on expert consensus on broader immunocharacterization for correlates of protection (CoP) assessments.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 xml:space="preserve">Assays for binding IgG, avidity, serotype-specific NAbs, complement-fixing Abs (CFAs), and NS1 IgG against DENV-1‒4 were compared with attributes of a validated NAb assay. Linear mixed-effects models on data from vaccine or placebo recipients in several clinical studies estimated the vaccination impact by serostatus, serotype, and age. Correlation and </w:t>
      </w:r>
      <w:r w:rsidRPr="00FE5D1C">
        <w:rPr>
          <w:rFonts w:ascii="Calibri" w:eastAsia="Times New Roman" w:hAnsi="Calibri" w:cs="Calibri"/>
          <w:color w:val="000000"/>
          <w:kern w:val="0"/>
          <w:sz w:val="22"/>
          <w:szCs w:val="22"/>
          <w14:ligatures w14:val="none"/>
        </w:rPr>
        <w:lastRenderedPageBreak/>
        <w:t>principal component analyses (PCAs) evaluated synergies/redundancies. Primary analyses showed that TAK-003 induced durable tetravalent humoral immunogenicity, regardless of age, but only 5/6 assays met the attribute criteria for further analysis. The magnitude and quality of vaccine-induced Ab responses were robust and comparable across serotypes in baseline-seropositive participants. Vaccine impact was stronger in seronegative vaccinees across all Ab variables, with comparable IgG, avidity, and CFA responses among all serotypes, while NAb and NS1 IgG responses varied by serotype. However, PCAs showed that the main source of variability was postvaccination time, followed by DENV serotype. Serotype correlation per assay type and across different assays showed nonredundant relationships across parameters and variables. In conclusion, these analyses reveal critical, nonoverlapping, unique attributes of TAK-003 humoral immunogenicity, beyond NAbs, and provide a roadmap for future immunological CoP assessments for linking VE and immunogenicity across DENV serotypes and serostatus.</w:t>
      </w:r>
    </w:p>
    <w:p w14:paraId="5F0140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25-A-2079-ASTMH</w:t>
      </w:r>
    </w:p>
    <w:p w14:paraId="4E044C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160639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Recurrent admission and mortality rate in children less than 2 years old in rural Gambian setting</w:t>
      </w:r>
    </w:p>
    <w:p w14:paraId="07CA04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Diseases resulting from hospital admission contribute to a significant clinical and economic burden globally. Some of these are reported to be recurring. Recurrent hospital admissions may have negative developmental effects, particularly in chronically ill children. The cost of hospitalization for serious medical problems can be up to 60 times higher than that of a mild or moderate condition managed by primary care services. In the Gambia, the direct cost of inpatient admission is $9.19, and indirect costs are $4.07 per visit. There have been no studies that looked at longitudinal data to provide more insight into readmission and death in a rural sub-Saharan environment. This calls for action to better understand and, therefore, contribute to the design of interventions to reduce recurrent admissions in young infants. We assessed the proportion of children less than 2 years of age readmitted, predictors associated with readmission, and the incidence of mortality in health facilities within the Basse Health and Demographic Surveillance System (BHDSS).</w:t>
      </w:r>
      <w:r w:rsidRPr="00FE5D1C">
        <w:rPr>
          <w:rFonts w:ascii="Calibri" w:eastAsia="Times New Roman" w:hAnsi="Calibri" w:cs="Calibri"/>
          <w:color w:val="000000"/>
          <w:kern w:val="0"/>
          <w:sz w:val="22"/>
          <w:szCs w:val="22"/>
          <w14:ligatures w14:val="none"/>
        </w:rPr>
        <w:br/>
        <w:t>A retrospective analysis of admitted patients that are less than 2 years of age with medical problems as the principal diagnosis at health facilities in BHDSS between January 2011 and December 2017 was performed. We calculated risk-standardized mortality rates at the first admission, risk-standardized readmission rates, and in-hospital mortality at 30 days, 90 days, and 2 years of readmission by using a multivariate mixed model.</w:t>
      </w:r>
      <w:r w:rsidRPr="00FE5D1C">
        <w:rPr>
          <w:rFonts w:ascii="Calibri" w:eastAsia="Times New Roman" w:hAnsi="Calibri" w:cs="Calibri"/>
          <w:color w:val="000000"/>
          <w:kern w:val="0"/>
          <w:sz w:val="22"/>
          <w:szCs w:val="22"/>
          <w14:ligatures w14:val="none"/>
        </w:rPr>
        <w:br/>
        <w:t>We included 4773 patients admitted with medical problems. The mean age was 7.6±5.5 months, and 56.9% were male. A total of 588 (12.3%) experienced at least a single episode of readmission. The number of readmissions for 30 days, 90 days, and 2 years is 103 (17.5%), 170 (28.9%), and 15 (53.6%). In-hospital mortality during the readmission episode was 128 (2.7%) throughout the years of follow-up.</w:t>
      </w:r>
      <w:r w:rsidRPr="00FE5D1C">
        <w:rPr>
          <w:rFonts w:ascii="Calibri" w:eastAsia="Times New Roman" w:hAnsi="Calibri" w:cs="Calibri"/>
          <w:color w:val="000000"/>
          <w:kern w:val="0"/>
          <w:sz w:val="22"/>
          <w:szCs w:val="22"/>
          <w14:ligatures w14:val="none"/>
        </w:rPr>
        <w:br/>
        <w:t>Readmissions are a significant contributor to the burden on the healthcare system, and early detection of patients who are at risk can help launch efficient interventions that lower costs and boost the standard of care.</w:t>
      </w:r>
    </w:p>
    <w:p w14:paraId="6C1C4D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25-A-2080-ASTMH</w:t>
      </w:r>
    </w:p>
    <w:p w14:paraId="14CBFE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(Epidemiology)</w:t>
      </w:r>
    </w:p>
    <w:p w14:paraId="70F79F8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Onchocerciasis Desk review and Exclusion mapping for Kenya</w:t>
      </w:r>
    </w:p>
    <w:p w14:paraId="66AED6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"Onchocerciasis or river blindness, is a disease caused by the parasite </w:t>
      </w:r>
      <w:r w:rsidRPr="00FE5D1C">
        <w:rPr>
          <w:rFonts w:ascii="Calibri" w:eastAsia="Times New Roman" w:hAnsi="Calibri" w:cs="Calibri"/>
          <w:i/>
          <w:iCs/>
          <w:color w:val="000000"/>
          <w:kern w:val="0"/>
          <w:sz w:val="22"/>
          <w:szCs w:val="22"/>
          <w14:ligatures w14:val="none"/>
        </w:rPr>
        <w:t>Onchocerca volvulus </w:t>
      </w:r>
      <w:r w:rsidRPr="00FE5D1C">
        <w:rPr>
          <w:rFonts w:ascii="Calibri" w:eastAsia="Times New Roman" w:hAnsi="Calibri" w:cs="Calibri"/>
          <w:color w:val="000000"/>
          <w:kern w:val="0"/>
          <w:sz w:val="22"/>
          <w:szCs w:val="22"/>
          <w14:ligatures w14:val="none"/>
        </w:rPr>
        <w:t>and transmitted by blackflies of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genus. "In Kenya historical records suggest that onchocerciasis was confined to Western Kenya and was eliminated in 1950s, however, absence of recent comprehensive studies leaves uncertainty regarding possible undetected transmission. "To confirm elimination of the disease and prevent potential recrudescence, desk review and exclusion mapping was necessary and this was compiled by Dr R.J. Post in November 2024.</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xml:space="preserve">Exclusion mapping was conducted using a desktop review of existing epidemiological, </w:t>
      </w:r>
      <w:r w:rsidRPr="00FE5D1C">
        <w:rPr>
          <w:rFonts w:ascii="Calibri" w:eastAsia="Times New Roman" w:hAnsi="Calibri" w:cs="Calibri"/>
          <w:color w:val="000000"/>
          <w:kern w:val="0"/>
          <w:sz w:val="22"/>
          <w:szCs w:val="22"/>
          <w14:ligatures w14:val="none"/>
        </w:rPr>
        <w:lastRenderedPageBreak/>
        <w:t>entomological, and geospatial data. The study relied on historical records, vector surveillance data, hydrological and geological assessments, and recent epidemiological surveys.</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Studies conducted from 1930s to 1950s indicated that onchocerciasis was prevalent in Western Kenya, primarily transmitted by Simulium neavei.Elimination programs successfully eradicated the vector from these areas through vector control.The 2018 serological survey conducted by the Ministry of Health and Kenya Medical Research Institute showed low seropositivity rates in previously endemic areas, reinforcing the belief that transmission has been interrupted.Geospatial modeling confirmed that most of Kenya's environment is unsuitable for blackfly breeding, except for certain highland regions and perennial rivers.Clinical assessments and vector surveillance data indicate absence of Simulium neavei outside of historically endemic regions.5 Countries bordering Kenya, pose threat of re-emergence of the disease if not routinely surveyed.</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The report categorizes Kenyan administrative units i.e., sub-counties into three groups:1.</w:t>
      </w:r>
      <w:r w:rsidRPr="00FE5D1C">
        <w:rPr>
          <w:rFonts w:ascii="Calibri" w:eastAsia="Times New Roman" w:hAnsi="Calibri" w:cs="Calibri"/>
          <w:b/>
          <w:bCs/>
          <w:color w:val="000000"/>
          <w:kern w:val="0"/>
          <w:sz w:val="22"/>
          <w:szCs w:val="22"/>
          <w14:ligatures w14:val="none"/>
        </w:rPr>
        <w:t>Exclusion Areas:</w:t>
      </w:r>
      <w:r w:rsidRPr="00FE5D1C">
        <w:rPr>
          <w:rFonts w:ascii="Calibri" w:eastAsia="Times New Roman" w:hAnsi="Calibri" w:cs="Calibri"/>
          <w:color w:val="000000"/>
          <w:kern w:val="0"/>
          <w:sz w:val="22"/>
          <w:szCs w:val="22"/>
          <w14:ligatures w14:val="none"/>
        </w:rPr>
        <w:t> 2.</w:t>
      </w:r>
      <w:r w:rsidRPr="00FE5D1C">
        <w:rPr>
          <w:rFonts w:ascii="Calibri" w:eastAsia="Times New Roman" w:hAnsi="Calibri" w:cs="Calibri"/>
          <w:b/>
          <w:bCs/>
          <w:color w:val="000000"/>
          <w:kern w:val="0"/>
          <w:sz w:val="22"/>
          <w:szCs w:val="22"/>
          <w14:ligatures w14:val="none"/>
        </w:rPr>
        <w:t>Formerly Endemic Areas:</w:t>
      </w:r>
      <w:r w:rsidRPr="00FE5D1C">
        <w:rPr>
          <w:rFonts w:ascii="Calibri" w:eastAsia="Times New Roman" w:hAnsi="Calibri" w:cs="Calibri"/>
          <w:color w:val="000000"/>
          <w:kern w:val="0"/>
          <w:sz w:val="22"/>
          <w:szCs w:val="22"/>
          <w14:ligatures w14:val="none"/>
        </w:rPr>
        <w:t> 3.</w:t>
      </w:r>
      <w:r w:rsidRPr="00FE5D1C">
        <w:rPr>
          <w:rFonts w:ascii="Calibri" w:eastAsia="Times New Roman" w:hAnsi="Calibri" w:cs="Calibri"/>
          <w:b/>
          <w:bCs/>
          <w:color w:val="000000"/>
          <w:kern w:val="0"/>
          <w:sz w:val="22"/>
          <w:szCs w:val="22"/>
          <w14:ligatures w14:val="none"/>
        </w:rPr>
        <w:t>Areas Requiring Further Investigation:</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Recommendations</w:t>
      </w:r>
      <w:r w:rsidRPr="00FE5D1C">
        <w:rPr>
          <w:rFonts w:ascii="Calibri" w:eastAsia="Times New Roman" w:hAnsi="Calibri" w:cs="Calibri"/>
          <w:color w:val="000000"/>
          <w:kern w:val="0"/>
          <w:sz w:val="22"/>
          <w:szCs w:val="22"/>
          <w14:ligatures w14:val="none"/>
        </w:rPr>
        <w:t>The report concludes that Kenya is largely unsuitable for onchocerciasis transmission outside historical endemic zones. It recommends continued surveillance in formerly endemic areas and targeted field assessments in uncertain regions.</w:t>
      </w:r>
    </w:p>
    <w:p w14:paraId="5C6227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25-A-2081-ASTMH</w:t>
      </w:r>
    </w:p>
    <w:p w14:paraId="3C8EFC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54870D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Rapid reduction in </w:t>
      </w:r>
      <w:r w:rsidRPr="00FE5D1C">
        <w:rPr>
          <w:rFonts w:ascii="Calibri" w:eastAsia="Times New Roman" w:hAnsi="Calibri" w:cs="Calibri"/>
          <w:b/>
          <w:bCs/>
          <w:i/>
          <w:iCs/>
          <w:color w:val="000000"/>
          <w:kern w:val="0"/>
          <w:sz w:val="22"/>
          <w:szCs w:val="22"/>
          <w14:ligatures w14:val="none"/>
        </w:rPr>
        <w:t>Aedes aegypti</w:t>
      </w:r>
      <w:r w:rsidRPr="00FE5D1C">
        <w:rPr>
          <w:rFonts w:ascii="Calibri" w:eastAsia="Times New Roman" w:hAnsi="Calibri" w:cs="Calibri"/>
          <w:b/>
          <w:bCs/>
          <w:color w:val="000000"/>
          <w:kern w:val="0"/>
          <w:sz w:val="22"/>
          <w:szCs w:val="22"/>
          <w14:ligatures w14:val="none"/>
        </w:rPr>
        <w:t> population following sterile insect application in the West Valley region of southern California</w:t>
      </w:r>
    </w:p>
    <w:p w14:paraId="5C2C9D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poses a serious public health risk due to its ability to transmit arboviruses like dengue, Zika, chikungunya, and yellow fever. In California, its range continues to expand unchecked, prompting an urgent need for innovative control strategies. One promising approach is the Sterile Insect Technique (SIT), which can be integrated into broader vector management programs to target invasive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populations. This study evaluated the impact of incorporating the Sterile Insect Technique (SIT) into Integrated Vector Management (IVM) in the West Valley region of Southern California. Twenty-five Aedes hotspots were categorized into two cohorts: SIT-only sites (n = 9) and sites receiving both SIT and In2Care® Mosquito Stations (n = 16). Between April and November 2024, sterile male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irradiated using X-rays, were released biweekly. Weekly mosquito density data were collected using BG Sentinel-2 traps and compared with baseline data from 2023. A subset of 50 irradiated males was caged with unirradiated females to assess sterility by egg hatch rate.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-related service requests were also analyzed to evaluate community-level impact. A total of 106,608 sterile </w:t>
      </w:r>
      <w:r w:rsidRPr="00FE5D1C">
        <w:rPr>
          <w:rFonts w:ascii="Calibri" w:eastAsia="Times New Roman" w:hAnsi="Calibri" w:cs="Calibri"/>
          <w:i/>
          <w:iCs/>
          <w:color w:val="000000"/>
          <w:kern w:val="0"/>
          <w:sz w:val="22"/>
          <w:szCs w:val="22"/>
          <w14:ligatures w14:val="none"/>
        </w:rPr>
        <w:t>Ae. aegypti </w:t>
      </w:r>
      <w:r w:rsidRPr="00FE5D1C">
        <w:rPr>
          <w:rFonts w:ascii="Calibri" w:eastAsia="Times New Roman" w:hAnsi="Calibri" w:cs="Calibri"/>
          <w:color w:val="000000"/>
          <w:kern w:val="0"/>
          <w:sz w:val="22"/>
          <w:szCs w:val="22"/>
          <w14:ligatures w14:val="none"/>
        </w:rPr>
        <w:t>males were released. The SIT-only cohort experienced a 44% reduction in female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mosquito density per trap-night, while the SIT + In2Care® group showed a 65% reduction. Residents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-related service requests fell by 45% from 656 in 2023 to 367 in 2024. Sterility tests showed over 99.6% of eggs from irradiated male pairings did not hatch, confirming high sterility. These results highlight the effectiveness of utilizing SIT as part of IVM toolbox to significantly suppress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populations and reduce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-borne disease risk in California through a sustainable, integrated vector control approach.</w:t>
      </w:r>
    </w:p>
    <w:p w14:paraId="369E32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25-A-2082-ASTMH</w:t>
      </w:r>
    </w:p>
    <w:p w14:paraId="6E05704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61B080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Machine Learning Identifies Metabolic Biomarkers of Post-Ebola Syndrome</w:t>
      </w:r>
    </w:p>
    <w:p w14:paraId="4B405C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Ebola virus (EBOV) survivors often present with sequelae collectively described as post-Ebola syndrome (PES). Why some EBOV survivors develop PES and others do not is poorly defined. Metabolomics demonstrates a snapshot of metabolic response which can be analyzed for biomarker identification. Metabolomics has been applied to study post-viral sequelae in long COVID but few other post-viral syndromes. Machine learning (ML) approaches are useful in metabolomic analysis because they can analyze complex and high-dimensional data. We applied ML to a metabolomic pilot study of EVD </w:t>
      </w:r>
      <w:r w:rsidRPr="00FE5D1C">
        <w:rPr>
          <w:rFonts w:ascii="Calibri" w:eastAsia="Times New Roman" w:hAnsi="Calibri" w:cs="Calibri"/>
          <w:color w:val="000000"/>
          <w:kern w:val="0"/>
          <w:sz w:val="22"/>
          <w:szCs w:val="22"/>
          <w14:ligatures w14:val="none"/>
        </w:rPr>
        <w:lastRenderedPageBreak/>
        <w:t>survivors with and without PES. Participants are part of an ongoing cohort of Ebola survivors and household contacts in Eastern Sierra Leone. The biomarker analysis compares survivors with PES sequelae (n=37) and EBOV antibody positive asymptomatic survivors (n=20). Plasma samples were used to quantify metabolite levels by liquid chromatography mass spectrometry (LC-MS/MS) and peak intensities were analyzed in MetaboAnalyst 6.0. Samples were randomly selected into discovery (n=39) and validation (n=18) cohorts and assigned with a proportional number of survivors with and without PES. Monte-Carlo cross validation was used to train partial least squares discriminant analysis (PLS-DA) and Random Forests (RF) models in the discovery cohort to identify the 10 metabolites most predictive of PES. The top 10 most important metabolites were the same in the RF and PLS-DA discovery models and included metabolites of the Krebs cycle (malate, succinate) and short chain fatty acids (acetate, propanoate). These metabolites were used to predict PES in the validation cohort. Receiver operating characteristic (ROC) curves were created and area under the curve (AUC) was &gt;0.8 in both the discovery and validation cohorts. Our data demonstrates ML as a useful tool for biomarker selection in metabolomic studies of post-viral sequalae. The top ten important metabolites were identical in the RF and PLS-DA models with acceptable AUCs. Further studies, including metabolic pathway analysis, could provide insight into how the identified metabolites contribute to PES.</w:t>
      </w:r>
    </w:p>
    <w:p w14:paraId="7F235B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25-A-2083-ASTMH</w:t>
      </w:r>
    </w:p>
    <w:p w14:paraId="0A7A65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148BAF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cost-effectiveness and epidemiological impact of rapid switching to non-HRP2-only malaria rapid diagnostic tests in sub-Saharan Africa</w:t>
      </w:r>
    </w:p>
    <w:p w14:paraId="4DE629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concern in sub-Saharan Africa, where rapid diagnostic tests (RDTs) are crucial for diagnosis and guiding appropriate treatment. However, the reliability of RDTs is threatened by the emergence of parasites with deletions of the gene which encodes for the HRP2 protein in </w:t>
      </w:r>
      <w:r w:rsidRPr="00FE5D1C">
        <w:rPr>
          <w:rFonts w:ascii="Calibri" w:eastAsia="Times New Roman" w:hAnsi="Calibri" w:cs="Calibri"/>
          <w:i/>
          <w:iCs/>
          <w:color w:val="000000"/>
          <w:kern w:val="0"/>
          <w:sz w:val="22"/>
          <w:szCs w:val="22"/>
          <w14:ligatures w14:val="none"/>
        </w:rPr>
        <w:t>Plasmodium falciparum (Pf)</w:t>
      </w:r>
      <w:r w:rsidRPr="00FE5D1C">
        <w:rPr>
          <w:rFonts w:ascii="Calibri" w:eastAsia="Times New Roman" w:hAnsi="Calibri" w:cs="Calibri"/>
          <w:color w:val="000000"/>
          <w:kern w:val="0"/>
          <w:sz w:val="22"/>
          <w:szCs w:val="22"/>
          <w14:ligatures w14:val="none"/>
        </w:rPr>
        <w:t>, causing false negatives in RDTs that rely on HRP2 for diagnosis. The World Health Organization (WHO) recommends transitioning to RDTs that do not rely only on HRP2 to detect Pf once the false negative rate from HRP2 deletions exceeds 5%. This study uses an agent-based model of malaria transmission in sub-Saharan Africa and costing data to compare the cost-effectiveness and health impact of transitioning to non-HRP2-only RDTs under scenarios where </w:t>
      </w:r>
      <w:r w:rsidRPr="00FE5D1C">
        <w:rPr>
          <w:rFonts w:ascii="Calibri" w:eastAsia="Times New Roman" w:hAnsi="Calibri" w:cs="Calibri"/>
          <w:i/>
          <w:iCs/>
          <w:color w:val="000000"/>
          <w:kern w:val="0"/>
          <w:sz w:val="22"/>
          <w:szCs w:val="22"/>
          <w14:ligatures w14:val="none"/>
        </w:rPr>
        <w:t>a)</w:t>
      </w:r>
      <w:r w:rsidRPr="00FE5D1C">
        <w:rPr>
          <w:rFonts w:ascii="Calibri" w:eastAsia="Times New Roman" w:hAnsi="Calibri" w:cs="Calibri"/>
          <w:color w:val="000000"/>
          <w:kern w:val="0"/>
          <w:sz w:val="22"/>
          <w:szCs w:val="22"/>
          <w14:ligatures w14:val="none"/>
        </w:rPr>
        <w:t> countries wait until the 5% threshold is reached, then take up to 6 years to transition, </w:t>
      </w:r>
      <w:r w:rsidRPr="00FE5D1C">
        <w:rPr>
          <w:rFonts w:ascii="Calibri" w:eastAsia="Times New Roman" w:hAnsi="Calibri" w:cs="Calibri"/>
          <w:i/>
          <w:iCs/>
          <w:color w:val="000000"/>
          <w:kern w:val="0"/>
          <w:sz w:val="22"/>
          <w:szCs w:val="22"/>
          <w14:ligatures w14:val="none"/>
        </w:rPr>
        <w:t>b)</w:t>
      </w:r>
      <w:r w:rsidRPr="00FE5D1C">
        <w:rPr>
          <w:rFonts w:ascii="Calibri" w:eastAsia="Times New Roman" w:hAnsi="Calibri" w:cs="Calibri"/>
          <w:color w:val="000000"/>
          <w:kern w:val="0"/>
          <w:sz w:val="22"/>
          <w:szCs w:val="22"/>
          <w14:ligatures w14:val="none"/>
        </w:rPr>
        <w:t> where countries take the decision to switch now with up to 6 years to transition, and </w:t>
      </w:r>
      <w:r w:rsidRPr="00FE5D1C">
        <w:rPr>
          <w:rFonts w:ascii="Calibri" w:eastAsia="Times New Roman" w:hAnsi="Calibri" w:cs="Calibri"/>
          <w:i/>
          <w:iCs/>
          <w:color w:val="000000"/>
          <w:kern w:val="0"/>
          <w:sz w:val="22"/>
          <w:szCs w:val="22"/>
          <w14:ligatures w14:val="none"/>
        </w:rPr>
        <w:t>c)</w:t>
      </w:r>
      <w:r w:rsidRPr="00FE5D1C">
        <w:rPr>
          <w:rFonts w:ascii="Calibri" w:eastAsia="Times New Roman" w:hAnsi="Calibri" w:cs="Calibri"/>
          <w:color w:val="000000"/>
          <w:kern w:val="0"/>
          <w:sz w:val="22"/>
          <w:szCs w:val="22"/>
          <w14:ligatures w14:val="none"/>
        </w:rPr>
        <w:t> where countries do not switch at all. We simulate the potential outcomes of adopting non-HRP2-only RDTs in these timeframes considering subnational transmission dynamics and health system capacities across sub-Saharan African countries. Preliminary findings suggest that rapid switching to non-HRP2-only RDTs - within one year of reaching the 5% threshold - would significantly reduce the number of undiagnosed infections, leading to increased treatment rates and reduced transmission compared to longer switching times. The anticipated completion of this study is in May 2025, with detailed cost-effectiveness analyses, including impacts on malaria morbidity, mortality, and economic costs available through an interactive tool on the RBM Partnership to End Malaria dashboard. The findings are expected to offer compelling evidence for the benefits of early switching to non-HRP2-only RDTs, potentially guiding policy decisions and resource allocation in the region. By demonstrating the advantages of rapid implementation, this research aims to inform national and regional malaria strategies and contribute to the ongoing effort to reduce malaria transmission and mortality in sub-Saharan Africa.</w:t>
      </w:r>
    </w:p>
    <w:p w14:paraId="11CCE5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25-A-2084-ASTMH</w:t>
      </w:r>
    </w:p>
    <w:p w14:paraId="7C7C9D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53BA1A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Emerging Artemisinin Resistance and Genetic Diversity of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 in Kenya: Implications for Tailored Malaria Control Strategies</w:t>
      </w:r>
    </w:p>
    <w:p w14:paraId="259BE3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 xml:space="preserve">malaria remains a public health threat, worsened by rising resistance to artemisinin-based combination therapies (ACTs). Genetic diversity and Complexity of infection (COI) </w:t>
      </w:r>
      <w:r w:rsidRPr="00FE5D1C">
        <w:rPr>
          <w:rFonts w:ascii="Calibri" w:eastAsia="Times New Roman" w:hAnsi="Calibri" w:cs="Calibri"/>
          <w:color w:val="000000"/>
          <w:kern w:val="0"/>
          <w:sz w:val="22"/>
          <w:szCs w:val="22"/>
          <w14:ligatures w14:val="none"/>
        </w:rPr>
        <w:lastRenderedPageBreak/>
        <w:t>differ across endemic areas, shaping local transmission and resistance trends. This study examined the genetic diversity and population structure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isolates with PfK13 mutations from various malaria-endemic regions in Kenya. DNA from 24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isolates with PfK13 mutations, collected (2018-2024), across six Kenyan regions was genotyped using 12 microsatellite markers: Poly-A, TA42, TA81, TA1, TA109, TA87, TA40, 2490, ARA2, Pfg377, PfPk2, and TA60. Genetic diversity was assessed via allele count (N</w:t>
      </w:r>
      <w:r w:rsidRPr="00FE5D1C">
        <w:rPr>
          <w:rFonts w:ascii="Calibri" w:eastAsia="Times New Roman" w:hAnsi="Calibri" w:cs="Calibri"/>
          <w:color w:val="000000"/>
          <w:kern w:val="0"/>
          <w:sz w:val="22"/>
          <w:szCs w:val="22"/>
          <w:vertAlign w:val="subscript"/>
          <w14:ligatures w14:val="none"/>
        </w:rPr>
        <w:t>a</w:t>
      </w:r>
      <w:r w:rsidRPr="00FE5D1C">
        <w:rPr>
          <w:rFonts w:ascii="Calibri" w:eastAsia="Times New Roman" w:hAnsi="Calibri" w:cs="Calibri"/>
          <w:color w:val="000000"/>
          <w:kern w:val="0"/>
          <w:sz w:val="22"/>
          <w:szCs w:val="22"/>
          <w14:ligatures w14:val="none"/>
        </w:rPr>
        <w:t>), allelic richness (A</w:t>
      </w:r>
      <w:r w:rsidRPr="00FE5D1C">
        <w:rPr>
          <w:rFonts w:ascii="Calibri" w:eastAsia="Times New Roman" w:hAnsi="Calibri" w:cs="Calibri"/>
          <w:color w:val="000000"/>
          <w:kern w:val="0"/>
          <w:sz w:val="22"/>
          <w:szCs w:val="22"/>
          <w:vertAlign w:val="subscript"/>
          <w14:ligatures w14:val="none"/>
        </w:rPr>
        <w:t>r</w:t>
      </w:r>
      <w:r w:rsidRPr="00FE5D1C">
        <w:rPr>
          <w:rFonts w:ascii="Calibri" w:eastAsia="Times New Roman" w:hAnsi="Calibri" w:cs="Calibri"/>
          <w:color w:val="000000"/>
          <w:kern w:val="0"/>
          <w:sz w:val="22"/>
          <w:szCs w:val="22"/>
          <w14:ligatures w14:val="none"/>
        </w:rPr>
        <w:t>), and heterozygosity (H</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COI and regional population differentiation (F</w:t>
      </w:r>
      <w:r w:rsidRPr="00FE5D1C">
        <w:rPr>
          <w:rFonts w:ascii="Calibri" w:eastAsia="Times New Roman" w:hAnsi="Calibri" w:cs="Calibri"/>
          <w:color w:val="000000"/>
          <w:kern w:val="0"/>
          <w:sz w:val="22"/>
          <w:szCs w:val="22"/>
          <w:vertAlign w:val="subscript"/>
          <w14:ligatures w14:val="none"/>
        </w:rPr>
        <w:t>ST</w:t>
      </w:r>
      <w:r w:rsidRPr="00FE5D1C">
        <w:rPr>
          <w:rFonts w:ascii="Calibri" w:eastAsia="Times New Roman" w:hAnsi="Calibri" w:cs="Calibri"/>
          <w:color w:val="000000"/>
          <w:kern w:val="0"/>
          <w:sz w:val="22"/>
          <w:szCs w:val="22"/>
          <w14:ligatures w14:val="none"/>
        </w:rPr>
        <w:t>) were also analyzed. Genetic diversity was observed among the isolates, with an overall mean of 10.5 ± 5.7 number of alleles per locus (N</w:t>
      </w:r>
      <w:r w:rsidRPr="00FE5D1C">
        <w:rPr>
          <w:rFonts w:ascii="Calibri" w:eastAsia="Times New Roman" w:hAnsi="Calibri" w:cs="Calibri"/>
          <w:color w:val="000000"/>
          <w:kern w:val="0"/>
          <w:sz w:val="22"/>
          <w:szCs w:val="22"/>
          <w:vertAlign w:val="subscript"/>
          <w14:ligatures w14:val="none"/>
        </w:rPr>
        <w:t>a</w:t>
      </w:r>
      <w:r w:rsidRPr="00FE5D1C">
        <w:rPr>
          <w:rFonts w:ascii="Calibri" w:eastAsia="Times New Roman" w:hAnsi="Calibri" w:cs="Calibri"/>
          <w:color w:val="000000"/>
          <w:kern w:val="0"/>
          <w:sz w:val="22"/>
          <w:szCs w:val="22"/>
          <w14:ligatures w14:val="none"/>
        </w:rPr>
        <w:t>). MS markers Poly-A, PfPk2, TA87, and TA109 exhibited the highest allelic variability, 13 to 21 alleles. Mean expected H</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across all samples was 0.59 ± 0.24. Population analysis showed Busia had the highest genetic diversity (He: 0.70-0.80; mean allelic richness: 3 alleles/locus), while Kericho and Marigat had lower diversity (He: 0.30-0.50). COI peaked at Poly-A (2.14) and was lowest at Pfg377 (1.15), with 55% of isolates being polyclonal. The ACT resistance-linked A675V mutation appeared in 23% of Busia isolates was also present in Kericho and Marigat isolates. Kisii showed unique mutations C469C and K455E. Genetic differentiation was moderate between geographically distant populations (F</w:t>
      </w:r>
      <w:r w:rsidRPr="00FE5D1C">
        <w:rPr>
          <w:rFonts w:ascii="Calibri" w:eastAsia="Times New Roman" w:hAnsi="Calibri" w:cs="Calibri"/>
          <w:color w:val="000000"/>
          <w:kern w:val="0"/>
          <w:sz w:val="22"/>
          <w:szCs w:val="22"/>
          <w:vertAlign w:val="subscript"/>
          <w14:ligatures w14:val="none"/>
        </w:rPr>
        <w:t>ST</w:t>
      </w:r>
      <w:r w:rsidRPr="00FE5D1C">
        <w:rPr>
          <w:rFonts w:ascii="Calibri" w:eastAsia="Times New Roman" w:hAnsi="Calibri" w:cs="Calibri"/>
          <w:color w:val="000000"/>
          <w:kern w:val="0"/>
          <w:sz w:val="22"/>
          <w:szCs w:val="22"/>
          <w14:ligatures w14:val="none"/>
        </w:rPr>
        <w:t> = 0.17, Busia and Kisii), but low between nearby regions (F</w:t>
      </w:r>
      <w:r w:rsidRPr="00FE5D1C">
        <w:rPr>
          <w:rFonts w:ascii="Calibri" w:eastAsia="Times New Roman" w:hAnsi="Calibri" w:cs="Calibri"/>
          <w:color w:val="000000"/>
          <w:kern w:val="0"/>
          <w:sz w:val="22"/>
          <w:szCs w:val="22"/>
          <w:vertAlign w:val="subscript"/>
          <w14:ligatures w14:val="none"/>
        </w:rPr>
        <w:t>ST </w:t>
      </w:r>
      <w:r w:rsidRPr="00FE5D1C">
        <w:rPr>
          <w:rFonts w:ascii="Calibri" w:eastAsia="Times New Roman" w:hAnsi="Calibri" w:cs="Calibri"/>
          <w:color w:val="000000"/>
          <w:kern w:val="0"/>
          <w:sz w:val="22"/>
          <w:szCs w:val="22"/>
          <w14:ligatures w14:val="none"/>
        </w:rPr>
        <w:t>= 0.08, Kisii and Kombewa), suggesting ongoing parasite gene flow and localized selective pressures. Significant genetic diversity and infection complexity in PfK13-mutant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isolates in Kenya indicate unique local transmission patterns, potentially driving antimalarial resistance spread, affecting disease severity, immunity thus hindering malaria control.</w:t>
      </w:r>
    </w:p>
    <w:p w14:paraId="686E10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25-A-2085-ASTMH</w:t>
      </w:r>
    </w:p>
    <w:p w14:paraId="617F7E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732C46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review of the public health response to Congenital Rubella Syndrome in Saskatchewan</w:t>
      </w:r>
    </w:p>
    <w:p w14:paraId="049CAC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Rubella, also known as German measles, is a vaccine-preventable disease. Rubella infection is usually mild; however, infection in pregnancy is associated with severe outcomes for the baby, including pregnancy loss or a combination of developmental defects called congenital rubella syndrome. Over the last twelve-year period, two cases of congenital rubella syndrome in Saskatchewan were reported in the newborns of mothers who had recently arrived from Sub-Saharan Africa. Both infants had multiple health complications at birth consistent with congenital rubella and tested positive for the rubella virus. We discuss the challenges encountered by the healthcare system in diagnosing, investigating, monitoring and managing cases of congenital rubella syndrome to prevent further sporadic transmission. Additionally, we emphasize the need to provide extra support for cases and their households, especially new Canadians who often lack sufficient resources to comply with public health advice, as well as the importance of routine immunization in eliminating rubella globally.</w:t>
      </w:r>
    </w:p>
    <w:p w14:paraId="099C2D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25-A-2086-ASTMH</w:t>
      </w:r>
    </w:p>
    <w:p w14:paraId="4798A1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458A9E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Household-Level Environmental Risk Factors for Animal and Human Fecal Contamination in Northwestern Coastal Ecuador</w:t>
      </w:r>
    </w:p>
    <w:p w14:paraId="71F92F0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household environment plays a critical role in the transmission of enteric pathogens to infants, particularly where water, sanitation, and hygiene (WASH) infrastructure is limited. Household surfaces, including floors where infants play, and infant or maternal hands can become contaminated with fecal matter from human and animal sources. We collected survey data on household demographics, WASH conditions, and animal ownership and exposure, along with environmental samples from household floors using swabs and from maternal and child hands using hand rinses in 141 households in Northern Ecuador with infants aged 6, 12, or 18 months. Five qPCR-based microbial source tracking (MST) markers were used to detect fecal contamination from human (HF183) and animal sources, including avian (GFD), canine (DG37), swine (Pig2Bac), and ruminant (Rum2Bac). We used modified Poisson generalized linear models, controlling for a priori defined covariates, to estimate prevalence ratios (PR) between: A) demographic and WASH variables and human MST prevalence, and B) animal-related variables and </w:t>
      </w:r>
      <w:r w:rsidRPr="00FE5D1C">
        <w:rPr>
          <w:rFonts w:ascii="Calibri" w:eastAsia="Times New Roman" w:hAnsi="Calibri" w:cs="Calibri"/>
          <w:color w:val="000000"/>
          <w:kern w:val="0"/>
          <w:sz w:val="22"/>
          <w:szCs w:val="22"/>
          <w14:ligatures w14:val="none"/>
        </w:rPr>
        <w:lastRenderedPageBreak/>
        <w:t>animal MST prevalence. We found that, for human fecal contamination, child hands (PR 1.61; CI:1.10-2.27) and drinking water (PR 1.25; CI: 0.99-1.59) contaminated with E. coli were associated with higher prevalence of human MST markers on floors and any environmental sample. For animal fecal contamination, households with animal feces indoors (PR 1.63; CI:1.03-2.58) were associated with a higher prevalence of animal MST markers on floors. Owning more than five animals (PR: 1.51; CI: 0.96-2.38), as well as maternal (PR: 1.77; CI: 0.94-3.35) and infant (PR: 1.36; CI: 0.94-1.97) animal contact, trended toward higher prevalence of animal MST markers on floors, any environmental sample, and maternal hands. However, these associations did not reach statistical significance. Our findings highlight the need for household-level interventions that address both human and animal sources of fecal contamination to reduce infant exposure to fecal matter, potential transmission of enteric pathogens, and associated adverse child health outcomes.</w:t>
      </w:r>
    </w:p>
    <w:p w14:paraId="7F8DDC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25-A-2087-ASTMH</w:t>
      </w:r>
    </w:p>
    <w:p w14:paraId="003E29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6BB96F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Five-Year Efficacy and Safety of a Live, Attenuated Tetravalent Dengue Vaccine Produced by Instituto Butantan: Results from a Phase 3 Clinical Trial in Children, Adolescents, and Adults</w:t>
      </w:r>
    </w:p>
    <w:p w14:paraId="43FC24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Butantan-DV is a live, attenuated tetravalent dengue vaccine produced by Instituto Butantan based on TV003. We assessed the final efficacy and safety of Butantan-DV through five years of follow-up. Participants were stratified by age (2-6, 7-17, and 18-59 years old) and randomized 2:1 to receive a single dose of Butantan-DV or placebo in a phase 3, double-blind trial conducted in 16 sites across Brazil (NCT02406729). 16,235 participants were enrolled and received Butantan-DV (10,259) or placebo (5,976) between 2016 and 2019; 46.4% of participants were dengue-naïve. Safety was evaluated as the frequency of participants with solicited (local and systemic) vaccine-related adverse events (AEs). Vaccine efficacy (VE) to prevent symptomatic virologically confirmed dengue (VCD) by RT-PCR after Day 28 postvaccination to any dengue virus (DENV) serotype was determined. Secondary objectives of VE by baseline serostatus, by DENV serotype, and against dengue with warning signs/severe dengue, regardless of hospitalization, were also evaluated. Non-serious, solicited systemic vaccine-related AEs were observed in a slightly higher proportion of overall participants receiving Butantan-DV (58.6%) compared to placebo (45.9%) within 21 days postvaccination. The proportions of participants with unsolicited vaccine-related adverse events (including SAEs) after Day 21 were comparable between intervention groups, regardless of dengue serostatus at baseline. Through five years of follow-up, the overall VE [95%CI] was 65.0% [57.8-71.0%]; 77.1% [67.6-83.9%] in participants with prior exposure to any DENV serotype and 58.9% [48.0-67.6%] in participants without prior exposure. Serotype-specific VE [95%CI] was 73.0% [64.3-79.7%] against DENV-1 and 55.7% [42.3-66.1%] against DENV-2; cases due to DENV-3 or DENV-4 were not identified during the study. VE [95%CI] against dengue with warning signs/severe dengue was 80.5% [50.8-92.4%]. In summary, Butantan-DV remained efficacious against symptomatic VCD due to DENV-1 or DENV-2, regardless of dengue serostatus at baseline, with no safety concerns observed during the entire five-year follow-up.</w:t>
      </w:r>
    </w:p>
    <w:p w14:paraId="3B1C55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25-A-2088-ASTMH</w:t>
      </w:r>
    </w:p>
    <w:p w14:paraId="490A68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2F4A4B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Role of bubble continuous positive airway pressure in childhood severe pneumonia and hypoxemia in Ethiopia: A realistic Cluster Randomized Controlled Trial</w:t>
      </w:r>
    </w:p>
    <w:p w14:paraId="504140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Mortality from severe pneumonia is unacceptably high in low- and middle-income countries. Low cost locally made bubble continuous positive airway pressure (bCPAP) is an inexpensive method to provide non-invasive ventilatory support and may substantially reduce mortality in children with severe pneumonia and hypoxemia. Due to limited evidence on the impact of bCPAP outside tertiary care hospitals, we conducted a randomized effectiveness trial of bCPAP in general hospitals in Ethiopia to address this uncertainty.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xml:space="preserve">: We did a cluster randomized trial in which 12 general hospitals (clusters) in Ethiopia were randomized 1:1 to bCPAP or low flow (LF) oxygen therapy in children 1-59 </w:t>
      </w:r>
      <w:r w:rsidRPr="00FE5D1C">
        <w:rPr>
          <w:rFonts w:ascii="Calibri" w:eastAsia="Times New Roman" w:hAnsi="Calibri" w:cs="Calibri"/>
          <w:color w:val="000000"/>
          <w:kern w:val="0"/>
          <w:sz w:val="22"/>
          <w:szCs w:val="22"/>
          <w14:ligatures w14:val="none"/>
        </w:rPr>
        <w:lastRenderedPageBreak/>
        <w:t>months who presented with severe pneumonia with hypoxemia. Care of the study children was supervised by both pediatricians and general practitioners (GPs). The primary outcome was treatment failure and main secondary outcome was death. Primary analysis included all children initiated on oxygen therapy assigned to their hospitals.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From June 8, 2021 to July 27, 2022, we enrolled 1240 children (620 in each arm). Each cluster size ranged from 103-104 patients. Twenty-six children experienced treatment failure, 21 (3.4%) in LF and 5 (0.8%) in bCPAP (adjusted RR 0.24, 95% CI 0.06, 0.93; p=0.04). Six patients died during hospitalization, all of whom were in LF arm (p=0.03). The median duration of hospitalization among known survivors was 53.0 hrs (45.0, 76.0) for the bCPAP group vs 62.2 hrs (44.3, 96.0) for the LF group (p=0.023). No serious adverse events were attributable to bCPAP.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Use of locally made low cost bCPAP was associated with substantial reduction of treatment failure, death, and duration of hospitalization in general hospitals in Ethiopia.</w:t>
      </w:r>
    </w:p>
    <w:p w14:paraId="72575E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25-A-2089-ASTMH</w:t>
      </w:r>
    </w:p>
    <w:p w14:paraId="1CC6EF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16EF1F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Ecological drivers of malaria vector habitat and transmission over one year of long-lasting insecticidal net intervention in Côte d’Ivoire</w:t>
      </w:r>
    </w:p>
    <w:p w14:paraId="6E9A56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decline in malaria burden in sub-Saharan Africa in recent decades is largely attributable to vector control interventions. However, there is concern that long-lasting insecticide-treated net (LLIN) effects may not be sustained due in part to differential impacts of LLIN on vector species. In this study, we aimed to test the effect of different LLIN products and environmental factors on the ecological niche of three mosquito vector species, </w:t>
      </w:r>
      <w:r w:rsidRPr="00FE5D1C">
        <w:rPr>
          <w:rFonts w:ascii="Calibri" w:eastAsia="Times New Roman" w:hAnsi="Calibri" w:cs="Calibri"/>
          <w:i/>
          <w:iCs/>
          <w:color w:val="000000"/>
          <w:kern w:val="0"/>
          <w:sz w:val="22"/>
          <w:szCs w:val="22"/>
          <w14:ligatures w14:val="none"/>
        </w:rPr>
        <w:t>Anopheles coluzzi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s.s. and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s.s., and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-infected mosquitoes, using ecological niche modeling approaches to estimate species occurrence. This study used entomological data from a cluster randomized control trial that took place in Tiébissou, in Central Côte d’Ivoire, from households across 33 trial clusters over 12 months of monitoring between July 2023 and August 2024. We used satellite remote-sensing data related to land use, climate, geography and population density across the study area alongside vector species occurrence data to construct ecological niche models for all species, at baseline and one-year post-LLIN distribution. We compared the projected habitat across the study area for each species at the two time points, and the respective contributions of each intervention arm and environmental factors. Overall reduction in projected habitat across the study area was observed for two species, and considerable overall reduction was observed for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-infected mosquitoes. We did not detect an effect of intervention arms on any vector species, while we found strong significant effects of a combination of environmental variables on each of the three mosquito vector species and the infected vectors. Our results suggest environmental factors may have facilitated or restricted changes in probability of occurrence for vector species and infected vectors in the context of vector control interventions. Our study highlights wide ecological differences across malaria vector species and supports the need to consider malaria vector species composition when deploying malaria vector control interventions.</w:t>
      </w:r>
    </w:p>
    <w:p w14:paraId="320332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25-A-2090-ASTMH</w:t>
      </w:r>
    </w:p>
    <w:p w14:paraId="3FBC01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2A8B84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Association between Placenta Malaria Parasites and Preeclampsia</w:t>
      </w:r>
    </w:p>
    <w:p w14:paraId="45764A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Malaria and pre-eclampsia are major causes of maternal mortality, especially during first pregnancies in sub-Saharan Africa. The two conditions have overlapping pathophysiologic similarities such as endothelial dysfunction, impairing the formation of new placental blood vessels in the placenta. However, despite the overlapping pathophysiologic similarities, associations between either past or active placental malaria infection with pre-eclampsia is still poorly understood. We used placenta specimens and data from an individually randomized clinical trial evaluating intermittent preventive treatment of malaria conducted in Kenya and Tanzania. Women with singleton pregnancy, HIV-negative and with placenta histopathology, were included in the analysis. Histological examinations were </w:t>
      </w:r>
      <w:r w:rsidRPr="00FE5D1C">
        <w:rPr>
          <w:rFonts w:ascii="Calibri" w:eastAsia="Times New Roman" w:hAnsi="Calibri" w:cs="Calibri"/>
          <w:color w:val="000000"/>
          <w:kern w:val="0"/>
          <w:sz w:val="22"/>
          <w:szCs w:val="22"/>
          <w14:ligatures w14:val="none"/>
        </w:rPr>
        <w:lastRenderedPageBreak/>
        <w:t>performed to isolate malaria parasites from placenta samples obtained from the maternal surface of the placenta. Among the 2,457 participants who met the criteria, 529 (21.5%) had evidence of placental malaria. Out of those 487(92%) had past infection. Out of 2,457 participants, 48 (2%) developed pre-eclampsia, while 257 (10.8%) experienced other hypertensive disorders of pregnancy. The results show that individuals with past placental malaria infection had about twice the prevalence of pre-eclampsia as compared to those with active infection (4.1% vs. 2.6%, p=0.003). In addition, participants with both past infection and preeclampsia were linked to higher odds of adverse pregnancy outcomes, including preterm delivery (AOR = 1.73, 95% CI: 1.04-2.68) and stillbirth (AOR = 1.70, 95% CI: 1.14-3.06). However, overall placental malaria was not significantly associated with pre-eclampsia or other hypertensive disorders of pregnancy. The study nonetheless has shown that placental malaria exposure may increase the risk of pre-eclampsia, therefore, efforts should be geared toward early diagnosis and treatment of malaria especially in early pregnancy. Further, rigorous studies should be undertaken to investigate the association between placental malaria infection and preeclampsia given pathophysiologic similarities.</w:t>
      </w:r>
    </w:p>
    <w:p w14:paraId="661FFC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25-A-2091-ASTMH</w:t>
      </w:r>
    </w:p>
    <w:p w14:paraId="741562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73690D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Matrix-M adjuvant - A key adjuvant in global vaccine development</w:t>
      </w:r>
    </w:p>
    <w:p w14:paraId="202B2B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There is a need for safe, immunogenic, and cost-effective vaccine adjuvants that are compatible with multiple platforms and without significant supply constraints. Matrix-M®, a saponin-based adjuvant, enhances immune responses through multiple mechanisms such as immune cell recruitment, Th1 biased immune response and inflammasome activation. Early distribution to draining lymph nodes produces long-lasting memory B-cells and broad-based T-cell immunity.</w:t>
      </w:r>
      <w:r w:rsidRPr="00FE5D1C">
        <w:rPr>
          <w:rFonts w:ascii="Calibri" w:eastAsia="Times New Roman" w:hAnsi="Calibri" w:cs="Calibri"/>
          <w:color w:val="000000"/>
          <w:kern w:val="0"/>
          <w:sz w:val="22"/>
          <w:szCs w:val="22"/>
          <w:vertAlign w:val="superscript"/>
          <w14:ligatures w14:val="none"/>
        </w:rPr>
        <w:t>1</w:t>
      </w:r>
      <w:r w:rsidRPr="00FE5D1C">
        <w:rPr>
          <w:rFonts w:ascii="Calibri" w:eastAsia="Times New Roman" w:hAnsi="Calibri" w:cs="Calibri"/>
          <w:color w:val="000000"/>
          <w:kern w:val="0"/>
          <w:sz w:val="22"/>
          <w:szCs w:val="22"/>
          <w14:ligatures w14:val="none"/>
        </w:rPr>
        <w:t> Matrix-M-containing vaccines are immunogenic and safe in both pediatric [e.g., malaria (R21/MM)</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and COVID-19</w:t>
      </w:r>
      <w:r w:rsidRPr="00FE5D1C">
        <w:rPr>
          <w:rFonts w:ascii="Calibri" w:eastAsia="Times New Roman" w:hAnsi="Calibri" w:cs="Calibri"/>
          <w:color w:val="000000"/>
          <w:kern w:val="0"/>
          <w:sz w:val="22"/>
          <w:szCs w:val="22"/>
          <w:vertAlign w:val="superscript"/>
          <w14:ligatures w14:val="none"/>
        </w:rPr>
        <w:t>3</w:t>
      </w:r>
      <w:r w:rsidRPr="00FE5D1C">
        <w:rPr>
          <w:rFonts w:ascii="Calibri" w:eastAsia="Times New Roman" w:hAnsi="Calibri" w:cs="Calibri"/>
          <w:color w:val="000000"/>
          <w:kern w:val="0"/>
          <w:sz w:val="22"/>
          <w:szCs w:val="22"/>
          <w14:ligatures w14:val="none"/>
        </w:rPr>
        <w:t>] and adult populations [e.g., malaria (R21/MM),</w:t>
      </w:r>
      <w:r w:rsidRPr="00FE5D1C">
        <w:rPr>
          <w:rFonts w:ascii="Calibri" w:eastAsia="Times New Roman" w:hAnsi="Calibri" w:cs="Calibri"/>
          <w:color w:val="000000"/>
          <w:kern w:val="0"/>
          <w:sz w:val="22"/>
          <w:szCs w:val="22"/>
          <w:vertAlign w:val="superscript"/>
          <w14:ligatures w14:val="none"/>
        </w:rPr>
        <w:t>4,5</w:t>
      </w:r>
      <w:r w:rsidRPr="00FE5D1C">
        <w:rPr>
          <w:rFonts w:ascii="Calibri" w:eastAsia="Times New Roman" w:hAnsi="Calibri" w:cs="Calibri"/>
          <w:color w:val="000000"/>
          <w:kern w:val="0"/>
          <w:sz w:val="22"/>
          <w:szCs w:val="22"/>
          <w14:ligatures w14:val="none"/>
        </w:rPr>
        <w:t> COVID-19, influenza,</w:t>
      </w:r>
      <w:r w:rsidRPr="00FE5D1C">
        <w:rPr>
          <w:rFonts w:ascii="Calibri" w:eastAsia="Times New Roman" w:hAnsi="Calibri" w:cs="Calibri"/>
          <w:color w:val="000000"/>
          <w:kern w:val="0"/>
          <w:sz w:val="22"/>
          <w:szCs w:val="22"/>
          <w:vertAlign w:val="superscript"/>
          <w14:ligatures w14:val="none"/>
        </w:rPr>
        <w:t>6</w:t>
      </w:r>
      <w:r w:rsidRPr="00FE5D1C">
        <w:rPr>
          <w:rFonts w:ascii="Calibri" w:eastAsia="Times New Roman" w:hAnsi="Calibri" w:cs="Calibri"/>
          <w:color w:val="000000"/>
          <w:kern w:val="0"/>
          <w:sz w:val="22"/>
          <w:szCs w:val="22"/>
          <w14:ligatures w14:val="none"/>
        </w:rPr>
        <w:t> and Ebola</w:t>
      </w:r>
      <w:r w:rsidRPr="00FE5D1C">
        <w:rPr>
          <w:rFonts w:ascii="Calibri" w:eastAsia="Times New Roman" w:hAnsi="Calibri" w:cs="Calibri"/>
          <w:color w:val="000000"/>
          <w:kern w:val="0"/>
          <w:sz w:val="22"/>
          <w:szCs w:val="22"/>
          <w:vertAlign w:val="superscript"/>
          <w14:ligatures w14:val="none"/>
        </w:rPr>
        <w:t>7</w:t>
      </w:r>
      <w:r w:rsidRPr="00FE5D1C">
        <w:rPr>
          <w:rFonts w:ascii="Calibri" w:eastAsia="Times New Roman" w:hAnsi="Calibri" w:cs="Calibri"/>
          <w:color w:val="000000"/>
          <w:kern w:val="0"/>
          <w:sz w:val="22"/>
          <w:szCs w:val="22"/>
          <w14:ligatures w14:val="none"/>
        </w:rPr>
        <w:t>]. Matrix-M is dose-sparing</w:t>
      </w:r>
      <w:r w:rsidRPr="00FE5D1C">
        <w:rPr>
          <w:rFonts w:ascii="Calibri" w:eastAsia="Times New Roman" w:hAnsi="Calibri" w:cs="Calibri"/>
          <w:color w:val="000000"/>
          <w:kern w:val="0"/>
          <w:sz w:val="22"/>
          <w:szCs w:val="22"/>
          <w:vertAlign w:val="superscript"/>
          <w14:ligatures w14:val="none"/>
        </w:rPr>
        <w:t>8</w:t>
      </w:r>
      <w:r w:rsidRPr="00FE5D1C">
        <w:rPr>
          <w:rFonts w:ascii="Calibri" w:eastAsia="Times New Roman" w:hAnsi="Calibri" w:cs="Calibri"/>
          <w:color w:val="000000"/>
          <w:kern w:val="0"/>
          <w:sz w:val="22"/>
          <w:szCs w:val="22"/>
          <w14:ligatures w14:val="none"/>
        </w:rPr>
        <w:t> and broadens antibody responses resulting in recognition of a wider range of epitopes.</w:t>
      </w:r>
      <w:r w:rsidRPr="00FE5D1C">
        <w:rPr>
          <w:rFonts w:ascii="Calibri" w:eastAsia="Times New Roman" w:hAnsi="Calibri" w:cs="Calibri"/>
          <w:color w:val="000000"/>
          <w:kern w:val="0"/>
          <w:sz w:val="22"/>
          <w:szCs w:val="22"/>
          <w:vertAlign w:val="superscript"/>
          <w14:ligatures w14:val="none"/>
        </w:rPr>
        <w:t>9</w:t>
      </w:r>
      <w:r w:rsidRPr="00FE5D1C">
        <w:rPr>
          <w:rFonts w:ascii="Calibri" w:eastAsia="Times New Roman" w:hAnsi="Calibri" w:cs="Calibri"/>
          <w:color w:val="000000"/>
          <w:kern w:val="0"/>
          <w:sz w:val="22"/>
          <w:szCs w:val="22"/>
          <w14:ligatures w14:val="none"/>
        </w:rPr>
        <w:t> Broad spectrum compatibility across pathogen strains</w:t>
      </w:r>
      <w:r w:rsidRPr="00FE5D1C">
        <w:rPr>
          <w:rFonts w:ascii="Calibri" w:eastAsia="Times New Roman" w:hAnsi="Calibri" w:cs="Calibri"/>
          <w:color w:val="000000"/>
          <w:kern w:val="0"/>
          <w:sz w:val="22"/>
          <w:szCs w:val="22"/>
          <w:vertAlign w:val="superscript"/>
          <w14:ligatures w14:val="none"/>
        </w:rPr>
        <w:t>10</w:t>
      </w:r>
      <w:r w:rsidRPr="00FE5D1C">
        <w:rPr>
          <w:rFonts w:ascii="Calibri" w:eastAsia="Times New Roman" w:hAnsi="Calibri" w:cs="Calibri"/>
          <w:color w:val="000000"/>
          <w:kern w:val="0"/>
          <w:sz w:val="22"/>
          <w:szCs w:val="22"/>
          <w14:ligatures w14:val="none"/>
        </w:rPr>
        <w:t> makes it a useful adjuvant for vaccines targeting forward drifted variants.</w:t>
      </w:r>
      <w:r w:rsidRPr="00FE5D1C">
        <w:rPr>
          <w:rFonts w:ascii="Calibri" w:eastAsia="Times New Roman" w:hAnsi="Calibri" w:cs="Calibri"/>
          <w:color w:val="000000"/>
          <w:kern w:val="0"/>
          <w:sz w:val="22"/>
          <w:szCs w:val="22"/>
          <w:vertAlign w:val="superscript"/>
          <w14:ligatures w14:val="none"/>
        </w:rPr>
        <w:t>11</w:t>
      </w:r>
      <w:r w:rsidRPr="00FE5D1C">
        <w:rPr>
          <w:rFonts w:ascii="Calibri" w:eastAsia="Times New Roman" w:hAnsi="Calibri" w:cs="Calibri"/>
          <w:color w:val="000000"/>
          <w:kern w:val="0"/>
          <w:sz w:val="22"/>
          <w:szCs w:val="22"/>
          <w14:ligatures w14:val="none"/>
        </w:rPr>
        <w:t> Matrix-M has been used in combination vaccines to target multiple diseases</w:t>
      </w:r>
      <w:r w:rsidRPr="00FE5D1C">
        <w:rPr>
          <w:rFonts w:ascii="Calibri" w:eastAsia="Times New Roman" w:hAnsi="Calibri" w:cs="Calibri"/>
          <w:color w:val="000000"/>
          <w:kern w:val="0"/>
          <w:sz w:val="22"/>
          <w:szCs w:val="22"/>
          <w:vertAlign w:val="superscript"/>
          <w14:ligatures w14:val="none"/>
        </w:rPr>
        <w:t>12</w:t>
      </w:r>
      <w:r w:rsidRPr="00FE5D1C">
        <w:rPr>
          <w:rFonts w:ascii="Calibri" w:eastAsia="Times New Roman" w:hAnsi="Calibri" w:cs="Calibri"/>
          <w:color w:val="000000"/>
          <w:kern w:val="0"/>
          <w:sz w:val="22"/>
          <w:szCs w:val="22"/>
          <w14:ligatures w14:val="none"/>
        </w:rPr>
        <w:t> and with antigens from different life cycle stages of the same pathogen (e.g., malaria).</w:t>
      </w:r>
      <w:r w:rsidRPr="00FE5D1C">
        <w:rPr>
          <w:rFonts w:ascii="Calibri" w:eastAsia="Times New Roman" w:hAnsi="Calibri" w:cs="Calibri"/>
          <w:color w:val="000000"/>
          <w:kern w:val="0"/>
          <w:sz w:val="22"/>
          <w:szCs w:val="22"/>
          <w:vertAlign w:val="superscript"/>
          <w14:ligatures w14:val="none"/>
        </w:rPr>
        <w:t>13</w:t>
      </w:r>
      <w:r w:rsidRPr="00FE5D1C">
        <w:rPr>
          <w:rFonts w:ascii="Calibri" w:eastAsia="Times New Roman" w:hAnsi="Calibri" w:cs="Calibri"/>
          <w:color w:val="000000"/>
          <w:kern w:val="0"/>
          <w:sz w:val="22"/>
          <w:szCs w:val="22"/>
          <w14:ligatures w14:val="none"/>
        </w:rPr>
        <w:t> Combination vaccines have the potential to expand vaccine coverage and access. Matrix-M is cost-effective</w:t>
      </w:r>
      <w:r w:rsidRPr="00FE5D1C">
        <w:rPr>
          <w:rFonts w:ascii="Calibri" w:eastAsia="Times New Roman" w:hAnsi="Calibri" w:cs="Calibri"/>
          <w:color w:val="000000"/>
          <w:kern w:val="0"/>
          <w:sz w:val="22"/>
          <w:szCs w:val="22"/>
          <w:vertAlign w:val="superscript"/>
          <w14:ligatures w14:val="none"/>
        </w:rPr>
        <w:t>10</w:t>
      </w:r>
      <w:r w:rsidRPr="00FE5D1C">
        <w:rPr>
          <w:rFonts w:ascii="Calibri" w:eastAsia="Times New Roman" w:hAnsi="Calibri" w:cs="Calibri"/>
          <w:color w:val="000000"/>
          <w:kern w:val="0"/>
          <w:sz w:val="22"/>
          <w:szCs w:val="22"/>
          <w14:ligatures w14:val="none"/>
        </w:rPr>
        <w:t> and stable at room temperature. These characteristics help overcome critical barriers to vaccine deployment, particularly in resource limited settings such as low- and middle-income countries.</w:t>
      </w:r>
      <w:r w:rsidRPr="00FE5D1C">
        <w:rPr>
          <w:rFonts w:ascii="Calibri" w:eastAsia="Times New Roman" w:hAnsi="Calibri" w:cs="Calibri"/>
          <w:color w:val="000000"/>
          <w:kern w:val="0"/>
          <w:sz w:val="22"/>
          <w:szCs w:val="22"/>
          <w:vertAlign w:val="superscript"/>
          <w14:ligatures w14:val="none"/>
        </w:rPr>
        <w:t>14 </w:t>
      </w:r>
      <w:r w:rsidRPr="00FE5D1C">
        <w:rPr>
          <w:rFonts w:ascii="Calibri" w:eastAsia="Times New Roman" w:hAnsi="Calibri" w:cs="Calibri"/>
          <w:color w:val="000000"/>
          <w:kern w:val="0"/>
          <w:sz w:val="22"/>
          <w:szCs w:val="22"/>
          <w14:ligatures w14:val="none"/>
        </w:rPr>
        <w:t>Matrix-M can be produced sustainably and has been utilized with a variety of antigens and platforms, including purified recombinant proteins, adenoviral vectors, nanoparticles, virosomes, inactivated viruses, and virus-like particles, making it an attractive candidate for collaborative development of new vaccines. Additional experiments are underway to better understand the mechanisms of action and utility of Matrix-M in conjunction with various vaccine platforms and across different formulations. (Note: references available upon request)</w:t>
      </w:r>
    </w:p>
    <w:p w14:paraId="333930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25-A-2092-ASTMH</w:t>
      </w:r>
    </w:p>
    <w:p w14:paraId="3413CA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763D16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Unraveling the complexities of Plasmodium falciparum and Plasmodium vivax mixed infections: Parasite density,</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Gametocyte dynamics, and Transmission to mosquitoes</w:t>
      </w:r>
    </w:p>
    <w:p w14:paraId="208392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co-endemic settings, the frequency of mixed </w:t>
      </w:r>
      <w:r w:rsidRPr="00FE5D1C">
        <w:rPr>
          <w:rFonts w:ascii="Calibri" w:eastAsia="Times New Roman" w:hAnsi="Calibri" w:cs="Calibri"/>
          <w:i/>
          <w:iCs/>
          <w:color w:val="000000"/>
          <w:kern w:val="0"/>
          <w:sz w:val="22"/>
          <w:szCs w:val="22"/>
          <w14:ligatures w14:val="none"/>
        </w:rPr>
        <w:t>Plasmodium falciparum (Pf)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Plasmodium vivax (Pv) </w:t>
      </w:r>
      <w:r w:rsidRPr="00FE5D1C">
        <w:rPr>
          <w:rFonts w:ascii="Calibri" w:eastAsia="Times New Roman" w:hAnsi="Calibri" w:cs="Calibri"/>
          <w:color w:val="000000"/>
          <w:kern w:val="0"/>
          <w:sz w:val="22"/>
          <w:szCs w:val="22"/>
          <w14:ligatures w14:val="none"/>
        </w:rPr>
        <w:t>infections identified in wild-caught mosquitoes is typically too low to account for the observed transmission patterns in clinical cases. To investigate this discrepancy, we examined parasite and gametocyte dynamics as well as mosquito infectivity across three natural infection types: </w:t>
      </w:r>
      <w:r w:rsidRPr="00FE5D1C">
        <w:rPr>
          <w:rFonts w:ascii="Calibri" w:eastAsia="Times New Roman" w:hAnsi="Calibri" w:cs="Calibri"/>
          <w:i/>
          <w:iCs/>
          <w:color w:val="000000"/>
          <w:kern w:val="0"/>
          <w:sz w:val="22"/>
          <w:szCs w:val="22"/>
          <w14:ligatures w14:val="none"/>
        </w:rPr>
        <w:t>Pv </w:t>
      </w:r>
      <w:r w:rsidRPr="00FE5D1C">
        <w:rPr>
          <w:rFonts w:ascii="Calibri" w:eastAsia="Times New Roman" w:hAnsi="Calibri" w:cs="Calibri"/>
          <w:color w:val="000000"/>
          <w:kern w:val="0"/>
          <w:sz w:val="22"/>
          <w:szCs w:val="22"/>
          <w14:ligatures w14:val="none"/>
        </w:rPr>
        <w:t>mono- (n=371),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mono- (n=136), and mixed</w:t>
      </w:r>
      <w:r w:rsidRPr="00FE5D1C">
        <w:rPr>
          <w:rFonts w:ascii="Calibri" w:eastAsia="Times New Roman" w:hAnsi="Calibri" w:cs="Calibri"/>
          <w:i/>
          <w:iCs/>
          <w:color w:val="000000"/>
          <w:kern w:val="0"/>
          <w:sz w:val="22"/>
          <w:szCs w:val="22"/>
          <w14:ligatures w14:val="none"/>
        </w:rPr>
        <w:t> Pv/Pf </w:t>
      </w:r>
      <w:r w:rsidRPr="00FE5D1C">
        <w:rPr>
          <w:rFonts w:ascii="Calibri" w:eastAsia="Times New Roman" w:hAnsi="Calibri" w:cs="Calibri"/>
          <w:color w:val="000000"/>
          <w:kern w:val="0"/>
          <w:sz w:val="22"/>
          <w:szCs w:val="22"/>
          <w14:ligatures w14:val="none"/>
        </w:rPr>
        <w:t>infections (n=60) in Ethiopia using Direct membrane feeding assays. A total of 567 patients, predominantly male (65.9%, 374/567) with a median age of 15 years (IQR: 10 – 20), were enrolled. </w:t>
      </w:r>
      <w:r w:rsidRPr="00FE5D1C">
        <w:rPr>
          <w:rFonts w:ascii="Calibri" w:eastAsia="Times New Roman" w:hAnsi="Calibri" w:cs="Calibri"/>
          <w:i/>
          <w:iCs/>
          <w:color w:val="000000"/>
          <w:kern w:val="0"/>
          <w:sz w:val="22"/>
          <w:szCs w:val="22"/>
          <w14:ligatures w14:val="none"/>
        </w:rPr>
        <w:t>Pv</w:t>
      </w:r>
      <w:r w:rsidRPr="00FE5D1C">
        <w:rPr>
          <w:rFonts w:ascii="Calibri" w:eastAsia="Times New Roman" w:hAnsi="Calibri" w:cs="Calibri"/>
          <w:color w:val="000000"/>
          <w:kern w:val="0"/>
          <w:sz w:val="22"/>
          <w:szCs w:val="22"/>
          <w14:ligatures w14:val="none"/>
        </w:rPr>
        <w:t> parasite density was higher in mono-infections (median: 110,789 18S copies/µL; IQR: 23,407–381,867) than in mixed infections (24,522 copies/µL; 4,971–</w:t>
      </w:r>
      <w:r w:rsidRPr="00FE5D1C">
        <w:rPr>
          <w:rFonts w:ascii="Calibri" w:eastAsia="Times New Roman" w:hAnsi="Calibri" w:cs="Calibri"/>
          <w:color w:val="000000"/>
          <w:kern w:val="0"/>
          <w:sz w:val="22"/>
          <w:szCs w:val="22"/>
          <w14:ligatures w14:val="none"/>
        </w:rPr>
        <w:lastRenderedPageBreak/>
        <w:t>124,885;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&lt;000.1). </w:t>
      </w:r>
      <w:r w:rsidRPr="00FE5D1C">
        <w:rPr>
          <w:rFonts w:ascii="Calibri" w:eastAsia="Times New Roman" w:hAnsi="Calibri" w:cs="Calibri"/>
          <w:i/>
          <w:iCs/>
          <w:color w:val="000000"/>
          <w:kern w:val="0"/>
          <w:sz w:val="22"/>
          <w:szCs w:val="22"/>
          <w14:ligatures w14:val="none"/>
        </w:rPr>
        <w:t>Pv</w:t>
      </w:r>
      <w:r w:rsidRPr="00FE5D1C">
        <w:rPr>
          <w:rFonts w:ascii="Calibri" w:eastAsia="Times New Roman" w:hAnsi="Calibri" w:cs="Calibri"/>
          <w:color w:val="000000"/>
          <w:kern w:val="0"/>
          <w:sz w:val="22"/>
          <w:szCs w:val="22"/>
          <w14:ligatures w14:val="none"/>
        </w:rPr>
        <w:t> gametocyte densities followed similar pattern (mono: 24,494; IQR: 3,129–129,557 vs. mixed: 5,594 copies/µL; IQR: 705–96,807;</w:t>
      </w:r>
      <w:r w:rsidRPr="00FE5D1C">
        <w:rPr>
          <w:rFonts w:ascii="Calibri" w:eastAsia="Times New Roman" w:hAnsi="Calibri" w:cs="Calibri"/>
          <w:i/>
          <w:iCs/>
          <w:color w:val="000000"/>
          <w:kern w:val="0"/>
          <w:sz w:val="22"/>
          <w:szCs w:val="22"/>
          <w14:ligatures w14:val="none"/>
        </w:rPr>
        <w:t> p</w:t>
      </w:r>
      <w:r w:rsidRPr="00FE5D1C">
        <w:rPr>
          <w:rFonts w:ascii="Calibri" w:eastAsia="Times New Roman" w:hAnsi="Calibri" w:cs="Calibri"/>
          <w:color w:val="000000"/>
          <w:kern w:val="0"/>
          <w:sz w:val="22"/>
          <w:szCs w:val="22"/>
          <w14:ligatures w14:val="none"/>
        </w:rPr>
        <w:t>=0.036). In contrast,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parasite and gametocyte levels were similar between </w:t>
      </w:r>
      <w:r w:rsidRPr="00FE5D1C">
        <w:rPr>
          <w:rFonts w:ascii="Calibri" w:eastAsia="Times New Roman" w:hAnsi="Calibri" w:cs="Calibri"/>
          <w:i/>
          <w:iCs/>
          <w:color w:val="000000"/>
          <w:kern w:val="0"/>
          <w:sz w:val="22"/>
          <w:szCs w:val="22"/>
          <w14:ligatures w14:val="none"/>
        </w:rPr>
        <w:t>Pf </w:t>
      </w:r>
      <w:r w:rsidRPr="00FE5D1C">
        <w:rPr>
          <w:rFonts w:ascii="Calibri" w:eastAsia="Times New Roman" w:hAnsi="Calibri" w:cs="Calibri"/>
          <w:color w:val="000000"/>
          <w:kern w:val="0"/>
          <w:sz w:val="22"/>
          <w:szCs w:val="22"/>
          <w14:ligatures w14:val="none"/>
        </w:rPr>
        <w:t>mono- and mixed- infections. Overall, 72.8% (413/567) of patients were infectious to mosquitoes, based on oocysts detection in mosquito mid-guts. Infectivity rates were consistent across groups: </w:t>
      </w:r>
      <w:r w:rsidRPr="00FE5D1C">
        <w:rPr>
          <w:rFonts w:ascii="Calibri" w:eastAsia="Times New Roman" w:hAnsi="Calibri" w:cs="Calibri"/>
          <w:i/>
          <w:iCs/>
          <w:color w:val="000000"/>
          <w:kern w:val="0"/>
          <w:sz w:val="22"/>
          <w:szCs w:val="22"/>
          <w14:ligatures w14:val="none"/>
        </w:rPr>
        <w:t>Pv </w:t>
      </w:r>
      <w:r w:rsidRPr="00FE5D1C">
        <w:rPr>
          <w:rFonts w:ascii="Calibri" w:eastAsia="Times New Roman" w:hAnsi="Calibri" w:cs="Calibri"/>
          <w:color w:val="000000"/>
          <w:kern w:val="0"/>
          <w:sz w:val="22"/>
          <w:szCs w:val="22"/>
          <w14:ligatures w14:val="none"/>
        </w:rPr>
        <w:t>mono (71.9%; 267/371),</w:t>
      </w:r>
      <w:r w:rsidRPr="00FE5D1C">
        <w:rPr>
          <w:rFonts w:ascii="Calibri" w:eastAsia="Times New Roman" w:hAnsi="Calibri" w:cs="Calibri"/>
          <w:i/>
          <w:iCs/>
          <w:color w:val="000000"/>
          <w:kern w:val="0"/>
          <w:sz w:val="22"/>
          <w:szCs w:val="22"/>
          <w14:ligatures w14:val="none"/>
        </w:rPr>
        <w:t> Pf </w:t>
      </w:r>
      <w:r w:rsidRPr="00FE5D1C">
        <w:rPr>
          <w:rFonts w:ascii="Calibri" w:eastAsia="Times New Roman" w:hAnsi="Calibri" w:cs="Calibri"/>
          <w:color w:val="000000"/>
          <w:kern w:val="0"/>
          <w:sz w:val="22"/>
          <w:szCs w:val="22"/>
          <w14:ligatures w14:val="none"/>
        </w:rPr>
        <w:t>mono (75 %; 102/136) and mixed infections (73.3%; 44/60)</w:t>
      </w:r>
      <w:r w:rsidRPr="00FE5D1C">
        <w:rPr>
          <w:rFonts w:ascii="Calibri" w:eastAsia="Times New Roman" w:hAnsi="Calibri" w:cs="Calibri"/>
          <w:b/>
          <w:bCs/>
          <w:color w:val="000000"/>
          <w:kern w:val="0"/>
          <w:sz w:val="22"/>
          <w:szCs w:val="22"/>
          <w14:ligatures w14:val="none"/>
        </w:rPr>
        <w:t>.</w:t>
      </w:r>
      <w:r w:rsidRPr="00FE5D1C">
        <w:rPr>
          <w:rFonts w:ascii="Calibri" w:eastAsia="Times New Roman" w:hAnsi="Calibri" w:cs="Calibri"/>
          <w:color w:val="000000"/>
          <w:kern w:val="0"/>
          <w:sz w:val="22"/>
          <w:szCs w:val="22"/>
          <w14:ligatures w14:val="none"/>
        </w:rPr>
        <w:t> Among the 41 infectious mixed-species feeds at the oocysts stage, 83.0% (34) resulted in sporozoite stage infection. Of these, 63.4% (26/41) transmitted both species, 19.5% (8/41) transmitted </w:t>
      </w:r>
      <w:r w:rsidRPr="00FE5D1C">
        <w:rPr>
          <w:rFonts w:ascii="Calibri" w:eastAsia="Times New Roman" w:hAnsi="Calibri" w:cs="Calibri"/>
          <w:i/>
          <w:iCs/>
          <w:color w:val="000000"/>
          <w:kern w:val="0"/>
          <w:sz w:val="22"/>
          <w:szCs w:val="22"/>
          <w14:ligatures w14:val="none"/>
        </w:rPr>
        <w:t>Pv</w:t>
      </w:r>
      <w:r w:rsidRPr="00FE5D1C">
        <w:rPr>
          <w:rFonts w:ascii="Calibri" w:eastAsia="Times New Roman" w:hAnsi="Calibri" w:cs="Calibri"/>
          <w:color w:val="000000"/>
          <w:kern w:val="0"/>
          <w:sz w:val="22"/>
          <w:szCs w:val="22"/>
          <w14:ligatures w14:val="none"/>
        </w:rPr>
        <w:t> only and 12.5% (5/41) </w:t>
      </w:r>
      <w:r w:rsidRPr="00FE5D1C">
        <w:rPr>
          <w:rFonts w:ascii="Calibri" w:eastAsia="Times New Roman" w:hAnsi="Calibri" w:cs="Calibri"/>
          <w:i/>
          <w:iCs/>
          <w:color w:val="000000"/>
          <w:kern w:val="0"/>
          <w:sz w:val="22"/>
          <w:szCs w:val="22"/>
          <w14:ligatures w14:val="none"/>
        </w:rPr>
        <w:t>Pf </w:t>
      </w:r>
      <w:r w:rsidRPr="00FE5D1C">
        <w:rPr>
          <w:rFonts w:ascii="Calibri" w:eastAsia="Times New Roman" w:hAnsi="Calibri" w:cs="Calibri"/>
          <w:color w:val="000000"/>
          <w:kern w:val="0"/>
          <w:sz w:val="22"/>
          <w:szCs w:val="22"/>
          <w14:ligatures w14:val="none"/>
        </w:rPr>
        <w:t>only. In total, 50.8% (335/660) of mosquitoes became infected during these feeds: 16.8% (111/660) with </w:t>
      </w:r>
      <w:r w:rsidRPr="00FE5D1C">
        <w:rPr>
          <w:rFonts w:ascii="Calibri" w:eastAsia="Times New Roman" w:hAnsi="Calibri" w:cs="Calibri"/>
          <w:i/>
          <w:iCs/>
          <w:color w:val="000000"/>
          <w:kern w:val="0"/>
          <w:sz w:val="22"/>
          <w:szCs w:val="22"/>
          <w14:ligatures w14:val="none"/>
        </w:rPr>
        <w:t>Pv</w:t>
      </w:r>
      <w:r w:rsidRPr="00FE5D1C">
        <w:rPr>
          <w:rFonts w:ascii="Calibri" w:eastAsia="Times New Roman" w:hAnsi="Calibri" w:cs="Calibri"/>
          <w:color w:val="000000"/>
          <w:kern w:val="0"/>
          <w:sz w:val="22"/>
          <w:szCs w:val="22"/>
          <w14:ligatures w14:val="none"/>
        </w:rPr>
        <w:t> only, 15.5% (102/660) </w:t>
      </w:r>
      <w:r w:rsidRPr="00FE5D1C">
        <w:rPr>
          <w:rFonts w:ascii="Calibri" w:eastAsia="Times New Roman" w:hAnsi="Calibri" w:cs="Calibri"/>
          <w:i/>
          <w:iCs/>
          <w:color w:val="000000"/>
          <w:kern w:val="0"/>
          <w:sz w:val="22"/>
          <w:szCs w:val="22"/>
          <w14:ligatures w14:val="none"/>
        </w:rPr>
        <w:t>Pf </w:t>
      </w:r>
      <w:r w:rsidRPr="00FE5D1C">
        <w:rPr>
          <w:rFonts w:ascii="Calibri" w:eastAsia="Times New Roman" w:hAnsi="Calibri" w:cs="Calibri"/>
          <w:color w:val="000000"/>
          <w:kern w:val="0"/>
          <w:sz w:val="22"/>
          <w:szCs w:val="22"/>
          <w14:ligatures w14:val="none"/>
        </w:rPr>
        <w:t>only, and 18.5% (122/660) with both species. Despite generally lower parasite and gametocyte densities in mixed infections compared to </w:t>
      </w:r>
      <w:r w:rsidRPr="00FE5D1C">
        <w:rPr>
          <w:rFonts w:ascii="Calibri" w:eastAsia="Times New Roman" w:hAnsi="Calibri" w:cs="Calibri"/>
          <w:i/>
          <w:iCs/>
          <w:color w:val="000000"/>
          <w:kern w:val="0"/>
          <w:sz w:val="22"/>
          <w:szCs w:val="22"/>
          <w14:ligatures w14:val="none"/>
        </w:rPr>
        <w:t>Pv</w:t>
      </w:r>
      <w:r w:rsidRPr="00FE5D1C">
        <w:rPr>
          <w:rFonts w:ascii="Calibri" w:eastAsia="Times New Roman" w:hAnsi="Calibri" w:cs="Calibri"/>
          <w:color w:val="000000"/>
          <w:kern w:val="0"/>
          <w:sz w:val="22"/>
          <w:szCs w:val="22"/>
          <w14:ligatures w14:val="none"/>
        </w:rPr>
        <w:t> mono-infections, most patients with mixed infections transmitted both species to mosquitoes. These findings suggest the transmission competence of mixed-species infections and underscore the importance of further exploring the transmission cycle from mosquitoes to humans.</w:t>
      </w:r>
    </w:p>
    <w:p w14:paraId="729B88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25-A-2093-ASTMH</w:t>
      </w:r>
    </w:p>
    <w:p w14:paraId="53D3EB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0402A9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Assessing cohort retention and associated factors among seasonal malaria chemoprevention eligible children in four West and Central African countries in 2024</w:t>
      </w:r>
    </w:p>
    <w:p w14:paraId="751DED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Seasonal malaria chemoprevention (SMC) with sulfadoxine-pyrimethamine plus amodiaquine (SPAQ) has been shown to be a highly effective malaria chemoprevention strategy in eligible settings. Cohort retention, defined as adherence to a full three-day course of SPAQ in each of the four or five cycles of the annual SMC round, is essential for maximizing protection. Identifying factors that affect cohort retention can help to increase the coverage and impact of SMC. This study investigated the factors associated with cohort retention among eligible children in Burkina Faso, Chad, Nigeria and Togo. Data were extracted from household surveys conducted at the end of the 2024 SMC round in each of the countries. Responses from 16,560 pairs of caregivers and eligible children aged 3-59 months were analysed. Three-level, mixed-effects multivariable logistic regression models were fitted to explore factors associated with retention at the child, caregiver, and health systems levels. Among eligible children sampled, 80.1% (95% CI: 79.5-80.7) received full three-day courses of SPAQ in all cycles of the round, ranging from 72.8% in Burkina Faso to 77.4%, 80.8% and 85.5% in Chad, Nigeria, and Togo, respectively. The odds of retention increased with a child’s age, with four-year-olds having the highest odds (aOR: 9.59, 95% CI: 5.76-15.97). Higher odds of retention were also observed in children whose caregivers were knowledgeable about SMC eligibility (aOR: 1.73, 95% CI:1.36-2.20), believed that SMC is effective (aOR: 1.81, 95% CI: 1.27-2.58), had more positive perceptions of SMC (aOR: 4.50, 95% CI: 2.31-8.77) and were familiar with community distributors (aOR: 1.66, 95% CI:1.42-1.94). In Nigeria where a lead-mother initiative was implemented during the round, children in households that were visited by lead-mothers also had higher odds of retention (aOR: 2.29, 95% CI:1.92-2.74). Strengthening SMC intervention design to focus on caregiver knowledge, perceptions, belief in SMC effectiveness and familiarity with distributors could help to improve cohort retention rates and ensure children are protected throughout the SMC round.</w:t>
      </w:r>
    </w:p>
    <w:p w14:paraId="1827D4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25-A-2094-ASTMH</w:t>
      </w:r>
    </w:p>
    <w:p w14:paraId="4B22BD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0EC934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REMOVED FROM PROGRAM 6061 Understanding the Impact of Avian Influenza Containment Measures on Poultry Farmers in Peru: A Qualitative Study</w:t>
      </w:r>
    </w:p>
    <w:p w14:paraId="57E70D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Peru ranks among the top 10 poultry-producing countries worldwide, making avian influenza (AIV) a critical threat to animal and human health and economic stability. The 2022 highly pathogenic avian influenza (HPAI) H5N1 outbreak led to strict containment measures, including mass poultry culling, disproportionately affecting small- and medium-scale poultry farmers. Mejía, a key poultry-producing region in Peru, is located near the Tía María copper mining project. This controversial development has </w:t>
      </w:r>
      <w:r w:rsidRPr="00FE5D1C">
        <w:rPr>
          <w:rFonts w:ascii="Calibri" w:eastAsia="Times New Roman" w:hAnsi="Calibri" w:cs="Calibri"/>
          <w:color w:val="000000"/>
          <w:kern w:val="0"/>
          <w:sz w:val="22"/>
          <w:szCs w:val="22"/>
          <w14:ligatures w14:val="none"/>
        </w:rPr>
        <w:lastRenderedPageBreak/>
        <w:t>raised concerns about environmental changes, water use, and potential impacts on poultry farming. We adopted a One Health approach to explore the intersection of zoonosis control, economic resilience, and environmental changes affecting poultry producers in coastal Peru. We used qualitative tools with poultry farmers in the affected area. Participants were purposively sampled based on farm size, industry involvement, and experience with HPAI containment. Data were analyzed thematically to identify key challenges, perceptions of control measures, and their effects on production, livelihoods, health, and biosecurity. We also explored the influence of environmental stressors, such as those related to the nearby mining industry, on disease dynamics and sustainability. HPAI control measures have different financial repercussions depending on factors like farm size or alternative income sources. Communication between communities and authorities regarding control strategies is limited and inconsistent. Environmental factors were mentioned as concerns and could indirectly influence zoonosis control. The confluence of economic, ecological, and social factors in the region highlights the need for a broader One Health approach to AIV prevention and response. Our study underscores the importance of integrating poultry farmers’ perspectives into AIV policies and the need to consider environmental and socio-economic drivers of transmission. These findings support a multidisciplinary approach to infectious disease management at the human-animal-environment interface in Latin America.</w:t>
      </w:r>
    </w:p>
    <w:p w14:paraId="5605E6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25-A-2096-ASTMH</w:t>
      </w:r>
    </w:p>
    <w:p w14:paraId="3B6389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749FD0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Accelerating onchocerciasis elimination in Mali through targeted interventions simultaneously conducted</w:t>
      </w:r>
    </w:p>
    <w:p w14:paraId="3214F4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Despite significant reductions in the prevalence of onchocerciasis in endemic areas through mass drug administration (MDA) with ivermectin, achieving countrywide disease elimination continues to present challenges in Mali. Treatment coverage remains suboptimal in certain areas due to the inaccessibility of remote and mobile populations as well as sociocultural barriers that affect community participation and acceptance of MDA programs. This study aims to strengthen the implementation of MDA as part of the elimination efforts of Mali's National Onchocerciasis Control Program (NOCP) through targeted interventions from 2023 to 2025 conducted simultaneously by ICER-Mali's NTD unit and the University of Ottawa. After the campaigns, coverage surveys were then implemented by the NOCP, Helen Keller International, and The END Fund. Baseline knowledge, attitudes, and practices, and ivermectin coverage surveys were conducted in 2023 by the NOCP and its partners in 3 health districts located in a zone that failed at the pre-stop MDA survey. Based on identified challenges, a first intervention was implemented in 2024 before and during MDA, focusing on improved microplanning, community sensitization, an supervision scheme, and training of community drug distributors. The second intervention took place in 2025, also before and during MDA, reinforcing previous actions and incorporating expanded communication through social media, improved messaging, and a refined MDA strategy that ensured every settlement, including hamlets and traditional gold mining sites, was treated as a dedicated treatment site. The WHO coverage survey protocol was used. Results showed that these interventions resulted in a considerable increase in the MDA coverage in the 3 HDs, from 53.7%(52.9-54.5) before interventions to 60.6%(59.8-61.4) during interventions overall (p&lt;0.001). In Kenieba and Sagabari, it went from 33.8%(32.2-35.3) to 52.2%(53.7-56.7) and from 63.7%(62.3-65.1) to 69.1% (67.7-70.4), respectively. Such an intervention package could be implemented in any onchocerciasis-endemic area for boosting the MDA coverage rates.</w:t>
      </w:r>
    </w:p>
    <w:p w14:paraId="68FB98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25-A-2097-ASTMH</w:t>
      </w:r>
    </w:p>
    <w:p w14:paraId="172363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43BE0D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Sepsis Presentations and Outcomes in a Longitudinal Cohort with a High Prevalence of HIV Infection in Uganda</w:t>
      </w:r>
    </w:p>
    <w:p w14:paraId="6D20CD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 2023, sepsis caused 11 million deaths globally, primarily in Sub-Saharan Africa, which also has the highest HIV burden. This analysis compares clinical features and outcomes among HIV Positive patients </w:t>
      </w:r>
      <w:r w:rsidRPr="00FE5D1C">
        <w:rPr>
          <w:rFonts w:ascii="Calibri" w:eastAsia="Times New Roman" w:hAnsi="Calibri" w:cs="Calibri"/>
          <w:color w:val="000000"/>
          <w:kern w:val="0"/>
          <w:sz w:val="22"/>
          <w:szCs w:val="22"/>
          <w14:ligatures w14:val="none"/>
        </w:rPr>
        <w:lastRenderedPageBreak/>
        <w:t>(HIVPP) and HIV Negative Patients (HIVNP) enrolled in a longitudinal observational study at Fort Portal Regional Referral Hospital in Uganda. Patients presenting with suspected infection and meeting two or more SIRS criteria were included, with data collection and one-year follow-up. A total of 617 participants with HIV results, enrolled between October 2017 and October 2024, were analyzed. The median age was 42 years (IQR 30-58), with women representing 58% (358/617). Of these, 31% (189) were HIVPP, who had a median age of 39 years (IQR 30-48) and lower rates of hypertension and diabetes (5% vs. 16% and 3% vs. 8%, respectively). Fever was reported by 84% of participants; however, prolonged duration (over 7 days) was more common in HIVPP (35% vs. 24%). Amongst HIVPP, 24% (45) met sepsis-2 criteria for severe sepsis or septic shock, while 14% (60) of HIVNP did. The median hospitalization duration was 3 days (IQR 2-5), with longer stays for HIVPP. Sources of sepsis for HIVPP included genitourinary infections, intra-abdominal infections (peritonitis, appendicitis), meningitis, and tuberculosis (p &lt; 0.05). Alcohol consumption was a social factor associated with HIVPP (p &lt; 0.05). At discharge, the most common sepsis sources were pneumonia (42%), malaria (19%), and intra-abdominal infections (13%). The 28-day mortality rate was 55.1 per 100 person-years (63.6 for HIVPP, 51.5 for HIVNP), with a 12-month mortality rate of 13.6 (15.4 for HIVPP, 12.8 for HIVNP). This study revealed a high prevalence of HIV among sepsis patients in Uganda. Although HIVPP in the study were younger and had fewer cardiovascular comorbidities, the higher mortality rate within this group indicates the need for vigilance in caring for this population.</w:t>
      </w:r>
    </w:p>
    <w:p w14:paraId="1E8973B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25-A-2098-ASTMH</w:t>
      </w:r>
    </w:p>
    <w:p w14:paraId="1A27F8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Cestodes (including taeniasis and cysticercosis, echinococcosis/hydatid disease, and others)</w:t>
      </w:r>
    </w:p>
    <w:p w14:paraId="0A70B2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Unrecognized At-risk Populations for Cystic Echinococcosis in Peru</w:t>
      </w:r>
    </w:p>
    <w:p w14:paraId="207AC0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central highlands of Peru are endemic for Echinococcus granulosus, causing cystic echinococcosis (CE) in humans. While this region has been extensively studied due to its hyperendemic status, the southern highland region of Arequipa, with little to no evidence of active transmission, remains overlooked. A national program at a hospital in Arequipa city established a specialized clinical-surgical unit to treat CE patients, conducting surgeries from December 2011 to November 2013. This study aimed to epidemiologically characterize surgical patients, estimate the CE burden in hospitals, and assess whether E. granulosus transmission is active in Arequipa. We reviewed medical archives and identified 129 complete CE surgical records from December 2011 to November 2013. Socio-demographic, epidemiological, and clinical data were extracted from their records, focusing on age, sex, occupation and geographical origin to identify risk factors and characterize epidemiological patterns. Seventy-four cases (57.4%) were between 5 and 30 years old, 55% were male, and 69% were students, farmers, or homemakers. Over a third resided in Arequipa (40.3%), followed by Puno (39.5%) —an adjacent endemic region—, and other areas (20.2%). Most cases from Arequipa had no migration history outside of the region. Unlike previous reports, the most common cyst location was the lung (70%), followed by the liver (20%), and multiorgan involvement (10%). Complicated CE accounted for 40% of cases, mainly from Puno (47%) and Arequipa (40%). We uncovered active E. granulosus transmission in the southern highlands of Arequipa. Many complicated CE cases originated from Puno, likely referred to Arequipa due to limited surgical services. The specialized clinical-surgical unit established between 2011 and 2013 was crucial for CE treatment across the region, beyond Arequipa. Reinstating it and establishing others in the southern highlands would ensure timely care, enhanced surveillance, and strengthened control efforts. Arequipa must be included in CE control programs, which must include One Health interdisciplinary strategies, essential for NZD control.</w:t>
      </w:r>
    </w:p>
    <w:p w14:paraId="2032A0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25-A-2099-ASTMH</w:t>
      </w:r>
    </w:p>
    <w:p w14:paraId="514EC8D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567B8B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effectiveness of Rectal Artesunate in combination with Artemisinin-based Combination Therapy for children under 5 with suspected severe malaria: 28-day follow-up after in Kapolowe District, DRCongo</w:t>
      </w:r>
    </w:p>
    <w:p w14:paraId="5CABBA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Rapid progression from malaria illness to death may be interrupted by prereferral administration of Rectal Artesunate (RAS). However, in remote settings, referral is often delayed or entirely unfeasible. SEMAReACT project (Severe Malaria treatment with Rectal Artesunate and ACT in remote areas: Closing the Evidence Gap) assesses, amongst others, referral feasibility and treatment outcomes of those attending the health system without and with RAS. We observed the impact of providing RAS as part of ICCM approach, where injectable artesunate(injART) is unavailable. The district was randomly divided into a RAS Group receiving RAS earlier and a Standard control Group. Four sentinel health areas (HAs) were selected for close monitoring. Case Fatality Rate (CFR) was assessed at Day 28 post-treatment. From July 2024 till January 2025, 455 suspected severe malaria cases were observed, with 162(36%) in RAS Group, 234(51%) in Standard Group and 59(13%) went directly to hospitals. In RAS group, 159(99%) received RAS and were referred, 1/145(0.7%;95%CI:0.1%-3.8%) completed referral, received IVQuinine and survived. 123/159(77%) non-referrals, received ACTs remotely with 98%(116/118) full adherence. CFR at Day 28 was 3/145(2.1%; 95%CI:0.7%-5.9%). In Standard group, 1/234(0.5%;95%CI:0.1%-2.6%) completed referral and received injART and survived, 198/233(85%) received ACT remotely with 87%(166/190) adherence, 3/233(1%) were lost to follow-up. CFR at Day 28 was 3/211(1.4%;95%CI:0.5%- 4.1%). Of 59(13%) cases treated at hospitals with injectable artesunate, 51(86%) received injART and ACTs. Among them, 47/49(96%) fully adhered, 2(4%) were lost to follow-up, and no deaths were reported at Day 28. If RAS is unavailable, children go either directly to hospital or are seen remotely without referral. CFR is low, confirming a sensitive case definition of severe malaria in ICCM contexts. Among children who received RAS+ACT at community level, adherence was highest. RAS+ACT may prevent drug resistance and introducing RAS in ICCM may increase access to formal care and thus referral at longer term.</w:t>
      </w:r>
    </w:p>
    <w:p w14:paraId="4319FF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25-A-2100-ASTMH</w:t>
      </w:r>
    </w:p>
    <w:p w14:paraId="5765A0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70C068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framework to understand timeliness in canine rabies outbreak report and response</w:t>
      </w:r>
    </w:p>
    <w:p w14:paraId="207990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Timely management of zoonotic outbreaks is essential to mitigate their impact. In Arequipa, Peru, canine rabies has re-emerged over the past decade, challenging the epidemiological surveillance system and underscoring the need to identify and reduce delays in case detection, reporting, and response. To understand these delays, we combined quantitative field data to calculate the timeliness of rabies surveillance and response activities from 2015 to 2024 in Arequipa with qualitative data to identify the underlying causes. Outbreak-associated activities were categorized using an extended version of the One Health outbreak milestones. Timeliness metrics were calculated between these milestones and compared across years and districts using Kruskal-Wallis and Wilcoxon tests. A detailed qualitative analysis of narrative reports was conducted to systematically identify the main factors contributing to delays. Our results indicate that the longest delay occurred from detection to notification (2.52 days, with high variability by year and district), whereas the intervals from notification to verification was 1.28 days, and verification to diagnosis confirmation was 1.09 days; the process following diagnosis confirmation was the fastest (0.76 days). Significant differences in delays were observed across years and districts. The main causes of delays were lack of community knowledge, logistical challenges in human, economic, and material resources, and deficiencies in inter-institutional coordination. These findings highlight that initial delays in recognizing clinical signs critically narrow the window to contain virus transmission, while logistical and staffing constraints, along with variability across local health networks, suggest inequities in operational capacity. Enhancing community health education, standardizing response protocols, securing funding for rabies surveillance, and continuously training personnel are essential to ensure a swift and coordinated response to future outbreaks.</w:t>
      </w:r>
    </w:p>
    <w:p w14:paraId="72B3B1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25-A-2102-ASTMH</w:t>
      </w:r>
    </w:p>
    <w:p w14:paraId="72B336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604176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Multi-Target Approach to Malaria: Toxicological and Polypharmacological Assessments of </w:t>
      </w:r>
      <w:r w:rsidRPr="00FE5D1C">
        <w:rPr>
          <w:rFonts w:ascii="Calibri" w:eastAsia="Times New Roman" w:hAnsi="Calibri" w:cs="Calibri"/>
          <w:b/>
          <w:bCs/>
          <w:i/>
          <w:iCs/>
          <w:color w:val="000000"/>
          <w:kern w:val="0"/>
          <w:sz w:val="22"/>
          <w:szCs w:val="22"/>
          <w14:ligatures w14:val="none"/>
        </w:rPr>
        <w:t>Enantia Chlorantha</w:t>
      </w:r>
      <w:r w:rsidRPr="00FE5D1C">
        <w:rPr>
          <w:rFonts w:ascii="Calibri" w:eastAsia="Times New Roman" w:hAnsi="Calibri" w:cs="Calibri"/>
          <w:b/>
          <w:bCs/>
          <w:color w:val="000000"/>
          <w:kern w:val="0"/>
          <w:sz w:val="22"/>
          <w:szCs w:val="22"/>
          <w14:ligatures w14:val="none"/>
        </w:rPr>
        <w:t> Oliv. Stem Bark Extract</w:t>
      </w:r>
    </w:p>
    <w:p w14:paraId="4A624E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This study investigates the antimalarial potential of </w:t>
      </w:r>
      <w:r w:rsidRPr="00FE5D1C">
        <w:rPr>
          <w:rFonts w:ascii="Calibri" w:eastAsia="Times New Roman" w:hAnsi="Calibri" w:cs="Calibri"/>
          <w:i/>
          <w:iCs/>
          <w:color w:val="000000"/>
          <w:kern w:val="0"/>
          <w:sz w:val="22"/>
          <w:szCs w:val="22"/>
          <w14:ligatures w14:val="none"/>
        </w:rPr>
        <w:t>Enantia chlorantha</w:t>
      </w:r>
      <w:r w:rsidRPr="00FE5D1C">
        <w:rPr>
          <w:rFonts w:ascii="Calibri" w:eastAsia="Times New Roman" w:hAnsi="Calibri" w:cs="Calibri"/>
          <w:color w:val="000000"/>
          <w:kern w:val="0"/>
          <w:sz w:val="22"/>
          <w:szCs w:val="22"/>
          <w14:ligatures w14:val="none"/>
        </w:rPr>
        <w:t> aqueous stem bark extract (EcASBE), a traditional remedy widely used by herbal practitioners in Nigeria. Its polypharmacological, transmission-blocking, and toxicological properties were explored, offering a multi-target approach to malaria management. Ethnobotanical insights guided investigations of </w:t>
      </w:r>
      <w:r w:rsidRPr="00FE5D1C">
        <w:rPr>
          <w:rFonts w:ascii="Calibri" w:eastAsia="Times New Roman" w:hAnsi="Calibri" w:cs="Calibri"/>
          <w:i/>
          <w:iCs/>
          <w:color w:val="000000"/>
          <w:kern w:val="0"/>
          <w:sz w:val="22"/>
          <w:szCs w:val="22"/>
          <w14:ligatures w14:val="none"/>
        </w:rPr>
        <w:t>Enantia chlorantha</w:t>
      </w:r>
      <w:r w:rsidRPr="00FE5D1C">
        <w:rPr>
          <w:rFonts w:ascii="Calibri" w:eastAsia="Times New Roman" w:hAnsi="Calibri" w:cs="Calibri"/>
          <w:color w:val="000000"/>
          <w:kern w:val="0"/>
          <w:sz w:val="22"/>
          <w:szCs w:val="22"/>
          <w14:ligatures w14:val="none"/>
        </w:rPr>
        <w:t> stem bark extract (EcASBE) for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antimalarial activities in </w:t>
      </w:r>
      <w:r w:rsidRPr="00FE5D1C">
        <w:rPr>
          <w:rFonts w:ascii="Calibri" w:eastAsia="Times New Roman" w:hAnsi="Calibri" w:cs="Calibri"/>
          <w:i/>
          <w:iCs/>
          <w:color w:val="000000"/>
          <w:kern w:val="0"/>
          <w:sz w:val="22"/>
          <w:szCs w:val="22"/>
          <w14:ligatures w14:val="none"/>
        </w:rPr>
        <w:t>Plasmodium berghei</w:t>
      </w:r>
      <w:r w:rsidRPr="00FE5D1C">
        <w:rPr>
          <w:rFonts w:ascii="Calibri" w:eastAsia="Times New Roman" w:hAnsi="Calibri" w:cs="Calibri"/>
          <w:color w:val="000000"/>
          <w:kern w:val="0"/>
          <w:sz w:val="22"/>
          <w:szCs w:val="22"/>
          <w14:ligatures w14:val="none"/>
        </w:rPr>
        <w:t>-infected mice and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efficacy against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Synergistic effects with antimalarials, haemolytic, cytotoxic, and transmission-blocking potentials were also assessed. GC-MS identified phytocompounds, with computational docking predicting protein interactions.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studies on </w:t>
      </w:r>
      <w:r w:rsidRPr="00FE5D1C">
        <w:rPr>
          <w:rFonts w:ascii="Calibri" w:eastAsia="Times New Roman" w:hAnsi="Calibri" w:cs="Calibri"/>
          <w:i/>
          <w:iCs/>
          <w:color w:val="000000"/>
          <w:kern w:val="0"/>
          <w:sz w:val="22"/>
          <w:szCs w:val="22"/>
          <w14:ligatures w14:val="none"/>
        </w:rPr>
        <w:t>Plasmodium berghei</w:t>
      </w:r>
      <w:r w:rsidRPr="00FE5D1C">
        <w:rPr>
          <w:rFonts w:ascii="Calibri" w:eastAsia="Times New Roman" w:hAnsi="Calibri" w:cs="Calibri"/>
          <w:color w:val="000000"/>
          <w:kern w:val="0"/>
          <w:sz w:val="22"/>
          <w:szCs w:val="22"/>
          <w14:ligatures w14:val="none"/>
        </w:rPr>
        <w:t>-infected mice revealed significant dose-dependent parasitaemia reduction (80.4%) and prolonged survival (MST = 20 days). EcASBE restored biochemical, haematological, and inflammatory parameters altered by malaria infection.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EcASBE demonstrated potent antiplasmodial activity against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strains (3D7, R539T, and Dd2) with IC₅₀ values of 13.77-18.27 μg/mL, achieving 100% inhibition at 500 μg/mL against Pf3D7 and PfR539T. Synergistic interactions with artemisinin against drug-resistant strains highlighted its potential as an ACT enhancer. GC-MS identified 32 bioactive compounds, with molecular docking revealing strong binding affinities of key phytochemicals, such as 1-(3,4-Dimethoxybenzyl)-6,7-dimethoxy-2-methyl-1,2,3,4-tetrahydroisoquinoline, to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drug targets (ΔG = -57.66 kcal/mol). EcASBE also inhibited mosquito-stage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development, demonstrating transmission-blocking efficacy. Toxicological evaluations showed no significant adverse effects on human erythrocytes, HepG2 cells, or biochemical and oxidative stress markers in animal models. This study underscores the therapeutic potential of EcASBE as a safe and effective natural antimalarial agent with multiple modes of action.</w:t>
      </w:r>
    </w:p>
    <w:p w14:paraId="387577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25-A-2103-ASTMH</w:t>
      </w:r>
    </w:p>
    <w:p w14:paraId="0D77F9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4EA67E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Characterizing the effects of microbe-derived lipids on oral cholera vaccine responses in the human tonsil model</w:t>
      </w:r>
    </w:p>
    <w:p w14:paraId="6445C3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protection provided by oral cholera vaccines is variable. Currently available formulations provide only 60% protection in adults, and 20-40% protection in young children. Oral vaccines are absorbed in the upper intestine, and human studies suggest that the gut microbiota may mediate variation in response to oral cholera vaccines. We previously identified that the presence of stool microbe-derived sphingolipids, produced by bacteria from the </w:t>
      </w:r>
      <w:r w:rsidRPr="00FE5D1C">
        <w:rPr>
          <w:rFonts w:ascii="Calibri" w:eastAsia="Times New Roman" w:hAnsi="Calibri" w:cs="Calibri"/>
          <w:i/>
          <w:iCs/>
          <w:color w:val="000000"/>
          <w:kern w:val="0"/>
          <w:sz w:val="22"/>
          <w:szCs w:val="22"/>
          <w14:ligatures w14:val="none"/>
        </w:rPr>
        <w:t>Prevotella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Bacteroides</w:t>
      </w:r>
      <w:r w:rsidRPr="00FE5D1C">
        <w:rPr>
          <w:rFonts w:ascii="Calibri" w:eastAsia="Times New Roman" w:hAnsi="Calibri" w:cs="Calibri"/>
          <w:color w:val="000000"/>
          <w:kern w:val="0"/>
          <w:sz w:val="22"/>
          <w:szCs w:val="22"/>
          <w14:ligatures w14:val="none"/>
        </w:rPr>
        <w:t> genera, are associated with more robust immune responses to oral cholera vaccines. Sphingolipids are known to be immunomodulatory and are readily absorbed in the human gut, and thus have potential for use in humans to improve oral cholera vaccine responses. In this study, we expanded upon our initial work of bacterial sphingolipid impact on oral cholera vaccine responses in human macrophages to now include additional cell types. To understand how sphingolipids impact adaptive immune responses to OCV, we took advantage of surgical discards of human tonsillar tissue removed for clinical indications. Tonsil tissue contains abundant B and T cells, and can facilitate complex immune cell interactions, including in the formation of germinal centers. We exposed these tissue samples to bacterial sphingolipids from microbes including </w:t>
      </w:r>
      <w:r w:rsidRPr="00FE5D1C">
        <w:rPr>
          <w:rFonts w:ascii="Calibri" w:eastAsia="Times New Roman" w:hAnsi="Calibri" w:cs="Calibri"/>
          <w:i/>
          <w:iCs/>
          <w:color w:val="000000"/>
          <w:kern w:val="0"/>
          <w:sz w:val="22"/>
          <w:szCs w:val="22"/>
          <w14:ligatures w14:val="none"/>
        </w:rPr>
        <w:t>Bacteroides xylanisolvens and B. koreensis, </w:t>
      </w:r>
      <w:r w:rsidRPr="00FE5D1C">
        <w:rPr>
          <w:rFonts w:ascii="Calibri" w:eastAsia="Times New Roman" w:hAnsi="Calibri" w:cs="Calibri"/>
          <w:color w:val="000000"/>
          <w:kern w:val="0"/>
          <w:sz w:val="22"/>
          <w:szCs w:val="22"/>
          <w14:ligatures w14:val="none"/>
        </w:rPr>
        <w:t>and then stimulated them with an oral cholera vaccine strain</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We observed the development and differentiation and development of immune cells, particularly T-follicular helper cells that are known to support and help maintain long-lived immune responses after exposure to </w:t>
      </w:r>
      <w:r w:rsidRPr="00FE5D1C">
        <w:rPr>
          <w:rFonts w:ascii="Calibri" w:eastAsia="Times New Roman" w:hAnsi="Calibri" w:cs="Calibri"/>
          <w:i/>
          <w:iCs/>
          <w:color w:val="000000"/>
          <w:kern w:val="0"/>
          <w:sz w:val="22"/>
          <w:szCs w:val="22"/>
          <w14:ligatures w14:val="none"/>
        </w:rPr>
        <w:t>V. cholerae </w:t>
      </w:r>
      <w:r w:rsidRPr="00FE5D1C">
        <w:rPr>
          <w:rFonts w:ascii="Calibri" w:eastAsia="Times New Roman" w:hAnsi="Calibri" w:cs="Calibri"/>
          <w:color w:val="000000"/>
          <w:kern w:val="0"/>
          <w:sz w:val="22"/>
          <w:szCs w:val="22"/>
          <w14:ligatures w14:val="none"/>
        </w:rPr>
        <w:t>antigens. We characterized the B and T cell populations using flow cytometry in these tissues, and found that preconditioning with </w:t>
      </w:r>
      <w:r w:rsidRPr="00FE5D1C">
        <w:rPr>
          <w:rFonts w:ascii="Calibri" w:eastAsia="Times New Roman" w:hAnsi="Calibri" w:cs="Calibri"/>
          <w:i/>
          <w:iCs/>
          <w:color w:val="000000"/>
          <w:kern w:val="0"/>
          <w:sz w:val="22"/>
          <w:szCs w:val="22"/>
          <w14:ligatures w14:val="none"/>
        </w:rPr>
        <w:t>B. xylanisolvens </w:t>
      </w:r>
      <w:r w:rsidRPr="00FE5D1C">
        <w:rPr>
          <w:rFonts w:ascii="Calibri" w:eastAsia="Times New Roman" w:hAnsi="Calibri" w:cs="Calibri"/>
          <w:color w:val="000000"/>
          <w:kern w:val="0"/>
          <w:sz w:val="22"/>
          <w:szCs w:val="22"/>
          <w14:ligatures w14:val="none"/>
        </w:rPr>
        <w:t>sphingolipids prior to oral cholera vaccine exposure increased the proportion of T follicular helper cells, germinal center B cells, and plasmablasts by several fold. Ultimately, we hope this work will enable next steps of pre-clinical testing for gut microbes (or their metabolites) to enhance protective immune responses to currently available oral cholera vaccines.</w:t>
      </w:r>
    </w:p>
    <w:p w14:paraId="637D05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25-A-2104-ASTMH</w:t>
      </w:r>
    </w:p>
    <w:p w14:paraId="4E4F70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58AA0F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The Roles of Informal and Formal Community Structures in Ebola Response in Liberia</w:t>
      </w:r>
    </w:p>
    <w:p w14:paraId="0F2552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Liberia along with West African sub-region was unprepared to manage the 2014-2016 Ebola outbreak. The outbreak highlighted many systemic and structural challenges within the health sector, and the need for better community engagement in epidemic response. The virus spread through person-to person transmission, household and community transmissions, fuelled by fear and misconceptions which lead to lack of trust in the health care systems. Despite support from the Liberian Government including International Organizations, the risk of future epidemics underscores the need for ongoing community preparedness to prevent and respond to outbreaks. Mixed methods quantitative and qualitative study design was conducted. This presentation focuses on the qualitative components conducted in three prevalence counties for EVD to identify the determinants of community preparedness for outbreak response, readiness for Merck ZEBOV vaccination, and the roles of informal and formal community structures. Purposive sampling methods was used to conduct key informant interviews (KIIs) and focus group discussions (FGDs) with community groups, and leaders of informal and formal structures. Most participants reported that communities were unprepared to manage outbreak response. High death rates prompted adherence to preventive measures, although some traditional practices, for example, burial rituals were carried out by traditional leaders. Communities set up systems to restrict movement and place hand washing buckets at major intersections. Radio and health workers were primary sources of information. Trust in the health authorities was limited before and after Ebola due experiences. Participants opinions on Ebola vaccine varied with hesitant due to the lack of information, mistrust, and cultural beliefs. Participants highlighted community engagement and education were essential to address vaccine mistrust and misinformation about the Ebola vaccine. Strengthening health surveillance, education, community engagement and collaboration with informal and formal community structures is needed to prepare for future outbreaks.</w:t>
      </w:r>
    </w:p>
    <w:p w14:paraId="25E269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25-A-2105-ASTMH</w:t>
      </w:r>
    </w:p>
    <w:p w14:paraId="79E32C3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1B2541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emergence potential of Bussuquara virus, a neglected mosquito-borne orthoflavivirus from the neotropics</w:t>
      </w:r>
    </w:p>
    <w:p w14:paraId="7F4B08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orthoflavivirus Bussuquara (BSQV) was discovered in Brazil in 1956, with sporadic virus isolations or antibody detections throughout the Americas in diverse mosquito and vertebrate species, including humans. Critical gaps in BSQV knowledge include its capacity for urban transmission and clinical pathogenesis outcomes. Comprehensive field and experimental studies are urgently needed to assess risk factors for emergence. Consensus RNA sequences of all available BSQV strains were obtained through next generation sequencing alongside rapid amplification of cDNA ends. Phylogenetic analysis and genome annotation were performed to assess orthoflavivirus evolutionary relationships and genome characteristics for each strain. BSQV-infected cells (mosquito, non-human primate) were imaged with transmission electron microscopy. Replication kinetics studies were performed with BSQV infection (MOI=0.01) across a panel of mosquito, mammal, rodent, avian, non-human primate, and human cell lines. We described the initial morphologic, genomic, phylogenetic, and replication relationships of the four BSQV strains available for use. Morphologic (virion diameter, cytopathic effect) and genomic (size, organization, architecture) results were in line with canonical orthoflavivirus characteristics. One of four strains shared greater sequence homology to the related Naranjal virus. Kinetic studies demonstrated robust replications in most mosquito and all vertebrate cell lines. Moderate to extreme cytopathic effects were prominent in vertebrate cells, with minimal cytopathy observed in mosquito cells. There was limited evidence of significant differences in timing or magnitude of viral titers between strains, but a significant interaction effect on titers between day post-infection and strain. BSQV poses a threat to humans as a generalist arbovirus with a broad host range of vertebrate and mosquito vectors. The putative potential for BSQV tissue tropisms or mosquito genera-dependent vector competence will be evaluated during planned transmission studies and animal model development.</w:t>
      </w:r>
    </w:p>
    <w:p w14:paraId="7C8F08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25-A-2106-ASTMH</w:t>
      </w:r>
    </w:p>
    <w:p w14:paraId="164CAE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Mosquitoes - Bionomics, Behavior and Surveillance</w:t>
      </w:r>
    </w:p>
    <w:p w14:paraId="16E1E7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Mapping Africa's Malaria Vectors Through Updated Data and Models</w:t>
      </w:r>
    </w:p>
    <w:p w14:paraId="736E2C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control programs are eager to understand the spatial distributions of the mosquitoes that transmit malaria in order to efficiently target activities like vector control and bed net distribution. Here we present new distribution maps for thirteen dominant and secondary vectors in Africa, including the first such maps for several species. Our work is based on the Vector Atlas, a new online data hub with a comprehensive collection of malaria vector occurrence records. Although previous maps exist for several dominant vector species, we update these with new data, and develop new methods that allow us to account for the sampling biases inherent in collection data, and physiological limits on occurrence. Our maps are a key resource for informing malaria control activities in Africa. With linkage to the Vector Atlas, they can be systematically updated as data collection continues, and in collaboration with in-country researchers and national malaria programmes, are augmented to answer specific questions in malaria control with additional country-level data.</w:t>
      </w:r>
    </w:p>
    <w:p w14:paraId="64ADCF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25-A-2107-ASTMH</w:t>
      </w:r>
    </w:p>
    <w:p w14:paraId="7B076A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667FB0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 Analysis of Local Therapeutic Treatments for Cutaneous and Mucocutaneous Leishmaniasis: A Systematic Review &amp; Meta-Analysis</w:t>
      </w:r>
    </w:p>
    <w:p w14:paraId="4BAEC4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Cutaneous and mucocutaneous leishmaniasis are protozoan parasitic diseases characterized by skin and mucosal lesions5. While FDA-approved amphotericin B demonstrates an efficacy rate of 74%, it is an invasive systemic treatment yielding severe adverse effects including nephrotoxicity4. Conversely, heat therapies and cryotherapy, while yielding similar outcomes, are cost-effective and have stronger safety profiles3. This systematic review and meta-analysis aim to compare the efficacy of amphotericin B with the emerging treatments thermotherapy and cryotherapy in patients with cutaneous and mucocutaneous leishmaniasis, seeking to standardize treatment protocols for these underrepresented therapies in clinical trials and inform physicians about alternative treatments as leishmaniasis cases may rise in North America attributed to climate change2. The primary outcome measures the complete re-epithelialization of lesions, categorized as complete response, partial response, or failure, based on the percentage of re-epithelialization of the ulcer within a standardized timeframe1 and a secondary outcome measuring adverse effects of the treatments. A comprehensive initial search and manual snowball-method search were conducted across five peer-reviewed databases (PubMed, Medline, Scopus, LILACS, and Cochrane Library) for studies from 2010 to 2024. All stages of screening, extraction, and quality appraisal using GRADE were performed in duplicate by blinded reviewers, with a third independent reconciler. Studies focused on gaps or solutions in current treatment options were included, while studies lacking clear clinical cure outcomes were excluded1. Both peer-reviewed and grey literature in English were included. By addressing the current research gap, this review aims to improve treatment options, enhance clinical practice, and guide future treatment guidelines for managing this disease.</w:t>
      </w:r>
    </w:p>
    <w:p w14:paraId="0AC295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25-A-2108-ASTMH</w:t>
      </w:r>
    </w:p>
    <w:p w14:paraId="65FD3C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3F0A7B38" w14:textId="66FC1B3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Insecticide susceptibility and knockdown resistance mutation in </w:t>
      </w:r>
      <w:r w:rsidRPr="00FE5D1C">
        <w:rPr>
          <w:rFonts w:ascii="Calibri" w:eastAsia="Times New Roman" w:hAnsi="Calibri" w:cs="Calibri"/>
          <w:b/>
          <w:bCs/>
          <w:i/>
          <w:iCs/>
          <w:color w:val="000000"/>
          <w:kern w:val="0"/>
          <w:sz w:val="22"/>
          <w:szCs w:val="22"/>
          <w14:ligatures w14:val="none"/>
        </w:rPr>
        <w:t>Phlebotomus argentipes</w:t>
      </w:r>
      <w:r w:rsidRPr="00FE5D1C">
        <w:rPr>
          <w:rFonts w:ascii="Calibri" w:eastAsia="Times New Roman" w:hAnsi="Calibri" w:cs="Calibri"/>
          <w:b/>
          <w:bCs/>
          <w:color w:val="000000"/>
          <w:kern w:val="0"/>
          <w:sz w:val="22"/>
          <w:szCs w:val="22"/>
          <w14:ligatures w14:val="none"/>
        </w:rPr>
        <w:t> sand flies in Bihar, India</w:t>
      </w:r>
    </w:p>
    <w:p w14:paraId="1025F1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Visceral leishmaniasis is a parasitic disease caused by </w:t>
      </w:r>
      <w:r w:rsidRPr="00FE5D1C">
        <w:rPr>
          <w:rFonts w:ascii="Calibri" w:eastAsia="Times New Roman" w:hAnsi="Calibri" w:cs="Calibri"/>
          <w:i/>
          <w:iCs/>
          <w:color w:val="000000"/>
          <w:kern w:val="0"/>
          <w:sz w:val="22"/>
          <w:szCs w:val="22"/>
          <w14:ligatures w14:val="none"/>
        </w:rPr>
        <w:t>Leishmania donovani</w:t>
      </w:r>
      <w:r w:rsidRPr="00FE5D1C">
        <w:rPr>
          <w:rFonts w:ascii="Calibri" w:eastAsia="Times New Roman" w:hAnsi="Calibri" w:cs="Calibri"/>
          <w:color w:val="000000"/>
          <w:kern w:val="0"/>
          <w:sz w:val="22"/>
          <w:szCs w:val="22"/>
          <w14:ligatures w14:val="none"/>
        </w:rPr>
        <w:t xml:space="preserve"> and transmitted by sand fly. Vector control based on indoor residual spraying (IRS) is one of the main components of the VL elimination program in India. Dichlorodiphenyltrichloroethane was used for IRS until 2015 and was later replaced by the synthetic pyrethroid alpha-cypermethrin. Both classes of insecticides target the same </w:t>
      </w:r>
      <w:r w:rsidRPr="00FE5D1C">
        <w:rPr>
          <w:rFonts w:ascii="Calibri" w:eastAsia="Times New Roman" w:hAnsi="Calibri" w:cs="Calibri"/>
          <w:color w:val="000000"/>
          <w:kern w:val="0"/>
          <w:sz w:val="22"/>
          <w:szCs w:val="22"/>
          <w14:ligatures w14:val="none"/>
        </w:rPr>
        <w:lastRenderedPageBreak/>
        <w:t>site, the voltage-gated sodium channel (VGSC</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Thus, risk of resistance development in sand flies increases under the pressure of regular exposure to alpha-cypermethrin. Here, insecticide susceptibility patterns of </w:t>
      </w:r>
      <w:r w:rsidRPr="00FE5D1C">
        <w:rPr>
          <w:rFonts w:ascii="Calibri" w:eastAsia="Times New Roman" w:hAnsi="Calibri" w:cs="Calibri"/>
          <w:i/>
          <w:iCs/>
          <w:color w:val="000000"/>
          <w:kern w:val="0"/>
          <w:sz w:val="22"/>
          <w:szCs w:val="22"/>
          <w14:ligatures w14:val="none"/>
        </w:rPr>
        <w:t>P. argentipes</w:t>
      </w:r>
      <w:r w:rsidRPr="00FE5D1C">
        <w:rPr>
          <w:rFonts w:ascii="Calibri" w:eastAsia="Times New Roman" w:hAnsi="Calibri" w:cs="Calibri"/>
          <w:color w:val="000000"/>
          <w:kern w:val="0"/>
          <w:sz w:val="22"/>
          <w:szCs w:val="22"/>
          <w14:ligatures w14:val="none"/>
        </w:rPr>
        <w:t> were investigated with exploration of probable underlying resistance mechanisms. Adult sand flies were collected using CDC light traps from nine sprayed (IRS villages) and one unsprayed (Non- IRS) villages. Wild caught sand flies and adult F1 progeny of </w:t>
      </w:r>
      <w:r w:rsidRPr="00FE5D1C">
        <w:rPr>
          <w:rFonts w:ascii="Calibri" w:eastAsia="Times New Roman" w:hAnsi="Calibri" w:cs="Calibri"/>
          <w:i/>
          <w:iCs/>
          <w:color w:val="000000"/>
          <w:kern w:val="0"/>
          <w:sz w:val="22"/>
          <w:szCs w:val="22"/>
          <w14:ligatures w14:val="none"/>
        </w:rPr>
        <w:t>P. argentipes</w:t>
      </w:r>
      <w:r w:rsidRPr="00FE5D1C">
        <w:rPr>
          <w:rFonts w:ascii="Calibri" w:eastAsia="Times New Roman" w:hAnsi="Calibri" w:cs="Calibri"/>
          <w:color w:val="000000"/>
          <w:kern w:val="0"/>
          <w:sz w:val="22"/>
          <w:szCs w:val="22"/>
          <w14:ligatures w14:val="none"/>
        </w:rPr>
        <w:t> were exposed to alpha-cypermethrin at diagnostic dose and time (3µg/ml for 40 minutes) using CDC bottle bioassay and Post-1-h knockdown and post-24-h mortality were recorded and analyzed. To compare frequencies of knockdown resistance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mutations in </w:t>
      </w:r>
      <w:r w:rsidRPr="00FE5D1C">
        <w:rPr>
          <w:rFonts w:ascii="Calibri" w:eastAsia="Times New Roman" w:hAnsi="Calibri" w:cs="Calibri"/>
          <w:i/>
          <w:iCs/>
          <w:color w:val="000000"/>
          <w:kern w:val="0"/>
          <w:sz w:val="22"/>
          <w:szCs w:val="22"/>
          <w14:ligatures w14:val="none"/>
        </w:rPr>
        <w:t>Vgsc,</w:t>
      </w:r>
      <w:r w:rsidRPr="00FE5D1C">
        <w:rPr>
          <w:rFonts w:ascii="Calibri" w:eastAsia="Times New Roman" w:hAnsi="Calibri" w:cs="Calibri"/>
          <w:color w:val="000000"/>
          <w:kern w:val="0"/>
          <w:sz w:val="22"/>
          <w:szCs w:val="22"/>
          <w14:ligatures w14:val="none"/>
        </w:rPr>
        <w:t> DNA was extracted and used for sequence analysis of the IIS6 fragment of the </w:t>
      </w:r>
      <w:r w:rsidRPr="00FE5D1C">
        <w:rPr>
          <w:rFonts w:ascii="Calibri" w:eastAsia="Times New Roman" w:hAnsi="Calibri" w:cs="Calibri"/>
          <w:i/>
          <w:iCs/>
          <w:color w:val="000000"/>
          <w:kern w:val="0"/>
          <w:sz w:val="22"/>
          <w:szCs w:val="22"/>
          <w14:ligatures w14:val="none"/>
        </w:rPr>
        <w:t>Vgsc</w:t>
      </w:r>
      <w:r w:rsidRPr="00FE5D1C">
        <w:rPr>
          <w:rFonts w:ascii="Calibri" w:eastAsia="Times New Roman" w:hAnsi="Calibri" w:cs="Calibri"/>
          <w:color w:val="000000"/>
          <w:kern w:val="0"/>
          <w:sz w:val="22"/>
          <w:szCs w:val="22"/>
          <w14:ligatures w14:val="none"/>
        </w:rPr>
        <w:t> gene to assess the presence of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The knockdown was recorded ranging from 91.19 to 99.47% for wild-caught sand flies and 91.70 to 98.89 % for their F1 progeny. After 24 hours, mortality ranged from 89.34 to 98.93% for wild-caught sand flies and 90.16 to 98.33% for F1 progeny. Mutations were identified due to the substitutions of leucine codon with serine (TTA →TCA, TTA →TCT, TTA→ TCC, or leucine with phenylalanine (TTA→TTT, TTA→TTC). The most frequent mutations were L1014S codon (48.5%), followed by wild type L1014 codon (39.5%). For L1014S, the frequency was highest (19/20, 95%) in Heerapur village and lowest in Ramdash Majhauli (7/17, 41%). We don’t observe any mutation at 1011</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and 1016</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codon in Vgsc. The results of this study showed that </w:t>
      </w:r>
      <w:r w:rsidRPr="00FE5D1C">
        <w:rPr>
          <w:rFonts w:ascii="Calibri" w:eastAsia="Times New Roman" w:hAnsi="Calibri" w:cs="Calibri"/>
          <w:i/>
          <w:iCs/>
          <w:color w:val="000000"/>
          <w:kern w:val="0"/>
          <w:sz w:val="22"/>
          <w:szCs w:val="22"/>
          <w14:ligatures w14:val="none"/>
        </w:rPr>
        <w:t>P. argentipes</w:t>
      </w:r>
      <w:r w:rsidRPr="00FE5D1C">
        <w:rPr>
          <w:rFonts w:ascii="Calibri" w:eastAsia="Times New Roman" w:hAnsi="Calibri" w:cs="Calibri"/>
          <w:color w:val="000000"/>
          <w:kern w:val="0"/>
          <w:sz w:val="22"/>
          <w:szCs w:val="22"/>
          <w14:ligatures w14:val="none"/>
        </w:rPr>
        <w:t> is potentially developing resistance, signaling the need for continuous monitoring and vigilance to sustain the validation of elimination once achieved.</w:t>
      </w:r>
    </w:p>
    <w:p w14:paraId="1AB56D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25-A-2109-ASTMH</w:t>
      </w:r>
    </w:p>
    <w:p w14:paraId="3D494B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3FD761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Antibiotic use and adherence to the WHO AWaRe guidelines among patients with influenza-like illness in Bangladesh, 2022-2025</w:t>
      </w:r>
    </w:p>
    <w:p w14:paraId="44CB55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Although antibiotics are ineffective against viral infections, they are frequently prescribed for patients with influenza-like illness (ILI). This study examined antibiotic prescribing patterns and factors influencing ILI treatment in Bangladesh using the WHO AWaRe (Access, Watch, Reserve) guidelines. From November 2022 to March 2025, we analyzed data from patients with ILI attending outpatient departments at five tertiary-care hospitals participating in the hospital-based influenza surveillance in Bangladesh. Patients meeting the WHO ILI case definition were enrolled. Demographic data, clinical features, and antibiotic prescriptions were recorded. Oropharyngeal and nasal swabs were tested for influenza using rRT-PCR. Multivariable logistic regression was used to identify factors associated with AWaRe-classified antibiotic use. Among 5,791 patients with ILI (median age: 18 years; IQR: 5-31; 59% male), 50% (2,895) received a total of 2,985 antibiotics. Among 813 (14%) patients with laboratory-confirmed influenza, 51% (416) were prescribed antibiotics. The top five antibiotics were azithromycin (47.8%, 1,428), cefixime (25.5%, 760), amoxicillin (5.2%, 155), levofloxacin (4.2%, 125), and ciprofloxacin (4.1%, 123), accounting for 86.8% of all prescriptions. Overall, 15.5% of antibiotics were from the Access group and 84.5% from the Watch group; none were from the Reserve group. Factors associated with Watch group antibiotic use included difficulty breathing (aOR: 1.69; 95% CI: 1.44-1.99), age &lt;5 years compared to ≥5 years (aOR: 1.46; 95% CI: 1.28-1.66), male sex (aOR: 1.14; 95% CI: 1.03-1.27), delayed care-seeking (aOR: 1.05; 95% CI: 1.02-1.08), and urban residence (aOR: 1.66; 95% CI: 1.49-1.85). This study highlights the overuse of Watch group antibiotics and the underuse of Access group antibiotics among ILI patients in Bangladesh, falling substantially below the United Nations General Assembly’s 2030 target of 70% Access group use. These findings underscore the urgent need for national antimicrobial stewardship programs to reduce inappropriate antibiotic use and combat antimicrobial resistance in Bangladesh.</w:t>
      </w:r>
    </w:p>
    <w:p w14:paraId="4790BB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25-A-2111-ASTMH</w:t>
      </w:r>
    </w:p>
    <w:p w14:paraId="16856B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176AAA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Neonatal Jaundice Treatment Versus Recommendations The Challenge of Treatment Without Rapid Diagnostic Capability</w:t>
      </w:r>
    </w:p>
    <w:p w14:paraId="722172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Neonatal jaundice (NNJ) is a leading cause of death in the early neonatal period, disproportionately affecting newborns in sub-Saharan Africa. In a setting without access to rapid assessment, we sought to determine how closely the diagnosis and treatment of neonatal jaundice at a district hospital aligned with the recommendations of the BiliApp (based on the UK NICE Guideline CG98). This retrospective chart review aimed to identify the characteristics of admissions within 7 days of birth with a primary diagnosis of neonatal jaundice and how treatment provided compared to the recommendations of the BiliApp. The charts of all neonates admitted to the Mother and Baby Unit (MBU) at a district hospital in Kumasi, Ghana, in 2020 were reviewed. Data were collected regarding demographics, reason for admission, diagnostic markers (e.g. serum bilirubin level), treatments given, and outcome were analyzed using Stata 18.0. 1,059 newborns were admitted at &lt; 8 days in 2020, 179 (16.9%) with a primary diagnosis of jaundice. According to the BiliApp, 29.4% (N=50) had bilirubin levels below the phototherapy threshold for their gestational age on admission; 25.3% (N=43) were at or near the threshold for phototherapy; 21.2% (N=36) were above the phototherapy threshold; and 24.1% (N=41) were above the blood exchange therapy threshold. The BiliApp recommended no treatment for 21.2% (N=36) of newborns, repeated assessment for 33.6% (N=57), phototherapy for 21.2% (N=36), and exchange therapy for 24.1% (N=41). By comparison, 8.2% (N=14) of neonates admitted for jaundice received no treatment, 77.8% (N=133) received phototherapy only, and 14.0% (N=24) received both phototherapy and exchange therapy. Without access to rapid assessment tools,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many providers in low-resource settings presumptively treat newborns suspected of having jaundice, rather than waiting for serum lab tests to return. Additional options for rapid diagnostic testing are warranted.</w:t>
      </w:r>
    </w:p>
    <w:p w14:paraId="083FF9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25-A-2112-ASTMH</w:t>
      </w:r>
    </w:p>
    <w:p w14:paraId="19460C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2F5F76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Efficacy of Neem (</w:t>
      </w:r>
      <w:r w:rsidRPr="00FE5D1C">
        <w:rPr>
          <w:rFonts w:ascii="Calibri" w:eastAsia="Times New Roman" w:hAnsi="Calibri" w:cs="Calibri"/>
          <w:i/>
          <w:iCs/>
          <w:color w:val="000000"/>
          <w:kern w:val="0"/>
          <w:sz w:val="22"/>
          <w:szCs w:val="22"/>
          <w14:ligatures w14:val="none"/>
        </w:rPr>
        <w:t>Azadirachta Indica) </w:t>
      </w:r>
      <w:r w:rsidRPr="00FE5D1C">
        <w:rPr>
          <w:rFonts w:ascii="Calibri" w:eastAsia="Times New Roman" w:hAnsi="Calibri" w:cs="Calibri"/>
          <w:color w:val="000000"/>
          <w:kern w:val="0"/>
          <w:sz w:val="22"/>
          <w:szCs w:val="22"/>
          <w14:ligatures w14:val="none"/>
        </w:rPr>
        <w:t>Leaf and Fruit Powder as Biopesticides for Controlling Cowpea Weevil (</w:t>
      </w:r>
      <w:r w:rsidRPr="00FE5D1C">
        <w:rPr>
          <w:rFonts w:ascii="Calibri" w:eastAsia="Times New Roman" w:hAnsi="Calibri" w:cs="Calibri"/>
          <w:i/>
          <w:iCs/>
          <w:color w:val="000000"/>
          <w:kern w:val="0"/>
          <w:sz w:val="22"/>
          <w:szCs w:val="22"/>
          <w14:ligatures w14:val="none"/>
        </w:rPr>
        <w:t>Callosobruchus maculatus</w:t>
      </w:r>
      <w:r w:rsidRPr="00FE5D1C">
        <w:rPr>
          <w:rFonts w:ascii="Calibri" w:eastAsia="Times New Roman" w:hAnsi="Calibri" w:cs="Calibri"/>
          <w:color w:val="000000"/>
          <w:kern w:val="0"/>
          <w:sz w:val="22"/>
          <w:szCs w:val="22"/>
          <w14:ligatures w14:val="none"/>
        </w:rPr>
        <w:t>)</w:t>
      </w:r>
    </w:p>
    <w:p w14:paraId="7C620D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cowpea weevil, </w:t>
      </w:r>
      <w:r w:rsidRPr="00FE5D1C">
        <w:rPr>
          <w:rFonts w:ascii="Calibri" w:eastAsia="Times New Roman" w:hAnsi="Calibri" w:cs="Calibri"/>
          <w:i/>
          <w:iCs/>
          <w:color w:val="000000"/>
          <w:kern w:val="0"/>
          <w:sz w:val="22"/>
          <w:szCs w:val="22"/>
          <w14:ligatures w14:val="none"/>
        </w:rPr>
        <w:t>Callosobruchus maculatus</w:t>
      </w:r>
      <w:r w:rsidRPr="00FE5D1C">
        <w:rPr>
          <w:rFonts w:ascii="Calibri" w:eastAsia="Times New Roman" w:hAnsi="Calibri" w:cs="Calibri"/>
          <w:color w:val="000000"/>
          <w:kern w:val="0"/>
          <w:sz w:val="22"/>
          <w:szCs w:val="22"/>
          <w14:ligatures w14:val="none"/>
        </w:rPr>
        <w:t>, is a severe pest that causes significant losses in both the quantity and nutritional quality of stored cowpea (</w:t>
      </w:r>
      <w:r w:rsidRPr="00FE5D1C">
        <w:rPr>
          <w:rFonts w:ascii="Calibri" w:eastAsia="Times New Roman" w:hAnsi="Calibri" w:cs="Calibri"/>
          <w:i/>
          <w:iCs/>
          <w:color w:val="000000"/>
          <w:kern w:val="0"/>
          <w:sz w:val="22"/>
          <w:szCs w:val="22"/>
          <w14:ligatures w14:val="none"/>
        </w:rPr>
        <w:t>Vigna unguiculata</w:t>
      </w:r>
      <w:r w:rsidRPr="00FE5D1C">
        <w:rPr>
          <w:rFonts w:ascii="Calibri" w:eastAsia="Times New Roman" w:hAnsi="Calibri" w:cs="Calibri"/>
          <w:color w:val="000000"/>
          <w:kern w:val="0"/>
          <w:sz w:val="22"/>
          <w:szCs w:val="22"/>
          <w14:ligatures w14:val="none"/>
        </w:rPr>
        <w:t>), an essential protein source in many diets. Their infestation of stored cowpeas poses hazards to human health. Traditionally, synthetic insecticides have been the primary means of control, but these chemicals pose serious risks to human health and the environment due to their toxicity and potential residues in food. This study aimed to compare and evaluate the effectiveness of neem (</w:t>
      </w:r>
      <w:r w:rsidRPr="00FE5D1C">
        <w:rPr>
          <w:rFonts w:ascii="Calibri" w:eastAsia="Times New Roman" w:hAnsi="Calibri" w:cs="Calibri"/>
          <w:i/>
          <w:iCs/>
          <w:color w:val="000000"/>
          <w:kern w:val="0"/>
          <w:sz w:val="22"/>
          <w:szCs w:val="22"/>
          <w14:ligatures w14:val="none"/>
        </w:rPr>
        <w:t>Azadirachta indica</w:t>
      </w:r>
      <w:r w:rsidRPr="00FE5D1C">
        <w:rPr>
          <w:rFonts w:ascii="Calibri" w:eastAsia="Times New Roman" w:hAnsi="Calibri" w:cs="Calibri"/>
          <w:color w:val="000000"/>
          <w:kern w:val="0"/>
          <w:sz w:val="22"/>
          <w:szCs w:val="22"/>
          <w14:ligatures w14:val="none"/>
        </w:rPr>
        <w:t>) leaf and fruit powder as safer, natural alternatives for managing cowpea weevil infestations during storage. Neem fruit and leaves were processed into powder and different amounts (15g, 25g, and 45g) preserved with cowpea seeds infested with adult </w:t>
      </w:r>
      <w:r w:rsidRPr="00FE5D1C">
        <w:rPr>
          <w:rFonts w:ascii="Calibri" w:eastAsia="Times New Roman" w:hAnsi="Calibri" w:cs="Calibri"/>
          <w:i/>
          <w:iCs/>
          <w:color w:val="000000"/>
          <w:kern w:val="0"/>
          <w:sz w:val="22"/>
          <w:szCs w:val="22"/>
          <w14:ligatures w14:val="none"/>
        </w:rPr>
        <w:t>C. maculatus</w:t>
      </w:r>
      <w:r w:rsidRPr="00FE5D1C">
        <w:rPr>
          <w:rFonts w:ascii="Calibri" w:eastAsia="Times New Roman" w:hAnsi="Calibri" w:cs="Calibri"/>
          <w:color w:val="000000"/>
          <w:kern w:val="0"/>
          <w:sz w:val="22"/>
          <w:szCs w:val="22"/>
          <w14:ligatures w14:val="none"/>
        </w:rPr>
        <w:t> for 28 days. Negative control was setup</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The mortality of the weevils were estimated weekly by counting the dead ones and the treatments were replicated twice. The results showed that both neem fruit and leaf powder significantly increased weevil mortality and reduced seed damage, with the 25g and 45g treatments being the most effective. The results indicated that higher neem amounts led to greater weevil mortality and less seed perforation. The 45g of neem leaf powder recorded a mean mortality (Mean±SD) of 8.0±2.8, while that of neem fruit powder recorded 14.50±2.70. This study suggests that neem fruit and leaf powder is effective in controlling cowpea weevils as a sustainable and health-conscious alternative to synthetic insecticides. Hence, reducing the risk of chemical exposure while preserving food safety and nutritional value.</w:t>
      </w:r>
    </w:p>
    <w:p w14:paraId="58BD47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25-A-2113-ASTMH</w:t>
      </w:r>
    </w:p>
    <w:p w14:paraId="7063D3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40B38A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Phase 2a enabling study to assess the impact of dose and schedule on antibody responses to RTS,S/AS01</w:t>
      </w:r>
      <w:r w:rsidRPr="00FE5D1C">
        <w:rPr>
          <w:rFonts w:ascii="Calibri" w:eastAsia="Times New Roman" w:hAnsi="Calibri" w:cs="Calibri"/>
          <w:color w:val="000000"/>
          <w:kern w:val="0"/>
          <w:sz w:val="22"/>
          <w:szCs w:val="22"/>
          <w:vertAlign w:val="subscript"/>
          <w14:ligatures w14:val="none"/>
        </w:rPr>
        <w:t>E</w:t>
      </w:r>
    </w:p>
    <w:p w14:paraId="42E0413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and economic burden in sub-Saharan Africa (sSA) and the intensifying threats of antimalarial drug resistance and climate change highlight the need for new malaria control tools. The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xml:space="preserve"> (Mosquirix) vaccine has now been given to more than 2 million </w:t>
      </w:r>
      <w:r w:rsidRPr="00FE5D1C">
        <w:rPr>
          <w:rFonts w:ascii="Calibri" w:eastAsia="Times New Roman" w:hAnsi="Calibri" w:cs="Calibri"/>
          <w:color w:val="000000"/>
          <w:kern w:val="0"/>
          <w:sz w:val="22"/>
          <w:szCs w:val="22"/>
          <w14:ligatures w14:val="none"/>
        </w:rPr>
        <w:lastRenderedPageBreak/>
        <w:t>children in sSA demonstrating clear reduction in severe malaria incidence and death in vaccinated children. However, efficacy and durability of protection could potentially be improved.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is currently administered as three 25μg doses given one month apart (M0, M1, M2 schedule) with 0.5mL of the AS01</w:t>
      </w:r>
      <w:r w:rsidRPr="00FE5D1C">
        <w:rPr>
          <w:rFonts w:ascii="Calibri" w:eastAsia="Times New Roman" w:hAnsi="Calibri" w:cs="Calibri"/>
          <w:color w:val="000000"/>
          <w:kern w:val="0"/>
          <w:sz w:val="22"/>
          <w:szCs w:val="22"/>
          <w:vertAlign w:val="subscript"/>
          <w14:ligatures w14:val="none"/>
        </w:rPr>
        <w:t>E </w:t>
      </w:r>
      <w:r w:rsidRPr="00FE5D1C">
        <w:rPr>
          <w:rFonts w:ascii="Calibri" w:eastAsia="Times New Roman" w:hAnsi="Calibri" w:cs="Calibri"/>
          <w:color w:val="000000"/>
          <w:kern w:val="0"/>
          <w:sz w:val="22"/>
          <w:szCs w:val="22"/>
          <w14:ligatures w14:val="none"/>
        </w:rPr>
        <w:t>adjuvant in children from 5 months of age, however preclinical evidence suggests that equivalent antibody responses can be induced with lower doses of antigen when the adjuvant dose is maintained. Clinical data with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and other novel malaria vaccine antigens also suggests that increasing the dose interval may improve the durability of the antibody response, avoiding the need for booster doses and reducing the potential for immunological interference in future multi-antigen combinations. A Phase 2a clinical trial (PACTR202503849420187</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evaluating lower antigen doses (12.5μg and 5μg) and alternative vaccination schedules (M0, M1, M7 and M0, M2, M7) will commence in Rwanda in 2025 to assess vaccine-induced immune response to different formulations &amp; schedules compared with the standard RTS,S/AS01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regimen. The primary endpoint will be antibody levels to the circumsporozoite antigen and secondary endpoints will assess safety, reactogenicity and additional immunogenicity readouts. This study will enable future development of a combination approach targeting multiple stages of the parasite life cycle. Recent developments in the malaria field have highlighted several new antigens with potential as highly effective vaccine candidates targeting multiple life cycle stages. Inclusion of novel antigens with the existing RTS,S/ AS01</w:t>
      </w:r>
      <w:r w:rsidRPr="00FE5D1C">
        <w:rPr>
          <w:rFonts w:ascii="Calibri" w:eastAsia="Times New Roman" w:hAnsi="Calibri" w:cs="Calibri"/>
          <w:color w:val="000000"/>
          <w:kern w:val="0"/>
          <w:sz w:val="22"/>
          <w:szCs w:val="22"/>
          <w:vertAlign w:val="subscript"/>
          <w14:ligatures w14:val="none"/>
        </w:rPr>
        <w:t>E</w:t>
      </w:r>
      <w:r w:rsidRPr="00FE5D1C">
        <w:rPr>
          <w:rFonts w:ascii="Calibri" w:eastAsia="Times New Roman" w:hAnsi="Calibri" w:cs="Calibri"/>
          <w:color w:val="000000"/>
          <w:kern w:val="0"/>
          <w:sz w:val="22"/>
          <w:szCs w:val="22"/>
          <w14:ligatures w14:val="none"/>
        </w:rPr>
        <w:t> vaccine, with an optimised dose and schedule, could deliver a high efficacy vaccine with improved durability, which would further increase the impact of malaria vaccines.</w:t>
      </w:r>
    </w:p>
    <w:p w14:paraId="3032F9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25-A-2114-ASTMH</w:t>
      </w:r>
    </w:p>
    <w:p w14:paraId="2E95D7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457E09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Deciphering YAT2150: a multi-omic approach to elucidate its antimalarial mechanism targeting protein aggregation.</w:t>
      </w:r>
    </w:p>
    <w:p w14:paraId="0F477D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persistent global health threat, with approximately 263 million cases and 597,000 deaths reported in 2023. Despite extensive efforts to control the disease, progress has stagnated, largely driven by the rapid emergence of drug resistance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As a result, the effectiveness of current malaria treatments has been severely compromised, highlighting the critical need for novel therapeutic strategies targeting previously unexplored vulnerabilities in the parasite. One such area of interest is protein aggregation, a prominent yet poorly understood phenomenon present throughout all the stages of the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life cycle. Although the exact role of aggregation in the parasite remains unclear, evidence suggests that this process is crucial for survival, as its disruption impairs parasite viability, highlighting it as a promising therapeutic target. A notable compound in this context is YAT2150, which targets protein aggregates within the parasite and has demonstrated potent antiplasmodial activity in the low nanomolar range. Treatment with this drug leads to a reduction in protein aggregation, potentially linking this effect to its mechanism of action. Given the absence of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resistance to the compound, and to identify specific proteins targeted by YAT2150, a comprehensive set of approaches is currently being employed. In particular, a combination of pull-down assays, proteomic analyses such as Cellular Thermal Shift Assays (CETSA), and transcriptomic analyses are being utilized to provide an in-depth understanding of YAT2150's targets and its downstream effects. This multifaceted approach will offer crucial insights into the mechanism by which YAT2150 disrupts parasite function. Preliminary results show the dysregulation of multiple targets, consistent with the compound’s general mode of action, and suggest the presence of dynamic folding and un-folding pathways present in the parasite. Ultimately, this research will enhance our understanding of protein aggregation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biology and lay the groundwork for the development of innovative and effective antimalarial therapies.</w:t>
      </w:r>
    </w:p>
    <w:p w14:paraId="449C32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25-A-2115-ASTMH</w:t>
      </w:r>
    </w:p>
    <w:p w14:paraId="3754B6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47F61E15" w14:textId="70ACF0C8"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susceptibility profiles of Culex and Aedes mosquitoes in Maricopa County, Arizona</w:t>
      </w:r>
    </w:p>
    <w:p w14:paraId="47ECE1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Insecticide resistance poses a growing challenge to effective mosquito control around the globe, and the situation is no different in Maricopa County, Arizona. This is a pressing concern because Arizona has the highest West Nile virus (WNV) prevalence in the United States. The most recent WNV outbreak in Arizona (2021) accounted for 1,476 cases and 101 deaths originating from Maricopa County alone. In addition according to CDC feild notes, Pasadena, California, has locally acquired dengue virus cases in 2023, from October to December 2018. The increasing prevalence of dengue infections, exacerbated by climate change, represents an enormous public health challenge, particularly for individuals in the Pacific West. With limited insecticide options to select for control measures, the Maricopa County vector control (MCVC) authority in Arizona has used pyrethroids to control mosquito vectors. Preliminary data has shown some level of resistance to insecticides, however, little is known about how wide the resistance across different insecticide classes and areas. Using feild collected mosquitoes in Maricopa County, we conducted CDC bottle bioassay to test the susceptibility profiles of culex and aedes mosquitoes to different insecticides. Our findings indicated that culex mosquitoes from six sites tested exhibited resistance to the diagnostic dose of permethrin (43ug/ml) at the diagnostic time (30 mins), and aedes mosquitoes tested in two sites were also resistant at the diagnostic time (10 mins) respectively. Similarly, our data also showed the same trend for Deltamethrin (0.75ug/ml), which was also resistant in three sites tested for culex and one site for aedes at diagnostic times of 60 minutes and 30 minutes after exposure, respectively. Nevertheless, Culex mosquitoes tested in two different locations showed susceptibility to Malathion at diagnostic time (45 mins). Given that MCVC predominantly utilise pyrethroids, malathion, an organophosphate, has demonstrated susceptibility at the investigated sites, providing an additional resource for MCVC and other vector control agencies in the Pacific West.</w:t>
      </w:r>
    </w:p>
    <w:p w14:paraId="658B05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25-A-2116-ASTMH</w:t>
      </w:r>
    </w:p>
    <w:p w14:paraId="215F26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Trachoma</w:t>
      </w:r>
    </w:p>
    <w:p w14:paraId="5A49EB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Evaluating Capacity Building for Community Health Workers in Trachoma Prevention and Referrals in Al Sabra district in Ibb, Yemen</w:t>
      </w:r>
    </w:p>
    <w:p w14:paraId="60DFD1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Trachoma remains a leading cause of preventable blindness in Yemen, particularly in Ibb and Hodeidah governorates, where the prevalence of trachomatous inflammation—follicular (TF) among children aged 1-9 years exceeds 10%. Despite repeated rounds of MDA, significant gaps persist in community engagement, health education, and referral systems. Current interventions have heavily focused on surgery and antibiotics, with limited attention to the preventive components of the SAFE strategy — facial cleanliness and environmental improvements. Moreover, there is limited evidence on the role, capacity, and effectiveness of Community Health Workers (CHWs) in supporting trachoma control efforts in Yemen. This study uses an implementation research approach to assess the effectiveness of a capacity-building intervention aiming to enhance CHW knowledge, skills, and practices in identifying, educating on, and referring suspected trachoma cases in Al Sabra district, Ibb governorate. The intervention will be implemented by a GLIDE-supported Fellow in collaboration with the Ministry of Public Health and Population, EMPHNET, and local health authorities. Fifteen CHWs from the catchment areas of 2-3 health facilities in Al Sabra district will participate. The approach includes a baseline assessment of CHW knowledge and community perceptions; targeted training on trachoma prevention, case identification, and referrals; development and distribution of culturally adapted job aids; and community engagement through focus group discussions. The study will also involve 6 in-depth interviews with community leaders, 4 focus group discussions with community members, and an endline assessment to evaluate changes in CHW knowledge, referral rates, and community awareness. A WhatsApp-based support group will provide ongoing supervision and feedback. Anticipated outcomes include improved CHW capacity, increased community awareness, and enhanced referral rates. The study will generate context-specific evidence to support Yemen’s trachoma elimination efforts in line with the WHO NTD 2030 Roadmap.</w:t>
      </w:r>
    </w:p>
    <w:p w14:paraId="0561E2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25-A-2118-ASTMH</w:t>
      </w:r>
    </w:p>
    <w:p w14:paraId="1734E8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63C134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A Phase III randomized controlled multi centre trial evaluating the efficacy of the R21 MatrixM vaccine in African children against clinical malaria</w:t>
      </w:r>
    </w:p>
    <w:p w14:paraId="060A10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has long been the leading cause of morbidity and mortality worldwide. The R21/Matrix-M malaria vaccine has reached the WHO-specified goal of 75% protection in the target population of African children.The objectives of the present study were (i) to assess the protective efficacy of R21/Matrix-M against clinical malaria caused by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 5-36 month old children living in a malaria endemic area, 12 months after completion of the primary course (standard vaccination regime) and (ii) to assess the safety and reactogenicity of R21/Matrix-M, in both vaccination regimes, of children living in a malaria endemic area, in the month following each vaccination, and 12 months after completion of the primary course.</w:t>
      </w:r>
      <w:r w:rsidRPr="00FE5D1C">
        <w:rPr>
          <w:rFonts w:ascii="Calibri" w:eastAsia="Times New Roman" w:hAnsi="Calibri" w:cs="Calibri"/>
          <w:color w:val="000000"/>
          <w:kern w:val="0"/>
          <w:sz w:val="22"/>
          <w:szCs w:val="22"/>
          <w14:ligatures w14:val="none"/>
        </w:rPr>
        <w:br/>
        <w:t>This is a double-blinded phase III randomized controlled trial, where children aged 5-17 months were enrolled for the study. Eligible participants were randomly assigned to receive three vaccination doses with a booster dose after 12 months. Following an extension of two years; the study will assess safety, efficacy and immunogenicity of a second and third booster dose given 12 months apart.</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A single booster dose of R21/Matrix-M restored high antibody concentrations after primary series of vaccinations. Administration of this booster dose led to sustained protective immunity over the second year when administering R21 with the higher adjuvant dose. Most malaria vaccines that target the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circumsporozoite protein have aimed to induce protective antibodies to the highly conserved NANP repeat sequence. In both the first and second year of follow-up, when assessing protection against the first or any malaria episode, analysis of the reverse cumulative</w:t>
      </w:r>
      <w:r w:rsidRPr="00FE5D1C">
        <w:rPr>
          <w:rFonts w:ascii="Calibri" w:eastAsia="Times New Roman" w:hAnsi="Calibri" w:cs="Calibri"/>
          <w:color w:val="000000"/>
          <w:kern w:val="0"/>
          <w:sz w:val="22"/>
          <w:szCs w:val="22"/>
          <w14:ligatures w14:val="none"/>
        </w:rPr>
        <w:br/>
        <w:t>distribution data suggests that a level of more than 6500 ELISA units per mL was associated with a 77% reduction in the risk of malaria.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This study confirms that a booster dose of R21/Matrix-M at 1 year following the primary three-dose regimen maintained high efficacy against first and multiple episodes of clinical malaria AND induced antibody concentrations that correlated with vaccine efficacy’.</w:t>
      </w:r>
    </w:p>
    <w:p w14:paraId="4B1CE5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25-A-2119-ASTMH</w:t>
      </w:r>
    </w:p>
    <w:p w14:paraId="2EA2D8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38609B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Small-scale field</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b/>
          <w:bCs/>
          <w:color w:val="000000"/>
          <w:kern w:val="0"/>
          <w:sz w:val="22"/>
          <w:szCs w:val="22"/>
          <w14:ligatures w14:val="none"/>
        </w:rPr>
        <w:t>trial comparing “community-based” and “top-down” tsetse vector control strategies using tiny targets in the Democratic Republic of Congo</w:t>
      </w:r>
    </w:p>
    <w:p w14:paraId="6D4ABC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Gambiense human African trypanosomiasis (g-HAT) is a neglected tropical disease transmitted by tsetse (Diptera), with the Democratic Republic of Congo (DRC) accounting for over 80% of global cases. The national programme for g-HAT elimination in DRC includes large-scale tsetse control using tiny targets–small insecticide-treated panels that attract and kill tsetse. This intervention is implemented by specialised teams deploying targets along riverbanks, following a "top-down" approach. However, access to remote areas couple with the scale and sustainability of nationwide interventions is challenging. In settings where resources are limited, community-led tsetse control offers a more sustainable alternative. This study was designed to compare the impact in the tsetse density of community-based and top-down interventions to inform policy makers about the potential for incorporating community-based interventions into the national strategy.A 12-month field trial was conducted in two clusters, each comprising three villages. Withing each cluster, one village received a top-down (Td) intervention managed by expert teams, another implemented a community-based (Cb) intervention led by local communities, and the third served as a control with no vector control (Ni). Baseline tsetse density data were collected before the deployment of targets in the intervention areas, followed by quarterly follow-up surveys after the initial intervention, for one year. All the targets were replaced six months after the first intervention.Logistic regression analysis revealed a significant difference in tsetse density reduction among interventions (R² = 17.401;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0.001). Pairwise comparisons showed no significant differences between community-based and top-down interventions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0.56). Both interventions resulted in significantly greater reductions in tsetse density compared to the non-intervention area (Cb vs Ni: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0.012; Td vs Ni: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0.001).</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This study suggested that community-led could be effective in remote settings, supporting its potential for broader implementation where expert-led deployment is less feasible.</w:t>
      </w:r>
    </w:p>
    <w:p w14:paraId="673AA9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25-A-2120-ASTMH</w:t>
      </w:r>
    </w:p>
    <w:p w14:paraId="508336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54C647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Ten-year trends in adult mortality in the Gambia: cause of death analysis using verbal autopsy data from the Farafenni HDSS</w:t>
      </w:r>
    </w:p>
    <w:p w14:paraId="559F3C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Understanding the leading causes of adult mortality is critical for informed health intervention planning, especially in low-resource settings. In The Gambia, where vital registration systems are incomplete, Health and Demographic Surveillance Systems (HDSS) offer an alternative source of mortality data. This study analyzes ten years (2005-2022) of adult mortality data from the Farafenni HDSS (FHDSS) using verbal autopsy (VA). The primary objective was to identify major causes of death (COD) among adults (aged 18+) and explore trends by age, sex, season, and care-seeking behavior. It also highlights the utility of automated coding algorithms in R for classifying COD, contributing to more efficient, standardized analyses in HDSS settings. A retrospective secondary analysis was conducted using VAs from adult deaths (aged ≥18) between 2005 and 2022. VAs were conducted using the WHO 2016 VA questionnaire. Of 1,848 records, 152 with incomplete data were excluded, resulting in 1,696 analyzed. Automated COD assignment was performed in R using standardized algorithms. Diseases with fewer than 7 deaths were grouped as “Other.” Among deaths analyzed, 63% occurred in persons &lt;60 years; 53% were males. Most deaths occurred at home (64%) and in the dry season (63%). The highest number occurred in 2018. Top CODs included hypertension (15.4%), malaria (13.7%), accidents (5.4%), TB (5.2%), severe abdominal pain (5.1%), diabetes (3.6%), heart disease (2.6%), and unknown causes (25.2%). Younger adults primarily died from malaria, accidents, maternal causes, cancer, and epilepsy; older adults had more hypertension-related deaths. While 40% did not seek care before death, 53% sought care at government hospitals. Hypertension-related mortality increased, with persistent infectious causes like malaria and TB. The use of automated R algorithms proved effective and replicable. Findings highlight the need for targeted NCD and communicable disease interventions, improved access to care, and broader use of algorithmic COD tools for timely mortality surveillance in low resource settings.</w:t>
      </w:r>
    </w:p>
    <w:p w14:paraId="58E657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25-A-2122-ASTMH</w:t>
      </w:r>
    </w:p>
    <w:p w14:paraId="17C1BB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7E3626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Design and assessment of antimalarial multivalent nanodrug</w:t>
      </w:r>
    </w:p>
    <w:p w14:paraId="7E73D4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Following the discovery that protein aggregation plays a functional role in the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 we developed a novel antimalarial drug, YAT2150, with a presumed mode of action involving the inhibition of protein aggregation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YAT2150 has strong potential to prevent the rapid emergence of resistance, due to its multiple molecular targets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and a mode of action not shared with other antimalarials. Nevertheless, its therapeutic window must be improved due to a relatively high cytotoxicity for human cells, highlighting the need for new nanocarriers to enhance safety and efficacy. Liposomal nanocarriers are ideal candidates due to their biocompatibility, structural flexibility and biomimetic lipid bilayer. They offer design versatility, allowing tailoring of the liposomal composition to achieve desired properties. Additionally, their periphery can be functionalized to achieve selectivity towards infected red blood cells. To optimize the nanocarrier design, a combination of </w:t>
      </w:r>
      <w:r w:rsidRPr="00FE5D1C">
        <w:rPr>
          <w:rFonts w:ascii="Calibri" w:eastAsia="Times New Roman" w:hAnsi="Calibri" w:cs="Calibri"/>
          <w:i/>
          <w:iCs/>
          <w:color w:val="000000"/>
          <w:kern w:val="0"/>
          <w:sz w:val="22"/>
          <w:szCs w:val="22"/>
          <w14:ligatures w14:val="none"/>
        </w:rPr>
        <w:t>in silico</w:t>
      </w:r>
      <w:r w:rsidRPr="00FE5D1C">
        <w:rPr>
          <w:rFonts w:ascii="Calibri" w:eastAsia="Times New Roman" w:hAnsi="Calibri" w:cs="Calibri"/>
          <w:color w:val="000000"/>
          <w:kern w:val="0"/>
          <w:sz w:val="22"/>
          <w:szCs w:val="22"/>
          <w14:ligatures w14:val="none"/>
        </w:rPr>
        <w:t> and wet lab experiments will be employed, providing a comprehensive approach to developing these innovative therapeutic solutions. Current antimalarial nanocarriers exhibit limited drug encapsulation efficiency, restricting their potential for optimal therapeutic delivery. Computational simulations will be used to identify the site of drug incorporation within the liposomal bilayer, providing insights to optimize drug loading capacity through wet lab experiments. Moreover, the design of these nanocarriers will prioritize minimizing production costs, ensuring that the therapy can be integrated into the healthcare systems of resource-limited regions.</w:t>
      </w:r>
    </w:p>
    <w:p w14:paraId="3CB7F4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25-A-2123-ASTMH</w:t>
      </w:r>
    </w:p>
    <w:p w14:paraId="782E6A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27A9DC0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Hit-to-Lead Refinement of the Aggregated Protein Dye YAT2150 Identifies Novel Compounds with Multistage Antiplasmodial Activity</w:t>
      </w:r>
    </w:p>
    <w:p w14:paraId="3A6A34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the deadliest parasitic disease globally. Its complete eradication is still elusive due to several challenges, ranging from the difficulty of targeting the different life cycles of the parasite to the growing threat of drug resistance phenomena to all marketed drugs. Our group identified in the aggregated protein dye YAT2150 a potent antimalarial compound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 90.5 nM), belonging to an unexplored antimalarial chemical family and possessing an intriguing mode of action, which consists of the disruption of protein aggregation, a phenomenon with biological significance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However, YAT2150’s significant cytotoxicity and low selectivity index (SI = CC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poses a major limitation in drug development. To address this issue, we started a hit-to-lead optimization strategy systematically modifying YAT2150’s chemical structure to enhance the antiplasmodial potency while reducing toxicity. Among the 25 newly synthesized derivatives, we identified EMA377, PRC72 and AMB82 as the top performing compounds of the series, with excellent selectivity indexes &gt; 1000 and strong gametocytocidal activity in the two-digit nanomolar range. Moreover, the selected analogues displayed strong efficacy also in multidrug resistant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strains. The three compounds underwent a full biological characterization aimed at verifying their mode of action in live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asexual blood stages according to thioflavin-T fluorescence assays. Photochemical studies performed with two endogenous parasitic peptides prone to aggregation highlighted the capability of the novel compounds to bind and stain protein aggregates of different morphology as observed by confocal microscopy and transmission electron microscopy. The drug-like properties of the novel compounds were examined through pharmacokinetic and pharmacodynamic studies. A preliminary in vivo toxicity characterization in </w:t>
      </w:r>
      <w:r w:rsidRPr="00FE5D1C">
        <w:rPr>
          <w:rFonts w:ascii="Calibri" w:eastAsia="Times New Roman" w:hAnsi="Calibri" w:cs="Calibri"/>
          <w:i/>
          <w:iCs/>
          <w:color w:val="000000"/>
          <w:kern w:val="0"/>
          <w:sz w:val="22"/>
          <w:szCs w:val="22"/>
          <w14:ligatures w14:val="none"/>
        </w:rPr>
        <w:t>C. elegans</w:t>
      </w:r>
      <w:r w:rsidRPr="00FE5D1C">
        <w:rPr>
          <w:rFonts w:ascii="Calibri" w:eastAsia="Times New Roman" w:hAnsi="Calibri" w:cs="Calibri"/>
          <w:color w:val="000000"/>
          <w:kern w:val="0"/>
          <w:sz w:val="22"/>
          <w:szCs w:val="22"/>
          <w14:ligatures w14:val="none"/>
        </w:rPr>
        <w:t> indicated a favorable safety profile. Further studies are ongoing in a murine malaria model.</w:t>
      </w:r>
    </w:p>
    <w:p w14:paraId="175EDC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25-A-2124-ASTMH</w:t>
      </w:r>
    </w:p>
    <w:p w14:paraId="2D3A7C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37D03B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Evaluation of the impact of routine vaccination on the seroprevalence of anti-Spike and anti-RBD antibodies to SARS-CoV-2 in the general population of Bamako.</w:t>
      </w:r>
    </w:p>
    <w:p w14:paraId="4A7EB3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Abstract</w:t>
      </w:r>
      <w:r w:rsidRPr="00FE5D1C">
        <w:rPr>
          <w:rFonts w:ascii="Calibri" w:eastAsia="Times New Roman" w:hAnsi="Calibri" w:cs="Calibri"/>
          <w:color w:val="000000"/>
          <w:kern w:val="0"/>
          <w:sz w:val="22"/>
          <w:szCs w:val="22"/>
          <w14:ligatures w14:val="none"/>
        </w:rPr>
        <w:t>Vaccine-preventable diseases remain a major cause of childhood illness and death, particularly in low-income countries. Cross-reactivity between MMR (measles-mumps-rubella) vaccination and BCG (Bacillus Calmette-Guérin) vaccination with COVID-19 has been demonstrated. The overall aim of our study was to assess the impact of routine vaccination on the seroprevalence of anti-Spike and anti-RBD antibodies to SARS-CoV-2 in the general population of Bamako.This cross-sectional study was conducted in December 2022. It involved participants aged 1 year and over residing in Commune I, IV, V, VI of the Bamako districts. Indirect ELISA was used to determine anti-Spike (S) and anti-RBD antibody levels, and RT-PCR to confirm SARS-CoV-2 infection in 10% of participants.2892 participants were included in this study, 78% of whom were women. The 30-39 age group represented the majority with 26.63%. Vaccination coverage rates were: 44.92% (COVID-19), 1.28% (poliomyelitis), 1.42% (rubella), 1.24% (meningitis), 3.63% (tetanus), 1.31% (measles). Seroprevalence was 99.20% for Spike antigen and 95.61% for RBD, and the prevalence of SARS-CoV-2 infection was 4.26% among the 258 participants tested by RT-PCR.A significant association between mean anti-SARS-CoV-2 antibody titre and vaccination against COVID-19 and rubella was observed.Vaccination coverage rates were low. In addition, a significant association between anti-Spike antibody seroprevalence and Rubella vaccination was observed. A program of intensified community sensitization is required.</w:t>
      </w:r>
    </w:p>
    <w:p w14:paraId="79B4B7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25-A-2125-ASTMH</w:t>
      </w:r>
    </w:p>
    <w:p w14:paraId="24E9ED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3D4D0F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Organoid-Based Platform for Modeling Enteropathogen-Host Interactions: A Standardized Microinjection Workflow for Infectious Disease Studies</w:t>
      </w:r>
    </w:p>
    <w:p w14:paraId="5068CE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Intestinal organoids provide a transformative approach to infectious disease research, offering a powerful alternative to traditional animal experimentation. These three-dimensional structures, derived from stem cells, mimic the key features of the intestinal epithelium, including cellular diversity and physiological functions. In this study, we present a comprehensive workflow using human and/or bovine intestinal organoids to investigate the complex interplay between the host, enteropathogenic microorganisms, and the gut microbiome.</w:t>
      </w:r>
      <w:r w:rsidRPr="00FE5D1C">
        <w:rPr>
          <w:rFonts w:ascii="Calibri" w:eastAsia="Times New Roman" w:hAnsi="Calibri" w:cs="Calibri"/>
          <w:color w:val="000000"/>
          <w:kern w:val="0"/>
          <w:sz w:val="22"/>
          <w:szCs w:val="22"/>
          <w14:ligatures w14:val="none"/>
        </w:rPr>
        <w:br/>
        <w:t>Our workflow begins with the generation and culture of intestinal organoids derived from either commercial sources or primary-cultured adult stem cells, followed by standardized microinjection of microorganisms into the organoid lumen. To better reflect the complex gut environment, we incorporate a defined microbial community, such as the Extended Simplified Intestinal Human Microbiota (SIHUMIx).For proof-of-concept, we challenge this system with </w:t>
      </w:r>
      <w:r w:rsidRPr="00FE5D1C">
        <w:rPr>
          <w:rFonts w:ascii="Calibri" w:eastAsia="Times New Roman" w:hAnsi="Calibri" w:cs="Calibri"/>
          <w:i/>
          <w:iCs/>
          <w:color w:val="000000"/>
          <w:kern w:val="0"/>
          <w:sz w:val="22"/>
          <w:szCs w:val="22"/>
          <w14:ligatures w14:val="none"/>
        </w:rPr>
        <w:t>Mycobacterium avium</w:t>
      </w:r>
      <w:r w:rsidRPr="00FE5D1C">
        <w:rPr>
          <w:rFonts w:ascii="Calibri" w:eastAsia="Times New Roman" w:hAnsi="Calibri" w:cs="Calibri"/>
          <w:color w:val="000000"/>
          <w:kern w:val="0"/>
          <w:sz w:val="22"/>
          <w:szCs w:val="22"/>
          <w14:ligatures w14:val="none"/>
        </w:rPr>
        <w:t> subsp. </w:t>
      </w:r>
      <w:r w:rsidRPr="00FE5D1C">
        <w:rPr>
          <w:rFonts w:ascii="Calibri" w:eastAsia="Times New Roman" w:hAnsi="Calibri" w:cs="Calibri"/>
          <w:i/>
          <w:iCs/>
          <w:color w:val="000000"/>
          <w:kern w:val="0"/>
          <w:sz w:val="22"/>
          <w:szCs w:val="22"/>
          <w14:ligatures w14:val="none"/>
        </w:rPr>
        <w:t>paratuberculosis</w:t>
      </w:r>
      <w:r w:rsidRPr="00FE5D1C">
        <w:rPr>
          <w:rFonts w:ascii="Calibri" w:eastAsia="Times New Roman" w:hAnsi="Calibri" w:cs="Calibri"/>
          <w:color w:val="000000"/>
          <w:kern w:val="0"/>
          <w:sz w:val="22"/>
          <w:szCs w:val="22"/>
          <w14:ligatures w14:val="none"/>
        </w:rPr>
        <w:t> using a multiplicity of infection of 1:30. Each experiment includes 500 organoids with three biological replicates per condition and two control groups.</w:t>
      </w:r>
      <w:r w:rsidRPr="00FE5D1C">
        <w:rPr>
          <w:rFonts w:ascii="Calibri" w:eastAsia="Times New Roman" w:hAnsi="Calibri" w:cs="Calibri"/>
          <w:color w:val="000000"/>
          <w:kern w:val="0"/>
          <w:sz w:val="22"/>
          <w:szCs w:val="22"/>
          <w14:ligatures w14:val="none"/>
        </w:rPr>
        <w:br/>
        <w:t>Following inoculation, we monitor microbial colonization and epithelial responses at 2h, 24h, and 48h through multiple analytical approaches. These include real-time imaging to visualize structural changes, quantitative PCR to measure microbial loads, and comprehensive transcriptomic analysis (RNA-Seq) to identify pathways related to immune function, barrier integrity, and other relevant biological processes.</w:t>
      </w:r>
      <w:r w:rsidRPr="00FE5D1C">
        <w:rPr>
          <w:rFonts w:ascii="Calibri" w:eastAsia="Times New Roman" w:hAnsi="Calibri" w:cs="Calibri"/>
          <w:color w:val="000000"/>
          <w:kern w:val="0"/>
          <w:sz w:val="22"/>
          <w:szCs w:val="22"/>
          <w14:ligatures w14:val="none"/>
        </w:rPr>
        <w:br/>
        <w:t>Our optimized system provides a controlled environment for studying complex host-microorganism interactions, eliminating the inherent variability of animal models. The organoids maintain their integrity throughout the experiment, enabling detailed observation of early infection events and host response patterns. This approach reduces ethical concerns associated with animal research, improves experimental control, and allows species-specific response studies.</w:t>
      </w:r>
    </w:p>
    <w:p w14:paraId="5FD6BC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25-A-2126-ASTMH</w:t>
      </w:r>
    </w:p>
    <w:p w14:paraId="4C049E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68385A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Factors associated with access to improved sanitation and water sources in Ghana, 2025</w:t>
      </w:r>
    </w:p>
    <w:p w14:paraId="5500BB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Access to improved sanitation and water sources is crucial for health and economic development in Ghana. Knowing the factors relating to this will provide opportunities to address the challenges.The objective of this analysis was to estimate the proprtion of households with access to improved sanitation and water source and determine it associated factors among households in Ghana.We analyzed data from the 2022 Demographic and Health Surveys (DHS) conducted in Ghana. Data downloaded upon official permisiion and cleaned before use. Weighting applied and factors associated with improved water and sanitation were assessed using the Poisson regression model with a cluster-robust standard error. The analysis employed 95% confidence interval (CI) .Majority of households have improved sanitation [69.13%, 95%CI (66.78% - 71.38%)] with even higher proportion having access to improved water source[90.53%, 95%CI(88.76% - 92.05%)]. More than half of the household [66.83%, 95%CI (64.40% - 69.18%)] have both improved sanitation and water source. Female-headed households, older household heads, households with higher wealth indices and higher education(secondary level and above) had higher rates of access to both improved sanitation facilities and water source(p&lt;0.001). Conversely, all the northern regions, western north and Oti regions as well as rural households, households that required 30minutes or more to access to water and households size of more than five(5) members had lower rates of access to improve sanitation and water source. More than half of households have both improved sanitation and water source in Ghana. Strategic interventions in the northern regions, western north and Oti regions, rural areas, larger households and households that required 30minutes or more to access to water and wealth-based interventions are critical to bridging the disparities in access to these essential services.</w:t>
      </w:r>
    </w:p>
    <w:p w14:paraId="182C94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25-A-2127-ASTMH</w:t>
      </w:r>
    </w:p>
    <w:p w14:paraId="01522B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485C24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Urban vs. Hospital Settings: Which Environment Poses a Higher Risk of Vector-Borne Diseases? Mosquito Monitoring and Species Identification in Bissau, Guinea-Bissau</w:t>
      </w:r>
    </w:p>
    <w:p w14:paraId="11E46E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A mosquito monitoring study using sentinel traps and an Aedes-specific attractant was conducted in Bissau, Guinea-Bissau. Traps were placed at Hospital Nacional Simão Mendes (ICU and Telemedicine) and urban sites. Captured mosquitoes were collected every 24 hours and frozen at -20°C in a portable cooler. Species identification was carried out using a vector-specific AI microscope. Additionally, a hospital site visit evaluated mosquito control measures. An interprofessional standardized interview with healthcare workers assessed their knowledge of vector-borne diseases, particularly dengue. In total, 894 mosquitoes were captured, with 177 (19.8%) from urban areas and 717 (80.2%) from the hospital setting. Identification with high probability was not possible for 46.2% (n=331) of hospital and 23.2% (n=41) of urban mosquitoes. Among identified mosquitoes, 37 (27.2% of 136) in urban areas and 65 (16.8% of 386) in hospitals were classified as highly relevant vectors for human pathogens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spp.). In addition, 321 (83.2% of 386) from hospitals and 99 (72.8% of 136) from urban areas were identified as mosquitoes of the </w:t>
      </w:r>
      <w:r w:rsidRPr="00FE5D1C">
        <w:rPr>
          <w:rFonts w:ascii="Calibri" w:eastAsia="Times New Roman" w:hAnsi="Calibri" w:cs="Calibri"/>
          <w:i/>
          <w:iCs/>
          <w:color w:val="000000"/>
          <w:kern w:val="0"/>
          <w:sz w:val="22"/>
          <w:szCs w:val="22"/>
          <w14:ligatures w14:val="none"/>
        </w:rPr>
        <w:t>Culex</w:t>
      </w:r>
      <w:r w:rsidRPr="00FE5D1C">
        <w:rPr>
          <w:rFonts w:ascii="Calibri" w:eastAsia="Times New Roman" w:hAnsi="Calibri" w:cs="Calibri"/>
          <w:color w:val="000000"/>
          <w:kern w:val="0"/>
          <w:sz w:val="22"/>
          <w:szCs w:val="22"/>
          <w14:ligatures w14:val="none"/>
        </w:rPr>
        <w:t> genus. Further molecular biological diagnostics are underway to validate the AI microscope results. The hospital inspection revealed potential mosquito breeding sites, open windows and doors, and damaged screens. Three physicians and seven nurses participated in the interviews. Notably, only one respondent identified the mosquito species responsible for disease transmission, and only 30% were aware that dengue is primarily transmitted during the daytime or that preventive measures are essential to limit its spread. A significant difference in mosquito numbers was observed between urban and hospital environments. Moreover, mosquito control measures in the hospital were inadequate, and healthcare workers had limited knowledge of mosquito-borne diseases. Limitations in AI-based diagnostics were identified, and ongoing investigations are assessing whether this is related to the cold chain, in comparison with molecular biological methods.</w:t>
      </w:r>
    </w:p>
    <w:p w14:paraId="11EA89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25-A-2128-ASTMH</w:t>
      </w:r>
    </w:p>
    <w:p w14:paraId="6DA84B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6C5DEE9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Amphotericin B deoxycholate in pediatric American cutaneous leishmaniasis: a case series from Peru</w:t>
      </w:r>
    </w:p>
    <w:p w14:paraId="6A95F4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Cutaneous leishmaniasis (CL) is a NTD endemic to the Americas, with high prevalence in Peru. Pediatric cases are common, but treatment remains challenging due to suboptimal efficacy of 1st-line drugs—miltefosine and pentavalent antimonials—especially in young children—, or lack of access in some areas. Amphotericin B deoxycholate (AmB-d) is a 2nd-line option, though pediatric data on its use are scarce. Retrospective descriptive study of patients ≤14 years old with parasitologically confirmed localized CL treated with IV AmB-d between 2000-2007 at a referral hospital in Lima, Peru. Inclusion required failure to at least one course of systemic pentavalent antimonials. Clinical, demographic, and lab data were collected. Initial cure was defined as ≥90% reepithelialization at discharge. Adverse events (AEs) were graded using CTCAE v3.0. Descriptive and exploratory bivariate analyses were performed with STATA 10. Twenty children received AmB-d treatment (0.7-1.0 mg/kg/d). Median age was 5.4 years; 65% were female and 70% acquired CL infection in Andean regions. Most had facial lesions (85%) and had failed ≥2  antimonial courses. Patients received AmB-d until cure criteria. The cure time ranged from 18 to 43 days (mean 28.8) and mean cumulative dose was 19.8 mg/kg (range 7.8–32.5mg/kg). 95% (19/20) completed therapy; all achieved initial clinical cure. Infusion-related AEs were common but mostly mild (fever 90%, anorexia 70%, nausea 35%, and chills 35%). Transient nephrotoxicity occurred in 30%, hypokalemia in 45%, and hypomagnesemia was rare. No patient required permanent treatment discontinuation. No significant association was found between cumulative dose of AmB-d and renal toxicity. AmB-d is effective and relatively safe as 2nd-line treatment for pediatric American CL unresponsive to systemic antimonials. Despite prolonged hospitalization and dosing variability, treatment was well tolerated with mainly mild, transient AEs. In settings where liposomal amphotericin B is unavailable, AmB-d remains a viable and accessible option.</w:t>
      </w:r>
    </w:p>
    <w:p w14:paraId="15D6E1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25-A-2129-ASTMH</w:t>
      </w:r>
    </w:p>
    <w:p w14:paraId="6F945A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29597E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Optimization of Gametocyte Concentration for Plasmodium vivax Human Transmission Studies</w:t>
      </w:r>
    </w:p>
    <w:p w14:paraId="6964A8F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lastRenderedPageBreak/>
        <w:t>Plasmodium vivax</w:t>
      </w:r>
      <w:r w:rsidRPr="00FE5D1C">
        <w:rPr>
          <w:rFonts w:ascii="Calibri" w:eastAsia="Times New Roman" w:hAnsi="Calibri" w:cs="Calibri"/>
          <w:color w:val="000000"/>
          <w:kern w:val="0"/>
          <w:sz w:val="22"/>
          <w:szCs w:val="22"/>
          <w14:ligatures w14:val="none"/>
        </w:rPr>
        <w:t> is the most geographically widespread human malaria parasite species, primarily affecting people in Asia, Central and South America. </w:t>
      </w:r>
      <w:r w:rsidRPr="00FE5D1C">
        <w:rPr>
          <w:rFonts w:ascii="Calibri" w:eastAsia="Times New Roman" w:hAnsi="Calibri" w:cs="Calibri"/>
          <w:i/>
          <w:iCs/>
          <w:color w:val="000000"/>
          <w:kern w:val="0"/>
          <w:sz w:val="22"/>
          <w:szCs w:val="22"/>
          <w14:ligatures w14:val="none"/>
        </w:rPr>
        <w:t>P. vivax </w:t>
      </w:r>
      <w:r w:rsidRPr="00FE5D1C">
        <w:rPr>
          <w:rFonts w:ascii="Calibri" w:eastAsia="Times New Roman" w:hAnsi="Calibri" w:cs="Calibri"/>
          <w:color w:val="000000"/>
          <w:kern w:val="0"/>
          <w:sz w:val="22"/>
          <w:szCs w:val="22"/>
          <w14:ligatures w14:val="none"/>
        </w:rPr>
        <w:t>lags behind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for research and control, due to factors including our inability to grow the parasite in continuous in vitro culture, greater diversity and range of vector species, dormant liver parasite forms that cause periodic relapses, and early maturation of gametocytes that facilitates transmission to mosquitoes before symptoms appear and treatment is administered. In light of </w:t>
      </w:r>
      <w:r w:rsidRPr="00FE5D1C">
        <w:rPr>
          <w:rFonts w:ascii="Calibri" w:eastAsia="Times New Roman" w:hAnsi="Calibri" w:cs="Calibri"/>
          <w:i/>
          <w:iCs/>
          <w:color w:val="000000"/>
          <w:kern w:val="0"/>
          <w:sz w:val="22"/>
          <w:szCs w:val="22"/>
          <w14:ligatures w14:val="none"/>
        </w:rPr>
        <w:t>P. vivax </w:t>
      </w:r>
      <w:r w:rsidRPr="00FE5D1C">
        <w:rPr>
          <w:rFonts w:ascii="Calibri" w:eastAsia="Times New Roman" w:hAnsi="Calibri" w:cs="Calibri"/>
          <w:color w:val="000000"/>
          <w:kern w:val="0"/>
          <w:sz w:val="22"/>
          <w:szCs w:val="22"/>
          <w14:ligatures w14:val="none"/>
        </w:rPr>
        <w:t>strategies to persist and propagate, transmission blocking interventions may offer a valuable approach to control. Here, our goal is to develop a reliable assay that quantifies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transmission to mosquitoes, and therefore can measure activity of transmission blocking interventions. We developed a protocol to purify and concentrate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gametocytes from infected blood, and then tested gametocytes for transmission to laboratory mosquitoes in membrane feeding assays (MFA). Our protocol employs leukodepletion and Percoll gradient centrifugation to enrich gametocytes. In preliminary runs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gametocyte cultures, we optimized blood handling and temperature. We then verified our protocol with vivax-infected </w:t>
      </w:r>
      <w:r w:rsidRPr="00FE5D1C">
        <w:rPr>
          <w:rFonts w:ascii="Calibri" w:eastAsia="Times New Roman" w:hAnsi="Calibri" w:cs="Calibri"/>
          <w:i/>
          <w:iCs/>
          <w:color w:val="000000"/>
          <w:kern w:val="0"/>
          <w:sz w:val="22"/>
          <w:szCs w:val="22"/>
          <w14:ligatures w14:val="none"/>
        </w:rPr>
        <w:t>Saimiri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Aotus</w:t>
      </w:r>
      <w:r w:rsidRPr="00FE5D1C">
        <w:rPr>
          <w:rFonts w:ascii="Calibri" w:eastAsia="Times New Roman" w:hAnsi="Calibri" w:cs="Calibri"/>
          <w:color w:val="000000"/>
          <w:kern w:val="0"/>
          <w:sz w:val="22"/>
          <w:szCs w:val="22"/>
          <w14:ligatures w14:val="none"/>
        </w:rPr>
        <w:t> monkey whole blood. Finally, we conducted multiple small volume concentration test runs using whole blood collected from participants undergoing controlled human infection with </w:t>
      </w:r>
      <w:r w:rsidRPr="00FE5D1C">
        <w:rPr>
          <w:rFonts w:ascii="Calibri" w:eastAsia="Times New Roman" w:hAnsi="Calibri" w:cs="Calibri"/>
          <w:i/>
          <w:iCs/>
          <w:color w:val="000000"/>
          <w:kern w:val="0"/>
          <w:sz w:val="22"/>
          <w:szCs w:val="22"/>
          <w14:ligatures w14:val="none"/>
        </w:rPr>
        <w:t>P. vivax </w:t>
      </w:r>
      <w:r w:rsidRPr="00FE5D1C">
        <w:rPr>
          <w:rFonts w:ascii="Calibri" w:eastAsia="Times New Roman" w:hAnsi="Calibri" w:cs="Calibri"/>
          <w:color w:val="000000"/>
          <w:kern w:val="0"/>
          <w:sz w:val="22"/>
          <w:szCs w:val="22"/>
          <w14:ligatures w14:val="none"/>
        </w:rPr>
        <w:t>isolate HMP013. Successful concentration of gametocytes was confirmed by Pvs25 RT-qPCR as one surrogate for the measurement of concentration and transmission to </w:t>
      </w: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mosquitoes was assessed by MFA which was compared to MFA using unconcentrated infected blood. This optimized protocol offers an effective and reproducible platform for studies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gametocyte biology and transmission and provides an assay to assess serum functional activity induced by transmission-blocking vaccines.</w:t>
      </w:r>
    </w:p>
    <w:p w14:paraId="55B407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25-A-2131-ASTMH</w:t>
      </w:r>
    </w:p>
    <w:p w14:paraId="769ACE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2BFD99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Evaluation of a Millet-based Nutraceutical Gruel for Prevention and Management of Obesity among American, Australian and African Population</w:t>
      </w:r>
    </w:p>
    <w:p w14:paraId="3AE528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Abstract</w:t>
      </w:r>
      <w:r w:rsidRPr="00FE5D1C">
        <w:rPr>
          <w:rFonts w:ascii="Calibri" w:eastAsia="Times New Roman" w:hAnsi="Calibri" w:cs="Calibri"/>
          <w:color w:val="000000"/>
          <w:kern w:val="0"/>
          <w:sz w:val="22"/>
          <w:szCs w:val="22"/>
          <w14:ligatures w14:val="none"/>
        </w:rPr>
        <w:t>Obesity is a chronic complex disease that can impair health in individuals resulting in impaired immune response in human subjects, increased susceptibility to infections, and increased risk of type 2 diabetes. It has been reported that more than 1 billion people globally, one in eight people are now living with the disease. This study was conducted to evaluate a millet-based nutraceutical product suitable for prevention and management of obesity. Sosat millet was washed, malted for 31.6 hours, and roasted in an oven at 114.1°c for 19.58 minutes using a statistical method of optimization (Design Experts). It was derooted and milled into flour. Soursop (</w:t>
      </w:r>
      <w:r w:rsidRPr="00FE5D1C">
        <w:rPr>
          <w:rFonts w:ascii="Calibri" w:eastAsia="Times New Roman" w:hAnsi="Calibri" w:cs="Calibri"/>
          <w:i/>
          <w:iCs/>
          <w:color w:val="000000"/>
          <w:kern w:val="0"/>
          <w:sz w:val="22"/>
          <w:szCs w:val="22"/>
          <w14:ligatures w14:val="none"/>
        </w:rPr>
        <w:t>Annona muricata</w:t>
      </w:r>
      <w:r w:rsidRPr="00FE5D1C">
        <w:rPr>
          <w:rFonts w:ascii="Calibri" w:eastAsia="Times New Roman" w:hAnsi="Calibri" w:cs="Calibri"/>
          <w:color w:val="000000"/>
          <w:kern w:val="0"/>
          <w:sz w:val="22"/>
          <w:szCs w:val="22"/>
          <w14:ligatures w14:val="none"/>
        </w:rPr>
        <w:t>), and Roselle calyx (</w:t>
      </w:r>
      <w:r w:rsidRPr="00FE5D1C">
        <w:rPr>
          <w:rFonts w:ascii="Calibri" w:eastAsia="Times New Roman" w:hAnsi="Calibri" w:cs="Calibri"/>
          <w:i/>
          <w:iCs/>
          <w:color w:val="000000"/>
          <w:kern w:val="0"/>
          <w:sz w:val="22"/>
          <w:szCs w:val="22"/>
          <w14:ligatures w14:val="none"/>
        </w:rPr>
        <w:t>Hibiscus sabdariffa</w:t>
      </w:r>
      <w:r w:rsidRPr="00FE5D1C">
        <w:rPr>
          <w:rFonts w:ascii="Calibri" w:eastAsia="Times New Roman" w:hAnsi="Calibri" w:cs="Calibri"/>
          <w:color w:val="000000"/>
          <w:kern w:val="0"/>
          <w:sz w:val="22"/>
          <w:szCs w:val="22"/>
          <w14:ligatures w14:val="none"/>
        </w:rPr>
        <w:t>) were separately washed, sliced (4-5mm), blanched (88°c for 4 minutes) and dried at 60⁰C in a cabinet dryer for 2 hours to 8% moisture content, milled into flours (&lt; 200 microns). The optimized formulation contained flour from 70g malted and roasted sosat millet, 6.9g soursop and 2.5g roselle calyx. It was reconstituted with the addition of 850mls boiling water to 125g of the optimized mixture to obtain a nutraceutical gruel. The gruel was evaluated for total antioxidant capacity, DPPH, reducing power, % resistant starch, overall acceptability scores, and postprandial sugar level using established procedures. The gruel had a total antioxidant capacity, DPPH, reducing power, resistant starch and overall acceptability scores of 54.64 mg/100g, 72.15µg/ml, 0.38 µg/ml, 8.04% and 6.9 respectively with postprandial blood sugar level (mg/dL) of 101, 78.86 and 77.14 and 80.43 in the first 30, 60, 90 and 120 minutes respectively of consuming the gruel at a serving size of 150g relative to glucose that resulted into high postprandial blood sugar level (mg/dL) of 114.29, 102.57, 90.07 and 80.43 in healthy adults. These findings indicated the possibility of utilizing a nutraceutical gruel for the prevention and management of obesity which could be globally adopted and integrated into food menu.</w:t>
      </w:r>
      <w:r w:rsidRPr="00FE5D1C">
        <w:rPr>
          <w:rFonts w:ascii="Calibri" w:eastAsia="Times New Roman" w:hAnsi="Calibri" w:cs="Calibri"/>
          <w:color w:val="000000"/>
          <w:kern w:val="0"/>
          <w:sz w:val="22"/>
          <w:szCs w:val="22"/>
          <w14:ligatures w14:val="none"/>
        </w:rPr>
        <w:br/>
        <w:t>Key words: Antioxidant, DPPH, Postprandial</w:t>
      </w:r>
    </w:p>
    <w:p w14:paraId="045F84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25-A-2132-ASTMH</w:t>
      </w:r>
    </w:p>
    <w:p w14:paraId="5F74C1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1D33CA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Effectiveness of Single-Dose Oral Cholera Vaccine and Genomic Surveillance of </w:t>
      </w:r>
      <w:r w:rsidRPr="00FE5D1C">
        <w:rPr>
          <w:rFonts w:ascii="Calibri" w:eastAsia="Times New Roman" w:hAnsi="Calibri" w:cs="Calibri"/>
          <w:b/>
          <w:bCs/>
          <w:i/>
          <w:iCs/>
          <w:color w:val="000000"/>
          <w:kern w:val="0"/>
          <w:sz w:val="22"/>
          <w:szCs w:val="22"/>
          <w14:ligatures w14:val="none"/>
        </w:rPr>
        <w:t>Vibrio cholerae</w:t>
      </w:r>
      <w:r w:rsidRPr="00FE5D1C">
        <w:rPr>
          <w:rFonts w:ascii="Calibri" w:eastAsia="Times New Roman" w:hAnsi="Calibri" w:cs="Calibri"/>
          <w:b/>
          <w:bCs/>
          <w:color w:val="000000"/>
          <w:kern w:val="0"/>
          <w:sz w:val="22"/>
          <w:szCs w:val="22"/>
          <w14:ligatures w14:val="none"/>
        </w:rPr>
        <w:t> in the Democratic Republic of the Congo</w:t>
      </w:r>
    </w:p>
    <w:p w14:paraId="66DDE2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Effectiveness of Single-Dose Oral Cholera Vaccine and Genomic Surveillance of </w:t>
      </w:r>
      <w:r w:rsidRPr="00FE5D1C">
        <w:rPr>
          <w:rFonts w:ascii="Calibri" w:eastAsia="Times New Roman" w:hAnsi="Calibri" w:cs="Calibri"/>
          <w:b/>
          <w:bCs/>
          <w:i/>
          <w:iCs/>
          <w:color w:val="000000"/>
          <w:kern w:val="0"/>
          <w:sz w:val="22"/>
          <w:szCs w:val="22"/>
          <w14:ligatures w14:val="none"/>
        </w:rPr>
        <w:t>Vibrio cholerae</w:t>
      </w:r>
      <w:r w:rsidRPr="00FE5D1C">
        <w:rPr>
          <w:rFonts w:ascii="Calibri" w:eastAsia="Times New Roman" w:hAnsi="Calibri" w:cs="Calibri"/>
          <w:b/>
          <w:bCs/>
          <w:color w:val="000000"/>
          <w:kern w:val="0"/>
          <w:sz w:val="22"/>
          <w:szCs w:val="22"/>
          <w14:ligatures w14:val="none"/>
        </w:rPr>
        <w:t> in the Democratic Republic of the Congo</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Background. </w:t>
      </w:r>
      <w:r w:rsidRPr="00FE5D1C">
        <w:rPr>
          <w:rFonts w:ascii="Calibri" w:eastAsia="Times New Roman" w:hAnsi="Calibri" w:cs="Calibri"/>
          <w:color w:val="000000"/>
          <w:kern w:val="0"/>
          <w:sz w:val="22"/>
          <w:szCs w:val="22"/>
          <w14:ligatures w14:val="none"/>
        </w:rPr>
        <w:t>This study evaluated the effectiveness of a single-dose of whole-cell oral cholera vaccine (kOCV) Euvichol-Plus and investigated the transmission dynamics of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in the Democratic Republic of the Congo (DRC).</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Using a test-negative design with stool culture data, kOCV vaccine effectiveness was examined through surveillance at 115 healthcare facilities in Bukavu, DRC from March 2020-March 2024. A preventative kOCV campaign (Euvichol-Plus) was conducted from December 2021-April 2022.</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Whole genome sequencing was performed on clinical and water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strains from 200 patient households.</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Four years of epidemiologic and genomic surveillance of single-dose effectiveness of a killed whole-cell oral cholera vaccine (kOCV) and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transmission was conducted in the Democratic Republic of the Congo. We enrolled 1,154 patients with diarrhea; 342 of those had culture-confirmed cholera. We performed whole-genome sequencing on clinical and water V. cholerae isolates from 200 patient households, which showed annual bimodal peaks of V. cholerae clade AFR10e infections. A large clonal cholera outbreak occurred 14 months after a kOCV campaign of &gt;1 million doses, likely because of low (9%) vaccine coverage in informal settlements. Clinical and water isolates collected in the same household were closely related, suggesting person-to-person and water-to-person transmission. Single-dose kOCV vaccine effectiveness 24 months after vaccination was 59.8% (95% CI 19.7%-79.9%), suggesting modest single-dose kOCV protection.</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A single-dose of Euvichol-Plus provided modest protection against medically attended cholera during the 24 months post-vaccination. This suggests that with increased vaccination coverage in informal settlements, single-dose kOCV campaigns present a promising approach to deliver along with water, sanitation, and hygiene programs to reduce cholera in this setting in DRC.</w:t>
      </w:r>
    </w:p>
    <w:p w14:paraId="693F72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25-A-2133-ASTMH</w:t>
      </w:r>
    </w:p>
    <w:p w14:paraId="42071A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2591F4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Covid-19 Community ‘Bantaba’: Raising awareness and reducing misinformation on COVID-19 within two urban localities in the Gambia</w:t>
      </w:r>
    </w:p>
    <w:p w14:paraId="6B5800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COVID-19 pandemic has posed a significant challenge to global health, with over 3 million deaths reported worldwide as of April 2023. The Gambia, a small West African country, has not been immune to the impact of the pandemic, recording over 10,000 confirmed cases. One of the challenges in combatting COVID-19 in The Gambia has been the spread of misinformation, which has contributed to low compliance with public health measures, vaccine hesitancy and low vaccine uptake, hampering efforts to mitigate the spread of the disease. We collected data using a community engagement approach between 17th February to 1st March 2022, when we conducted the Pre-test questionnaire in Bundung and Brikama, The Gambia, the two areas with the highest number of COVID-19 cases. A post-community engagement was also conducted nine months after the first community engagement. The result shows that 79% of the participants knew the signs and symptoms of COVID-19. Our results showed significant improvement in knowledge and understanding of the disease. Our study shows that engaging with the community helps in raising knowledge and awareness of the COVID-19. 76% of the respondent expressed fear of the COVID-19 virus, while 90% showed feeling of sympathy toward family members affected by the virus, because they think they can die at any time since the virus does not have a treatment. Community engagement is an effective strategy for raising awareness and reducing misinformation about COVID-19 within communities. Community leaders' engagement, public spaces for sensitization sessions, and dissemination of accurate information through various media channels are essential components of successful community engagement initiatives.</w:t>
      </w:r>
    </w:p>
    <w:p w14:paraId="2A24A0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25-A-2134-ASTMH</w:t>
      </w:r>
    </w:p>
    <w:p w14:paraId="5A3126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Viruses - Pathogenesis and Animal Models</w:t>
      </w:r>
    </w:p>
    <w:p w14:paraId="2A9B39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Conserved Residues in the Orthoflavivirus Envelope Protein Serve a Dual Purpose: to Control Membrane Fusion and Promote Evasion of Antibody-Mediated Neutralization</w:t>
      </w:r>
    </w:p>
    <w:p w14:paraId="1FE876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Orthoflaviviruses, e.g., West Nile virus (WNV) and yellow fever virus (YFV), cause disease in humans worldwide. Fusion of viral and cell membranes is the orthoflavivirus-common cell entry mechanism. The conformational change of the envelope (E) protein, a class II fusion protein, triggers the membrane fusion process. The sequence of the E protein encodes three domains: EDI, EDII, and EDIII. In the mature virion, the fusion loop (FL) at the EDII is packed against the EDI-EDIII interface of the neighboring E protein monomer to prevent premature membrane fusion. Rotation of the EDII in relation to the EDI exposes the FL from the protected position in the E protein dimer. The four motifs (#1~4) connecting the EDI and EDII exert a hinge effect for the EDI-EDII interdomain movement, hence, the name EDI-EDII hinge region. We previously reported that the orthoflavivirus-conserved E-Y201 residue in motif #3 of the EDI-EDII hinge region is a determinant for the membrane fusion activity and mouse neuroinvasive phenotype of WNV strain NY99 rescued from an infectious clone (WNV-NY99ic). The E-Y201 residue is proximal to the orthoflavivirus-conserved E-L212 and E-V213 residues at the base of the “</w:t>
      </w:r>
      <w:r w:rsidRPr="00FE5D1C">
        <w:rPr>
          <w:rFonts w:ascii="Calibri" w:eastAsia="Times New Roman" w:hAnsi="Calibri" w:cs="Calibri"/>
          <w:i/>
          <w:iCs/>
          <w:color w:val="000000"/>
          <w:kern w:val="0"/>
          <w:sz w:val="22"/>
          <w:szCs w:val="22"/>
          <w14:ligatures w14:val="none"/>
        </w:rPr>
        <w:t>fg</w:t>
      </w:r>
      <w:r w:rsidRPr="00FE5D1C">
        <w:rPr>
          <w:rFonts w:ascii="Calibri" w:eastAsia="Times New Roman" w:hAnsi="Calibri" w:cs="Calibri"/>
          <w:color w:val="000000"/>
          <w:kern w:val="0"/>
          <w:sz w:val="22"/>
          <w:szCs w:val="22"/>
          <w14:ligatures w14:val="none"/>
        </w:rPr>
        <w:t>” hairpin, the predicted axle for the EDI-EDII interdomain movement in multiple atomic models. </w:t>
      </w:r>
      <w:r w:rsidRPr="00FE5D1C">
        <w:rPr>
          <w:rFonts w:ascii="Calibri" w:eastAsia="Times New Roman" w:hAnsi="Calibri" w:cs="Calibri"/>
          <w:b/>
          <w:bCs/>
          <w:color w:val="000000"/>
          <w:kern w:val="0"/>
          <w:sz w:val="22"/>
          <w:szCs w:val="22"/>
          <w:u w:val="single"/>
          <w14:ligatures w14:val="none"/>
        </w:rPr>
        <w:t>We hypothesized</w:t>
      </w:r>
      <w:r w:rsidRPr="00FE5D1C">
        <w:rPr>
          <w:rFonts w:ascii="Calibri" w:eastAsia="Times New Roman" w:hAnsi="Calibri" w:cs="Calibri"/>
          <w:color w:val="000000"/>
          <w:kern w:val="0"/>
          <w:sz w:val="22"/>
          <w:szCs w:val="22"/>
          <w14:ligatures w14:val="none"/>
        </w:rPr>
        <w:t> that mutations of the E-L212 and E-V213 residues would impair the membrane fusion process. Site-directed mutagenesis and transfection of Vero cells rescued mutants encoding 6 and 15 amino acid changes of the E-L212 and E-V213 residues, respectively. In comparison with WNV-NY99ic, mutations of the respective residues reduced viral infectivity titers and fusion from without (FFWO) activity. Further, 4 and 8 amino acid changes of the E-L212 and E-V213 residues increased the sensitivity of WNV-NY99ic to antibody-mediated neutralization by anti-FL epitope (FLE) 4G2, 6B6C-1, and E53 monoclonal antibodies. Differences in the FFWO activity and presentation of FLE’s demonstrated that the E-L212 and E-V213 residues each play a role in the allosteric regulation of the FL exposure and prevention of antibody-mediated neutralization by anti-FLE antibodies.</w:t>
      </w:r>
    </w:p>
    <w:p w14:paraId="341016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25-A-2135-ASTMH</w:t>
      </w:r>
    </w:p>
    <w:p w14:paraId="68378B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35E945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Serologic Responses to </w:t>
      </w:r>
      <w:r w:rsidRPr="00FE5D1C">
        <w:rPr>
          <w:rFonts w:ascii="Calibri" w:eastAsia="Times New Roman" w:hAnsi="Calibri" w:cs="Calibri"/>
          <w:b/>
          <w:bCs/>
          <w:i/>
          <w:iCs/>
          <w:color w:val="000000"/>
          <w:kern w:val="0"/>
          <w:sz w:val="22"/>
          <w:szCs w:val="22"/>
          <w14:ligatures w14:val="none"/>
        </w:rPr>
        <w:t>Vibrio cholerae</w:t>
      </w:r>
      <w:r w:rsidRPr="00FE5D1C">
        <w:rPr>
          <w:rFonts w:ascii="Calibri" w:eastAsia="Times New Roman" w:hAnsi="Calibri" w:cs="Calibri"/>
          <w:b/>
          <w:bCs/>
          <w:color w:val="000000"/>
          <w:kern w:val="0"/>
          <w:sz w:val="22"/>
          <w:szCs w:val="22"/>
          <w14:ligatures w14:val="none"/>
        </w:rPr>
        <w:t> to Assess the Impact of a Water, Sanitation, and Hygiene Program in the Democratic Republic of the Congo: A Randomized Controlled Trial of the Preventative Intervention for Cholera for 7 Days (PICHA7) Program</w:t>
      </w:r>
    </w:p>
    <w:p w14:paraId="5108D3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Serologic Responses to </w:t>
      </w:r>
      <w:r w:rsidRPr="00FE5D1C">
        <w:rPr>
          <w:rFonts w:ascii="Calibri" w:eastAsia="Times New Roman" w:hAnsi="Calibri" w:cs="Calibri"/>
          <w:b/>
          <w:bCs/>
          <w:i/>
          <w:iCs/>
          <w:color w:val="000000"/>
          <w:kern w:val="0"/>
          <w:sz w:val="22"/>
          <w:szCs w:val="22"/>
          <w14:ligatures w14:val="none"/>
        </w:rPr>
        <w:t>Vibrio cholerae</w:t>
      </w:r>
      <w:r w:rsidRPr="00FE5D1C">
        <w:rPr>
          <w:rFonts w:ascii="Calibri" w:eastAsia="Times New Roman" w:hAnsi="Calibri" w:cs="Calibri"/>
          <w:b/>
          <w:bCs/>
          <w:color w:val="000000"/>
          <w:kern w:val="0"/>
          <w:sz w:val="22"/>
          <w:szCs w:val="22"/>
          <w14:ligatures w14:val="none"/>
        </w:rPr>
        <w:t> to Assess the Impact of a Water, Sanitation, and Hygiene Program in the Democratic Republic of the Congo: A Randomized Controlled Trial of the Preventative Intervention for Cholera for 7 Days (PICHA7) Program</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Background: </w:t>
      </w:r>
      <w:r w:rsidRPr="00FE5D1C">
        <w:rPr>
          <w:rFonts w:ascii="Calibri" w:eastAsia="Times New Roman" w:hAnsi="Calibri" w:cs="Calibri"/>
          <w:color w:val="000000"/>
          <w:kern w:val="0"/>
          <w:sz w:val="22"/>
          <w:szCs w:val="22"/>
          <w14:ligatures w14:val="none"/>
        </w:rPr>
        <w:t>We assessed the impact of the Preventative-Intervention-for-Cholera-for-7-Days (PICHA7) water treatment and hygiene program on serologic responses to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O1 in the Democratic Republic of the Congo (DRC).</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The PICHA7 cluster-randomized controlled trial enrolled diarrhea patient households in urban Bukavu, DRC. Households were randomized into two arms: single in-person visit for the DRC government’s diarrhea patient standard message on oral rehydration solution use and a basic WASH message (standard arm); or this standard message and the PICHA7 program with quarterly in-person visits and weekly voice and text mobile health messages (mHealth) (PICHA7 arm). Serum samples were analyzed for IgG and IgA antibodies to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O1 Ogawa and Inaba O-specific polysaccharide (OSP) using enzyme-linked immunosorbent assay (ELISA).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exposure was defined by a rise in an IgA or IgG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O1 serological antibody from baseline to the 1-month follow-up. Generalized estimating equations were used for regression models to account for clustering at the individual and household level.</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Between December 2021 and December 2023, 573 participants randomly allocated to two arms were included in a sub-study of serologic responses to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254 standard arm and 319 PICHA7 arm participants. Significantly lower </w:t>
      </w:r>
      <w:r w:rsidRPr="00FE5D1C">
        <w:rPr>
          <w:rFonts w:ascii="Calibri" w:eastAsia="Times New Roman" w:hAnsi="Calibri" w:cs="Calibri"/>
          <w:i/>
          <w:iCs/>
          <w:color w:val="000000"/>
          <w:kern w:val="0"/>
          <w:sz w:val="22"/>
          <w:szCs w:val="22"/>
          <w14:ligatures w14:val="none"/>
        </w:rPr>
        <w:t>V. cholerae </w:t>
      </w:r>
      <w:r w:rsidRPr="00FE5D1C">
        <w:rPr>
          <w:rFonts w:ascii="Calibri" w:eastAsia="Times New Roman" w:hAnsi="Calibri" w:cs="Calibri"/>
          <w:color w:val="000000"/>
          <w:kern w:val="0"/>
          <w:sz w:val="22"/>
          <w:szCs w:val="22"/>
          <w14:ligatures w14:val="none"/>
        </w:rPr>
        <w:t>exposure was observed in the PICHA7 arm compared to the standard arm, defined by a change in IgA </w:t>
      </w:r>
      <w:r w:rsidRPr="00FE5D1C">
        <w:rPr>
          <w:rFonts w:ascii="Calibri" w:eastAsia="Times New Roman" w:hAnsi="Calibri" w:cs="Calibri"/>
          <w:i/>
          <w:iCs/>
          <w:color w:val="000000"/>
          <w:kern w:val="0"/>
          <w:sz w:val="22"/>
          <w:szCs w:val="22"/>
          <w14:ligatures w14:val="none"/>
        </w:rPr>
        <w:t>V. cholerae</w:t>
      </w:r>
      <w:r w:rsidRPr="00FE5D1C">
        <w:rPr>
          <w:rFonts w:ascii="Calibri" w:eastAsia="Times New Roman" w:hAnsi="Calibri" w:cs="Calibri"/>
          <w:color w:val="000000"/>
          <w:kern w:val="0"/>
          <w:sz w:val="22"/>
          <w:szCs w:val="22"/>
          <w14:ligatures w14:val="none"/>
        </w:rPr>
        <w:t xml:space="preserve"> O1 O-specific polysaccharide antibodies from </w:t>
      </w:r>
      <w:r w:rsidRPr="00FE5D1C">
        <w:rPr>
          <w:rFonts w:ascii="Calibri" w:eastAsia="Times New Roman" w:hAnsi="Calibri" w:cs="Calibri"/>
          <w:color w:val="000000"/>
          <w:kern w:val="0"/>
          <w:sz w:val="22"/>
          <w:szCs w:val="22"/>
          <w14:ligatures w14:val="none"/>
        </w:rPr>
        <w:lastRenderedPageBreak/>
        <w:t>baseline to the 1-month follow-up (Coefficient: -0.85 (95% CI: -1.60, -0.09).</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The PICHA7 program which combines mHealth with quarterly in-person visits lowered </w:t>
      </w:r>
      <w:r w:rsidRPr="00FE5D1C">
        <w:rPr>
          <w:rFonts w:ascii="Calibri" w:eastAsia="Times New Roman" w:hAnsi="Calibri" w:cs="Calibri"/>
          <w:i/>
          <w:iCs/>
          <w:color w:val="000000"/>
          <w:kern w:val="0"/>
          <w:sz w:val="22"/>
          <w:szCs w:val="22"/>
          <w14:ligatures w14:val="none"/>
        </w:rPr>
        <w:t>V. cholerae </w:t>
      </w:r>
      <w:r w:rsidRPr="00FE5D1C">
        <w:rPr>
          <w:rFonts w:ascii="Calibri" w:eastAsia="Times New Roman" w:hAnsi="Calibri" w:cs="Calibri"/>
          <w:color w:val="000000"/>
          <w:kern w:val="0"/>
          <w:sz w:val="22"/>
          <w:szCs w:val="22"/>
          <w14:ligatures w14:val="none"/>
        </w:rPr>
        <w:t>exposure in the DRC.</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Clinical Trials Registration </w:t>
      </w:r>
      <w:r w:rsidRPr="00FE5D1C">
        <w:rPr>
          <w:rFonts w:ascii="Calibri" w:eastAsia="Times New Roman" w:hAnsi="Calibri" w:cs="Calibri"/>
          <w:color w:val="000000"/>
          <w:kern w:val="0"/>
          <w:sz w:val="22"/>
          <w:szCs w:val="22"/>
          <w14:ligatures w14:val="none"/>
        </w:rPr>
        <w:t>NCT05166850.</w:t>
      </w:r>
    </w:p>
    <w:p w14:paraId="5AB673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25-A-2137-ASTMH</w:t>
      </w:r>
    </w:p>
    <w:p w14:paraId="247418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14CEEB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Towards an understanding of sperm storage in female mosquitoes</w:t>
      </w:r>
    </w:p>
    <w:p w14:paraId="61371A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mosquitoes are important vectors of major arboviruses impacting human health including dengue, yellow fever, Zika and chikungunya. There is a desperate need for new control strategies for this mosquito including reproductive control. Females require only a single mating to store enough sperm for a lifetime of fertilization, capable of producing hundreds of viable- and potentially disease-transmitting- offspring. During copulation, males transfer sperm and seminal fluid proteins (SFPs) synthesized in the male accessory glands (MAGs) into the female bursa. Within minutes, sperm travel through the spermathecal ducts into the spermathecae, where they are stored and remain viable for the female’s lifetime, likely sustained by secretions from spermathecal secretory cells (SSCs). However, the molecular mechanisms that enable SSCs to maintain sperm viability remain poorly understood. In this study, we used single-nucleus RNA sequencing (snRNA-seq) to profile individual cell types within the spermathecae, confirming SSC populations through RNA fluorescence </w:t>
      </w:r>
      <w:r w:rsidRPr="00FE5D1C">
        <w:rPr>
          <w:rFonts w:ascii="Calibri" w:eastAsia="Times New Roman" w:hAnsi="Calibri" w:cs="Calibri"/>
          <w:i/>
          <w:iCs/>
          <w:color w:val="000000"/>
          <w:kern w:val="0"/>
          <w:sz w:val="22"/>
          <w:szCs w:val="22"/>
          <w14:ligatures w14:val="none"/>
        </w:rPr>
        <w:t>in situ</w:t>
      </w:r>
      <w:r w:rsidRPr="00FE5D1C">
        <w:rPr>
          <w:rFonts w:ascii="Calibri" w:eastAsia="Times New Roman" w:hAnsi="Calibri" w:cs="Calibri"/>
          <w:color w:val="000000"/>
          <w:kern w:val="0"/>
          <w:sz w:val="22"/>
          <w:szCs w:val="22"/>
          <w14:ligatures w14:val="none"/>
        </w:rPr>
        <w:t> hybridization (FISH). We then examined the transcriptional response of SSCs to natural mating and MAG lysate injection, using virgin and saline-injected females as controls. Our results indicate that natural mating triggers a stronger transcriptional response in SSCs compared to MAG injection alone, suggesting that sperm receipt is a key factor in SSC activation. These findings provide new insights into the cellular and molecular dynamics of sperm storage in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w:t>
      </w:r>
    </w:p>
    <w:p w14:paraId="19F948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25-A-2139-ASTMH</w:t>
      </w:r>
    </w:p>
    <w:p w14:paraId="0B65F7F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61E717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Whole-Genome Analysis of </w:t>
      </w:r>
      <w:r w:rsidRPr="00FE5D1C">
        <w:rPr>
          <w:rFonts w:ascii="Calibri" w:eastAsia="Times New Roman" w:hAnsi="Calibri" w:cs="Calibri"/>
          <w:i/>
          <w:iCs/>
          <w:color w:val="000000"/>
          <w:kern w:val="0"/>
          <w:sz w:val="22"/>
          <w:szCs w:val="22"/>
          <w14:ligatures w14:val="none"/>
        </w:rPr>
        <w:t>Anopheles darlingi </w:t>
      </w:r>
      <w:r w:rsidRPr="00FE5D1C">
        <w:rPr>
          <w:rFonts w:ascii="Calibri" w:eastAsia="Times New Roman" w:hAnsi="Calibri" w:cs="Calibri"/>
          <w:color w:val="000000"/>
          <w:kern w:val="0"/>
          <w:sz w:val="22"/>
          <w:szCs w:val="22"/>
          <w14:ligatures w14:val="none"/>
        </w:rPr>
        <w:t>Reveals Genetic Variation and Candidate Insecticide Resistance Markers in the Brazilian Amazon</w:t>
      </w:r>
    </w:p>
    <w:p w14:paraId="79802F8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Anopheles (Nyssorhynchus) darlingi </w:t>
      </w:r>
      <w:r w:rsidRPr="00FE5D1C">
        <w:rPr>
          <w:rFonts w:ascii="Calibri" w:eastAsia="Times New Roman" w:hAnsi="Calibri" w:cs="Calibri"/>
          <w:color w:val="000000"/>
          <w:kern w:val="0"/>
          <w:sz w:val="22"/>
          <w:szCs w:val="22"/>
          <w14:ligatures w14:val="none"/>
        </w:rPr>
        <w:t>is the primary malaria vector in Central and South America and is responsible for most malaria transmission in the Amazon region. In this study, we perform whole genome analysis of individual </w:t>
      </w:r>
      <w:r w:rsidRPr="00FE5D1C">
        <w:rPr>
          <w:rFonts w:ascii="Calibri" w:eastAsia="Times New Roman" w:hAnsi="Calibri" w:cs="Calibri"/>
          <w:i/>
          <w:iCs/>
          <w:color w:val="000000"/>
          <w:kern w:val="0"/>
          <w:sz w:val="22"/>
          <w:szCs w:val="22"/>
          <w14:ligatures w14:val="none"/>
        </w:rPr>
        <w:t>An. darlingi</w:t>
      </w:r>
      <w:r w:rsidRPr="00FE5D1C">
        <w:rPr>
          <w:rFonts w:ascii="Calibri" w:eastAsia="Times New Roman" w:hAnsi="Calibri" w:cs="Calibri"/>
          <w:color w:val="000000"/>
          <w:kern w:val="0"/>
          <w:sz w:val="22"/>
          <w:szCs w:val="22"/>
          <w14:ligatures w14:val="none"/>
        </w:rPr>
        <w:t> mosquitoes to explore genomic diversity, signatures of selection, and identify insecticide resistance markers. We analyzed field-collected (n=20) and colony-maintained (n=8) mosquitoes from the State of Rondônia, Brazil. In total, 1.54 million high-quality single nucleotide polymorphisms (SNPs) were identified. Population genomic analysis revealed genetic differentiation between the colony and field populations. No SNPs previously associated with insecticide resistance were detected. However, several SNPs were observed in four genes associated with insecticide resistance: </w:t>
      </w:r>
      <w:r w:rsidRPr="00FE5D1C">
        <w:rPr>
          <w:rFonts w:ascii="Calibri" w:eastAsia="Times New Roman" w:hAnsi="Calibri" w:cs="Calibri"/>
          <w:i/>
          <w:iCs/>
          <w:color w:val="000000"/>
          <w:kern w:val="0"/>
          <w:sz w:val="22"/>
          <w:szCs w:val="22"/>
          <w14:ligatures w14:val="none"/>
        </w:rPr>
        <w:t>ace1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rdl</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gste2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vgsc</w:t>
      </w:r>
      <w:r w:rsidRPr="00FE5D1C">
        <w:rPr>
          <w:rFonts w:ascii="Calibri" w:eastAsia="Times New Roman" w:hAnsi="Calibri" w:cs="Calibri"/>
          <w:color w:val="000000"/>
          <w:kern w:val="0"/>
          <w:sz w:val="22"/>
          <w:szCs w:val="22"/>
          <w14:ligatures w14:val="none"/>
        </w:rPr>
        <w:t>. Genes under directional selection were identified, but no clear selective sweeps were found using genome-wide selection scans. Gene duplications were identified in cytochrome P450 genes, which are known metabolize pyrethroids. This study provides a detailed genetic profile of </w:t>
      </w:r>
      <w:r w:rsidRPr="00FE5D1C">
        <w:rPr>
          <w:rFonts w:ascii="Calibri" w:eastAsia="Times New Roman" w:hAnsi="Calibri" w:cs="Calibri"/>
          <w:i/>
          <w:iCs/>
          <w:color w:val="000000"/>
          <w:kern w:val="0"/>
          <w:sz w:val="22"/>
          <w:szCs w:val="22"/>
          <w14:ligatures w14:val="none"/>
        </w:rPr>
        <w:t>An. darlingi</w:t>
      </w:r>
      <w:r w:rsidRPr="00FE5D1C">
        <w:rPr>
          <w:rFonts w:ascii="Calibri" w:eastAsia="Times New Roman" w:hAnsi="Calibri" w:cs="Calibri"/>
          <w:color w:val="000000"/>
          <w:kern w:val="0"/>
          <w:sz w:val="22"/>
          <w:szCs w:val="22"/>
          <w14:ligatures w14:val="none"/>
        </w:rPr>
        <w:t>, highlighting genes potentially involved in insecticide resistance, and presents the first analysis of signatures of selection based on WGS data for this species. Our findings identify markers in insecticide resistance-associated genes that warrant further investigation through phenotypic-genotypic assays.</w:t>
      </w:r>
    </w:p>
    <w:p w14:paraId="45AB3E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25-A-2141-ASTMH</w:t>
      </w:r>
    </w:p>
    <w:p w14:paraId="557D4E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432B96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Validation of Laboratory Developed Assay HIV-1 Quant Dx Assay on Panther in Cerebrospinal Fluid Matrix</w:t>
      </w:r>
    </w:p>
    <w:p w14:paraId="7A336A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Currently, there is no FDA approved assay for the detection or quantification of Human Immunodeficiency Virus Type 1 (HIV-1) RNA from the central nervous system (CNS). In the absence of antiretroviral therapy (ART) or in cases of drug resistance, HIV-1 has been associated with the development of dementia and opportunistic CNS infections. Management of HIV-1 infection requires highly sensitive assays capable of detecting very low levels of HIV-1 RNA, as well as the ability to quantify the viral load to evaluate the efficacy of treatment. The Aptima HIV-1 Quant Dx assay is FDA approved for qualitative and quantitative detection of HIV-1 RNA in plasma specimens. A clinical validation of the modification of intended use for the Aptima HIV-1 Quant Dx assay as a quantitative HIV-1 RNA assay for cerebral spinal fluid (CSF) specimens was performed. Due to the limited availability of human CSF (hCSF), a synthetic CSF (sCSF), which accurately reflects hCSF was used. Performance of the assay was evaluated by determining the linearity, lower limit of detection (LLOD), and quantification (LLOQ), precision, accuracy, and specificity. The assay was linear from 50 to 10</w:t>
      </w:r>
      <w:r w:rsidRPr="00FE5D1C">
        <w:rPr>
          <w:rFonts w:ascii="Calibri" w:eastAsia="Times New Roman" w:hAnsi="Calibri" w:cs="Calibri"/>
          <w:color w:val="000000"/>
          <w:kern w:val="0"/>
          <w:sz w:val="22"/>
          <w:szCs w:val="22"/>
          <w:vertAlign w:val="superscript"/>
          <w14:ligatures w14:val="none"/>
        </w:rPr>
        <w:t>6</w:t>
      </w:r>
      <w:r w:rsidRPr="00FE5D1C">
        <w:rPr>
          <w:rFonts w:ascii="Calibri" w:eastAsia="Times New Roman" w:hAnsi="Calibri" w:cs="Calibri"/>
          <w:color w:val="000000"/>
          <w:kern w:val="0"/>
          <w:sz w:val="22"/>
          <w:szCs w:val="22"/>
          <w14:ligatures w14:val="none"/>
        </w:rPr>
        <w:t> copies/mL, with a slope of 1.05 and an R</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of 0.99. The assay demonstrated 100% detection at 10 copies/mL, and the LLOQ was determined to be 30.20 copies/mL by probit analysis at 95% confidence. None of the 10 CSF associated microorganisms tested showed any interference or cross-reactivity. For the precision, the maximum coefficient of variation observed was 3.40%, indicating that the assay is highly reproducible. The accuracy study was performed using clinical discard samples as well as HIV-1 Worldwide panels. Data analysis demonstrated 100% agreement with the expected outcome. These results demonstrated that the Aptima HIV-1 Quant Dx assay maintained its performance characteristics with CSF matrix and is suitable for the quantification of HIV-1 RNA in clinical CSF specimens.</w:t>
      </w:r>
    </w:p>
    <w:p w14:paraId="218CD4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25-A-2142-ASTMH</w:t>
      </w:r>
    </w:p>
    <w:p w14:paraId="32B9B0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18A36B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Nanoencapsulation strategies of antimalarial and antileishmanial compounds</w:t>
      </w:r>
    </w:p>
    <w:p w14:paraId="50625D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Leishmaniases are a group of parasitic diseases transmitted by sandflies and caused by parasites from the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genus.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has two developmental stages, termed amastigotes and promastigotes, found in mammalian and sandfly hosts, respectively. There are mainly three different clinical manifestations of the disease: visceral (VL), cutaneous (CL), and mucocutaneous leishmaniasis (MCL). According to the World Health Organization there are every year an estimated 90,000 new cases of VL and around one million of CL in humans. The current treatments of human leishmaniases are expensive, have high systemic toxicity, and limited efficacy. Therefore, there is an urgent need to develop more effective and safer treatments for this disease. To address this challenge, we are using nanotechnology to design innovative improved phospholipid vesicles with low toxicity, capable of stably incorporating high concentrations of antileishmanial drugs for targeted delivery to </w:t>
      </w:r>
      <w:r w:rsidRPr="00FE5D1C">
        <w:rPr>
          <w:rFonts w:ascii="Calibri" w:eastAsia="Times New Roman" w:hAnsi="Calibri" w:cs="Calibri"/>
          <w:i/>
          <w:iCs/>
          <w:color w:val="000000"/>
          <w:kern w:val="0"/>
          <w:sz w:val="22"/>
          <w:szCs w:val="22"/>
          <w14:ligatures w14:val="none"/>
        </w:rPr>
        <w:t>Leishmania </w:t>
      </w:r>
      <w:r w:rsidRPr="00FE5D1C">
        <w:rPr>
          <w:rFonts w:ascii="Calibri" w:eastAsia="Times New Roman" w:hAnsi="Calibri" w:cs="Calibri"/>
          <w:color w:val="000000"/>
          <w:kern w:val="0"/>
          <w:sz w:val="22"/>
          <w:szCs w:val="22"/>
          <w14:ligatures w14:val="none"/>
        </w:rPr>
        <w:t>parasites. Different types of nanoformulations have been designed to encapsulate clinically used antileishmanial drugs, including amphotericin B, miltefosine and paromomycin, as well as a novel compound with proven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antiplasmodial and antileishmanial activity, the bis(styrylpyridinium) salt called YAT2150. Some of these nanoformulations have been further functionalized with specific ligands such as mannose, antibodies, or nucleic acid aptamers specifically developed against the </w:t>
      </w:r>
      <w:r w:rsidRPr="00FE5D1C">
        <w:rPr>
          <w:rFonts w:ascii="Calibri" w:eastAsia="Times New Roman" w:hAnsi="Calibri" w:cs="Calibri"/>
          <w:i/>
          <w:iCs/>
          <w:color w:val="000000"/>
          <w:kern w:val="0"/>
          <w:sz w:val="22"/>
          <w:szCs w:val="22"/>
          <w14:ligatures w14:val="none"/>
        </w:rPr>
        <w:t>Leishmania infantum</w:t>
      </w:r>
      <w:r w:rsidRPr="00FE5D1C">
        <w:rPr>
          <w:rFonts w:ascii="Calibri" w:eastAsia="Times New Roman" w:hAnsi="Calibri" w:cs="Calibri"/>
          <w:color w:val="000000"/>
          <w:kern w:val="0"/>
          <w:sz w:val="22"/>
          <w:szCs w:val="22"/>
          <w14:ligatures w14:val="none"/>
        </w:rPr>
        <w:t> GP63 protein. The efficacy of selected drug-loaded vesicles has been evaluated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against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amastigotes and promastigotes, and against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 the case of YAT2150-loaded vesicles. In parallel, cell toxicity assays were performed to assess their safety profile. Results disclosed that some nanoformulations had an increased selectivity index relative to the free compound, by more than one order of magnitude in some cases, due to a reduction in cytotoxicity, an enhancement in drug efficacy, or both, highlighting their potential as promising therapeutic strategies for parasitic diseases.</w:t>
      </w:r>
    </w:p>
    <w:p w14:paraId="68B4C6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25-A-2143-ASTMH</w:t>
      </w:r>
    </w:p>
    <w:p w14:paraId="7A21BF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Mosquitoes - Epidemiology and Vector Control</w:t>
      </w:r>
    </w:p>
    <w:p w14:paraId="7BB1C2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Containers to Communities: Spatial Dynamics of </w:t>
      </w:r>
      <w:r w:rsidRPr="00FE5D1C">
        <w:rPr>
          <w:rFonts w:ascii="Calibri" w:eastAsia="Times New Roman" w:hAnsi="Calibri" w:cs="Calibri"/>
          <w:b/>
          <w:bCs/>
          <w:i/>
          <w:iCs/>
          <w:color w:val="000000"/>
          <w:kern w:val="0"/>
          <w:sz w:val="22"/>
          <w:szCs w:val="22"/>
          <w14:ligatures w14:val="none"/>
        </w:rPr>
        <w:t>Aedes aegypti</w:t>
      </w:r>
      <w:r w:rsidRPr="00FE5D1C">
        <w:rPr>
          <w:rFonts w:ascii="Calibri" w:eastAsia="Times New Roman" w:hAnsi="Calibri" w:cs="Calibri"/>
          <w:b/>
          <w:bCs/>
          <w:color w:val="000000"/>
          <w:kern w:val="0"/>
          <w:sz w:val="22"/>
          <w:szCs w:val="22"/>
          <w14:ligatures w14:val="none"/>
        </w:rPr>
        <w:t> for Urban Dengue Management in Iquitos, Peru</w:t>
      </w:r>
    </w:p>
    <w:p w14:paraId="6D7AC0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Despite effective tools and strategies to control dengue, program failures are linked to improper implementation. We are evaluating a new program, “Proyecto Tariki,” that addresses past implementation failures by using an implementation science framework to develop, implement, and evaluate our integrated dengue risk reduction program.</w:t>
      </w:r>
      <w:r w:rsidRPr="00FE5D1C">
        <w:rPr>
          <w:rFonts w:ascii="Calibri" w:eastAsia="Times New Roman" w:hAnsi="Calibri" w:cs="Calibri"/>
          <w:color w:val="000000"/>
          <w:kern w:val="0"/>
          <w:sz w:val="22"/>
          <w:szCs w:val="22"/>
          <w14:ligatures w14:val="none"/>
        </w:rPr>
        <w:br/>
        <w:t>A key component of Tariki involves forming volunteer community brigades responsible for implementing larval habitat management in their own neighborhoods. The entomological impact of these volunteer groups is evaluated using a stepped-wedge design. We have 8 adjacent clusters of ~250 houses each in two sectors of the city to evaluate intervention impacts using independent entomological surveys. Baseline characterizations were conducted using complete pupal demographic surveys that measure standard </w:t>
      </w:r>
      <w:r w:rsidRPr="00FE5D1C">
        <w:rPr>
          <w:rFonts w:ascii="Calibri" w:eastAsia="Times New Roman" w:hAnsi="Calibri" w:cs="Calibri"/>
          <w:i/>
          <w:iCs/>
          <w:color w:val="000000"/>
          <w:kern w:val="0"/>
          <w:sz w:val="22"/>
          <w:szCs w:val="22"/>
          <w14:ligatures w14:val="none"/>
        </w:rPr>
        <w:t>Stegomyia</w:t>
      </w:r>
      <w:r w:rsidRPr="00FE5D1C">
        <w:rPr>
          <w:rFonts w:ascii="Calibri" w:eastAsia="Times New Roman" w:hAnsi="Calibri" w:cs="Calibri"/>
          <w:color w:val="000000"/>
          <w:kern w:val="0"/>
          <w:sz w:val="22"/>
          <w:szCs w:val="22"/>
          <w14:ligatures w14:val="none"/>
        </w:rPr>
        <w:t> indices and, through absolute pupal counts, characterize the containers that are the most productive sources of adult mosquitoes. Adult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densities are then measured using Prokopack aspirators.</w:t>
      </w:r>
      <w:r w:rsidRPr="00FE5D1C">
        <w:rPr>
          <w:rFonts w:ascii="Calibri" w:eastAsia="Times New Roman" w:hAnsi="Calibri" w:cs="Calibri"/>
          <w:color w:val="000000"/>
          <w:kern w:val="0"/>
          <w:sz w:val="22"/>
          <w:szCs w:val="22"/>
          <w14:ligatures w14:val="none"/>
        </w:rPr>
        <w:br/>
        <w:t>Spatial analysis of baseline surveys (Ripley’s K, Getis-Ord Gi*, Moran’s I) show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-infested houses cluster with spatial autocorrelation observed for adults but not immature stages. Local hotspots were detected in only 2-3% of houses. There was minimal overlap between pupae and adult mosquito clusters (&lt;0.5%), suggesting a cohort effect within containers. These findings underscore the difficulty of identifying high-risk households in heterogeneous urban microenvironments for targeted interventions.</w:t>
      </w:r>
      <w:r w:rsidRPr="00FE5D1C">
        <w:rPr>
          <w:rFonts w:ascii="Calibri" w:eastAsia="Times New Roman" w:hAnsi="Calibri" w:cs="Calibri"/>
          <w:color w:val="000000"/>
          <w:kern w:val="0"/>
          <w:sz w:val="22"/>
          <w:szCs w:val="22"/>
          <w14:ligatures w14:val="none"/>
        </w:rPr>
        <w:br/>
        <w:t>Baseline entomological surveys revealed high levels of infestation, with an average of 2.2 adult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house (range: 0-142/house; 5.5-19/cluster), 2.1 water-holding containers/house (range: 0-34/house; 1.7-3.1/cluster), and 0.5 pupae/house (range: 0-130/house; 0.39-1.16/cluster). This data informed the design of training modules and community engagement strategies. Future work will explore how these spatial patterns evolve and how they relate to neighborhood structure and community composition to inform adaptive vector control strategies.</w:t>
      </w:r>
    </w:p>
    <w:p w14:paraId="193BCB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25-A-2144-ASTMH</w:t>
      </w:r>
    </w:p>
    <w:p w14:paraId="25ED97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26C969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Outcomes of COVID-19 and Effect of Vaccination Status in Clinical Risk Groups During Omicron Wave</w:t>
      </w:r>
    </w:p>
    <w:p w14:paraId="17E8E1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Despite receiving booster doses of the COVID-19 vaccine, individuals in clinical risk groups continue to be disproportionately affected by the disease, experiencing higher rates of hospitalization and increased oxygen therapy requirements. A retrospective observational cohort study was conducted at the Bamrasnaradura Infectious Diseases Institute in Thailand to evaluate the clinical outcomes of COVID-19 during the Omicron wave among adult patients with comorbidities. A total of 1,379 patients were included. The mean age was 72.3 years (95% CI: 65.0-79.0), 59% were female. and 90.4% had received at least two COVID-19 vaccine doses. Overall, 52.6% were hospitalized, 42.4% developed pneumonia, 20.6% required oxygen therapy, and 9.1% required ICU admission. Severe and critical cases accounted for 44% and 1.9%, respectively. Patients with cardiovascular disease (OR 2.0; 95% CI: 1.6-4.3), chronic kidney disease (OR 4.9; 95% CI: 3.1-7.7), stroke (OR 2.7; 95% CI: 1.4-5.0), and diabetes (OR 1.8; 95% CI: 1.2-2.7) were significantly more likely to require ICU care. Those with cardiovascular disease, chronic kidney disease, chronic respiratory disease, diabetes, and stroke also had higher odds of needing respiratory support. The need for respiratory support was highest among unvaccinated patients (53.6%) and decreased with increasing vaccine doses: 27.0% among those with 1-2 doses, 12.5% with 3 doses, and 19.9% with more than 3 doses (p &lt;0.001). The mean hospital stay was significantly longer in patients with 1-2 doses (10.4 days; 95% CI: 9.2-11.7) compared to those with more than three doses (6.8 days; 95% CI: 5.3-8.4; p &lt;0.001). The findings highlight that individuals with comorbidities remain vulnerable to severe outcomes of COVID-19, even during the Omicron wave and despite vaccination. These results underscore the need for targeted preventive strategies, and early interventions for high-risk populations, regardless of vaccination status.</w:t>
      </w:r>
    </w:p>
    <w:p w14:paraId="5C2F27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25-A-2145-ASTMH</w:t>
      </w:r>
    </w:p>
    <w:p w14:paraId="1810BE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5573D0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argininosuccinate lyase gene exacerbates pyrethroid resistance in the major African vectors </w:t>
      </w:r>
      <w:r w:rsidRPr="00FE5D1C">
        <w:rPr>
          <w:rFonts w:ascii="Calibri" w:eastAsia="Times New Roman" w:hAnsi="Calibri" w:cs="Calibri"/>
          <w:b/>
          <w:bCs/>
          <w:i/>
          <w:iCs/>
          <w:color w:val="000000"/>
          <w:kern w:val="0"/>
          <w:sz w:val="22"/>
          <w:szCs w:val="22"/>
          <w14:ligatures w14:val="none"/>
        </w:rPr>
        <w:t>Anopheles funestus</w:t>
      </w:r>
    </w:p>
    <w:p w14:paraId="570BFF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Escalating pyrethroid resistance in malaria vectors is jeopardizing malaria control. Deciphering its complex evolutionary mechanisms is paramount to mitigate its impact. Here, we demonstrate that over-expression and allelic variation of the argininosuccinate lyase (</w:t>
      </w:r>
      <w:r w:rsidRPr="00FE5D1C">
        <w:rPr>
          <w:rFonts w:ascii="Calibri" w:eastAsia="Times New Roman" w:hAnsi="Calibri" w:cs="Calibri"/>
          <w:i/>
          <w:iCs/>
          <w:color w:val="000000"/>
          <w:kern w:val="0"/>
          <w:sz w:val="22"/>
          <w:szCs w:val="22"/>
          <w14:ligatures w14:val="none"/>
        </w:rPr>
        <w:t>ASL</w:t>
      </w:r>
      <w:r w:rsidRPr="00FE5D1C">
        <w:rPr>
          <w:rFonts w:ascii="Calibri" w:eastAsia="Times New Roman" w:hAnsi="Calibri" w:cs="Calibri"/>
          <w:color w:val="000000"/>
          <w:kern w:val="0"/>
          <w:sz w:val="22"/>
          <w:szCs w:val="22"/>
          <w14:ligatures w14:val="none"/>
        </w:rPr>
        <w:t>) gene exacerbate pyrethroid resistance in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Multi-omics analyses revealed that </w:t>
      </w:r>
      <w:r w:rsidRPr="00FE5D1C">
        <w:rPr>
          <w:rFonts w:ascii="Calibri" w:eastAsia="Times New Roman" w:hAnsi="Calibri" w:cs="Calibri"/>
          <w:i/>
          <w:iCs/>
          <w:color w:val="000000"/>
          <w:kern w:val="0"/>
          <w:sz w:val="22"/>
          <w:szCs w:val="22"/>
          <w14:ligatures w14:val="none"/>
        </w:rPr>
        <w:t>ASL</w:t>
      </w:r>
      <w:r w:rsidRPr="00FE5D1C">
        <w:rPr>
          <w:rFonts w:ascii="Calibri" w:eastAsia="Times New Roman" w:hAnsi="Calibri" w:cs="Calibri"/>
          <w:color w:val="000000"/>
          <w:kern w:val="0"/>
          <w:sz w:val="22"/>
          <w:szCs w:val="22"/>
          <w14:ligatures w14:val="none"/>
        </w:rPr>
        <w:t> is upregulated Africa-wide and detected a strong signal of genetic differentiation around </w:t>
      </w:r>
      <w:r w:rsidRPr="00FE5D1C">
        <w:rPr>
          <w:rFonts w:ascii="Calibri" w:eastAsia="Times New Roman" w:hAnsi="Calibri" w:cs="Calibri"/>
          <w:i/>
          <w:iCs/>
          <w:color w:val="000000"/>
          <w:kern w:val="0"/>
          <w:sz w:val="22"/>
          <w:szCs w:val="22"/>
          <w14:ligatures w14:val="none"/>
        </w:rPr>
        <w:t>ASL</w:t>
      </w:r>
      <w:r w:rsidRPr="00FE5D1C">
        <w:rPr>
          <w:rFonts w:ascii="Calibri" w:eastAsia="Times New Roman" w:hAnsi="Calibri" w:cs="Calibri"/>
          <w:color w:val="000000"/>
          <w:kern w:val="0"/>
          <w:sz w:val="22"/>
          <w:szCs w:val="22"/>
          <w14:ligatures w14:val="none"/>
        </w:rPr>
        <w:t> in resistant populations exhibiting copy number variation (CNV). A predominant resistant haplotype harboring the R125H and T-277A mutations was detected in resistant mosquitoes. Transgenic expression of ASL and RNAi confirm its ability to confer pyrethroid resistance. A DNA-based assay confirmed its association with super-resistance, revealing a marked temporal increase in Uganda (2010-2023) but with a drastic reduction observed in 2024 after deployment of chlorfenapyr-based bed nets. This study elucidates a novel resistance pathway driven by </w:t>
      </w:r>
      <w:r w:rsidRPr="00FE5D1C">
        <w:rPr>
          <w:rFonts w:ascii="Calibri" w:eastAsia="Times New Roman" w:hAnsi="Calibri" w:cs="Calibri"/>
          <w:i/>
          <w:iCs/>
          <w:color w:val="000000"/>
          <w:kern w:val="0"/>
          <w:sz w:val="22"/>
          <w:szCs w:val="22"/>
          <w14:ligatures w14:val="none"/>
        </w:rPr>
        <w:t>ASL</w:t>
      </w:r>
      <w:r w:rsidRPr="00FE5D1C">
        <w:rPr>
          <w:rFonts w:ascii="Calibri" w:eastAsia="Times New Roman" w:hAnsi="Calibri" w:cs="Calibri"/>
          <w:color w:val="000000"/>
          <w:kern w:val="0"/>
          <w:sz w:val="22"/>
          <w:szCs w:val="22"/>
          <w14:ligatures w14:val="none"/>
        </w:rPr>
        <w:t> and introduces a new DNA-based diagnostic tool to monitor its spread and impact in Africa.</w:t>
      </w:r>
    </w:p>
    <w:p w14:paraId="026535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25-A-2146-ASTMH</w:t>
      </w:r>
    </w:p>
    <w:p w14:paraId="7FC287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4E774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use of a biomarker gSG6-P1 IgG to compare the efficacy of four different types of insecticide-treated bed nets in protecting against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 bites exposure</w:t>
      </w:r>
    </w:p>
    <w:p w14:paraId="1E6040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resistance in malaria vectors has compromised the effectiveness of LLINs. This has set grounds for the development of new ITNs with dual active ingredients. Clinical trials have used malaria prevalence as in outcome to compare the efficacy of the new generation INTs. The biomarker, IgG against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salivary peptide called gSG6-P1, has been validated as a proxy for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bites exposure. This biomarker gives a direct indication of vector-host contact and is less confounded by factors such as host immunity to malaria, treatment coverage, non-infective bites and transmission dynamics. This study compared gSG6-P1 IgG seroprevalence among children who used four different types of ITNs. A cross-sectional study was conducted among children who tested negative for malaria during a four arms cluster-randomized controlled trial conducted in Tanzania. 210 samples were randomly selected per intervention arm to compare the efficacy of three different types of dual active ingredient ITNs against a control standard LLIN. Samples were tested for the presence of gSG6-P1 IgG by ELISA techniques to detect exposure to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bites and the levels of exposure were compared across the four groups. Out of 811 samples analyzed, 457 (56.35%) were positive for gSG6-P1 IgG. Seroprevalence</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varied significantly by type of ITN used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=0.025) and was lowest among children who used Royal Guard and Interceptor G2 bed nets compared to children who used Olyset Plus and the standard LLINs. In the multivariate regression model, Interceptor G2 and Royal Guard significantly prevented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bites exposure (AOR=0.55; 95%CI=0.36-0.82;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=0.004 and AOR=0.60; 95%CI=0.40-0.89;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=0.012 respectively) compared to Olyset Plus (AOR=0.83; 95%CI=0.55-1.26;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=0.391) and standard LLINs. Thus, gSG6-P1 IgG can significantly distinguish levels of exposure to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bites among individuals using different types of ITNs. Interceptor G2, and Royal Guard, offer significant protection against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bites compared to Olyset Plus and Interceptor LN, suggesting that Interceptor G2 and Royal Guard present novel interventions for malaria control.</w:t>
      </w:r>
    </w:p>
    <w:p w14:paraId="6DA4E3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25-A-2147-ASTMH</w:t>
      </w:r>
    </w:p>
    <w:p w14:paraId="69CAE6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27FABA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Evaluating Interventions for Guinea Worm Eradication: A Simulation Modeling Approach</w:t>
      </w:r>
    </w:p>
    <w:p w14:paraId="58DF60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Guinea worm disease has been targeted for eradication and much progress has been made towards this goal, with a 99.99% reduction in human cases from 3.5 million in 1986 to only 15 in 2024. This progress was achieved without a treatment or vaccine. However, animal infections, and specifically dog infections, have created challenges in this final mile toward disease eradication. Water treatment with Abate® larvicide is used to reduce water infectivity levels and reactive and proactive tethering are employed to contain dogs with and without known infections, respectively, to minimize potential exposure to water sources. Unfortunately, tethering intervention guidelines are not adhered to in all settings; some owners tether dogs only intermittently or release dogs from tethering at night. Diagnostics for detection of prepatent infections among dogs are under development with the goal of identifying infected dogs prior to worm emergence and tethering/containing those dogs to break the disease transmission cycle. To evaluate the impacts of these interventions, we used data provided by the Chad Guinea Worm Eradication Program and developed an agent-based simulation which models Guinea worm infections among dogs and interactions between dogs and water sources, considering the life cycle of Guinea worm, seasonality of infections, and environmental factors. We simulate the impact of Abate®, tethering, and diagnostic interventions on Guinea worm infections in dogs over time in Chad. Simulation results highlight the importance of high levels of interventions (above 90% coverage) and indicate wider impacts of Abate® as compared to tethering. When resources are limited, a targeted optimization-based strategy can reduce infections after five years by approximately 220 dogs compared to treating regions equally. Simulation of proactive tethering scenarios indicates that tethering 80% of dogs during the 3 months of peak infectivity results in 5-9% fewer infections than tethering 100% of dogs for 6 months during the dry season. Diagnostic findings aid in the targeting of tethering initiatives, with emphasis placed on ensuring tethering compliance.</w:t>
      </w:r>
    </w:p>
    <w:p w14:paraId="0C81A7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25-A-2148-ASTMH</w:t>
      </w:r>
    </w:p>
    <w:p w14:paraId="64FD3A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61C96D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Antibody response to Aedes aegypti D7L1+2 salivary proteins as marker of aggregate vector exposure and correlate of dengue virus susceptibility</w:t>
      </w:r>
    </w:p>
    <w:p w14:paraId="07725A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Aedes aegypti is the arthropod vector for multiple arboviruses of public-health importance. This includes dengue virus (DENV), a flavivirus with infection rates that continue to rise annually around the globe with limited countermeasure options available to prevent and/or treat infection. As a result, vector control efforts continue to be the most broadly utilized DENV intervention strategy. Due to the widespread public health burden of DENV, which infects an estimated 400 million people per year, vector suppression practices vary drastically by country and/or region and even small differences in microclimate can significantly impact vector abundance. There remains a significant need to better understand vector exposure rates at an individual level to disentangle vector exposure and arboviral infection rates. To this end, we have developed an optimized assay to assess the abundance of antibodies directed against the mosquito salivary proteins (MSP) AeD7L1+2 in human plasma to determine if there was a relationship between anti-MSP antibody titers, vector exposure rate, and risk of DENV infection. While we observed robust D7L1+2 IgG titers in plasma samples collected from individuals living in Aedes endemic regions, we found that these titers did not significantly change in individuals living in non-Aedes endemic regions after controlled mosquito exposure studies. These data suggest that D7L1+2 IgG titers may be a poor marker of proximal vector exposure but may be useful as an aggregate marker of vector exposure. Notably, we also observed that lower titers of anti-AeD7L1+2 IgG correlated with higher risk of DENV infection within multigenerational households in a DENV endemic region of Northern Thailand. These observations suggest a potential interaction between AeD7 proteins and DENV during infection events that will require further study.</w:t>
      </w:r>
    </w:p>
    <w:p w14:paraId="48FEC1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25-A-2149-ASTMH</w:t>
      </w:r>
    </w:p>
    <w:p w14:paraId="705B6F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7ECB23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Benchmarking the potential for quantitative inference using genomic epidemiology approaches</w:t>
      </w:r>
    </w:p>
    <w:p w14:paraId="522BA5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Genomic epidemiology holds potential for advancing malaria elimination and control and is already successfully employed in multiple global regions. Modeling and theoretical work shows that genomic data can provide quantitative measures of transmission intensity and importation rates, particularly in the context of last mile elimination efforts. However, in practice, genomic epidemiological analyses often remain qualitative and descriptive. Enabling the progression from qualitative to quantitative inference requires not only baseline measurements of genetic diversity but also power calculations at spatio-temporal scales of interest. Due to large publicly available genomic resources, this work is within reach but rarely done. Here, we present a road map for quantitative genomic epidemiology studies using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in the Americas as a case study. Our analysis includes 2,641 high quality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genomes sampled from 11 Caribbean, Central, and South American countries with varying endemicity levels. We find that all countries harbor low genetic diversity compared to populations from Africa and Southeast Asia, but there is no statistically significant relationship between genetic diversity and case counts at a national or subnational level. Similarly, inbreeding measurements reflect quantitative changes in transmission at some but not all spatio-temporal scales. For example, French Guiana’s declining case counts in the 2000s initially increased parasite relatedness, but this trend disappeared despite continued transmission reductions. Similarly, along the Pacific Coast of Colombia and Ecuador, relatedness and transmission levels are uncoupled at small spatial scales as outbreaks often comprise a single genomic background. We identify factors that prevent a simple relationship between diversity and transmission, including current population structure, past demographic events, and the ratio of imported to endemic parasites. We show that these factors must—and can—be accounted for in calculations of statistical power and uncertainty to enable quantitative genomic epidemiology applications.</w:t>
      </w:r>
    </w:p>
    <w:p w14:paraId="6F6EC1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25-A-2150-ASTMH</w:t>
      </w:r>
    </w:p>
    <w:p w14:paraId="06FFF3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2425B6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Loss of </w:t>
      </w:r>
      <w:r w:rsidRPr="00FE5D1C">
        <w:rPr>
          <w:rFonts w:ascii="Calibri" w:eastAsia="Times New Roman" w:hAnsi="Calibri" w:cs="Calibri"/>
          <w:b/>
          <w:bCs/>
          <w:i/>
          <w:iCs/>
          <w:color w:val="000000"/>
          <w:kern w:val="0"/>
          <w:sz w:val="22"/>
          <w:szCs w:val="22"/>
          <w14:ligatures w14:val="none"/>
        </w:rPr>
        <w:t>P. falciparum</w:t>
      </w:r>
      <w:r w:rsidRPr="00FE5D1C">
        <w:rPr>
          <w:rFonts w:ascii="Calibri" w:eastAsia="Times New Roman" w:hAnsi="Calibri" w:cs="Calibri"/>
          <w:b/>
          <w:bCs/>
          <w:color w:val="000000"/>
          <w:kern w:val="0"/>
          <w:sz w:val="22"/>
          <w:szCs w:val="22"/>
          <w14:ligatures w14:val="none"/>
        </w:rPr>
        <w:t> Amino Acid Transporter (ApiAT2) Increases Intracellular Proline and Confers Resistance to Prolyl-tRNA Synthetase Inhibitors</w:t>
      </w:r>
    </w:p>
    <w:p w14:paraId="55D72B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 have shown that resistance to halofuginone (HFG), a potent antimalarial that targets the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cytoplasmic prolyl tRNA synthetase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cPRS), can be achieved through two different mechanisms: mutations in the target gene and the Adaptive Proline Response (APR). The APR provides low-level resistance by increasing intracellular proline levels approximately 10-fold, competing with HFG for binding to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cPRS. Through labelled metabolomics, we determined that a substantial amount of the increased proline in the APR parasites comes from arginine taken up by the parasites and subsequently converted into proline. Disruption of the arginine to proline pathway by knocking out the ornithine δ-aminotransferase (OAT) eliminated arginine as a proline source; however, OAT knock out parasites were still able to mount the APR and exhibited moderate resistance upon selection with HFG, hinting at non-arginine pathways elevating proline. Whole genome sequencing uncovered loss-of-function mutations in the Apicomplexan Amino acid Transporter 2 (</w:t>
      </w:r>
      <w:r w:rsidRPr="00FE5D1C">
        <w:rPr>
          <w:rFonts w:ascii="Calibri" w:eastAsia="Times New Roman" w:hAnsi="Calibri" w:cs="Calibri"/>
          <w:i/>
          <w:iCs/>
          <w:color w:val="000000"/>
          <w:kern w:val="0"/>
          <w:sz w:val="22"/>
          <w:szCs w:val="22"/>
          <w14:ligatures w14:val="none"/>
        </w:rPr>
        <w:t>pfapiat2)</w:t>
      </w:r>
      <w:r w:rsidRPr="00FE5D1C">
        <w:rPr>
          <w:rFonts w:ascii="Calibri" w:eastAsia="Times New Roman" w:hAnsi="Calibri" w:cs="Calibri"/>
          <w:color w:val="000000"/>
          <w:kern w:val="0"/>
          <w:sz w:val="22"/>
          <w:szCs w:val="22"/>
          <w14:ligatures w14:val="none"/>
        </w:rPr>
        <w:t>. Reversion of the mutations in </w:t>
      </w:r>
      <w:r w:rsidRPr="00FE5D1C">
        <w:rPr>
          <w:rFonts w:ascii="Calibri" w:eastAsia="Times New Roman" w:hAnsi="Calibri" w:cs="Calibri"/>
          <w:i/>
          <w:iCs/>
          <w:color w:val="000000"/>
          <w:kern w:val="0"/>
          <w:sz w:val="22"/>
          <w:szCs w:val="22"/>
          <w14:ligatures w14:val="none"/>
        </w:rPr>
        <w:t>pfapiat2 </w:t>
      </w:r>
      <w:r w:rsidRPr="00FE5D1C">
        <w:rPr>
          <w:rFonts w:ascii="Calibri" w:eastAsia="Times New Roman" w:hAnsi="Calibri" w:cs="Calibri"/>
          <w:color w:val="000000"/>
          <w:kern w:val="0"/>
          <w:sz w:val="22"/>
          <w:szCs w:val="22"/>
          <w14:ligatures w14:val="none"/>
        </w:rPr>
        <w:t>lead to</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increased sensitivity to HFG comparable to wild type. Additionally, we determined that protein levels of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ApiAT2</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are significantly reduced in</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parasites with </w:t>
      </w:r>
      <w:r w:rsidRPr="00FE5D1C">
        <w:rPr>
          <w:rFonts w:ascii="Calibri" w:eastAsia="Times New Roman" w:hAnsi="Calibri" w:cs="Calibri"/>
          <w:i/>
          <w:iCs/>
          <w:color w:val="000000"/>
          <w:kern w:val="0"/>
          <w:sz w:val="22"/>
          <w:szCs w:val="22"/>
          <w14:ligatures w14:val="none"/>
        </w:rPr>
        <w:t>pfapiat2 </w:t>
      </w:r>
      <w:r w:rsidRPr="00FE5D1C">
        <w:rPr>
          <w:rFonts w:ascii="Calibri" w:eastAsia="Times New Roman" w:hAnsi="Calibri" w:cs="Calibri"/>
          <w:color w:val="000000"/>
          <w:kern w:val="0"/>
          <w:sz w:val="22"/>
          <w:szCs w:val="22"/>
          <w14:ligatures w14:val="none"/>
        </w:rPr>
        <w:t>mutations but restored after reversion of the mutation</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We further confirmed these findings by creating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ApiAT2 knockout parasites (ΔApiAT2). These mutants had elevated proline and moderate resistance to HFG, similar to HFG-selected lines despite never having been exposed to HFG. Taken together we provided more insight into the amino acid metabolism of the parasite and described a novel resistance mechanism for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parasites thereby solving the mystery of the APR.</w:t>
      </w:r>
    </w:p>
    <w:p w14:paraId="3A9BC1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25-A-2151-ASTMH</w:t>
      </w:r>
    </w:p>
    <w:p w14:paraId="044CF1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16D1B0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Developing a multiplex recombinant protein-based ELISA for diagnosing </w:t>
      </w:r>
      <w:r w:rsidRPr="00FE5D1C">
        <w:rPr>
          <w:rFonts w:ascii="Calibri" w:eastAsia="Times New Roman" w:hAnsi="Calibri" w:cs="Calibri"/>
          <w:i/>
          <w:iCs/>
          <w:color w:val="000000"/>
          <w:kern w:val="0"/>
          <w:sz w:val="22"/>
          <w:szCs w:val="22"/>
          <w14:ligatures w14:val="none"/>
        </w:rPr>
        <w:t>Toxocara </w:t>
      </w:r>
      <w:r w:rsidRPr="00FE5D1C">
        <w:rPr>
          <w:rFonts w:ascii="Calibri" w:eastAsia="Times New Roman" w:hAnsi="Calibri" w:cs="Calibri"/>
          <w:color w:val="000000"/>
          <w:kern w:val="0"/>
          <w:sz w:val="22"/>
          <w:szCs w:val="22"/>
          <w14:ligatures w14:val="none"/>
        </w:rPr>
        <w:t>infections</w:t>
      </w:r>
    </w:p>
    <w:p w14:paraId="055C9C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Toxocariasis, caused by dog or cat </w:t>
      </w:r>
      <w:r w:rsidRPr="00FE5D1C">
        <w:rPr>
          <w:rFonts w:ascii="Calibri" w:eastAsia="Times New Roman" w:hAnsi="Calibri" w:cs="Calibri"/>
          <w:i/>
          <w:iCs/>
          <w:color w:val="000000"/>
          <w:kern w:val="0"/>
          <w:sz w:val="22"/>
          <w:szCs w:val="22"/>
          <w14:ligatures w14:val="none"/>
        </w:rPr>
        <w:t>Toxocara </w:t>
      </w:r>
      <w:r w:rsidRPr="00FE5D1C">
        <w:rPr>
          <w:rFonts w:ascii="Calibri" w:eastAsia="Times New Roman" w:hAnsi="Calibri" w:cs="Calibri"/>
          <w:color w:val="000000"/>
          <w:kern w:val="0"/>
          <w:sz w:val="22"/>
          <w:szCs w:val="22"/>
          <w14:ligatures w14:val="none"/>
        </w:rPr>
        <w:t>roundworms, is the most common zoonotic helminth infection in children living in the US and is disproportionately found in areas of increased poverty. Current diagnostic methods – the gold standard western blot and standard of care enzyme immunoassay – rely on limited </w:t>
      </w:r>
      <w:r w:rsidRPr="00FE5D1C">
        <w:rPr>
          <w:rFonts w:ascii="Calibri" w:eastAsia="Times New Roman" w:hAnsi="Calibri" w:cs="Calibri"/>
          <w:i/>
          <w:iCs/>
          <w:color w:val="000000"/>
          <w:kern w:val="0"/>
          <w:sz w:val="22"/>
          <w:szCs w:val="22"/>
          <w14:ligatures w14:val="none"/>
        </w:rPr>
        <w:t>T. canis</w:t>
      </w:r>
      <w:r w:rsidRPr="00FE5D1C">
        <w:rPr>
          <w:rFonts w:ascii="Calibri" w:eastAsia="Times New Roman" w:hAnsi="Calibri" w:cs="Calibri"/>
          <w:color w:val="000000"/>
          <w:kern w:val="0"/>
          <w:sz w:val="22"/>
          <w:szCs w:val="22"/>
          <w14:ligatures w14:val="none"/>
        </w:rPr>
        <w:t> L3 excretory-secretory (TES) crude antigen. With millions of children at risk globally, toxocariasis is an urgent public health threat requiring more accessible and cost-effective diagnostic tools. To address this limitation, our laboratory produced a </w:t>
      </w:r>
      <w:r w:rsidRPr="00FE5D1C">
        <w:rPr>
          <w:rFonts w:ascii="Calibri" w:eastAsia="Times New Roman" w:hAnsi="Calibri" w:cs="Calibri"/>
          <w:i/>
          <w:iCs/>
          <w:color w:val="000000"/>
          <w:kern w:val="0"/>
          <w:sz w:val="22"/>
          <w:szCs w:val="22"/>
          <w14:ligatures w14:val="none"/>
        </w:rPr>
        <w:t>T. canis</w:t>
      </w:r>
      <w:r w:rsidRPr="00FE5D1C">
        <w:rPr>
          <w:rFonts w:ascii="Calibri" w:eastAsia="Times New Roman" w:hAnsi="Calibri" w:cs="Calibri"/>
          <w:color w:val="000000"/>
          <w:kern w:val="0"/>
          <w:sz w:val="22"/>
          <w:szCs w:val="22"/>
          <w14:ligatures w14:val="none"/>
        </w:rPr>
        <w:t> cDNA library to identify novel immunodominant antigens. Using serum from </w:t>
      </w:r>
      <w:r w:rsidRPr="00FE5D1C">
        <w:rPr>
          <w:rFonts w:ascii="Calibri" w:eastAsia="Times New Roman" w:hAnsi="Calibri" w:cs="Calibri"/>
          <w:i/>
          <w:iCs/>
          <w:color w:val="000000"/>
          <w:kern w:val="0"/>
          <w:sz w:val="22"/>
          <w:szCs w:val="22"/>
          <w14:ligatures w14:val="none"/>
        </w:rPr>
        <w:t>Toxocara</w:t>
      </w:r>
      <w:r w:rsidRPr="00FE5D1C">
        <w:rPr>
          <w:rFonts w:ascii="Calibri" w:eastAsia="Times New Roman" w:hAnsi="Calibri" w:cs="Calibri"/>
          <w:color w:val="000000"/>
          <w:kern w:val="0"/>
          <w:sz w:val="22"/>
          <w:szCs w:val="22"/>
          <w14:ligatures w14:val="none"/>
        </w:rPr>
        <w:t>-infected dogs, we identified two immunodominant proteins, </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-CTL-1 and </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-CTL-2, both exhibiting high homology with known TES-30 in TES products. We successfully produced recombinant forms of both </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-CTL-1 and </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-CTL-2 in </w:t>
      </w:r>
      <w:r w:rsidRPr="00FE5D1C">
        <w:rPr>
          <w:rFonts w:ascii="Calibri" w:eastAsia="Times New Roman" w:hAnsi="Calibri" w:cs="Calibri"/>
          <w:i/>
          <w:iCs/>
          <w:color w:val="000000"/>
          <w:kern w:val="0"/>
          <w:sz w:val="22"/>
          <w:szCs w:val="22"/>
          <w14:ligatures w14:val="none"/>
        </w:rPr>
        <w:t>Escherichia coli</w:t>
      </w:r>
      <w:r w:rsidRPr="00FE5D1C">
        <w:rPr>
          <w:rFonts w:ascii="Calibri" w:eastAsia="Times New Roman" w:hAnsi="Calibri" w:cs="Calibri"/>
          <w:color w:val="000000"/>
          <w:kern w:val="0"/>
          <w:sz w:val="22"/>
          <w:szCs w:val="22"/>
          <w14:ligatures w14:val="none"/>
        </w:rPr>
        <w:t> BL21 (DE3). After evaluating expression, purification, and refolding conditions, we identified an optimal refolding solution in which both urea-denatured recombinant proteins maintained their solubility and stability (880mM L-arginine, 55mM Tris, 21mM NaCl, 0.88mM KCl; pH 8.2 with 1 mM EDTA, 2 mM GSH, 1 mM GSSG). This enabled large-scale production of r</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-CTL-1 and r</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-CTL-2. When tested with serum from mice infected with </w:t>
      </w:r>
      <w:r w:rsidRPr="00FE5D1C">
        <w:rPr>
          <w:rFonts w:ascii="Calibri" w:eastAsia="Times New Roman" w:hAnsi="Calibri" w:cs="Calibri"/>
          <w:i/>
          <w:iCs/>
          <w:color w:val="000000"/>
          <w:kern w:val="0"/>
          <w:sz w:val="22"/>
          <w:szCs w:val="22"/>
          <w14:ligatures w14:val="none"/>
        </w:rPr>
        <w:t>Toxocara </w:t>
      </w:r>
      <w:r w:rsidRPr="00FE5D1C">
        <w:rPr>
          <w:rFonts w:ascii="Calibri" w:eastAsia="Times New Roman" w:hAnsi="Calibri" w:cs="Calibri"/>
          <w:color w:val="000000"/>
          <w:kern w:val="0"/>
          <w:sz w:val="22"/>
          <w:szCs w:val="22"/>
          <w14:ligatures w14:val="none"/>
        </w:rPr>
        <w:t>and cross-reactive helminths, r</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-CTL-1 and r</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-CTL-2 ELISAs specifically detected </w:t>
      </w:r>
      <w:r w:rsidRPr="00FE5D1C">
        <w:rPr>
          <w:rFonts w:ascii="Calibri" w:eastAsia="Times New Roman" w:hAnsi="Calibri" w:cs="Calibri"/>
          <w:i/>
          <w:iCs/>
          <w:color w:val="000000"/>
          <w:kern w:val="0"/>
          <w:sz w:val="22"/>
          <w:szCs w:val="22"/>
          <w14:ligatures w14:val="none"/>
        </w:rPr>
        <w:t>Toxocara-</w:t>
      </w:r>
      <w:r w:rsidRPr="00FE5D1C">
        <w:rPr>
          <w:rFonts w:ascii="Calibri" w:eastAsia="Times New Roman" w:hAnsi="Calibri" w:cs="Calibri"/>
          <w:color w:val="000000"/>
          <w:kern w:val="0"/>
          <w:sz w:val="22"/>
          <w:szCs w:val="22"/>
          <w14:ligatures w14:val="none"/>
        </w:rPr>
        <w:t>infected samples. Using pooled human serum, the recombinant antigens also strongly recognized serum from patients with toxocariasis. Further optimization of this assay is underway, including high resolution epitope mapping of r</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-CTL-1 and r</w:t>
      </w:r>
      <w:r w:rsidRPr="00FE5D1C">
        <w:rPr>
          <w:rFonts w:ascii="Calibri" w:eastAsia="Times New Roman" w:hAnsi="Calibri" w:cs="Calibri"/>
          <w:i/>
          <w:iCs/>
          <w:color w:val="000000"/>
          <w:kern w:val="0"/>
          <w:sz w:val="22"/>
          <w:szCs w:val="22"/>
          <w14:ligatures w14:val="none"/>
        </w:rPr>
        <w:t>Tc</w:t>
      </w:r>
      <w:r w:rsidRPr="00FE5D1C">
        <w:rPr>
          <w:rFonts w:ascii="Calibri" w:eastAsia="Times New Roman" w:hAnsi="Calibri" w:cs="Calibri"/>
          <w:color w:val="000000"/>
          <w:kern w:val="0"/>
          <w:sz w:val="22"/>
          <w:szCs w:val="22"/>
          <w14:ligatures w14:val="none"/>
        </w:rPr>
        <w:t>-CTL-2 and evaluation for monitoring therapeutic cure using sera collected longitudinally from </w:t>
      </w:r>
      <w:r w:rsidRPr="00FE5D1C">
        <w:rPr>
          <w:rFonts w:ascii="Calibri" w:eastAsia="Times New Roman" w:hAnsi="Calibri" w:cs="Calibri"/>
          <w:i/>
          <w:iCs/>
          <w:color w:val="000000"/>
          <w:kern w:val="0"/>
          <w:sz w:val="22"/>
          <w:szCs w:val="22"/>
          <w14:ligatures w14:val="none"/>
        </w:rPr>
        <w:t>Toxocara</w:t>
      </w:r>
      <w:r w:rsidRPr="00FE5D1C">
        <w:rPr>
          <w:rFonts w:ascii="Calibri" w:eastAsia="Times New Roman" w:hAnsi="Calibri" w:cs="Calibri"/>
          <w:color w:val="000000"/>
          <w:kern w:val="0"/>
          <w:sz w:val="22"/>
          <w:szCs w:val="22"/>
          <w14:ligatures w14:val="none"/>
        </w:rPr>
        <w:t>-infected children living in the US during treatment. As existing assays depend on limited crude TES antigen, our high-throughput development of recombinant immunogenic </w:t>
      </w:r>
      <w:r w:rsidRPr="00FE5D1C">
        <w:rPr>
          <w:rFonts w:ascii="Calibri" w:eastAsia="Times New Roman" w:hAnsi="Calibri" w:cs="Calibri"/>
          <w:i/>
          <w:iCs/>
          <w:color w:val="000000"/>
          <w:kern w:val="0"/>
          <w:sz w:val="22"/>
          <w:szCs w:val="22"/>
          <w14:ligatures w14:val="none"/>
        </w:rPr>
        <w:t>T. canis</w:t>
      </w:r>
      <w:r w:rsidRPr="00FE5D1C">
        <w:rPr>
          <w:rFonts w:ascii="Calibri" w:eastAsia="Times New Roman" w:hAnsi="Calibri" w:cs="Calibri"/>
          <w:color w:val="000000"/>
          <w:kern w:val="0"/>
          <w:sz w:val="22"/>
          <w:szCs w:val="22"/>
          <w14:ligatures w14:val="none"/>
        </w:rPr>
        <w:t> antigens represents significant progress toward a more accessible and cost-effective diagnostic assay for toxocariasis, enhancing our capacity to manage this important helminth infection.</w:t>
      </w:r>
    </w:p>
    <w:p w14:paraId="4CFECE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25-A-2152-ASTMH</w:t>
      </w:r>
    </w:p>
    <w:p w14:paraId="664AC0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5CC6B9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Data Integration Challenges in Malaria Vector Control Planning in the Brazilian Amazon</w:t>
      </w:r>
    </w:p>
    <w:p w14:paraId="4ECED6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challenge in Brazil, with 99.9% of cases concentrated in the Amazon region. While diagnosis and treatment have improved, effective vector control, particularly indoor residual spraying (IRS), depends on timely, risk-based planning. This study assessed the fragmentation of national systems involved in malaria control: Sivep-Malaria (epidemiological surveillance), SISMAT (insecticide logistics) and SIES (strategic input tracking). These systems operate independently, lack interoperability and are not integrated into a centralised platform, weakening strategic coordination and delaying operational responses. We analysed procurement, epidemiological, and environmental data from São Gabriel da Cachoeira, Tefé, and Barcelos in the state of Amazonas (2019-2023), combined with system flow mapping and statistical modelling. Insecticide purchases fell by 65%, while malaria incidence fell by only 26%. In Tefé, IRS requests decreased by 19% despite a 26% increase in cases. Correlation analysis (r=0.52) and ARIMA modelling revealed delays of 1-3 months between outbreak and response. Operational gaps included lack of standardised request templates, lack of entomological indicators to guide IRS, poor monitoring of spray coverage and limited digital infrastructure in remote municipalities. These factors had a direct impact on municipal planning capacity, budgeting and IRS effectiveness. We propose a digital planning model that integrates predictive analytics, automated risk alerts, and real-time dashboards. A national platform that enables multisystem interoperability, with embedded entomological and logistical data, is critical to transform Brazil's malaria control from reactive to anticipatory, especially in the high-transmission Amazonian zones.</w:t>
      </w:r>
    </w:p>
    <w:p w14:paraId="700407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25-A-2156-ASTMH</w:t>
      </w:r>
    </w:p>
    <w:p w14:paraId="659180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1A0B25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Mapping of Snail Intermediate Host Habitats Reveals Variability in Schistosome and Non-Schistosome Trematode Transmission in an Endemic Setting</w:t>
      </w:r>
    </w:p>
    <w:p w14:paraId="38BA4F7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There is an urgent need for integrated approaches to understanding health threats to people, animals, and the environment. The intermediate snail host of the </w:t>
      </w:r>
      <w:r w:rsidRPr="00FE5D1C">
        <w:rPr>
          <w:rFonts w:ascii="Calibri" w:eastAsia="Times New Roman" w:hAnsi="Calibri" w:cs="Calibri"/>
          <w:i/>
          <w:iCs/>
          <w:color w:val="000000"/>
          <w:kern w:val="0"/>
          <w:sz w:val="22"/>
          <w:szCs w:val="22"/>
          <w14:ligatures w14:val="none"/>
        </w:rPr>
        <w:t>Schistosoma haematobium,</w:t>
      </w:r>
      <w:r w:rsidRPr="00FE5D1C">
        <w:rPr>
          <w:rFonts w:ascii="Calibri" w:eastAsia="Times New Roman" w:hAnsi="Calibri" w:cs="Calibri"/>
          <w:color w:val="000000"/>
          <w:kern w:val="0"/>
          <w:sz w:val="22"/>
          <w:szCs w:val="22"/>
          <w14:ligatures w14:val="none"/>
        </w:rPr>
        <w:t> the etiological agent of urogenital schistosomiasis, serves as a critical sentinel for tracking the spread of associated disease risks. In addition to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Bulinus </w:t>
      </w:r>
      <w:r w:rsidRPr="00FE5D1C">
        <w:rPr>
          <w:rFonts w:ascii="Calibri" w:eastAsia="Times New Roman" w:hAnsi="Calibri" w:cs="Calibri"/>
          <w:color w:val="000000"/>
          <w:kern w:val="0"/>
          <w:sz w:val="22"/>
          <w:szCs w:val="22"/>
          <w14:ligatures w14:val="none"/>
        </w:rPr>
        <w:t>snails also transmit </w:t>
      </w:r>
      <w:r w:rsidRPr="00FE5D1C">
        <w:rPr>
          <w:rFonts w:ascii="Calibri" w:eastAsia="Times New Roman" w:hAnsi="Calibri" w:cs="Calibri"/>
          <w:i/>
          <w:iCs/>
          <w:color w:val="000000"/>
          <w:kern w:val="0"/>
          <w:sz w:val="22"/>
          <w:szCs w:val="22"/>
          <w14:ligatures w14:val="none"/>
        </w:rPr>
        <w:t>S. bovis</w:t>
      </w:r>
      <w:r w:rsidRPr="00FE5D1C">
        <w:rPr>
          <w:rFonts w:ascii="Calibri" w:eastAsia="Times New Roman" w:hAnsi="Calibri" w:cs="Calibri"/>
          <w:color w:val="000000"/>
          <w:kern w:val="0"/>
          <w:sz w:val="22"/>
          <w:szCs w:val="22"/>
          <w14:ligatures w14:val="none"/>
        </w:rPr>
        <w:t> to cattle as well as several non-schistosome parasites to cattle and wildlife. Identifying transmission foci of these multi-parasite hosts is critical for targeted and effective One Health intervention. We investigated 467 water bodies in 86 villages across six districts in northwestern Tanzania. A total of 43,348 </w:t>
      </w:r>
      <w:r w:rsidRPr="00FE5D1C">
        <w:rPr>
          <w:rFonts w:ascii="Calibri" w:eastAsia="Times New Roman" w:hAnsi="Calibri" w:cs="Calibri"/>
          <w:i/>
          <w:iCs/>
          <w:color w:val="000000"/>
          <w:kern w:val="0"/>
          <w:sz w:val="22"/>
          <w:szCs w:val="22"/>
          <w14:ligatures w14:val="none"/>
        </w:rPr>
        <w:t>Bulinus</w:t>
      </w:r>
      <w:r w:rsidRPr="00FE5D1C">
        <w:rPr>
          <w:rFonts w:ascii="Calibri" w:eastAsia="Times New Roman" w:hAnsi="Calibri" w:cs="Calibri"/>
          <w:color w:val="000000"/>
          <w:kern w:val="0"/>
          <w:sz w:val="22"/>
          <w:szCs w:val="22"/>
          <w14:ligatures w14:val="none"/>
        </w:rPr>
        <w:t> snails were collected across three phases from November 2020 to August 2021. We shed all snails for 24 hours and diagnosed cercariae morphologically via dissection microscopy. Across all snails, 0.63% were infected with schistosome parasites. There was a significant increase in schistosome prevalence across the year, with a peak in the dry season (June-August 2021). Furthermore, of the 25,052 snails collected in the latter two phases (March to August 2021), 4.9% were infected with non-schistosome trematode infections, exceeding prevalences of schistosomes at all spatial scales. Co-infections were uncommon, with only 0.05% of snails concurrently harboring both schistosome and non-schistosome parasites. These infection patterns were consistent across village and district levels. Water bodies used by cattle had higher schistosome prevalence than waterbodies isolated for human use. Surprisingly, non-schistosome parasite prevalence was equal in both of these waterbody types. This suggests that current delineations and water use behavior may limit contamination to humans, but not by cattle (or wildlife). By contrast, water permanence and school proximity did not impact snail or parasite presence. Targeted interventions should focus on local water use dynamics, with attention to the potential indirect role of cattle in schistosome transmission</w:t>
      </w:r>
    </w:p>
    <w:p w14:paraId="5E881A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25-A-2157-ASTMH</w:t>
      </w:r>
    </w:p>
    <w:p w14:paraId="267A9F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493DDD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Analyze the acceptability and feasibility of RAS in areas where referrals are almost impossible</w:t>
      </w:r>
    </w:p>
    <w:p w14:paraId="6562C9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rural areas, especially those far from towns, treating severe malaria with injectable medication is often impossible due to limited healthcare facilities, poor road conditions, and a lack of essential drugs. In places like Kapalowe in the DRC, children often miss out on timely and effective treatment. To tackle this issue, the Horizon Europe SEMAReACT project is working to provide Rectal Artesunate (RAS) through community health workers or in health facilities where injectable artesunate is unavailable. This intervention aims to reduce illness and death from severe malaria while also helping to fill the gaps in treatment knowledge in these hard-to-reach areas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This study evaluates the Acceptability and feasibility of the intervention of pre-referral RAS use by community health workers (CHW). Qualitative data collected from focus groups with the mothers of children and interviews with the healthcare providers involved in implementation and a group of stakeholders. Data collected during the 4th phase in the study. The focus group with the care givers of children who had severe malaria regarding their care pathways from a lower to a higher level of care. The purposive sample considered the following factors: the child's age, gender, and the distance to reference health care facilities. The healthcare providers and the group of stakeholders (pharmasists, village chiefs) have been purposefully selected to have a varied sample in relation to distance to health facilities to their location. The traditional practitioners will be selected to have a varied group as to kind of practices and location. Data is currently being collected and analyzed. An integrated presentation will be available by October 2025</w:t>
      </w:r>
      <w:r w:rsidRPr="00FE5D1C">
        <w:rPr>
          <w:rFonts w:ascii="Calibri" w:eastAsia="Times New Roman" w:hAnsi="Calibri" w:cs="Calibri"/>
          <w:b/>
          <w:bCs/>
          <w:color w:val="000000"/>
          <w:kern w:val="0"/>
          <w:sz w:val="22"/>
          <w:szCs w:val="22"/>
          <w14:ligatures w14:val="none"/>
        </w:rPr>
        <w:t>.</w:t>
      </w:r>
      <w:r w:rsidRPr="00FE5D1C">
        <w:rPr>
          <w:rFonts w:ascii="Calibri" w:eastAsia="Times New Roman" w:hAnsi="Calibri" w:cs="Calibri"/>
          <w:color w:val="000000"/>
          <w:kern w:val="0"/>
          <w:sz w:val="22"/>
          <w:szCs w:val="22"/>
          <w14:ligatures w14:val="none"/>
        </w:rPr>
        <w:t> Recommendations on how these findings will inform actual implementation of the SEMA-ReACT intervention will be made.</w:t>
      </w:r>
    </w:p>
    <w:p w14:paraId="19EB39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25-A-2158-ASTMH</w:t>
      </w:r>
    </w:p>
    <w:p w14:paraId="700376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4FF738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Connectivity of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populations in the Amazonas and Loreto regions</w:t>
      </w:r>
    </w:p>
    <w:p w14:paraId="5A4E83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public health issue in Peru, which is currently implementing a plan to eliminate the disease.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xml:space="preserve"> is the predominant malaria species in the Peruvian rainforest, with the highest incidence reported in the bordering regions of Loreto and Amazonas. Rural populations </w:t>
      </w:r>
      <w:r w:rsidRPr="00FE5D1C">
        <w:rPr>
          <w:rFonts w:ascii="Calibri" w:eastAsia="Times New Roman" w:hAnsi="Calibri" w:cs="Calibri"/>
          <w:color w:val="000000"/>
          <w:kern w:val="0"/>
          <w:sz w:val="22"/>
          <w:szCs w:val="22"/>
          <w14:ligatures w14:val="none"/>
        </w:rPr>
        <w:lastRenderedPageBreak/>
        <w:t>often located in hard-to-reach areas are most affected, largely due to limited access to diagnosis, timely treatment, and disease elimination efforts. Loreto has had the highest malaria prevalence rate in the country. In contrast, Amazonas experienced a period of low malaria transmission between 2010 and 2013, followed by a sharp rise in cases starting in 2014, potentially due to an influx of malaria from Loreto. There is limited knowledge about the interactions between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populations in Loreto and Amazonas. To bridge this gap, epidemiological surveillance using molecular tools is essential for assessing malaria transmission dynamics and the genetic structure of the parasite. This study aimed to assess the genetic variability and gene flow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across endemic provinces in the Loreto (Maynas, Datem del Marañón, and Ramón Castilla) and Amazonas (Río Santiago) regions. Using genomic sequences (NGS and WGS) from both public and unpublished databases (n=478) from these regions, we identified 802 biallelic single nucleotide polymorphisms in the segments amplified by the </w:t>
      </w:r>
      <w:r w:rsidRPr="00FE5D1C">
        <w:rPr>
          <w:rFonts w:ascii="Calibri" w:eastAsia="Times New Roman" w:hAnsi="Calibri" w:cs="Calibri"/>
          <w:i/>
          <w:iCs/>
          <w:color w:val="000000"/>
          <w:kern w:val="0"/>
          <w:sz w:val="22"/>
          <w:szCs w:val="22"/>
          <w14:ligatures w14:val="none"/>
        </w:rPr>
        <w:t>Pv Ampliseq v2 Peru</w:t>
      </w:r>
      <w:r w:rsidRPr="00FE5D1C">
        <w:rPr>
          <w:rFonts w:ascii="Calibri" w:eastAsia="Times New Roman" w:hAnsi="Calibri" w:cs="Calibri"/>
          <w:color w:val="000000"/>
          <w:kern w:val="0"/>
          <w:sz w:val="22"/>
          <w:szCs w:val="22"/>
          <w14:ligatures w14:val="none"/>
        </w:rPr>
        <w:t>, an NGS panel for population genetics analysis of </w:t>
      </w:r>
      <w:r w:rsidRPr="00FE5D1C">
        <w:rPr>
          <w:rFonts w:ascii="Calibri" w:eastAsia="Times New Roman" w:hAnsi="Calibri" w:cs="Calibri"/>
          <w:i/>
          <w:iCs/>
          <w:color w:val="000000"/>
          <w:kern w:val="0"/>
          <w:sz w:val="22"/>
          <w:szCs w:val="22"/>
          <w14:ligatures w14:val="none"/>
        </w:rPr>
        <w:t>P. vivax in</w:t>
      </w:r>
      <w:r w:rsidRPr="00FE5D1C">
        <w:rPr>
          <w:rFonts w:ascii="Calibri" w:eastAsia="Times New Roman" w:hAnsi="Calibri" w:cs="Calibri"/>
          <w:color w:val="000000"/>
          <w:kern w:val="0"/>
          <w:sz w:val="22"/>
          <w:szCs w:val="22"/>
          <w14:ligatures w14:val="none"/>
        </w:rPr>
        <w:t> Peru. The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population in Amazonas exhibited low genetic diversity (He=0.06), whereas Loreto showed higher diversity (He=0.3). Pairwise </w:t>
      </w:r>
      <w:r w:rsidRPr="00FE5D1C">
        <w:rPr>
          <w:rFonts w:ascii="Calibri" w:eastAsia="Times New Roman" w:hAnsi="Calibri" w:cs="Calibri"/>
          <w:i/>
          <w:iCs/>
          <w:color w:val="000000"/>
          <w:kern w:val="0"/>
          <w:sz w:val="22"/>
          <w:szCs w:val="22"/>
          <w14:ligatures w14:val="none"/>
        </w:rPr>
        <w:t>Fst</w:t>
      </w:r>
      <w:r w:rsidRPr="00FE5D1C">
        <w:rPr>
          <w:rFonts w:ascii="Calibri" w:eastAsia="Times New Roman" w:hAnsi="Calibri" w:cs="Calibri"/>
          <w:color w:val="000000"/>
          <w:kern w:val="0"/>
          <w:sz w:val="22"/>
          <w:szCs w:val="22"/>
          <w14:ligatures w14:val="none"/>
        </w:rPr>
        <w:t> values indicated substantial genetic differentiation among regions (</w:t>
      </w:r>
      <w:r w:rsidRPr="00FE5D1C">
        <w:rPr>
          <w:rFonts w:ascii="Calibri" w:eastAsia="Times New Roman" w:hAnsi="Calibri" w:cs="Calibri"/>
          <w:i/>
          <w:iCs/>
          <w:color w:val="000000"/>
          <w:kern w:val="0"/>
          <w:sz w:val="22"/>
          <w:szCs w:val="22"/>
          <w14:ligatures w14:val="none"/>
        </w:rPr>
        <w:t>F</w:t>
      </w:r>
      <w:r w:rsidRPr="00FE5D1C">
        <w:rPr>
          <w:rFonts w:ascii="Calibri" w:eastAsia="Times New Roman" w:hAnsi="Calibri" w:cs="Calibri"/>
          <w:i/>
          <w:iCs/>
          <w:color w:val="000000"/>
          <w:kern w:val="0"/>
          <w:sz w:val="22"/>
          <w:szCs w:val="22"/>
          <w:vertAlign w:val="subscript"/>
          <w14:ligatures w14:val="none"/>
        </w:rPr>
        <w:t>st</w:t>
      </w:r>
      <w:r w:rsidRPr="00FE5D1C">
        <w:rPr>
          <w:rFonts w:ascii="Calibri" w:eastAsia="Times New Roman" w:hAnsi="Calibri" w:cs="Calibri"/>
          <w:color w:val="000000"/>
          <w:kern w:val="0"/>
          <w:sz w:val="22"/>
          <w:szCs w:val="22"/>
          <w14:ligatures w14:val="none"/>
        </w:rPr>
        <w:t>=0.27), with Río Santiago exhibiting notably high differentiation compared to the other provinces (</w:t>
      </w:r>
      <w:r w:rsidRPr="00FE5D1C">
        <w:rPr>
          <w:rFonts w:ascii="Calibri" w:eastAsia="Times New Roman" w:hAnsi="Calibri" w:cs="Calibri"/>
          <w:i/>
          <w:iCs/>
          <w:color w:val="000000"/>
          <w:kern w:val="0"/>
          <w:sz w:val="22"/>
          <w:szCs w:val="22"/>
          <w14:ligatures w14:val="none"/>
        </w:rPr>
        <w:t>F</w:t>
      </w:r>
      <w:r w:rsidRPr="00FE5D1C">
        <w:rPr>
          <w:rFonts w:ascii="Calibri" w:eastAsia="Times New Roman" w:hAnsi="Calibri" w:cs="Calibri"/>
          <w:i/>
          <w:iCs/>
          <w:color w:val="000000"/>
          <w:kern w:val="0"/>
          <w:sz w:val="22"/>
          <w:szCs w:val="22"/>
          <w:vertAlign w:val="subscript"/>
          <w14:ligatures w14:val="none"/>
        </w:rPr>
        <w:t>st</w:t>
      </w:r>
      <w:r w:rsidRPr="00FE5D1C">
        <w:rPr>
          <w:rFonts w:ascii="Calibri" w:eastAsia="Times New Roman" w:hAnsi="Calibri" w:cs="Calibri"/>
          <w:color w:val="000000"/>
          <w:kern w:val="0"/>
          <w:sz w:val="22"/>
          <w:szCs w:val="22"/>
          <w14:ligatures w14:val="none"/>
        </w:rPr>
        <w:t>=0.3-0.73). Discriminant Analysis of Principal Components (DAPC) revealed distinct genetic clusters corresponding to regions and provinces. Overall, we observed limited connectivity between Amazonas and Loreto but high connectivity within each region. Those results will lay scientific foundation for proposing region-specific malaria control measures.</w:t>
      </w:r>
    </w:p>
    <w:p w14:paraId="11111B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25-A-2160-ASTMH</w:t>
      </w:r>
    </w:p>
    <w:p w14:paraId="5847FD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5CDD4B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Menarche status may influence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malaria in non-pregnant adolescent girls: evidence from cross-sectional survey</w:t>
      </w:r>
    </w:p>
    <w:p w14:paraId="30A8DD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Menarche status may influence plasmodium falciparu mmalaria in non-pregnant adolescent girls: evidence from cross-sectional survey</w:t>
      </w:r>
      <w:r w:rsidRPr="00FE5D1C">
        <w:rPr>
          <w:rFonts w:ascii="Calibri" w:eastAsia="Times New Roman" w:hAnsi="Calibri" w:cs="Calibri"/>
          <w:color w:val="000000"/>
          <w:kern w:val="0"/>
          <w:sz w:val="22"/>
          <w:szCs w:val="22"/>
          <w14:ligatures w14:val="none"/>
        </w:rPr>
        <w:br/>
        <w:t>Author Block: Salou Diallo1, Magloire H Natama1, Sabine Gies1, Tinto Halidou21Clinical Research Unit of Nanoro, Ouagadougou, Burkina Faso, 2Prins Leopold Inst VoorTropische Geneeskunde, Antwerp, Belgium</w:t>
      </w:r>
      <w:r w:rsidRPr="00FE5D1C">
        <w:rPr>
          <w:rFonts w:ascii="Calibri" w:eastAsia="Times New Roman" w:hAnsi="Calibri" w:cs="Calibri"/>
          <w:color w:val="000000"/>
          <w:kern w:val="0"/>
          <w:sz w:val="22"/>
          <w:szCs w:val="22"/>
          <w14:ligatures w14:val="none"/>
        </w:rPr>
        <w:br/>
        <w:t>Abstract:In malaria endemic area, it is well known that susceptibility to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infection is age dependent and adults (10 to 19 years old) rarely suffer from malaria clinical disease even though they often carry the parasites due to acquired partial immunity. Many hormonal changes are associated with human growth and puberty include adrenarche hormone, dehydroepiandrosterone which was found negatively correlated with malaria parasite density in parasitemic pubertal girls. It is also known that in this growth period there is increasing of iron demands to compensate blood loss from their menses while iron absorption is inhibited by malaria asymptomatic infection. The aim of this cross-sectional survey of adolescent girls was to assess the difference in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malaria prevalence between the menarcheal and non menarcheal adolescent women in Burkina Faso. Adolescent included in this study, were previously involving in a periconceptional weekly iron/folic acid supplementation in Nanoro rural population, Burkina Faso. A total of 1057 young women (15-18 years old) are seen in this crosssectional study after one year of follow up. This includes 151 adolescent girls who never get menarche and 906 adolescents already menarcheal. Mean age was 15.3 years in non menarcheal adolescent and 16.8 years in menarcheal girls. Postmenarcheal women were fatter and taller than premenarcheal women (P &lt; 0.0001). Malaria prevalence (P. falciparum infection) was found higher in non menarcheal girls than menarcheal girls (P = 0.0006) but there was no difference of parasites density between both groups (p= 0.35) using bed net use, antimalarial treatment, age and education as confounding factors. It is plausible that menarcheal status has a protective effect of malaria in adolescent girls.</w:t>
      </w:r>
    </w:p>
    <w:p w14:paraId="594E2F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25-A-2161-ASTMH</w:t>
      </w:r>
    </w:p>
    <w:p w14:paraId="276F54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750F18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Immunological markers of population-level immunity in villages receiving mass drug administration of ivermectin and dihydroartemisinin-piperaquine compared to control in the Upper River Region, The Gambia.</w:t>
      </w:r>
    </w:p>
    <w:p w14:paraId="5F3583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After a person is sufficiently exposed to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malaria parasites, they develop partial protection from clinical malaria which contributes to the asymptomatic infections found in endemic populations. In settings striving for malaria elimination these undetected infections hinder progress by sustaining transmission. Although malaria immunity is known to wane over time without continued exposure, it remains unclear which population-level antibody signatures best predict symptomatic, detectable infections. To address this gap, this study applied random forest regression to evaluate the association between antibody responses to 19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antigens and PDetect, a modeled metric representing the proportion of infections captured through routine surveillance. Data from 2,827 individuals in villages receiving mass drug administration with ivermectin and dihydroartemisinin-piperaquine as part of a cluster-randomized controlled trial in The Gambia were compared to 3,026 individuals from untreated control villages. The model showed consistent performance (RMSE ≈ 0.10 across cross-validation and test sets), supporting its use in identifying markers of surveillance detectability. Feature importance scores identified PfSEA-1, ETRAMP4Ag2, gSG6-P1, SBP1, and ETRAMP5Ag1 as the top predictors of a high PDetect. Partial dependence plots illustrated how antibody responses varied across the transmission gradient and between intervention arms, with ETRAMP4Ag2 and gSG6-P1 showing the strongest differentiation between groups at high transmission intensity. Elevated antibody responses persisted in intervention villages despite reduced transmission, likely suggesting slow decay of antibodies following infection clearance. This supports the validity of PDetect and its alignment with serological markers indicative of recent exposure. Integrating antibody data with modeled detectability offers a context-sensitive tool for malaria surveillance and supports future validation of PDetect in elimination settings.</w:t>
      </w:r>
    </w:p>
    <w:p w14:paraId="2308419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25-A-2162-ASTMH</w:t>
      </w:r>
    </w:p>
    <w:p w14:paraId="0EC7E5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25A98A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Mosquito Ecology in Myanmar and Laboratory Investigation of Kaeng Khoi Virus Host Plasticity</w:t>
      </w:r>
    </w:p>
    <w:p w14:paraId="74398F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Myanmar is one of the most biodiverse countries in the Asia-Pacific region, but its mosquito populations and their role in arbovirus transmission are not well studied. To address this, we conducted mosquito surveillance across forest, edge, and urban habitats during the wet (August 2024) and dry (January 2025) seasons. We hypothesize that virus-host plasticity (i.e., the number of host-virus associations) and spillover risk increase at edge sites, where vertebrates and mosquitoes from different habitats interact. We collected 36,194 mosquitoes and are analyzing species diversity, bloodmeal sources, and arbovirus presence. To investigate virus-host plasticity in more detail we used Kaeng Khoi virus (KKV), an orthobunyavirus first identified in bats in Thailand, as a model system. We tested KKV replication in mosquito (Aag2, C6/36), bat (AJK-6, TB1 LU), human (HUH-7), and primate (Vero) cell lines. Cells were infected at an MOI of 0.1, and viral titers were measured over 96 hours using plaque assays. These studies together aim to improve our understanding of mosquito-host interactions in Myanmar and how virus-host plasticity may influence arbovirus transmission and spillover.</w:t>
      </w:r>
    </w:p>
    <w:p w14:paraId="5F3574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25-A-2163-ASTMH</w:t>
      </w:r>
    </w:p>
    <w:p w14:paraId="20B5E3C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7CF0C4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Development and preliminary validation of antiretroviral therapy adverse event detection trigger tool for adult HIV/AIDS patients</w:t>
      </w:r>
    </w:p>
    <w:p w14:paraId="3BB32A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Human immunodeficiency virus (HIV) disease is a chronic disease of global interest and requires life-long intake of antiretroviral therapies to maintain life activities of patients. Antiretroviral therapies (ART) have been proven effectiveness in viral suppression and enhancement of the quality of life among people living with HIV (PLWHIV), however, significant adverse events (ADEs) have been reported to </w:t>
      </w:r>
      <w:r w:rsidRPr="00FE5D1C">
        <w:rPr>
          <w:rFonts w:ascii="Calibri" w:eastAsia="Times New Roman" w:hAnsi="Calibri" w:cs="Calibri"/>
          <w:color w:val="000000"/>
          <w:kern w:val="0"/>
          <w:sz w:val="22"/>
          <w:szCs w:val="22"/>
          <w14:ligatures w14:val="none"/>
        </w:rPr>
        <w:lastRenderedPageBreak/>
        <w:t>occur with antiretroviral therapy use. Identification and resolution of antiretroviral adverse events becomes very paramount. Different trigger tools have been developed for the detection of adverse events of drugs in different fields of care, but none of the developed trigger tools is specific for antiretroviral adverse event detection. This study therefore</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developed and validated a preliminary trigger tool for antiretroviral adverse event detection among adult people living with HIV/AIDS. The trigger tool was developed through a four-round modified Delphi panel process employing a questionnaire generated from expert opinions, patients’ interviews and literature review. Inter-rater agreement of the Delphi panel of experts was calculated, and the validity of the items of the developed trigger tool assessed. Sixty (60) randomly selected patient clinical records were retrospectively reviewed in a pilot test of the developed trigger tool. Inter-rater agreement between expert panel members was significant (κ=0.67). The scale's content validity index (S-CVI), calculated as the average of the item validity index (I-CVI) scores for all items contained in the developed tool, was very significant (0.95). Ninety-six triggers and 60 adverse drug events were identified from the 60 patients’ records reviewed in the pilot test. ‘Switch/Substitution of antiretroviral therapies’ (22.0 %) and ‘Acute kidney disease’ (17.0 %) were the most prevalent triggers and adverse events identified, respectively. The developed trigger tool was useful in identifying adverse drug events in the population of interest. Further study is necessary to evaluate the tool’s sensitivity compared to other conventional methods of adverse event detection.</w:t>
      </w:r>
    </w:p>
    <w:p w14:paraId="636B9F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25-A-2164-ASTMH</w:t>
      </w:r>
    </w:p>
    <w:p w14:paraId="32C080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1DFF0D89" w14:textId="359E26C3"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Development of Point-of-Care Diagnostics for Schistosomiasis in the Philippines</w:t>
      </w:r>
    </w:p>
    <w:p w14:paraId="5CB6FB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in the Philippines</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remains prevalent across endemic communities with sustained morbidities despite decades of preventative chemotherapy. The country has recently shifted to the multi-disciplinary One Health approach to address and eliminate the parasite in humans, animals and the environment. However, such efforts are hindered by the limited sensitivity of the current diagnostics in the field, resulting in underestimated disease burden, and undermining the effectivity and efficiency of control strategies. We have recently developed semi-point-of-care diagnostics (POCs) for schistosomiasis: 1) an equipment-free cotton-syringe DNA extraction device combined with a portable quantitative PCR for detection of parasite DNA in stool samples, and 2) a latex microsphere-based lateral flow immunoassay (LM-based LFIA) for detection of anti-SjSAP4 antibodies in serum samples. Using infected human samples, the POCs were validated to have comparable diagnostic performance with their lab-based counterparts (91.7% concordance of results of cotton-syringe with magnetic bead-based kit DNA extraction, and 80.60% concordance of results of LM-based LFIA with SjSAP4 enzyme-linked immunoassay), gaining their sensitivity but with fewer steps and simpler equipment. To assess their suitability in the field and inform further diagnostic development, the POCs were field-tested in six endemic villages in the Philippines. Community health workers were recruited and trained to use the POCs to test residents (n=250 per village) in the field, and their acceptability of the POCs were evaluated through questionnaires and focus group discussions. Preliminary results identify pain points in the POC testing such as the undesirability of stool sample among health workers, and bottleneck in the sample homogenization step of the cotton-syringe DNA extraction. Addressing these issues will ensure better adoption of these POCs </w:t>
      </w:r>
      <w:r w:rsidRPr="00FE5D1C">
        <w:rPr>
          <w:rFonts w:ascii="Calibri" w:eastAsia="Times New Roman" w:hAnsi="Calibri" w:cs="Calibri"/>
          <w:i/>
          <w:iCs/>
          <w:color w:val="000000"/>
          <w:kern w:val="0"/>
          <w:sz w:val="22"/>
          <w:szCs w:val="22"/>
          <w14:ligatures w14:val="none"/>
        </w:rPr>
        <w:t>in situ </w:t>
      </w:r>
      <w:r w:rsidRPr="00FE5D1C">
        <w:rPr>
          <w:rFonts w:ascii="Calibri" w:eastAsia="Times New Roman" w:hAnsi="Calibri" w:cs="Calibri"/>
          <w:color w:val="000000"/>
          <w:kern w:val="0"/>
          <w:sz w:val="22"/>
          <w:szCs w:val="22"/>
          <w14:ligatures w14:val="none"/>
        </w:rPr>
        <w:t>for their use in more accurate schistosomiasis surveillance and monitoring.</w:t>
      </w:r>
    </w:p>
    <w:p w14:paraId="72CA7A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25-A-2165-ASTMH</w:t>
      </w:r>
    </w:p>
    <w:p w14:paraId="5CD579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49EBB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Addressing Diagnostic Limitations in Enteric Fever in Resource-Limited Settings</w:t>
      </w:r>
    </w:p>
    <w:p w14:paraId="58839D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Enteric fever (EF), caused by </w:t>
      </w:r>
      <w:r w:rsidRPr="00FE5D1C">
        <w:rPr>
          <w:rFonts w:ascii="Calibri" w:eastAsia="Times New Roman" w:hAnsi="Calibri" w:cs="Calibri"/>
          <w:i/>
          <w:iCs/>
          <w:color w:val="000000"/>
          <w:kern w:val="0"/>
          <w:sz w:val="22"/>
          <w:szCs w:val="22"/>
          <w14:ligatures w14:val="none"/>
        </w:rPr>
        <w:t>Salmonella enterica</w:t>
      </w:r>
      <w:r w:rsidRPr="00FE5D1C">
        <w:rPr>
          <w:rFonts w:ascii="Calibri" w:eastAsia="Times New Roman" w:hAnsi="Calibri" w:cs="Calibri"/>
          <w:color w:val="000000"/>
          <w:kern w:val="0"/>
          <w:sz w:val="22"/>
          <w:szCs w:val="22"/>
          <w14:ligatures w14:val="none"/>
        </w:rPr>
        <w:t xml:space="preserve"> serovars Typhi and Paratyphi, is a leading cause of febrile illness in resource-limited settings, with over 11 million cases and 110,000 deaths annually. Blood culture (BC) is the gold standard for diagnosis but has low sensitivity and limited availability. Clinicians </w:t>
      </w:r>
      <w:r w:rsidRPr="00FE5D1C">
        <w:rPr>
          <w:rFonts w:ascii="Calibri" w:eastAsia="Times New Roman" w:hAnsi="Calibri" w:cs="Calibri"/>
          <w:color w:val="000000"/>
          <w:kern w:val="0"/>
          <w:sz w:val="22"/>
          <w:szCs w:val="22"/>
          <w14:ligatures w14:val="none"/>
        </w:rPr>
        <w:lastRenderedPageBreak/>
        <w:t>often rely on clinical symptoms and rapid diagnostic tests (RDTs) to diagnose EF, though the accuracy of these methods is uncertain. Timely diagnosis is essential, as EF symptoms often mimic those of other febrile diseases like dengue, and misdiagnosis can lead to inappropriate antibiotic use, contributing to antimicrobial resistance. This study evaluates the effectiveness of BC, real-time PCR (RT-PCR), and RDTs in diagnosing EF, and explores the development of a simple clinical score combined with RDTs to improve diagnosis. Logistic regression analysis of datasets from Nepal, Cambodia, and Bangladesh identified five clinical variables significantly associated with BC-confirmed EF: fever duration ≥ 3 days, headache, abdominal pain, temperature ≥ 39°C, and pulse &lt; 120 bpm. These variables were incorporated into a clinical score, with point values assigned based on beta coefficients. 29% (174/603) of patients had BC-confirmed EF. A clinical score ≥4 with CRP ≥ 10 mg/L and a positive RDT (Test-It Typhoid IgM lateral flow assay) identified BC-confirmed EF in 105/174 (60.3%) patients. RT-PCR was performed on 300 samples using two primer sets: STY201 and </w:t>
      </w:r>
      <w:r w:rsidRPr="00FE5D1C">
        <w:rPr>
          <w:rFonts w:ascii="Calibri" w:eastAsia="Times New Roman" w:hAnsi="Calibri" w:cs="Calibri"/>
          <w:i/>
          <w:iCs/>
          <w:color w:val="000000"/>
          <w:kern w:val="0"/>
          <w:sz w:val="22"/>
          <w:szCs w:val="22"/>
          <w14:ligatures w14:val="none"/>
        </w:rPr>
        <w:t>tviB</w:t>
      </w:r>
      <w:r w:rsidRPr="00FE5D1C">
        <w:rPr>
          <w:rFonts w:ascii="Calibri" w:eastAsia="Times New Roman" w:hAnsi="Calibri" w:cs="Calibri"/>
          <w:color w:val="000000"/>
          <w:kern w:val="0"/>
          <w:sz w:val="22"/>
          <w:szCs w:val="22"/>
          <w14:ligatures w14:val="none"/>
        </w:rPr>
        <w:t> for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Typhi, and SPA2308 and </w:t>
      </w:r>
      <w:r w:rsidRPr="00FE5D1C">
        <w:rPr>
          <w:rFonts w:ascii="Calibri" w:eastAsia="Times New Roman" w:hAnsi="Calibri" w:cs="Calibri"/>
          <w:i/>
          <w:iCs/>
          <w:color w:val="000000"/>
          <w:kern w:val="0"/>
          <w:sz w:val="22"/>
          <w:szCs w:val="22"/>
          <w14:ligatures w14:val="none"/>
        </w:rPr>
        <w:t>sseJ</w:t>
      </w:r>
      <w:r w:rsidRPr="00FE5D1C">
        <w:rPr>
          <w:rFonts w:ascii="Calibri" w:eastAsia="Times New Roman" w:hAnsi="Calibri" w:cs="Calibri"/>
          <w:color w:val="000000"/>
          <w:kern w:val="0"/>
          <w:sz w:val="22"/>
          <w:szCs w:val="22"/>
          <w14:ligatures w14:val="none"/>
        </w:rPr>
        <w:t> for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Paratyphi A. Salmonella was detected by BC in 24% (72/300) of samples, while RT-PCR identified Salmonella in 6% (18/300). The sensitivity of RT-PCR was 15%, specificity 97%, and the positive predictive value was 61%, using BC as the reference standard. RT-PCR showed limited efficacy for Salmonella detection and did not outperform BC. In contrast, a simple clinical score combined with RDTs offers a more reliable method for guiding clinicians in diagnosing EF. Given the reliance on clinical features for diagnosis in resource-limited settings, this approach offers a practical way to improve diagnostic accuracy for EF.</w:t>
      </w:r>
    </w:p>
    <w:p w14:paraId="4C461F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25-A-2166-ASTMH</w:t>
      </w:r>
    </w:p>
    <w:p w14:paraId="393F60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4F641F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Change in child disciplinary practices in the Dominican Republic between 2014 and 2019: implications for SDG indicator 16.2.1</w:t>
      </w:r>
    </w:p>
    <w:p w14:paraId="4F1C37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Sustainable Development Goal (SDG) Indicator 16.2.1 indexes child exposure to “violent discipline” in the home as part of SDG Target 16.2 which aims to eliminate children’s exposure to violence. Values for this indicator are estimated from national household survey data based on an adult’s responses to questions about a child’s exposure, in the previous month, to any of 6 different physical punishments and 2 disciplines categorized as “psychological aggression”. Based on this indicator, there has been no reduction in child exposure to violent discipline in the Dominican Republic (DR) between 2014 (62.9%) and 2019 (63.5%). However, this indicator has been criticized for combining disparate parent disciplinary practices which may obscure identification of important changes in underpinning individual disciplinary practices. Therefore, the current study determined the change over time in the prevalence of 11 individual disciplinary practices using data from Multiple Indicator Cluster Surveys from 2014 and 2019 for the DR across two age groups (A: 1-4-year-olds and B: 5-14-year-olds). Nationally representative household samples were available for 8814, 5277, 9913, and 9495 for group A from 2014 and 2019, and group B from 2014 and 2019, respectively. For both groups, the prevalence of 3 of 6 physical punishments significantly increased over time with the largest absolute increase occurring for spanking for group B (from 22.9% to 29.1%). In contrast, prevalence of the 2 psychological aggression practices (yelling, name calling), significantly dropped for group B, particularly for name calling (from 24.3% to 14.3%). Additionally, there were significant increases in the prevalence of 2 of the 3 “non-violent” disciplinary practices across both groups, with the largest increases for “taking away privileges” for both groups (from 35.8% to 46.4%, and 58.4% to 71.6%, for group A and B, respectively). SDG Indicator 16.2.1 may fail to index important improvements and decrements of parent disciplinary practices and violence exposure over time. Existing data could be better harnessed to inform tailored and targeted service and policy initiatives.</w:t>
      </w:r>
    </w:p>
    <w:p w14:paraId="088FAE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25-A-2167-ASTMH</w:t>
      </w:r>
    </w:p>
    <w:p w14:paraId="0B2DE9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7B5985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Physiological and genotoxic changes induced in </w:t>
      </w:r>
      <w:r w:rsidRPr="00FE5D1C">
        <w:rPr>
          <w:rFonts w:ascii="Calibri" w:eastAsia="Times New Roman" w:hAnsi="Calibri" w:cs="Calibri"/>
          <w:b/>
          <w:bCs/>
          <w:i/>
          <w:iCs/>
          <w:color w:val="000000"/>
          <w:kern w:val="0"/>
          <w:sz w:val="22"/>
          <w:szCs w:val="22"/>
          <w14:ligatures w14:val="none"/>
        </w:rPr>
        <w:t>Clarias gariepinus </w:t>
      </w:r>
      <w:r w:rsidRPr="00FE5D1C">
        <w:rPr>
          <w:rFonts w:ascii="Calibri" w:eastAsia="Times New Roman" w:hAnsi="Calibri" w:cs="Calibri"/>
          <w:b/>
          <w:bCs/>
          <w:color w:val="000000"/>
          <w:kern w:val="0"/>
          <w:sz w:val="22"/>
          <w:szCs w:val="22"/>
          <w14:ligatures w14:val="none"/>
        </w:rPr>
        <w:t>exposed to copper sulphate and potassium permanganate</w:t>
      </w:r>
    </w:p>
    <w:p w14:paraId="345CBB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Nigeria is the world’s biggest manufacturer of cultured </w:t>
      </w:r>
      <w:r w:rsidRPr="00FE5D1C">
        <w:rPr>
          <w:rFonts w:ascii="Calibri" w:eastAsia="Times New Roman" w:hAnsi="Calibri" w:cs="Calibri"/>
          <w:i/>
          <w:iCs/>
          <w:color w:val="000000"/>
          <w:kern w:val="0"/>
          <w:sz w:val="22"/>
          <w:szCs w:val="22"/>
          <w14:ligatures w14:val="none"/>
        </w:rPr>
        <w:t>Claris gariepinus</w:t>
      </w:r>
      <w:r w:rsidRPr="00FE5D1C">
        <w:rPr>
          <w:rFonts w:ascii="Calibri" w:eastAsia="Times New Roman" w:hAnsi="Calibri" w:cs="Calibri"/>
          <w:color w:val="000000"/>
          <w:kern w:val="0"/>
          <w:sz w:val="22"/>
          <w:szCs w:val="22"/>
          <w14:ligatures w14:val="none"/>
        </w:rPr>
        <w:t>. However, parasitism is one of the challenges limiting its culture, necessitating the use of CuSO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and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by most fish farmers. There is a dearth of information on the physiological and genotoxic implications of their use in Nigeria.Adult fish (n=210) were randomly assigned into seven groups and administered water (control), CuSO</w:t>
      </w:r>
      <w:r w:rsidRPr="00FE5D1C">
        <w:rPr>
          <w:rFonts w:ascii="Calibri" w:eastAsia="Times New Roman" w:hAnsi="Calibri" w:cs="Calibri"/>
          <w:color w:val="000000"/>
          <w:kern w:val="0"/>
          <w:sz w:val="22"/>
          <w:szCs w:val="22"/>
          <w:vertAlign w:val="subscript"/>
          <w14:ligatures w14:val="none"/>
        </w:rPr>
        <w:t>4 </w:t>
      </w:r>
      <w:r w:rsidRPr="00FE5D1C">
        <w:rPr>
          <w:rFonts w:ascii="Calibri" w:eastAsia="Times New Roman" w:hAnsi="Calibri" w:cs="Calibri"/>
          <w:color w:val="000000"/>
          <w:kern w:val="0"/>
          <w:sz w:val="22"/>
          <w:szCs w:val="22"/>
          <w14:ligatures w14:val="none"/>
        </w:rPr>
        <w:t>(1 mg/L for prophylactic), CuSO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(2 mg/L for therapeutic) 3 days,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(1 mg/L for prophylactic), KMnO</w:t>
      </w:r>
      <w:r w:rsidRPr="00FE5D1C">
        <w:rPr>
          <w:rFonts w:ascii="Calibri" w:eastAsia="Times New Roman" w:hAnsi="Calibri" w:cs="Calibri"/>
          <w:color w:val="000000"/>
          <w:kern w:val="0"/>
          <w:sz w:val="22"/>
          <w:szCs w:val="22"/>
          <w:vertAlign w:val="subscript"/>
          <w14:ligatures w14:val="none"/>
        </w:rPr>
        <w:t>4 </w:t>
      </w:r>
      <w:r w:rsidRPr="00FE5D1C">
        <w:rPr>
          <w:rFonts w:ascii="Calibri" w:eastAsia="Times New Roman" w:hAnsi="Calibri" w:cs="Calibri"/>
          <w:color w:val="000000"/>
          <w:kern w:val="0"/>
          <w:sz w:val="22"/>
          <w:szCs w:val="22"/>
          <w14:ligatures w14:val="none"/>
        </w:rPr>
        <w:t>(2 mg/L for therapeutic) 24 hours respectively. Blood samples were collected for haematology, serum biochemistry and micronucleus assay (MN). Data were analysed using descriptive statistics and ANOVA at α</w:t>
      </w:r>
      <w:r w:rsidRPr="00FE5D1C">
        <w:rPr>
          <w:rFonts w:ascii="Calibri" w:eastAsia="Times New Roman" w:hAnsi="Calibri" w:cs="Calibri"/>
          <w:color w:val="000000"/>
          <w:kern w:val="0"/>
          <w:sz w:val="22"/>
          <w:szCs w:val="22"/>
          <w:vertAlign w:val="subscript"/>
          <w14:ligatures w14:val="none"/>
        </w:rPr>
        <w:t>0.05</w:t>
      </w:r>
      <w:r w:rsidRPr="00FE5D1C">
        <w:rPr>
          <w:rFonts w:ascii="Calibri" w:eastAsia="Times New Roman" w:hAnsi="Calibri" w:cs="Calibri"/>
          <w:color w:val="000000"/>
          <w:kern w:val="0"/>
          <w:sz w:val="22"/>
          <w:szCs w:val="22"/>
          <w14:ligatures w14:val="none"/>
        </w:rPr>
        <w:t>.Compared to the control (49.50±3.45), mean corpuscular volume (MCV) decreased significantly in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(42.40±0.58-prophylactic; 42.20±0.49-therapeutic). The mean corpuscular haemoglobin (MCH) also decreased significantly in KMnO</w:t>
      </w:r>
      <w:r w:rsidRPr="00FE5D1C">
        <w:rPr>
          <w:rFonts w:ascii="Calibri" w:eastAsia="Times New Roman" w:hAnsi="Calibri" w:cs="Calibri"/>
          <w:color w:val="000000"/>
          <w:kern w:val="0"/>
          <w:sz w:val="22"/>
          <w:szCs w:val="22"/>
          <w:vertAlign w:val="subscript"/>
          <w14:ligatures w14:val="none"/>
        </w:rPr>
        <w:t>4 </w:t>
      </w:r>
      <w:r w:rsidRPr="00FE5D1C">
        <w:rPr>
          <w:rFonts w:ascii="Calibri" w:eastAsia="Times New Roman" w:hAnsi="Calibri" w:cs="Calibri"/>
          <w:color w:val="000000"/>
          <w:kern w:val="0"/>
          <w:sz w:val="22"/>
          <w:szCs w:val="22"/>
          <w14:ligatures w14:val="none"/>
        </w:rPr>
        <w:t>(14.20±0.18-prophylactic; 14.10±0.13-therapeutic) and CuSO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(15.20±0.32-prophylactic; 14.90±0.21-therapeutic) when compared to control (16.50±0.33).The lymphocyte count significantly decreased in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(34.60±3.07-prophylactic; 35.30±2.03-therapeutic) in comparison with the control (46.60±4.87). The ALT activity increased in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(11.60±0.48-prophylactic) compared to the control (7.67±0.83). When compared to the control (1.50±0.29), MN frequency in erythrocytes showed an increase in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(3.50±0.29-prophylactic; 20.50±0.87-therapeutic).The lymphocytopenia in the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prophylactic group with reduction in both the MCV and MCH across the treatment groups indicate hypochromic microcytic changes in the fish erythrocyte. ALT increased level in the KMnO</w:t>
      </w:r>
      <w:r w:rsidRPr="00FE5D1C">
        <w:rPr>
          <w:rFonts w:ascii="Calibri" w:eastAsia="Times New Roman" w:hAnsi="Calibri" w:cs="Calibri"/>
          <w:color w:val="000000"/>
          <w:kern w:val="0"/>
          <w:sz w:val="22"/>
          <w:szCs w:val="22"/>
          <w:vertAlign w:val="subscript"/>
          <w14:ligatures w14:val="none"/>
        </w:rPr>
        <w:t>4 </w:t>
      </w:r>
      <w:r w:rsidRPr="00FE5D1C">
        <w:rPr>
          <w:rFonts w:ascii="Calibri" w:eastAsia="Times New Roman" w:hAnsi="Calibri" w:cs="Calibri"/>
          <w:color w:val="000000"/>
          <w:kern w:val="0"/>
          <w:sz w:val="22"/>
          <w:szCs w:val="22"/>
          <w14:ligatures w14:val="none"/>
        </w:rPr>
        <w:t>prophylactic group suggests hepatotoxicity. The level of MN induced by KMnO</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 was higher than the control indicative of a genotoxic substance. The use of copper sulphate and potassium permanganate caused physiological changes with genotoxic tendencies. Therefore, farmers should be educated on the importance of discontinuing their use due to its harmful effects on human and environmental health.</w:t>
      </w:r>
    </w:p>
    <w:p w14:paraId="64A0BB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25-A-2168-ASTMH</w:t>
      </w:r>
    </w:p>
    <w:p w14:paraId="053F1A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Planetary Health including Climate Change</w:t>
      </w:r>
    </w:p>
    <w:p w14:paraId="60D70F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Climate driven malaria mortality highest among children in malaria endemic areas of Uganda.</w:t>
      </w:r>
    </w:p>
    <w:p w14:paraId="3574FD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a major disease in Africa and is among the leading causes of mortality among children. The disease is highly sensitive to climate change. Prior studies have established a link between climatic factors and malaria mortality, but the evidence specifically related to children in sub-Saharan Africa remains inconsistent and requires further investigation. This study examined the impact of climate variables on malaria mortality in the Iganga Mayuge district, a malaria-prone area in Uganda. We used weekly malaria mortality data from a population-based cohort in the Iganga Mayuge Health Demographic Surveillance Site (IMHDSS). In this study, we employed a time series model using a distributed lag non-linear approach to assess the effect of weekly climatic factors on malaria mortality across all ages as well as children under 5 years and children aged between 5 and 14 years. We also conducted a subgroup analysis based on sex to determine whether susceptibility to climate-related malaria mortality differs between females and males. We found an increased mortality risk across all ages at a lag from 11 to 12 weeks following exposure to rainfall above 646 mm. Higher risks of malaria mortality were also observed at a lag of 5 to 11 weeks when temperatures ranged between 25.2 and 29.9 degrees Celsius. Notably, the relative risk of malaria mortality in children under 5 years and children aged between 5 and 14 years was more sensitive to temperature than rainfall. We found that male children aged between 5 and 14 years were more vulnerable to temperature-related malaria mortality compared to females in that age group and children under 5 years. Rainfall did not have significant effects on malaria mortality in children. A nuanced understanding of climate-malaria relationships has the potential to inform the implementation of malaria prevention and control strategies through early warnings of climate-driven risks, ultimately reducing premature deaths due to malaria in this vulnerable age group.</w:t>
      </w:r>
    </w:p>
    <w:p w14:paraId="642C64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25-A-2170-ASTMH</w:t>
      </w:r>
    </w:p>
    <w:p w14:paraId="162494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14684FCC" w14:textId="0F41D54B"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Bacterial clearance in Buruli ulcer lesions from patients in a clinical trial to shorten Buruli ulcer treatment BLMSfor Buruli ulcer study</w:t>
      </w:r>
    </w:p>
    <w:p w14:paraId="00C9F9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Treating Buruli ulcer (BU) requires 8 weeks of daily rifampicin and clarithromycin (RC8) alongside wound care. The BLMs4BU clinical trial (</w:t>
      </w:r>
      <w:r w:rsidRPr="00FE5D1C">
        <w:rPr>
          <w:rFonts w:ascii="Calibri" w:eastAsia="Times New Roman" w:hAnsi="Calibri" w:cs="Calibri"/>
          <w:i/>
          <w:iCs/>
          <w:color w:val="000000"/>
          <w:kern w:val="0"/>
          <w:sz w:val="22"/>
          <w:szCs w:val="22"/>
          <w14:ligatures w14:val="none"/>
        </w:rPr>
        <w:t>NCT05169554; </w:t>
      </w:r>
      <w:r w:rsidRPr="00FE5D1C">
        <w:rPr>
          <w:rFonts w:ascii="Calibri" w:eastAsia="Times New Roman" w:hAnsi="Calibri" w:cs="Calibri"/>
          <w:color w:val="000000"/>
          <w:kern w:val="0"/>
          <w:sz w:val="22"/>
          <w:szCs w:val="22"/>
          <w14:ligatures w14:val="none"/>
        </w:rPr>
        <w:t>https://blms4bu.org/) is investigating a 4-week treatment regimen combining amoxicillin/clavulanate, rifampicin and clarithromycin (RCA4). This approach is based on the hypothesis that the addition of amoxicillin/clavulanate could enhance bactericidal activity, potentially leading to a reduction in the median healing time for BU lesions.The aim of this study was to assess the rate of bacterial clearance in BU lesions from patients participating in the BLMs4BU study.Fine-needle aspirates and swab samples were taken from participant’s lesions at the time of diagnosis and during follow-up visits until week 14 at the Pobè treatment center in Benin (December 2021-September 2024). Five samples were taken at each visit: three were used for </w:t>
      </w:r>
      <w:r w:rsidRPr="00FE5D1C">
        <w:rPr>
          <w:rFonts w:ascii="Calibri" w:eastAsia="Times New Roman" w:hAnsi="Calibri" w:cs="Calibri"/>
          <w:i/>
          <w:iCs/>
          <w:color w:val="000000"/>
          <w:kern w:val="0"/>
          <w:sz w:val="22"/>
          <w:szCs w:val="22"/>
          <w14:ligatures w14:val="none"/>
        </w:rPr>
        <w:t>Mycobacterium ulcerans</w:t>
      </w:r>
      <w:r w:rsidRPr="00FE5D1C">
        <w:rPr>
          <w:rFonts w:ascii="Calibri" w:eastAsia="Times New Roman" w:hAnsi="Calibri" w:cs="Calibri"/>
          <w:color w:val="000000"/>
          <w:kern w:val="0"/>
          <w:sz w:val="22"/>
          <w:szCs w:val="22"/>
          <w14:ligatures w14:val="none"/>
        </w:rPr>
        <w:t> viability assessment (combined 16S rRNA RT/IS</w:t>
      </w:r>
      <w:r w:rsidRPr="00FE5D1C">
        <w:rPr>
          <w:rFonts w:ascii="Calibri" w:eastAsia="Times New Roman" w:hAnsi="Calibri" w:cs="Calibri"/>
          <w:i/>
          <w:iCs/>
          <w:color w:val="000000"/>
          <w:kern w:val="0"/>
          <w:sz w:val="22"/>
          <w:szCs w:val="22"/>
          <w14:ligatures w14:val="none"/>
        </w:rPr>
        <w:t>2404</w:t>
      </w:r>
      <w:r w:rsidRPr="00FE5D1C">
        <w:rPr>
          <w:rFonts w:ascii="Calibri" w:eastAsia="Times New Roman" w:hAnsi="Calibri" w:cs="Calibri"/>
          <w:color w:val="000000"/>
          <w:kern w:val="0"/>
          <w:sz w:val="22"/>
          <w:szCs w:val="22"/>
          <w14:ligatures w14:val="none"/>
        </w:rPr>
        <w:t> qPCR assay), and two for </w:t>
      </w:r>
      <w:r w:rsidRPr="00FE5D1C">
        <w:rPr>
          <w:rFonts w:ascii="Calibri" w:eastAsia="Times New Roman" w:hAnsi="Calibri" w:cs="Calibri"/>
          <w:i/>
          <w:iCs/>
          <w:color w:val="000000"/>
          <w:kern w:val="0"/>
          <w:sz w:val="22"/>
          <w:szCs w:val="22"/>
          <w14:ligatures w14:val="none"/>
        </w:rPr>
        <w:t>M. ulcerans </w:t>
      </w:r>
      <w:r w:rsidRPr="00FE5D1C">
        <w:rPr>
          <w:rFonts w:ascii="Calibri" w:eastAsia="Times New Roman" w:hAnsi="Calibri" w:cs="Calibri"/>
          <w:color w:val="000000"/>
          <w:kern w:val="0"/>
          <w:sz w:val="22"/>
          <w:szCs w:val="22"/>
          <w14:ligatures w14:val="none"/>
        </w:rPr>
        <w:t>DNA detection by IS</w:t>
      </w:r>
      <w:r w:rsidRPr="00FE5D1C">
        <w:rPr>
          <w:rFonts w:ascii="Calibri" w:eastAsia="Times New Roman" w:hAnsi="Calibri" w:cs="Calibri"/>
          <w:i/>
          <w:iCs/>
          <w:color w:val="000000"/>
          <w:kern w:val="0"/>
          <w:sz w:val="22"/>
          <w:szCs w:val="22"/>
          <w14:ligatures w14:val="none"/>
        </w:rPr>
        <w:t>2404 </w:t>
      </w:r>
      <w:r w:rsidRPr="00FE5D1C">
        <w:rPr>
          <w:rFonts w:ascii="Calibri" w:eastAsia="Times New Roman" w:hAnsi="Calibri" w:cs="Calibri"/>
          <w:color w:val="000000"/>
          <w:kern w:val="0"/>
          <w:sz w:val="22"/>
          <w:szCs w:val="22"/>
          <w14:ligatures w14:val="none"/>
        </w:rPr>
        <w:t>qPCR.Up to September 2024, 52 participants were included in the study, 48% of them under the investigational treatment RCA4. All patients had a positive IS</w:t>
      </w:r>
      <w:r w:rsidRPr="00FE5D1C">
        <w:rPr>
          <w:rFonts w:ascii="Calibri" w:eastAsia="Times New Roman" w:hAnsi="Calibri" w:cs="Calibri"/>
          <w:i/>
          <w:iCs/>
          <w:color w:val="000000"/>
          <w:kern w:val="0"/>
          <w:sz w:val="22"/>
          <w:szCs w:val="22"/>
          <w14:ligatures w14:val="none"/>
        </w:rPr>
        <w:t>2404 </w:t>
      </w:r>
      <w:r w:rsidRPr="00FE5D1C">
        <w:rPr>
          <w:rFonts w:ascii="Calibri" w:eastAsia="Times New Roman" w:hAnsi="Calibri" w:cs="Calibri"/>
          <w:color w:val="000000"/>
          <w:kern w:val="0"/>
          <w:sz w:val="22"/>
          <w:szCs w:val="22"/>
          <w14:ligatures w14:val="none"/>
        </w:rPr>
        <w:t>PCR result. At any visit, 16S rRNA was detected in lesions of 77.8% (21/27) Category III patients, 66.7% (12/18) Category II patients and 28.6% (3/7) Category I patients. The bacterial load was variable along the follow-up period, suggesting that the sampling method and the heterogeneous distribution of bacteria in the lesions could play a critical role in the detection of </w:t>
      </w:r>
      <w:r w:rsidRPr="00FE5D1C">
        <w:rPr>
          <w:rFonts w:ascii="Calibri" w:eastAsia="Times New Roman" w:hAnsi="Calibri" w:cs="Calibri"/>
          <w:i/>
          <w:iCs/>
          <w:color w:val="000000"/>
          <w:kern w:val="0"/>
          <w:sz w:val="22"/>
          <w:szCs w:val="22"/>
          <w14:ligatures w14:val="none"/>
        </w:rPr>
        <w:t>M. ulcerans</w:t>
      </w:r>
      <w:r w:rsidRPr="00FE5D1C">
        <w:rPr>
          <w:rFonts w:ascii="Calibri" w:eastAsia="Times New Roman" w:hAnsi="Calibri" w:cs="Calibri"/>
          <w:color w:val="000000"/>
          <w:kern w:val="0"/>
          <w:sz w:val="22"/>
          <w:szCs w:val="22"/>
          <w14:ligatures w14:val="none"/>
        </w:rPr>
        <w:t> DNA or 16S rRNA. Time to healing was inversely associated with 16S rRNA detection in lesions at any visit (healing before or at week 14: 42.9% (9/21) 16S rRNA positive; healing after week 14: 83.9% (26/31) 16S rRNA positive; p-value=0.005). For larger unhealed lesions, a higher follow-up period may be needed to entirely capture bacterial clearance dynamics. However, a decreasing trend on the bacterial load was observed in all lesions, especially in Category II lesions. In summary, </w:t>
      </w:r>
      <w:r w:rsidRPr="00FE5D1C">
        <w:rPr>
          <w:rFonts w:ascii="Calibri" w:eastAsia="Times New Roman" w:hAnsi="Calibri" w:cs="Calibri"/>
          <w:i/>
          <w:iCs/>
          <w:color w:val="000000"/>
          <w:kern w:val="0"/>
          <w:sz w:val="22"/>
          <w:szCs w:val="22"/>
          <w14:ligatures w14:val="none"/>
        </w:rPr>
        <w:t>M. ulcerans</w:t>
      </w:r>
      <w:r w:rsidRPr="00FE5D1C">
        <w:rPr>
          <w:rFonts w:ascii="Calibri" w:eastAsia="Times New Roman" w:hAnsi="Calibri" w:cs="Calibri"/>
          <w:color w:val="000000"/>
          <w:kern w:val="0"/>
          <w:sz w:val="22"/>
          <w:szCs w:val="22"/>
          <w14:ligatures w14:val="none"/>
        </w:rPr>
        <w:t> clearance was observed in all participants’ lesions, being 16S rRNA detection much lower after day 28.</w:t>
      </w:r>
    </w:p>
    <w:p w14:paraId="5F6C43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25-A-2171-ASTMH</w:t>
      </w:r>
    </w:p>
    <w:p w14:paraId="575331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2DA523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Investigation of the Visceral Leishmaniasis Outbreak in the endemic region of India</w:t>
      </w:r>
    </w:p>
    <w:p w14:paraId="335BF9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 parasites are the cause of leishmaniasis, a neglected tropical disease carried by female sandflies. In India, only anthroponotic transmission takes place. It presents as CL, MCL, and deadly VL (kala-azar). VL-induced immunosuppression increases susceptibility to diseases such as filariasis and COVID-19. Whenever an outbreak occurs, an important question that needs to be addressed is whether the outbreak can be attributed to local transmission or whether infection took place elsewhere. In case local transmission is suspected, control measures need to be implemented urgently in order to prevent further spreading of the infection. We collected 2,503 samples from 7 villages (inhabitants of 3603, with participants &gt;2 years) on filter paper and tested them for rK-39 RDT, ELISA, and DAT. Other tests showed such as COVID-19, filariasis, skin rashes, fever, and chills. 1337 blood samples were collected in citrate tubes and subjected to qPCR to quantify the parasite load. Among 2503 samples, 2.7% (68) and 1.65% (42) tested positive for rK-39 ELISA and DAT respectively with 39.7% linked to a history of Visceral Leishmaniasis (VL) and 60.3% asymptomatic. Only two of seven VL cases had recent travel. Of 1337 tested with qPCR, 55.55% had &gt;1parasite genome/ml, and 44.44% had 5 or more parasites, additionally, 2 out of 2500 develop skin lesions. This data highlights varied infection statuses and underscores the importance of quantitative analysis in disease monitoring There is evidence of local transmission as 2.7% tested positive for rK-39 ELISA, and two of seven patients had recent travel to endemic areas. The five without travel history may have contracted the disease locally from prior VL or PKDL cases. Infections with COVID-19 (41%) and filariasis (31.7%) are prevalent. Those in VL endemic areas with high antibody titers or positive qPCR are more prone to developing VL. This highlights the importance of comprehensive testing for effective disease surveillance and control.</w:t>
      </w:r>
    </w:p>
    <w:p w14:paraId="6A86E3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25-A-2172-ASTMH</w:t>
      </w:r>
    </w:p>
    <w:p w14:paraId="53CADF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Viruses - Epidemiology</w:t>
      </w:r>
    </w:p>
    <w:p w14:paraId="28E5A7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probabilistic high-resolution spatiotemporal dengue forecasting system in Vietnam</w:t>
      </w:r>
    </w:p>
    <w:p w14:paraId="0D56BB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is a major global health threat, with an estimated 56 million cases in 2019, and is expanding geographically due to climate change, migration, and urbanization. In Vietnam, dengue is hyperendemic, with seasonal outbreaks that vary in size depending on background population immunity, weather conditions, and virological factors. It can result in sudden surges of patients that overwhelm healthcare facilities. Due to resource constraints, dengue control in Ho Chi Minh City (HCMC), Vietnam, is primarily reactive vector control implemented at the commune level, Global Administrative Level 3 (GAL3). Short-term, high spatial resolution forecasting of dengue incidence could improve preparedness and shift control efforts from reactive to proactive. Existing dengue forecasting tools in Vietnam offer longer-term (1-6 months) or lower spatial resolution (province/district level - GAL1/2). To address this, we developed the Dengue Advanced Readiness Tools (DART), a system that provides probabilistic weekly dengue incidence forecasts at the district (GAL2) and commune level (GAL3) in HCMC, 1-4 weeks in advance. Many statistical and mathematical models have been developed to capture relationships between dengue incidence and meteorological observations and forecasts, human mobility, socio-demographic variables, and virology, but often struggle with the complexity and high dimensionality of these relationships, especially at fine spatiotemporal scales. DART uses Machine Learning techniques well-suited to capturing non-linear interactions in a high-dimensional, multi-source dataset. It aims to improve the timeliness and accuracy of dengue predictions, ultimately supporting public health responses. It is a flexible, locally deployable software tool, including data processing pipelines, multiple forecasting models, and bespoke visualization front ends for different user groups. It supports decision-making, from individual behaviour change to population-level vector management. I will present DART as a system, describe the forecasting models, and evaluate their performance relative to standard baselines.</w:t>
      </w:r>
    </w:p>
    <w:p w14:paraId="5368CD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25-A-2173-ASTMH</w:t>
      </w:r>
    </w:p>
    <w:p w14:paraId="76AD1C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6A30F5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Investigating the spatial dynamics of onchocerciasis recrudescence in Kaduna State, Nigeria</w:t>
      </w:r>
    </w:p>
    <w:p w14:paraId="73586F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Nigeria has made significant progress in eliminating human onchocerciasis, a neglected tropical disease caused by the parasitic worm Onchocerca volvulus and transmitted by black flies (Simulium). Despite the elimination of onchocerciasis in several endemic regions of Nigeria, recent detection of transmission has occurred in some areas where the disease was previously eradicated and mass ivermectin distribution ceased, known as recrudescence. Recrudescence is reported in six local government areas of Kaduna State. Spatial patterns of recrudescence and extent of current transmission are poorly understood. Mixed method studies will be used to investigate the spatial patterns of recrudescence in Kaduna State. Four study areas will be delineated from points where positive signals were detected. Each study area consisting of three buffer zones (5 km, 15 km, and 25 km) using a risk matrix. Entomological assessments will be conducted to map out vector breeding sites, guided by historical data, and novel prediction model developed by the Nigeria prediction model, and University of Lancaster. Blackfly collection will use human landing catch and infectivity evaluated using O-150 and ND5 PCR pool screening technique. Epidemiological assessments will collect finger prick blood samples to test with the novel DDTD Version D biplex RDT, detecting antibodies to Ov16 (parasite exposure) and OvOC326/OvOC33 (</w:t>
      </w:r>
      <w:r w:rsidRPr="00FE5D1C">
        <w:rPr>
          <w:rFonts w:ascii="Calibri" w:eastAsia="Times New Roman" w:hAnsi="Calibri" w:cs="Calibri"/>
          <w:i/>
          <w:iCs/>
          <w:color w:val="000000"/>
          <w:kern w:val="0"/>
          <w:sz w:val="22"/>
          <w:szCs w:val="22"/>
          <w14:ligatures w14:val="none"/>
        </w:rPr>
        <w:t>O. volvulus </w:t>
      </w:r>
      <w:r w:rsidRPr="00FE5D1C">
        <w:rPr>
          <w:rFonts w:ascii="Calibri" w:eastAsia="Times New Roman" w:hAnsi="Calibri" w:cs="Calibri"/>
          <w:color w:val="000000"/>
          <w:kern w:val="0"/>
          <w:sz w:val="22"/>
          <w:szCs w:val="22"/>
          <w14:ligatures w14:val="none"/>
        </w:rPr>
        <w:t>active infection). Dried blood spot will be tested by Ov16 PCR. Skin snip samples will be collected from participants who test positive on either line of the biplex RDT. Onchocerciasis indicators will be estimated using various available diagnostics, and the consistency of different metrics will be evaluated. Extent of transmission will also be evaluated and used to guide delineation of hotspot of transmission in settings with recrudescence. Data collection will be conducted between May and October 2025. Findings from this study will provide data to help the country address issues through tailored interventions, especially those nearing the end of the treatment phase.</w:t>
      </w:r>
    </w:p>
    <w:p w14:paraId="22CC97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25-A-2174-ASTMH</w:t>
      </w:r>
    </w:p>
    <w:p w14:paraId="1DE091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Schistosomiasis and Other Trematodes – Diagnostics and Treatment</w:t>
      </w:r>
    </w:p>
    <w:p w14:paraId="4B28F8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and Urogenital Schistosomiasis Co-infection in School Children in Ondo State: risk factors and association with nutritional Status.</w:t>
      </w:r>
    </w:p>
    <w:p w14:paraId="7DE1D9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Parasitic infections are a major cause of morbidity and mortality in Nigeria, with malaria and schistosomiasis having the highest burden. These two diseases are also leading contributors to global illness and death. According to the World Health Organization in 2023, there were an estimated 263 million cases of malaria and 597,000 malaria-related deaths across 83 countries out of which children under 5 accounted for about 76% of all malaria deaths. Additionally, approximately 253.8 million people, including 135 million school-aged children, require preventive chemotherapy for schistosomiasis. This study investigated the association between malaria and schistosomiasis co-infection and malnutrition in school children in two communities in Ondo State. A total of 185 participants aged 4-18 years from Ipogun (122) and (63) Oke Igbo communities were randomly selected and screened for malaria and schistosomiasis infection using the ParaHit malaria RDT kit and urine microscopy. Anthropometric measurements were used to assess the nutritional status (stunting, wasting and underweight) of the participants with children scoring -2 SD to -3 SD in at least one anthropometric index classified as malnourished. This study recorded a higher prevalence of malaria and urogenital schistosomiasis in Oke Igbo (57.1% and 28.6%, respectively) compared to Ipogun (49.2% and 4.1%). The burden of co-infection with both diseases was also higher in Oke Igbo (20.6%) compared to Ipogun (3.3%), while the frequency of malnutrition was similar across both communities. Notably, participants with either malaria or urogenital schistosomiasis, as well as those co-infected, exhibited a higher incidence of chronic malnutrition. The likelihood of co-infection was significantly associated with gender and locality, with individuals in Oke Igbo being 0.78 times less likely to be co-infected, while males were 2.19 times more likely to have co-infections. This study emphasized the significant health burden posed by malaria and urogenital schistosomiasis co-infections among school children in Ondo State, and possible risk factors and associations with malnutrition.</w:t>
      </w:r>
    </w:p>
    <w:p w14:paraId="5C5018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25-A-2175-ASTMH</w:t>
      </w:r>
    </w:p>
    <w:p w14:paraId="07CF2F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325500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randomised, controlled, double-blind, parallel group, single center Phase Ib trial to assess safety, reactogenicity and immunogenicity of a candidate dual-stage malaria vaccine, SumayaVac-1 (MSP-1 with GLA-SE as adjuvant) in healthy malaria exposed adults of African origin aged 18-45 years.</w:t>
      </w:r>
    </w:p>
    <w:p w14:paraId="020880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Merozoite surface protein 1 (MSP1) is a well-characterized target of humoral immunity against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with strong evidence that antibodies directed against this protein, expressed prominently on the merozoite surface, contribute to control of asexual parasite growth. A blood-stage malaria vaccine could enhance protection provided by existing pre-erythrocytic vaccines, such as RTS.S/AS01E and R21/Matrix-M. From August 2023 to April 2024, we conducted a randomized, controlled, double-blind, parallel-group, phase 1b trial in 40 healthy malaria-exposed adults aged 18–45 years in Bagamoyo, Tanzania. The aim was to evaluate the safety, reactogenicity, and immunogenicity of SUM-101, a recombinant full-length MSP1 (150 microgram/dose) antigen formulated with the GLA-SE (5 microgram/dose) adjuvant developed by the Access to Advanced Health Institute.The study demonstrated that SUM-101 was safe, well-tolerated and displays an excellent reactogenicity profile in all volunteers. Following three SUM-101 inoculations, all participants developed significant MSP1-specific IgG antibodies (mainly IgG1 and IgG3 sub-classes), which exhibited a range of Fc-receptor-mediated effector functions in a strain-transcending manner. In comparison to malaria-naïve individuals, Tanzanian volunteers with higher pre-existing anti-MSP1 antibodies before vaccination achieved peak vaccine-induced responses already after the second dose, suggesting effective boosting of naturally acquired immunity. The vaccine-induced antibodies were maintained during the three months follow up period after the last vaccine inoculation. Together, our findings support the development of SUM-101 as component of a next generation, multi-stage malaria vaccine targeting several parasite life cycle stages.</w:t>
      </w:r>
    </w:p>
    <w:p w14:paraId="1B481E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25-A-2176-ASTMH</w:t>
      </w:r>
    </w:p>
    <w:p w14:paraId="38B7C9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Helminths – Nematodes – Intestinal Nematodes</w:t>
      </w:r>
    </w:p>
    <w:p w14:paraId="7DB08C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Spatial Autocorrelation and Temporal Trends in Hookworm-Malaria Co-endemicity: Mapping Transmission Hotspots in Rural Ghana</w:t>
      </w:r>
    </w:p>
    <w:p w14:paraId="78FC3C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relationship between helminth infections and malaria remains under investigation. In tropical regions including Ghana, hookworm and malaria have overlapping endemic zones, emphasizing the importance of understanding the spatial correlation of these co-infections crucial for targeting public health interventions. Prior studies in Kintampo, Ghana have shown that hookworm infection is associated with a higher risk of malaria parasitemia in individuals. This study explored spatial characteristics of these two diseases and assessed the impact of chronic hookworm on malaria infections. A community-wide longitudinal cohort study was initiated at Beposo, Ghana in June 2022. At baseline, 540 individuals (mean age 24.8; SD 17.1; range 3-88) were screened for hookworm using Kato-Katz microscopy and malaria using a rapid diagnostic test. Albendazole treatment (400mg) was provided to those with hookworm infection and follow-up testing was conducted 12 months later. At baseline, 15.6% (84/540) of subjects were infected with both parasites, while 16.0% (83/518) were co-infected at follow-up. Global Moran’s I analysis indicated no evidence of infection clustering for hookworm and malaria. However, local Moran’s I analysis suggested that high hookworm infection households tended to cluster with similar high infection households at the community’s north-east section. This trend was not observed in malaria, which was randomly distributed. The odds of being infected with hookworm at follow-up among those who were hookworm infected at baseline was significant (AOR 13.39; 95% CI: 8.49-21.09, p &lt; 0.001), while that of malaria was also significant (AOR 1.51, 95% CI: 1.01-2.25, p &lt; 0.05). This study reveals the spatial local clustering for hookworm but not for malaria, which may be related to the distinct modes and patterns of transmission between these endemic parasitic infections. Furthermore, our results support the association between chronic hookworm and malaria infections, which could inform the development and implementation of effective preventive practices targeting these diseases at the community, household and individual level.</w:t>
      </w:r>
    </w:p>
    <w:p w14:paraId="7F96DB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25-A-2179-ASTMH</w:t>
      </w:r>
    </w:p>
    <w:p w14:paraId="597A9D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50022E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Performance assessment of rapid tests used in the diagnosis of malaria caused by Plasmodium falciparum, in Mozambique, 2021</w:t>
      </w:r>
    </w:p>
    <w:p w14:paraId="7ECE4C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concern in Africa, particularly in Mozambique. The country relies on rapid diagnostic testing (RDT), that detects the histidine-rich protein 2 (HRP2) specific to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as the primary laboratory method for confirming clinical malaria cases. This study aimed to evaluate the performance of malaria RDTs in Mozambique using secondary data and samples collected during the 2021 Health Facility Survey. The analysis included data from patients aged two months or older who attended 242 public health facilities between June and August 2021. Laboratory samples with discrepant results between conventional RDT, ultrasensitive RDT, and microscopy were analyzed to estimate the prevalence of </w:t>
      </w:r>
      <w:r w:rsidRPr="00FE5D1C">
        <w:rPr>
          <w:rFonts w:ascii="Calibri" w:eastAsia="Times New Roman" w:hAnsi="Calibri" w:cs="Calibri"/>
          <w:i/>
          <w:iCs/>
          <w:color w:val="000000"/>
          <w:kern w:val="0"/>
          <w:sz w:val="22"/>
          <w:szCs w:val="22"/>
          <w14:ligatures w14:val="none"/>
        </w:rPr>
        <w:t>pfhrp2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pfhrp3</w:t>
      </w:r>
      <w:r w:rsidRPr="00FE5D1C">
        <w:rPr>
          <w:rFonts w:ascii="Calibri" w:eastAsia="Times New Roman" w:hAnsi="Calibri" w:cs="Calibri"/>
          <w:color w:val="000000"/>
          <w:kern w:val="0"/>
          <w:sz w:val="22"/>
          <w:szCs w:val="22"/>
          <w14:ligatures w14:val="none"/>
        </w:rPr>
        <w:t> gene deletions, as well as non-</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infections. The study also assessed the performance of conventional and ultrasensitive RDTs, using quantitative polymerase chain reaction (qPCR) for identifying discrepancies between the tests. The results indicated a national prevalence of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deletions of 1.06% (95% CI: 0.55-1.85%).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was the dominant specie, responsible for 99.64% of infections, followed by </w:t>
      </w:r>
      <w:r w:rsidRPr="00FE5D1C">
        <w:rPr>
          <w:rFonts w:ascii="Calibri" w:eastAsia="Times New Roman" w:hAnsi="Calibri" w:cs="Calibri"/>
          <w:i/>
          <w:iCs/>
          <w:color w:val="000000"/>
          <w:kern w:val="0"/>
          <w:sz w:val="22"/>
          <w:szCs w:val="22"/>
          <w14:ligatures w14:val="none"/>
        </w:rPr>
        <w:t>Plasmodium ovale</w:t>
      </w:r>
      <w:r w:rsidRPr="00FE5D1C">
        <w:rPr>
          <w:rFonts w:ascii="Calibri" w:eastAsia="Times New Roman" w:hAnsi="Calibri" w:cs="Calibri"/>
          <w:color w:val="000000"/>
          <w:kern w:val="0"/>
          <w:sz w:val="22"/>
          <w:szCs w:val="22"/>
          <w14:ligatures w14:val="none"/>
        </w:rPr>
        <w:t> (0.18%), </w:t>
      </w:r>
      <w:r w:rsidRPr="00FE5D1C">
        <w:rPr>
          <w:rFonts w:ascii="Calibri" w:eastAsia="Times New Roman" w:hAnsi="Calibri" w:cs="Calibri"/>
          <w:i/>
          <w:iCs/>
          <w:color w:val="000000"/>
          <w:kern w:val="0"/>
          <w:sz w:val="22"/>
          <w:szCs w:val="22"/>
          <w14:ligatures w14:val="none"/>
        </w:rPr>
        <w:t>Plasmodium malariae</w:t>
      </w:r>
      <w:r w:rsidRPr="00FE5D1C">
        <w:rPr>
          <w:rFonts w:ascii="Calibri" w:eastAsia="Times New Roman" w:hAnsi="Calibri" w:cs="Calibri"/>
          <w:color w:val="000000"/>
          <w:kern w:val="0"/>
          <w:sz w:val="22"/>
          <w:szCs w:val="22"/>
          <w14:ligatures w14:val="none"/>
        </w:rPr>
        <w:t> (0.09%), and other species (0.09%). In Nampula province, the ultrasensitive RDT NexTel Eliminate Malaria Pf detected 3.3% more positive cases compared to the conventional SD Bioline Ag P.f diagnostic test. Overall, conventional RDTs used in Mozambique demonstrated acceptable performance, with no immediate need for replacement or changes.</w:t>
      </w:r>
    </w:p>
    <w:p w14:paraId="4B5BA7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25-A-2180-ASTMH</w:t>
      </w:r>
    </w:p>
    <w:p w14:paraId="1648B5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7E6153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Procalcitonin guided antibiotic de-escalation in adult sepsis patients in an LMIC with a high AMR burden:Preliminary results</w:t>
      </w:r>
    </w:p>
    <w:p w14:paraId="76D0E6A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Antimicrobial resistance (AMR) represents an ever increasing global issue in particular in low-resourced settings like Bangladesh and overuse of antibiotics is an important driver. Point-of-care procalcitonin testing is a promising strategy to reduce antibiotic usage.Does daily assessment of procalcitonin safely reduce the duration of antibiotic treatment for hospitalized sepsis patients in a low-resource setting.In an open label trial adult patients with a clinical diagnosis of sepsis admitted at Chattogram Medical College Hospital, Bangladesh, were randomized to either daily assessment of procalcitonin with a point-of-care test or not, and in the intervention group reduction of blood procalcitonin concentrations below a pre-defined threshold prompted a non-binding advice to the treating physician to discontinue antibiotic therapy. The primary outcome was the length of antibiotic treatment. The study recruited 532 patients. Daily assessment of procalcitonin resulted in a reduction in the length of antibiotic therapy (LOT), from a median of 9 days to 4.7 days (p &lt; 0.0001). The duration of antibiotic therapy (DOT) was reduced from 13.2 days to 7.2 days (p &lt; 0.0001). Case fatality was 23/266 (8.6%) in the experimental arm and 21/266 (7.9%) in the control arm (p = 0.875). Out of 532 participants, 98 (18.42%) were culture-positive in various clinical samples. Recurrent infections were identified in 8 patients in the experimental arm and 10 in the control arm (p = 0.811).These preliminary findings suggest daily point-of-care procalcitonin as an effective tool to reduce the duration of antibiotic therapy in patients with sepsis in a low-resource setting. Procalcitonin-guided antibiotic de-escalation is an effective and safe strategy for optimizing antibiotic use in sepsis patients. Future research should investigate its broader implementation in LMICs.</w:t>
      </w:r>
    </w:p>
    <w:p w14:paraId="472C84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25-A-2181-ASTMH</w:t>
      </w:r>
    </w:p>
    <w:p w14:paraId="11E156F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0CD2F8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 saliva enhances pro-viral vascular barrier leakage through direct modulation of kinase pathways.</w:t>
      </w:r>
    </w:p>
    <w:p w14:paraId="148FA4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Aedes aegypti mosquito is the principal vector for the viruses that cause dengue, chikungunya, and Zika, infecting millions annually and imposing an urgent health burden. While global warming is also expanding the habitat of Ae. aegypti thereby putting new populations at risk. Despite the urgent need for therapeutics, there remains a paucity of treatment options. Pan-viral treatments that target arbovirus transmission at the inoculation site have much potential, although the events that occur at the vector-vertebrate interface are only now being explored. During transmission, the vertebrate host response to mosquito saliva at the bite site enhances infection and worsens disease outcomes. Ae. aegypti saliva increases blood vessel permeability, facilitating the influx of virus-permissive immune cells, which subsequently become infected and increase viral replication. The Ae. aegypti salivary peptide Sialokinin (SK) which shares homology to the human tachykinin, Substance P (SP) induces blood vasculature leakage and enhances arbovirus infection. However, the molecular and cellular basis by which Ae. aegypti saliva and SK have this affect is unknown. Using immunofluorescence microscopy, flow cytometry, and permeability assays, we show that Ae. aegypti saliva and SK significantly increase the permeability of primary human endothelial monolayers, through the phosphorylation and internalisation of Vascular Endothelial (VE) Cadherin, as well as reorganization of the actin cytoskeleton. Inhibition of the Tachykinin receptor, Neurokinin-1 blocks Ae. aegypti saliva and SK induced VE-Cadherin internalisation and actin stress fibre formation. We also utilise novel ‘Kinome’ profiling of saliva-treated endothelial cells, to identify the activation of multiple signalling pathways including MAPK and SRC, which likely underlies the ability of saliva and SK to modulate endothelial barrier function. Together, these findings offer insights into the molecular mechanisms by which Ae. aegypti saliva enhances viral transmission to the mammalian host and provide a foundation for the development of novel antiviral interventions.</w:t>
      </w:r>
    </w:p>
    <w:p w14:paraId="65A9F8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25-A-2182-ASTMH</w:t>
      </w:r>
    </w:p>
    <w:p w14:paraId="44A71B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59C3D3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Optimizing Vector Surveillance Design of Multiple Disease Vectors in Space and Time Using Bayesian Inference and Geostatistical Modeling</w:t>
      </w:r>
    </w:p>
    <w:p w14:paraId="488EE8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Effective vector surveillance is essential for integrated vector management (IVM), a decision-making process defined by the World Health Organization (WHO) to optimize resource allocation for vector control. While sampling protocols are well established in entomology for sampling major disease vectors, important questions remain concerning the optimal sampling strategy to ensure sufficient quality data to capture the spatial and temporal variation of a species distribution and enable subsequent analysis. In this study, we use a geostatistical model in a Bayesian framework using the Integrated Nested Laplace Approximation (INLA) approach through the R package </w:t>
      </w:r>
      <w:r w:rsidRPr="00FE5D1C">
        <w:rPr>
          <w:rFonts w:ascii="Calibri" w:eastAsia="Times New Roman" w:hAnsi="Calibri" w:cs="Calibri"/>
          <w:i/>
          <w:iCs/>
          <w:color w:val="000000"/>
          <w:kern w:val="0"/>
          <w:sz w:val="22"/>
          <w:szCs w:val="22"/>
          <w14:ligatures w14:val="none"/>
        </w:rPr>
        <w:t>inlabru</w:t>
      </w:r>
      <w:r w:rsidRPr="00FE5D1C">
        <w:rPr>
          <w:rFonts w:ascii="Calibri" w:eastAsia="Times New Roman" w:hAnsi="Calibri" w:cs="Calibri"/>
          <w:color w:val="000000"/>
          <w:kern w:val="0"/>
          <w:sz w:val="22"/>
          <w:szCs w:val="22"/>
          <w14:ligatures w14:val="none"/>
        </w:rPr>
        <w:t>. The model incorporates terms for land cover effects, and spatial and temporal autocorrelation. We evaluated six sampling strategies for predicting the distribution and abundance of </w:t>
      </w:r>
      <w:r w:rsidRPr="00FE5D1C">
        <w:rPr>
          <w:rFonts w:ascii="Calibri" w:eastAsia="Times New Roman" w:hAnsi="Calibri" w:cs="Calibri"/>
          <w:i/>
          <w:iCs/>
          <w:color w:val="000000"/>
          <w:kern w:val="0"/>
          <w:sz w:val="22"/>
          <w:szCs w:val="22"/>
          <w14:ligatures w14:val="none"/>
        </w:rPr>
        <w:t>Anopheles balabacensis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and assess whether a single design effectively captures multiple species. Using open data from a previous surveillance campaign in the region of Sabah in the Malaysian Borneo, we parameterize simulations to evaluate the sampling designs. We assess three key aspects of sampling design: a) Site selection - spatially uniform, random, or stratified locations. b) Sampling size and frequency - how often data is collected. c) Sampling strategy composition - fixed locations versus sites that are selected each month. Results indicate that a strategy combining stratified sampling with monthly site changes and fixed-time random sampling best recovers model parameters. To facilitate the evaluation of sampling strategies, we developed a Shiny app that estimates their performance. This tool provides a practical resource for designing efficient vector surveillance programs tailored to specific contexts. By enabling robust inference from limited data, accounting for spatial uncertainty, and improving predictive accuracy, a model-based approach strengthens surveillance in IVM contexts. These insights enhance targeted vector control interventions, ensuring that surveillance resources are deployed efficiently to mitigate disease risk.</w:t>
      </w:r>
    </w:p>
    <w:p w14:paraId="2D7860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25-A-2183-ASTMH</w:t>
      </w:r>
    </w:p>
    <w:p w14:paraId="7E2222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7E9CA9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First report of F1534C, V410L and V1016I </w:t>
      </w:r>
      <w:r w:rsidRPr="00FE5D1C">
        <w:rPr>
          <w:rFonts w:ascii="Calibri" w:eastAsia="Times New Roman" w:hAnsi="Calibri" w:cs="Calibri"/>
          <w:i/>
          <w:iCs/>
          <w:color w:val="000000"/>
          <w:kern w:val="0"/>
          <w:sz w:val="22"/>
          <w:szCs w:val="22"/>
          <w14:ligatures w14:val="none"/>
        </w:rPr>
        <w:t>kdr </w:t>
      </w:r>
      <w:r w:rsidRPr="00FE5D1C">
        <w:rPr>
          <w:rFonts w:ascii="Calibri" w:eastAsia="Times New Roman" w:hAnsi="Calibri" w:cs="Calibri"/>
          <w:color w:val="000000"/>
          <w:kern w:val="0"/>
          <w:sz w:val="22"/>
          <w:szCs w:val="22"/>
          <w14:ligatures w14:val="none"/>
        </w:rPr>
        <w:t>mutations associated with pyrethroid resistance in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a major arbovirus vector in Cameroon</w:t>
      </w:r>
    </w:p>
    <w:p w14:paraId="5B1D58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Several studies in Africa have reported the development of insecticide resistance in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However, little is known about the mechanisms involved in this resistance. This study aimed to fill this gap by updating the resistance profile of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and assessing the involvement of known knockdown resistance mutations in the phenotypic resistance observed in </w:t>
      </w:r>
      <w:r w:rsidRPr="00FE5D1C">
        <w:rPr>
          <w:rFonts w:ascii="Calibri" w:eastAsia="Times New Roman" w:hAnsi="Calibri" w:cs="Calibri"/>
          <w:i/>
          <w:iCs/>
          <w:color w:val="000000"/>
          <w:kern w:val="0"/>
          <w:sz w:val="22"/>
          <w:szCs w:val="22"/>
          <w14:ligatures w14:val="none"/>
        </w:rPr>
        <w:t>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aegypti</w:t>
      </w:r>
      <w:r w:rsidRPr="00FE5D1C">
        <w:rPr>
          <w:rFonts w:ascii="Calibri" w:eastAsia="Times New Roman" w:hAnsi="Calibri" w:cs="Calibri"/>
          <w:color w:val="000000"/>
          <w:kern w:val="0"/>
          <w:sz w:val="22"/>
          <w:szCs w:val="22"/>
          <w14:ligatures w14:val="none"/>
        </w:rPr>
        <w:t> in Cameroon. Immature stages of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were collected in 2022 in four localities in Cameroon and reared to adult stages. WHO tube bioassays for pyrethroids, bendiocarb, synergist assays with piperonyl butoxide (PBO) and WHO bottle tests for clothianidin were conducted to assess insecticide sensitivity in adults, following WHO recommendations. Dead and alive mosquitoes after exposure to deltamethrin and permethrin were used for genotyping of F1534C, V1016I and V410L mutations using real-time melting curve qPCR analyses, and allele frequencies compared using Fisher's exact test to assess association with observed resistance. Overall, high resistance was observed in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to all the pyrethroid insecticides tested. Mortality rates ranged from 0% mortality to alphacypermethrin 0.05% in Douala to 68.3% mortality to bendiocarb 0.1% in Garoua. Partial or full recovery of mortality was reported to insecticides after preexposure to PBO. This suggests the implication of cytochrome P450 genes in the resistance observed, but other mechanisms may also be involved. The F1534C, V1016I and V410L mutations were detected in alive and dead mosquitoes in Douala, Yaoundé and Bertoua. The F1534C mutation tended to be fixed (&gt; 96%) while the V1016I and V410L mutations were more prevalent in alive mosquitoes than dead, suggesting an association between pyrethroids resistance and these mutations. Clothianidin, tested after one hour's exposure, showed total susceptibility in Bertoua, Douala and Garoua after seven days observation, and probable resistance with a mortality rate of 94.3% in Yaoundé. These findings provide relevant information that should be considered when implementing arbovirus vector control strategies and insecticide resistance management in Cameroon.</w:t>
      </w:r>
    </w:p>
    <w:p w14:paraId="0FCB8C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25-A-2184-ASTMH</w:t>
      </w:r>
    </w:p>
    <w:p w14:paraId="0EDF13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1EEC5D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Epstein-Barr Virus Seroprevalence in Thailand: A Temporal and Global Perspective with Healthcare and Economic Correlations</w:t>
      </w:r>
    </w:p>
    <w:p w14:paraId="6CC44E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Epstein-Barr Virus (EBV) infects almost all the world's adult population and persists for the rest of one's life. While early childhood infections are often asymptomatic, adolescent EBV infections can lead to post-transplant lymphoproliferative disorders, infectious mononucleosis, and several types of cancer. Geographical and socioeconomic factors influence the timing of EBV infection and seroprevalence globally; however, data from Thailand remains limited. In this study, four provinces representing different regions of Thailand were examined for EBV seroprevalence across age groups. Additionally, we compared these results with earlier data and investigated the correlation with healthcare and economic factors. Between May and August 2024, serum samples (N = 1,274) were obtained from participants aged 6 months to 80 years in Ayutthaya, Uttaradit, Buri Ram, and Trang. EBV capsid antigen immunoglobulin G (EBV-CA IgG) levels were measured using enzyme-linked immunosorbent assay (ELISA). Age-specific seroprevalence increased from 35.9% in infants (6 months-2 years) to nearly 100% in adolescents and adults, with varying antibody levels across age groups. Interestingly, despite the increasing seropositivity, median EBV-CA IgG levels remained similar among individuals aged 3-20 years. Consistent patterns of early childhood EBV infection were shown by comparisons with past data in Thailand, although the acquisition rate increased somewhat slower than in the past. In contrast to developed countries, Thailand and other developing nations had higher EBV seroprevalence and earlier EBV infection. Linear regression analysis revealed a significant correlation between age at which 50% (R² = 0.844, p &lt; 0.001) and 75% (R² = 0.452, p = 0.008) of the population became EBV seropositive and a national economic indicator (Gross Domestic Product per capita). These results revealed little shifts in the epidemiology of EBV throughout time and offered updated data and new analysis supporting public health measures.</w:t>
      </w:r>
    </w:p>
    <w:p w14:paraId="41F71F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25-A-2185-ASTMH</w:t>
      </w:r>
    </w:p>
    <w:p w14:paraId="40875D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241EE5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Evaluation of the quality of malaria case management through an electronic supervision and mentoring tool in Mozambique, January 2022 - March 2023</w:t>
      </w:r>
    </w:p>
    <w:p w14:paraId="50615D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Supportive supervision is a key strategy to enhance healthcare worker (HCW) performance through real-time feedback and gap identification. In 2021, Mozambique’s National Malaria Control Program (NMCP) implemented an electronic supervision and mentorship tool within the DHIS2-based Integrated Malaria Information Storage System (iMISS). This tool helps monitor facility and HCW performance in malaria case management. In 2023, a preliminary analysis focused on data from January 2022 to March 2023, specifically on the uncomplicated malaria checklist, to assess HCW adherence to national guidelines. Supervision teams—comprising clinicians, lab techs, pharmacists, M&amp;E officers, NMCP supervisors, and partners—used tablets to record observations, which were synced to iMISS. Of the 1,814 health facilities nationwide, 55% (991) were supervised, generating 1,157 electronic forms across various departments. Findings revealed gaps in guideline adherence. In 16% of visits, patients were not screened for malaria symptoms; in 28%, weight was not assessed. Although 64% of visits reported thermometer availability, temperature was not checked in 72% of cases. Similarly, scales were available in 89% of visits, yet weight assessments were missing in 28%. Rapid diagnostic test (RDT) procedures were not followed in 11% of visits, and RDT results were misinterpreted in 23%. However, correct medication based on test results occurred in 99% of visits, and prescriptions were appropriately weight-based in 95% of cases where weight was measured. The analysis highlights specific areas for improvement in malaria case management and demonstrates the value of the electronic tool in tracking and enhancing quality of care. Recommendations include improved training in screening/testing, better supervision targeting, routine data use in decision-making, and stronger follow-up actions to drive quality improvements</w:t>
      </w:r>
    </w:p>
    <w:p w14:paraId="4250CF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25-A-2186-ASTMH</w:t>
      </w:r>
    </w:p>
    <w:p w14:paraId="312744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4A81E4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Duration of protection and cost-effectiveness of malaria vaccine candidate R21/Matrix-M: a modelling study applied to phase 3 clinical trial data</w:t>
      </w:r>
    </w:p>
    <w:p w14:paraId="741AA7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global health threat despite large long-term control efforts. R21/Matrix-M vaccine roll-out is underway, however uncertainty remains regarding the duration of its protection. Understanding this duration is essential to accurately evaluate the cost-effectiveness the vaccine, which is important to guide implementation decisions. Using an established malaria transmission model, we investigated vaccine protection kinetics and fitted R21/Matrix-M vaccine-related parameters to monthly clinical incidence data from a Phase 3 trial with up to 30 months follow-up. Vaccine kinetics included initial protection against infection, duration of protection half-life, and booster levels of protection. After deriving the most parsimonious parameter set through model selection approaches, we estimated the potential public health impact and cost-effectiveness of R21/Matrix-M across various transmission settings and delivery strategies, including through routine immunization and seasonal deployment. We found that R21/Matrix-M provides &gt;90% initial protection against infection, with a half-life exceeding 24 months. Unidentifiability between half-life and protection decay rate led to uncertainty in the long-term protection of the vaccine. Despite this, our results support a high public health impact and cost-effectiveness of R21/Matrix-M in moderate to high transmission settings (parasite prevalence above 10%). To increase certainty in the long-term protection against infection provided by R21/Matrix-M, additional long follow-up trial data beyond 30 months is required. Overall, the expected impact of R21/Matrix-M supports country level decisions to implement the vaccine as part of their malaria control strategy.</w:t>
      </w:r>
    </w:p>
    <w:p w14:paraId="3D95D2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25-A-2187-ASTMH</w:t>
      </w:r>
    </w:p>
    <w:p w14:paraId="37C1B9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1DFD24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Risk factors and epidemiology of Blackwater fever in Uganda: host and environment</w:t>
      </w:r>
    </w:p>
    <w:p w14:paraId="135DBA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Over the past decade, there has been an unexplained increase in Blackwater fever (BWF) in Uganda. The etiology of BWF is poorly defined but has been attributed to intravascular hemolysis associated with malaria or antimalarial drug use. We assessed factors associated with BWF in a multi-site cohort study of 578 children hospitalized with severe malaria. BWF was defined based on parental reports of dark, tea, or ‘Coca-Cola’ colored urine. Overall, 61% of children were male, and the median age was 4.8 years. The incidence of BWF was 58% and varied by site, with the incidence lowest in Central Uganda and highest in Northern Uganda (p&lt;0.001). Children with BWF were older (median, 3.6 vs. 5.6 years, p&lt;0.001) with no difference by sex (p=0.76). Clinically, patients with BWF were more likely to have jaundice, severe anemia, splenomegaly, hepatomegaly, abnormal bleeding, and acute kidney injury (p&lt;0.05 for all). Children with BWF were more likely to report previous blood transfusions (39% vs. 10% without BWF), and 51% reported a previous BWF episode. Laboratory findings were consistent with hemolysis (median: hemoglobin, 5.8 vs. 8.8g/dL, p&lt;0.001; total bilirubin, 1.2 vs 0.9mg/dL, p&lt;0.001), although patients also had higher myoglobin suggestive of muscle injury (97 vs. 42 ng/mL, p&lt;0.001). Children with BWF were more likely to report antimalarial use, including artemether-lumefantrine (35% vs 27%), dihydroartemisinin-piperaquine (7% vs 3%), or artesunate (51% vs. 38%), as well as herbal medicine use (p&lt;0.05 for all). Patients with BWF were less likely to be smear-positive and more likely to be positive for HRP-2 alone by RDT (p&lt;0.05). From an environmental perspective, children with BWF were more likely to get food from home gardens using pesticides (21% vs 11%), eat cassava daily, or eat it raw (p&lt;0.001), increasing exposure to cyanogenic glycosides. Household risks included having cows around the home (52% vs. 33%) or a cow dung floor (23% vs. 12%) and obtaining water from a borehole (61% vs. 37%) (p&lt;0.05 for all). Additional studies are ongoing to define mechanisms of hemolysis, assess site-specific risk factors, and define geographic risk zones.</w:t>
      </w:r>
    </w:p>
    <w:p w14:paraId="0DD80D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25-A-2188-ASTMH</w:t>
      </w:r>
    </w:p>
    <w:p w14:paraId="347C83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Schistosomiasis and Other Trematodes – Epidemiology and Control</w:t>
      </w:r>
    </w:p>
    <w:p w14:paraId="27C70D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prevalence of Female Genital Schistosomiasis among women attending Antennal care 15-49 Years at Jackson F. Doe Memorial Hospital, Tapitta, Nimba County: A desk review of Case Study from Laboratory 2020-2024</w:t>
      </w:r>
    </w:p>
    <w:p w14:paraId="1A5515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Female genital schistosomiasis (FGS) is a serious public health issue which affects women and girls living in schistosomiasis (SCH) endemic areas. About 56 million women and girls are estimated to be affected by FGS in Sub-Saharan Africa (WHO, 2029). This condition occurred due to the repeatedly exposure of women and girls to Schistosoma parasites through affected fresh water sources. The schistosome eggs become trapped in the genital tissue leading to inflammation and damage to the tissue. A delay in seeking and receiving treatment for FGS symptoms can lead to the worsen clinical outcome that may be associated with conditions such as cervical cancer, infertility miscarriages, ectopic pregnancies. This condition can increase in infant and maternal death in areas were the prevalence of Schistosomiasis Haematobium is high. The condition can also lead to severe psycho-social and economic consequence where the social status of women is often associated with fertility and reproductive capacity that may cause women to lose their relationship due to health implication such as infertility and stigma associated with FGS. The prevalence of SCH in Nimba county is about 43.32%, while Tapitta District where the study was conducted has the prevalence of 55.47% based on the mapping conducted from 2013-2015 in Liberia. The aims of this study were to determine the prevalence of S. haematobium among pregnant women who attended antennal care at the Jackson F. Doe Memorial Hospital Outpatient Departments. To know the total number of pregnant women affected with SCH from 2020-2024. To determine the prevalence after the Ministry of Health Mass Drug administration with PZQ each year among pregnant women. The method used was a desk review of records of all women who attended antennal care and had urinalysis test and hemastix for blood in the urine for S. haematobium from 2020-2024. A total of 567 women were tested for S. Haematobium and 145 were positive. This study will inform the national NTDs program the step to take in managing pregnant women in the endemic area.</w:t>
      </w:r>
    </w:p>
    <w:p w14:paraId="4D272F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25-A-2189-ASTMH</w:t>
      </w:r>
    </w:p>
    <w:p w14:paraId="735D38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5A4963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Health Worker Perceptions of Malaria Vaccine and Perennial Malaria Chemoprevention Co-implementation</w:t>
      </w:r>
    </w:p>
    <w:p w14:paraId="4C6D3E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World Health Organization recommends the use of Perennial Malaria Chemoprevention (PMC) and malaria vaccines for the prevention of malaria in children under two years of age. Both interventions are delivered through the essential program on immunization (EPI). Until recent scale-up, malaria vaccines and PMC had not been co-implemented in the same geographical areas. To ensure effective scale-up it is important to understand the perceptions of health workers responsible for the co-delivery of these interventions. The Plus Project is implementing five and eight doses of PMC to children under two in pilot districts in Cote d’Ivoire and Benin, respectively. Two Plus Project districts in Benin and one district in Cote d’Ivoire introduced malaria vaccination between July-October 2024. As part of a process evaluation of the delivery of PMC in the Plus Project, in-depth interviews with health workers in EPI clinics (n=37) and health managers (n=17) were conducted between October-November 2024. Thematic analysis using an inductive approach was used to explore their perceptions of malaria vaccine and PMC co-implementation. Health workers and managers generally supported the malaria vaccine introduction in addition to PMC due to the persistent burden of malaria and a perceived need for additional prevention methods, familiarity with the need to use multiple interventions to prevent malaria, and a belief that the two interventions are complementary. There was some expectation that together with long lasting insecticidal nets, malaria vaccine and PMC co-implementation would fully protect children and could eliminate malaria. However, some health workers perceived malaria vaccine and PMC as providing the same type of protection and questioned the need for both interventions. Concerns on the safety of co-administration were raised. Some health workers felt the EPI program risked being overwhelmed by interventions, increasing the burden for both health workers and caregivers. These </w:t>
      </w:r>
      <w:r w:rsidRPr="00FE5D1C">
        <w:rPr>
          <w:rFonts w:ascii="Calibri" w:eastAsia="Times New Roman" w:hAnsi="Calibri" w:cs="Calibri"/>
          <w:color w:val="000000"/>
          <w:kern w:val="0"/>
          <w:sz w:val="22"/>
          <w:szCs w:val="22"/>
          <w14:ligatures w14:val="none"/>
        </w:rPr>
        <w:lastRenderedPageBreak/>
        <w:t>findings can inform the introduction and implementation of malaria vaccines in areas with PMC to contribute to achieving high coverage of both interventions.</w:t>
      </w:r>
    </w:p>
    <w:p w14:paraId="15F0BC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25-A-2190-ASTMH</w:t>
      </w:r>
    </w:p>
    <w:p w14:paraId="4F6C0D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7F51B7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Developing a Core Outcome Set for trials in the treatment of severe malaria</w:t>
      </w:r>
    </w:p>
    <w:p w14:paraId="7CE9BC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Severe malaria is a major health burden in endemic regions, with high morbidity and mortality. Despite advancements, variability in outcome measures across clinical trials hinders the synthesis of evidence and the development of standardised treatment guidelines. A Core Outcome Set (COS) for severe malaria trials is essential to address these inconsistencies, improve research quality, and facilitate evidence-based clinical practices. Development begins with a comprehensive list of relevant outcomes identified through stakeholder collaboration. The long list of outcomes was developed using three sources: an updated systematic review of severe malaria trials (July 2020-July 2024) to include trials conducted from July 2020 to July 2024, consultations with clinical experts, and qualitative interviews with parents and guardians of affected children. The qualitative data were analysed using inductive and semantic coding to capture both explicit and inferred outcomes. Identified outcomes were then consolidated and grouped into broader domains to form a “long list”. A total of 5 out of 326 studies screened met the inclusion criteria. The updated systematic review identified 37 outcomes, which complemented the 101 outcomes from the earlier review. Consultations with clinical experts yielded 23 additional outcomes. Furthermore, the qualitative study, involving 26 participants, identified 27 distinct outcomes (8 of which had not been previously identified). Consolidating the outcomes from all sources, a total of 64 outcomes were classified into 12 domains, including renal, hepatic, neurological, and respiratory functions, mortality, safety, and life impact. This comprehensive long list forms a critical foundation for the COS development process. This foundation enables consensus-building activities, such as the Delphi process, contributing to the development of a finalised COS tailored to the needs of severe malaria trials. By standardising outcomes, the COS will enhance research comparability, evidence synthesis, and clinical applicability, contributing to improved severe malaria management and outcomes globally.</w:t>
      </w:r>
    </w:p>
    <w:p w14:paraId="2DEDAD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25-A-2191-ASTMH</w:t>
      </w:r>
    </w:p>
    <w:p w14:paraId="12272C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3EF5C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Post-Introduction Impact of the Typhoid Conjugate Vaccine on Typhoid Fever in Malawi - MITIMA Study results</w:t>
      </w:r>
    </w:p>
    <w:p w14:paraId="10AEA17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 conjugate vaccines (TCVs) have shown efficacy in randomized controlled trials in low- and middle-income countries, including Malawi. TCV was introduced in Malawi in May 2023 as part of the Expanded Programme on Immunization with a single catch-up campaign targeting children ≥9 months to &lt;15 years of age and reported coverage of 79%. To inform public policy on TCV impact, we conducted passive surveillance of blood-culture confirmed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Typhi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Typhi) in Ndirande and Zingwangwa townships, Blantyre, Malawi. Vaccine-eligible children (9 months to &lt;15 years old) and vaccine-ineligible adults (15-45 years old) with subjective fever ≥72 hours, recorded temperature ≥38°C, or hospitalization with history of fever were recruited from health centres, during pre-vaccination (April 18, 2022 – May 14, 2023) and post-vaccination (June 22, 2023 – February 28, 2025) phases. To assess impact, we compared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Typhi incidence between the pre-vaccination and post-vaccination period for the vaccine-eligible children and vaccine-ineligible adults (respectively) using incidence rate ratios (IRRs) and their 95% confidence intervals. Between April 2022- February 2025, 12,143 eligible participants were identified after screening 378,551 patients; and 221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xml:space="preserve"> Typhi cases were confirmed from 9577 blood culture tests. Pre-campaign, S. Typhi incidence was 174.5 per 100,000 person-years in vaccine-eligible children and 71.4 per 100,000 in non-eligible participants. Post-campaign, incidence decreased to 50.3 and 23.9 per 100,000, respectively, with incidence risk ratios of 0.29 (95% CI: 0.20–0.42, p&lt;0.001) for eligible children and 0.34 (95% CI: 0.22–0.51, p&lt;0.001) for ineligible participants. Post-campaign, the </w:t>
      </w:r>
      <w:r w:rsidRPr="00FE5D1C">
        <w:rPr>
          <w:rFonts w:ascii="Calibri" w:eastAsia="Times New Roman" w:hAnsi="Calibri" w:cs="Calibri"/>
          <w:color w:val="000000"/>
          <w:kern w:val="0"/>
          <w:sz w:val="22"/>
          <w:szCs w:val="22"/>
          <w14:ligatures w14:val="none"/>
        </w:rPr>
        <w:lastRenderedPageBreak/>
        <w:t>unadjusted reduction in typhoid incidence was 124.2/100,000 among the vaccine-eligible children and 47.6/100,000 among the ineligible group. These findings highlight the importance of surveillance data for monitoring and guiding vaccination strategies in endemic regions like Malawi.</w:t>
      </w:r>
    </w:p>
    <w:p w14:paraId="16759B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25-A-2192-ASTMH</w:t>
      </w:r>
    </w:p>
    <w:p w14:paraId="38D5202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Planetary Health including Climate Change</w:t>
      </w:r>
    </w:p>
    <w:p w14:paraId="633FB0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possible influence of climate change in the incidence of Paratuberculosis</w:t>
      </w:r>
    </w:p>
    <w:p w14:paraId="1D6865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Paratuberculosis (PTB) is a chronic wasting enteritis in ruminants that affects animal’s productivity resulting in significant economic losses. It is an endemic disease caused by </w:t>
      </w:r>
      <w:r w:rsidRPr="00FE5D1C">
        <w:rPr>
          <w:rFonts w:ascii="Calibri" w:eastAsia="Times New Roman" w:hAnsi="Calibri" w:cs="Calibri"/>
          <w:i/>
          <w:iCs/>
          <w:color w:val="000000"/>
          <w:kern w:val="0"/>
          <w:sz w:val="22"/>
          <w:szCs w:val="22"/>
          <w14:ligatures w14:val="none"/>
        </w:rPr>
        <w:t>Mycobacterium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avium</w:t>
      </w:r>
      <w:r w:rsidRPr="00FE5D1C">
        <w:rPr>
          <w:rFonts w:ascii="Calibri" w:eastAsia="Times New Roman" w:hAnsi="Calibri" w:cs="Calibri"/>
          <w:color w:val="000000"/>
          <w:kern w:val="0"/>
          <w:sz w:val="22"/>
          <w:szCs w:val="22"/>
          <w14:ligatures w14:val="none"/>
        </w:rPr>
        <w:t> subsp. </w:t>
      </w:r>
      <w:r w:rsidRPr="00FE5D1C">
        <w:rPr>
          <w:rFonts w:ascii="Calibri" w:eastAsia="Times New Roman" w:hAnsi="Calibri" w:cs="Calibri"/>
          <w:i/>
          <w:iCs/>
          <w:color w:val="000000"/>
          <w:kern w:val="0"/>
          <w:sz w:val="22"/>
          <w:szCs w:val="22"/>
          <w14:ligatures w14:val="none"/>
        </w:rPr>
        <w:t>paratuberculosis</w:t>
      </w:r>
      <w:r w:rsidRPr="00FE5D1C">
        <w:rPr>
          <w:rFonts w:ascii="Calibri" w:eastAsia="Times New Roman" w:hAnsi="Calibri" w:cs="Calibri"/>
          <w:color w:val="000000"/>
          <w:kern w:val="0"/>
          <w:sz w:val="22"/>
          <w:szCs w:val="22"/>
          <w14:ligatures w14:val="none"/>
        </w:rPr>
        <w:t> (MAP). Prevention and control rely on applying biosecurity measures; however, the high resistance of MAP drives endemicity. Investigations on the effect of the environmental factors on MAP survival outside the host, hence affecting its transmission and disease incidence rate, indicated that MAP is less tolerant to heat stress. The aim of the current study was to assess the effects of various environmental and climatic factors on the distribution of PTB across the Africa. The data of the prevalence of PTB in domestic animals and wildlife that we obtained from our survey studies across different regions of Uganda (3% in cattle) and the Sudan (42.2%, 10%, 16.3% and 33.3% in cattle, small ruminants, camels, and wild animals, respectively) together with the environmental variables viz; daytime and nighttime land surface temperature, enhanced vegetation index, and topographic wetness index, were analysed in relation to the disease occurrence location data. Ecological Niche Modelling was created for PTB in Uganda and the Sudan and, thereafter, it was extrapolated to create a risk map for the whole continent. The model indicated the potential of wide distribution of PTB in Africa. Areas with the highest suitability for MAP were predominantly in the northern and western parts of Africa. In contrast to what was expected from MAP intolerance to heat stress, these areas are characterized by having hot arid areas (desert) conditions. Central and east African countries generally showed low suitability for MAP, with exceptions of few parts where medium to high suitability was predicted. Scattered areas in the tropical zone were identified as highly suitable for MAP occurrences, however, these spots have desert- like conditions. These findings indicate that the risk of MAP infection would increase in hot dry conditions. With the climate change and the increasing global temperature, a rise in paratuberculosis incidence would be expected.</w:t>
      </w:r>
    </w:p>
    <w:p w14:paraId="48F9D6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25-A-2194-ASTMH</w:t>
      </w:r>
    </w:p>
    <w:p w14:paraId="33A115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45CB9B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Rift Valley as a barrier to gene flow and association with insecticide resistance profiles in the major malaria vector </w:t>
      </w:r>
      <w:r w:rsidRPr="00FE5D1C">
        <w:rPr>
          <w:rFonts w:ascii="Calibri" w:eastAsia="Times New Roman" w:hAnsi="Calibri" w:cs="Calibri"/>
          <w:i/>
          <w:iCs/>
          <w:color w:val="000000"/>
          <w:kern w:val="0"/>
          <w:sz w:val="22"/>
          <w:szCs w:val="22"/>
          <w14:ligatures w14:val="none"/>
        </w:rPr>
        <w:t>Anopheles funestus</w:t>
      </w:r>
    </w:p>
    <w:p w14:paraId="2F146F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resistance is a threat to malaria vector control and remains unclear how it is affected by barriers to gene flow (e.g. the Rift Valley) in vectors where subpopulations may present different adaptations to pesticide-based interventions (e.g., ITNs) impacting local malaria epidemiology and control outcome. We monitored resistance patterns to full scale insecticides including intensity assays, vector population bionomics and genetic variants associated with known resistance genes, among populations of the malaria vector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within, and either sides of ethe Rift Valley.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exhibited clear variation in allele frequences in key resistance genes implicated in metabolic resistance (GSTe-2, 4.3kb-SV, CYP9K1) among populations along a west-RV-coast gradient in Kenya correlating with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prevalence. Notably, we uncover a novel GSTe-2 gene haplotype unique to a population in Kenya different from existing haplotypes in Africa. We uncover resistance escalation (up to 10x) to pyrethroids especially permethrin with a low mortality recovery in PBO assays. Findings will be discussed in light of resistance spread and management.</w:t>
      </w:r>
    </w:p>
    <w:p w14:paraId="3E0DAD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25-A-2196-ASTMH</w:t>
      </w:r>
    </w:p>
    <w:p w14:paraId="2DC6A7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3912C2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Crimean-Congo hemorrhagic Fever outbreak in Podor, Northern Senegal in 2022: two independent emergences and unprecedented mortality</w:t>
      </w:r>
    </w:p>
    <w:p w14:paraId="1FB65C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Crimean-Congo hemorrhagic fever (CCHF) is a lethal zoonotic disease transmitted through tick bites and contact with infected animals or humans. As CCHF continues to expand worldwide, we report the first severe outbreak in Senegal (Podor, Saint-Louis region), in 2022. We conducted a comprehensive outbreak investigation following a confirmed CCHF human case in Podor. This included sample collections from humans, animals and ticks from the household and surrounding area. Human and animal samples were tested by ELISA for antibodies to CCHF virus and by RT-PCR for CCHF virus RNA while tick samples underwent CCHF RT-PCR only. Positive RT-PCR samples underwent viral genome sequencing for genetic characterization. We determined 3 CCHF human cases with 2 deaths as well as virus circulation in eleven ticks and in livestock with an overall seroprevalence of 42.5%. CCHF IgG antibodies were detected in human contact cases, showing its prior prevalence in the area. Phylogenetic analyses revealed high genetic diversity within CCHF genotypes, with existence of reassortants and co-circulation of two different isolates from various origins in Mboyo and Nenette villages, where human cases were detected. The data showed a correlation between the strains identified in humans and ticks in each village, showing 2 independent emergences in Podor. The outbreak in Podor was probably due to the high abundance of animal hosts in this sylvo-pastoral area, the diversity of tick populations with the presence of the main CCHF vectors and the increasing prevalence of CCHFV. The surveillance in this area needs to be strengthened.</w:t>
      </w:r>
    </w:p>
    <w:p w14:paraId="31F7F2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25-A-2197-ASTMH</w:t>
      </w:r>
    </w:p>
    <w:p w14:paraId="101BA3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0F567B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single mutation in the carboxylesterase gene COEAE80 coupled with P450 suppression drive chlorfenapyr resistance in the major malaria vector </w:t>
      </w:r>
      <w:r w:rsidRPr="00FE5D1C">
        <w:rPr>
          <w:rFonts w:ascii="Calibri" w:eastAsia="Times New Roman" w:hAnsi="Calibri" w:cs="Calibri"/>
          <w:b/>
          <w:bCs/>
          <w:i/>
          <w:iCs/>
          <w:color w:val="000000"/>
          <w:kern w:val="0"/>
          <w:sz w:val="22"/>
          <w:szCs w:val="22"/>
          <w14:ligatures w14:val="none"/>
        </w:rPr>
        <w:t>Anopheles gambiae</w:t>
      </w:r>
    </w:p>
    <w:p w14:paraId="03C052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Pyrethroid resistance in major malaria vectors poses a significant threat to vector control interventions across Africa, prompting the introduction of new insecticide chemistries such as chlorfenapyr (CFP) which is the frontline ingredient in the new bed net recommended by WHO for vector control. Understanding resistance mechanisms and cross-resistance is crucial for optimizing their use and rotation. Here, we demonstrate that a point mutation in the overexpressed COEAE80 carboxylesterase gene coupled with cytochrome P450 suppression confer CFP resistance in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Multi-omics analyses identified the transcriptional signatures of CFP resistance with COEAE80 up-regulation and a marked down-regulation of most pyrethroid resistance cytochrome P450s. Whole genome sequencing detected signatures of selective sweep around </w:t>
      </w:r>
      <w:r w:rsidRPr="00FE5D1C">
        <w:rPr>
          <w:rFonts w:ascii="Calibri" w:eastAsia="Times New Roman" w:hAnsi="Calibri" w:cs="Calibri"/>
          <w:i/>
          <w:iCs/>
          <w:color w:val="000000"/>
          <w:kern w:val="0"/>
          <w:sz w:val="22"/>
          <w:szCs w:val="22"/>
          <w14:ligatures w14:val="none"/>
        </w:rPr>
        <w:t>COEAE80</w:t>
      </w:r>
      <w:r w:rsidRPr="00FE5D1C">
        <w:rPr>
          <w:rFonts w:ascii="Calibri" w:eastAsia="Times New Roman" w:hAnsi="Calibri" w:cs="Calibri"/>
          <w:color w:val="000000"/>
          <w:kern w:val="0"/>
          <w:sz w:val="22"/>
          <w:szCs w:val="22"/>
          <w14:ligatures w14:val="none"/>
        </w:rPr>
        <w:t> and functional analyses confirm it confers CFP resistance. DNA-based genotyping revealed that mosquitoes bearing this newly discovered marker are significantly more able to survive CFP exposure (odds ratio: 6.3; P &lt; 0.0001) contrary to pyrethroid resistant CYP6P3-P450 individuals. This study marks the first identification of the significant role of carboxylesterases in conferring resistance to CFP in the primary African malaria vector,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A DNA-based assay developed here enables early detection of </w:t>
      </w:r>
      <w:r w:rsidRPr="00FE5D1C">
        <w:rPr>
          <w:rFonts w:ascii="Calibri" w:eastAsia="Times New Roman" w:hAnsi="Calibri" w:cs="Calibri"/>
          <w:i/>
          <w:iCs/>
          <w:color w:val="000000"/>
          <w:kern w:val="0"/>
          <w:sz w:val="22"/>
          <w:szCs w:val="22"/>
          <w14:ligatures w14:val="none"/>
        </w:rPr>
        <w:t>COEAE80</w:t>
      </w:r>
      <w:r w:rsidRPr="00FE5D1C">
        <w:rPr>
          <w:rFonts w:ascii="Calibri" w:eastAsia="Times New Roman" w:hAnsi="Calibri" w:cs="Calibri"/>
          <w:color w:val="000000"/>
          <w:kern w:val="0"/>
          <w:sz w:val="22"/>
          <w:szCs w:val="22"/>
          <w14:ligatures w14:val="none"/>
        </w:rPr>
        <w:t>-mediated resistance, critical for optimizing CFP use in malaria-endemic regions. These insights are vital for prolonging the efficacy of CFP-treated nets and informing resistance management strategies across Africa.</w:t>
      </w:r>
    </w:p>
    <w:p w14:paraId="041B7B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25-A-2198-ASTMH</w:t>
      </w:r>
    </w:p>
    <w:p w14:paraId="2D5345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6EA1DD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Bat and Swallow Bug Microbiome: Hidden Pathogens in Overlooked Vectors</w:t>
      </w:r>
    </w:p>
    <w:p w14:paraId="52AD90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Understanding the microbiomes of hematophagous insects is essential for assessing their potential role as disease vectors. Within the Cimicidae family, most microbiome research has focused on bed bugs, leaving significant knowledge gaps regarding other members such as bat bugs and swallow bugs—ectoparasites of bats and birds, respectively. These insects can encroach on human dwellings when their </w:t>
      </w:r>
      <w:r w:rsidRPr="00FE5D1C">
        <w:rPr>
          <w:rFonts w:ascii="Calibri" w:eastAsia="Times New Roman" w:hAnsi="Calibri" w:cs="Calibri"/>
          <w:color w:val="000000"/>
          <w:kern w:val="0"/>
          <w:sz w:val="22"/>
          <w:szCs w:val="22"/>
          <w14:ligatures w14:val="none"/>
        </w:rPr>
        <w:lastRenderedPageBreak/>
        <w:t>primary hosts are absent, raising concerns about pathogen spillover. To address this, we conducted a comprehensive survey of the microbial communities of bat and swallow bugs collected from their natural environments in Thailand using metagenomic sequencing. Our findings reveal a shared core microbiota including members of Firmicutes, Proteobacteria, Tenericutes, Bacteroidetes, Actinobacteria, Cyanobacteria, Fusobacteria, and Spirochaetes, with composition varying by host and habitat. Notably,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spp. and Shuangao Bedbug Virus 2 were prevalent in both ectoparasites. Additionally, we detected several potential human pathogens, such as </w:t>
      </w:r>
      <w:r w:rsidRPr="00FE5D1C">
        <w:rPr>
          <w:rFonts w:ascii="Calibri" w:eastAsia="Times New Roman" w:hAnsi="Calibri" w:cs="Calibri"/>
          <w:i/>
          <w:iCs/>
          <w:color w:val="000000"/>
          <w:kern w:val="0"/>
          <w:sz w:val="22"/>
          <w:szCs w:val="22"/>
          <w14:ligatures w14:val="none"/>
        </w:rPr>
        <w:t>Clostridium perfringens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Escherichia coli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Salmonella enterica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Proteus mirabilis</w:t>
      </w:r>
      <w:r w:rsidRPr="00FE5D1C">
        <w:rPr>
          <w:rFonts w:ascii="Calibri" w:eastAsia="Times New Roman" w:hAnsi="Calibri" w:cs="Calibri"/>
          <w:color w:val="000000"/>
          <w:kern w:val="0"/>
          <w:sz w:val="22"/>
          <w:szCs w:val="22"/>
          <w14:ligatures w14:val="none"/>
        </w:rPr>
        <w:t> in bat bugs, and </w:t>
      </w:r>
      <w:r w:rsidRPr="00FE5D1C">
        <w:rPr>
          <w:rFonts w:ascii="Calibri" w:eastAsia="Times New Roman" w:hAnsi="Calibri" w:cs="Calibri"/>
          <w:i/>
          <w:iCs/>
          <w:color w:val="000000"/>
          <w:kern w:val="0"/>
          <w:sz w:val="22"/>
          <w:szCs w:val="22"/>
          <w14:ligatures w14:val="none"/>
        </w:rPr>
        <w:t>Klebsiella pneumoniae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Enterococcus faecalis</w:t>
      </w:r>
      <w:r w:rsidRPr="00FE5D1C">
        <w:rPr>
          <w:rFonts w:ascii="Calibri" w:eastAsia="Times New Roman" w:hAnsi="Calibri" w:cs="Calibri"/>
          <w:color w:val="000000"/>
          <w:kern w:val="0"/>
          <w:sz w:val="22"/>
          <w:szCs w:val="22"/>
          <w14:ligatures w14:val="none"/>
        </w:rPr>
        <w:t> in swallow bugs. These findings underscore the importance of continued surveillance of Cimicidae microbiomes using approaches such as field sampling and metagenomic sequencing to monitor zoonotic pathogens and better assess their public health relevance.</w:t>
      </w:r>
    </w:p>
    <w:p w14:paraId="679744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25-A-2201-ASTMH</w:t>
      </w:r>
    </w:p>
    <w:p w14:paraId="313972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03E4DD0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Hijacking Mosquitoes: Infection Dynamics of Dengue Virus in the Mosquito Brain</w:t>
      </w:r>
    </w:p>
    <w:p w14:paraId="7DFF68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are considered the deadliest animals on earth due to their potential to transmit devastating pathogens to humans.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is a highly invasive mosquito species and the primary vector for arboviruses such as dengue and Zika. Arboviruses and mosquitoes share one common target: humans. Transmission of arboviral diseases depends on the success of infected female mosquitoes in obtaining human blood, which they require to produce eggs. Certain vector-borne pathogens are known to manipulate insect host behavior to enhance disease transmission, for instance by making infected vectors more aggressive towards humans. Nevertheless, the extent and mechanisms by which arboviruses affect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behavior are unknown. Our hypothesis is that dengue virus infection alters the mosquito brain and sensory circuits to make them more efficient vectors for arboviruses. Preliminary results based on behavioral assays show that dengue infection increases mosquito biting and feeding frequency, which enhances viral transmission. To understand the molecular mechanism leading to these behavioral changes, we fed female mosquitoes with blood containing live and heat-inactivated dengue virus. We combined bulk RNA sequencing of dengue-exposed and unexposed individual mosquito brains with high-resolution whole brain immunofluorescence imaging, revealing the dynamics and replication hotspots of dengue infection in the brain and creating a global transcriptomic atlas of infected and uninfected tissues. Our results reveal a surprising and prolonged neurotropism for dengue virus, which correlate with relatively modest transcriptional changes, mostly evident in the early stage of infection, suggesting a high mosquito tolerance to active viral infection in the brain. Overall, our project is expanding our understanding of the complex interactions between mosquito vectors and arboviruses.</w:t>
      </w:r>
    </w:p>
    <w:p w14:paraId="4A510B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25-A-2202-ASTMH</w:t>
      </w:r>
    </w:p>
    <w:p w14:paraId="224213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5BEF2D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Effects of Chronic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 Infection on Innate and Adaptive Immune Responses in Olive Baboons Vaccinated with Human Papillomavirus Vaccine</w:t>
      </w:r>
    </w:p>
    <w:p w14:paraId="01B68A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Human papillomavirus (HPV) vaccines elicit specific serum antibodies that confer long-lasting protection and may reduce HPV-related cancers. However, helminthic infections such as chronic schistosomiasis infection at the time of vaccination are known to alter immune responses. This study investigated the impact of chronic S. mansoni infection on immune responses to the HPV vaccine in olive baboons. Baboons were assigned to three groups: (1) untreated S. mansoni-infected, (2) S. mansoni-infected and treated with Praziquantel, and (3) uninfected controls. All received two doses of the Cervarix HPV vaccine four weeks apart. Immune responses were measured using flow cytometry and ELISA. HPV-specific whole IgG levels significantly increased in all groups except for the untreated S. mansoni-infected group, whose increase was significant after the second dose. Similarly, IgG1 levels increased </w:t>
      </w:r>
      <w:r w:rsidRPr="00FE5D1C">
        <w:rPr>
          <w:rFonts w:ascii="Calibri" w:eastAsia="Times New Roman" w:hAnsi="Calibri" w:cs="Calibri"/>
          <w:color w:val="000000"/>
          <w:kern w:val="0"/>
          <w:sz w:val="22"/>
          <w:szCs w:val="22"/>
          <w14:ligatures w14:val="none"/>
        </w:rPr>
        <w:lastRenderedPageBreak/>
        <w:t>only after the second dose. There was no significant difference between the treated and untreated infected groups. Other immune markers were minimal or undetectable. These findings emphasize the importance of a booster dose for enhanced antibody production and suggest that a delayed HPV-specific whole IgG response in untreated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-infected individuals reinforces the need for booster HPV vaccination in endemic regions. The results affirm the vaccine’s effectiveness in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 endemic areas.</w:t>
      </w:r>
    </w:p>
    <w:p w14:paraId="52DFB0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25-A-2204-ASTMH</w:t>
      </w:r>
    </w:p>
    <w:p w14:paraId="6A83C5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5C47E7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Beyond the Usual Suspects: Unmet Needs in Respiratory Pathogen Detection Revealed by Panel Testing at a Tertiary Healthcare Facility in Ghana</w:t>
      </w:r>
    </w:p>
    <w:p w14:paraId="4D8F6C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Acute respiratory infections (ARIs) are among the most common reasons for healthcare visits globally, yet their viral etiologies in sub-Saharan Africa remain poorly characterized due to limited diagnostic capacity. We hypothesized that a significant proportion of symptomatic respiratory cases at the University of Ghana Medical Centre (UGMC) are attributable to a small group of common respiratory viruses. To test this hypothesis, we assessed the prevalence of SARS-CoV-2, Influenza A (subtypes A1 and A2), Influenza B, and Respiratory Syncytial Virus (RSV) in patients diagnosed with ARIs between July 2023 and December 2024. Data from nasopharyngeal samples were included if results for all five pathogens were available. Testing was performed using the GeneXpert platform and the multiplex cartridge, which simultaneously detects SARS-CoV-2, Influenza A (A1 and A2), Influenza B, and RSV. Demographic data, clinical presentation, and test results were extracted from hospital records and analyzed. Our results indicate that 403 out of 961 patients (42%) tested positive for at least one viral pathogen, while 58% tested negative for all five viruses. Influenza A was the most frequently detected (22%), followed by Influenza B (12%), SARS-CoV-2 (11%), and RSV (9%). RSV infection was notably higher among children under five years (30%), whereas influenza viruses were most common among adults aged 18–39 years. Co-infections were infrequent (&lt;2%). The high proportion of negative results suggests that many respiratory illnesses may be caused by pathogens not included in the current testing panel. These findings highlight the limitations of narrow diagnostic approaches and underscore the need for broader molecular testing strategies to improve patient care, support antibiotic stewardship, and enhance epidemiological surveillance in resource-limited settings.</w:t>
      </w:r>
    </w:p>
    <w:p w14:paraId="124915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25-A-2205-ASTMH</w:t>
      </w:r>
    </w:p>
    <w:p w14:paraId="18D30A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7350A9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multi-analytical approach for uncovering the mode of action of YAT2150 and its derivatives in the leishmaniasis parasite</w:t>
      </w:r>
    </w:p>
    <w:p w14:paraId="787B5C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Leishmaniasis is a parasitic disease caused by protozoa of the genus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affecting around 1 million people annually. It is endemic in almost 100 countries, predominantly impacting some of the world's most impoverished regions. Current treatments for leishmaniasis face significant challenges, including nonspecific toxicity and the emergence of drug resistance. To solve this matter new compounds with antileishmanial activity are needed. Recently, the bis(styrylpyridinium) salt YAT2150 has shown good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results against the promastigote and amastigote stages of </w:t>
      </w:r>
      <w:r w:rsidRPr="00FE5D1C">
        <w:rPr>
          <w:rFonts w:ascii="Calibri" w:eastAsia="Times New Roman" w:hAnsi="Calibri" w:cs="Calibri"/>
          <w:i/>
          <w:iCs/>
          <w:color w:val="000000"/>
          <w:kern w:val="0"/>
          <w:sz w:val="22"/>
          <w:szCs w:val="22"/>
          <w14:ligatures w14:val="none"/>
        </w:rPr>
        <w:t>Leishmania infantum</w:t>
      </w:r>
      <w:r w:rsidRPr="00FE5D1C">
        <w:rPr>
          <w:rFonts w:ascii="Calibri" w:eastAsia="Times New Roman" w:hAnsi="Calibri" w:cs="Calibri"/>
          <w:color w:val="000000"/>
          <w:kern w:val="0"/>
          <w:sz w:val="22"/>
          <w:szCs w:val="22"/>
          <w14:ligatures w14:val="none"/>
        </w:rPr>
        <w:t>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w:t>
      </w:r>
      <w:r w:rsidRPr="00FE5D1C">
        <w:rPr>
          <w:rFonts w:ascii="Cambria Math" w:eastAsia="Times New Roman" w:hAnsi="Cambria Math" w:cs="Cambria Math"/>
          <w:b/>
          <w:bCs/>
          <w:color w:val="000000"/>
          <w:kern w:val="0"/>
          <w:sz w:val="22"/>
          <w:szCs w:val="22"/>
          <w14:ligatures w14:val="none"/>
        </w:rPr>
        <w:t>≃</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0.5 µM for both). Due to the moderate cytotoxicity shown by this compound, safer derivatives have been synthesized, among which EMA377 also has a good activity against the parasite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 0.8 µM), with a decreased toxicity both in-cell and in the </w:t>
      </w:r>
      <w:r w:rsidRPr="00FE5D1C">
        <w:rPr>
          <w:rFonts w:ascii="Calibri" w:eastAsia="Times New Roman" w:hAnsi="Calibri" w:cs="Calibri"/>
          <w:i/>
          <w:iCs/>
          <w:color w:val="000000"/>
          <w:kern w:val="0"/>
          <w:sz w:val="22"/>
          <w:szCs w:val="22"/>
          <w14:ligatures w14:val="none"/>
        </w:rPr>
        <w:t>in vivo Caenorhabditis elegans</w:t>
      </w:r>
      <w:r w:rsidRPr="00FE5D1C">
        <w:rPr>
          <w:rFonts w:ascii="Calibri" w:eastAsia="Times New Roman" w:hAnsi="Calibri" w:cs="Calibri"/>
          <w:color w:val="000000"/>
          <w:kern w:val="0"/>
          <w:sz w:val="22"/>
          <w:szCs w:val="22"/>
          <w14:ligatures w14:val="none"/>
        </w:rPr>
        <w:t> model. Although the antiparasitic mechanism of action of these compounds is still to be unravelled, it is presumed to be related with the inhibition of protein aggregation in the pathogen. Additionally, in </w:t>
      </w:r>
      <w:r w:rsidRPr="00FE5D1C">
        <w:rPr>
          <w:rFonts w:ascii="Calibri" w:eastAsia="Times New Roman" w:hAnsi="Calibri" w:cs="Calibri"/>
          <w:i/>
          <w:iCs/>
          <w:color w:val="000000"/>
          <w:kern w:val="0"/>
          <w:sz w:val="22"/>
          <w:szCs w:val="22"/>
          <w14:ligatures w14:val="none"/>
        </w:rPr>
        <w:t>Leishmania </w:t>
      </w:r>
      <w:r w:rsidRPr="00FE5D1C">
        <w:rPr>
          <w:rFonts w:ascii="Calibri" w:eastAsia="Times New Roman" w:hAnsi="Calibri" w:cs="Calibri"/>
          <w:color w:val="000000"/>
          <w:kern w:val="0"/>
          <w:sz w:val="22"/>
          <w:szCs w:val="22"/>
          <w14:ligatures w14:val="none"/>
        </w:rPr>
        <w:t xml:space="preserve">there is evidence showing that YAT2150 reduces ATP levels, but no clear cellular targets have been identified yet. To advance in the understanding of YAT2150 mechanism of action, a multi-analytical approach will be performed: (1) generation of parasite lines resistant to YAT2150 or EMA377 </w:t>
      </w:r>
      <w:r w:rsidRPr="00FE5D1C">
        <w:rPr>
          <w:rFonts w:ascii="Calibri" w:eastAsia="Times New Roman" w:hAnsi="Calibri" w:cs="Calibri"/>
          <w:color w:val="000000"/>
          <w:kern w:val="0"/>
          <w:sz w:val="22"/>
          <w:szCs w:val="22"/>
          <w14:ligatures w14:val="none"/>
        </w:rPr>
        <w:lastRenderedPageBreak/>
        <w:t>and whole genome sequencing to detect eventual resistance genes; (2) cellular thermal shift assay (CETSA) for the detection of proteins binding to the compounds; (3) transcriptomic analysis (RNAseq) to identify differentially expressed transcripts in compound-treated parasites; (4) flow-cytometry-based protein sorting to screen for interactions between YAT2150 or EMA377 and parasite proteins. Preliminary results from these two techniques will provide valuable insights into potential targets of YAT2150 and EMA377 in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These potential targets will subsequently be validated through the generation of knock-out parasite lines. The results from this multi-analytic approach would bring us a step closer to the eventual therapeutic use of these compounds.</w:t>
      </w:r>
    </w:p>
    <w:p w14:paraId="2F9A00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25-A-2207-ASTMH</w:t>
      </w:r>
    </w:p>
    <w:p w14:paraId="4208D3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67B9A6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Machine Learning for Malaria Surveillance: Identifying High-Risk Communities using Social, Economic and Behavioral Data.</w:t>
      </w:r>
    </w:p>
    <w:p w14:paraId="582E52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Identifying communities with high malaria prevalence is crucial for public health officials, researchers, and policymakers to effectively monitor transmission and evaluate interventions. However, population-based malaria biomarker surveys face logistical challenges including high implementation costs, the need for trained personnel to administer rapid diagnostic tests, issues with specimen transport and processing, and participant reluctance due to fear of testing, recent treatment, and perceived low risk of infection. This study investigates the potential of estimating malaria prevalence among children aged 0 to 5 using social, economic, behavioral, and other community-level indicators in the absence of direct malaria biomarkers. By utilizing comprehensive data from the 2022 Tanzania Demographic and Health Surveys and Malaria Indicator Survey (TDHS-MIS), we explored alternative methods to estimate malaria burden. We employed machine learning techniques - Random Forest (RF) and partial Least Squares (PLS) to develop predictive models based on social, economic and behavioral variables. Malaria prevalence derived from MRDT results, served as the outcome variable. Models were trained to classify communities into &lt;5% or ≥5% malaria prevalence groups. This classification was also repeated at alternative thresholds: 7%, 10%,15%, and 20%. The RF and PLS models achieved classification accuracies of 79% and 80.5%, respectively, With RF consistently outperforming PLS across all thresholds. Key predictors included household wealth status, maternal education, access to insecticide-treated nets (ITNs), recent fever episodes, and proximity to healthcare facilities. This study demonstrates that socioeconomic and behavioral data can reliably estimate malaria prevalence in resource-constrained settings using machine learning approaches. These approaches offer a cost-effective alternative for guiding targeted malaria interventions where diagnostic testing is infeasible, ultimately contributing to more efficient resource allocation and malaria control efforts.</w:t>
      </w:r>
    </w:p>
    <w:p w14:paraId="0423F4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25-A-2209-ASTMH</w:t>
      </w:r>
    </w:p>
    <w:p w14:paraId="726F62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362487CD" w14:textId="6BA0588A"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TEMPORAL AND SPATIAL DISTRIBUTION OF OUTDOOR RESTING MALARIA VECTORS IN WEBUYE, BUNGOMA COUNTY, KENYA</w:t>
      </w:r>
    </w:p>
    <w:p w14:paraId="327A8F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health concern in Kenya. Among other socioeconomic and environmental factors, change in vector behavior and growing insecticide resistance may contribute to its persistence. Understanding the current vector behavior is critical for evaluating if it undermines current interventions. In western Kenya the main malaria vector species are known to be anthropophagic and endophagic. However,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has recently been reported to shift towards exophagic and zoophilic behavior. Such a shift impacts the efficacy of LLINs which only target endophilic and endophagic vectors, with serious implications for malaria transmission. Leveraging an on-going longitudinal malaria transmission cohort in Webuye, Kenya, mosquitoes were aspirated weekly from all non-sleeping space structures (kitchens, animal sheds, latrines) which could serve as vectors resting areas. Mosquitoes were sorted by genus, graded by abdominal status and all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morphologically identified. </w:t>
      </w:r>
      <w:r w:rsidRPr="00FE5D1C">
        <w:rPr>
          <w:rFonts w:ascii="Calibri" w:eastAsia="Times New Roman" w:hAnsi="Calibri" w:cs="Calibri"/>
          <w:i/>
          <w:iCs/>
          <w:color w:val="000000"/>
          <w:kern w:val="0"/>
          <w:sz w:val="22"/>
          <w:szCs w:val="22"/>
          <w14:ligatures w14:val="none"/>
        </w:rPr>
        <w:t>Anopheles gambiae complex</w:t>
      </w:r>
      <w:r w:rsidRPr="00FE5D1C">
        <w:rPr>
          <w:rFonts w:ascii="Calibri" w:eastAsia="Times New Roman" w:hAnsi="Calibri" w:cs="Calibri"/>
          <w:color w:val="000000"/>
          <w:kern w:val="0"/>
          <w:sz w:val="22"/>
          <w:szCs w:val="22"/>
          <w14:ligatures w14:val="none"/>
        </w:rPr>
        <w:t xml:space="preserve"> was further </w:t>
      </w:r>
      <w:r w:rsidRPr="00FE5D1C">
        <w:rPr>
          <w:rFonts w:ascii="Calibri" w:eastAsia="Times New Roman" w:hAnsi="Calibri" w:cs="Calibri"/>
          <w:color w:val="000000"/>
          <w:kern w:val="0"/>
          <w:sz w:val="22"/>
          <w:szCs w:val="22"/>
          <w14:ligatures w14:val="none"/>
        </w:rPr>
        <w:lastRenderedPageBreak/>
        <w:t>identified by PCR to differentiate sibling species. Between Feb 2024 and Jan 2025, a total of 7970 female mosquitoes were collected. Of these, 7732 (97%) were female </w:t>
      </w:r>
      <w:r w:rsidRPr="00FE5D1C">
        <w:rPr>
          <w:rFonts w:ascii="Calibri" w:eastAsia="Times New Roman" w:hAnsi="Calibri" w:cs="Calibri"/>
          <w:i/>
          <w:iCs/>
          <w:color w:val="000000"/>
          <w:kern w:val="0"/>
          <w:sz w:val="22"/>
          <w:szCs w:val="22"/>
          <w14:ligatures w14:val="none"/>
        </w:rPr>
        <w:t>culex</w:t>
      </w:r>
      <w:r w:rsidRPr="00FE5D1C">
        <w:rPr>
          <w:rFonts w:ascii="Calibri" w:eastAsia="Times New Roman" w:hAnsi="Calibri" w:cs="Calibri"/>
          <w:color w:val="000000"/>
          <w:kern w:val="0"/>
          <w:sz w:val="22"/>
          <w:szCs w:val="22"/>
          <w14:ligatures w14:val="none"/>
        </w:rPr>
        <w:t> and 238 (3%)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Most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were collected in standalone kitchen structures (90%), followed by cowshed (5.5%). The sporozoite rate was 0.4% (1/238). The highest number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was collected in May (33%) and June 2024 (24%). Less than 1% were collected in Jan, Aug, Nov 2024 and Jan 2025. Most were </w:t>
      </w:r>
      <w:r w:rsidRPr="00FE5D1C">
        <w:rPr>
          <w:rFonts w:ascii="Calibri" w:eastAsia="Times New Roman" w:hAnsi="Calibri" w:cs="Calibri"/>
          <w:i/>
          <w:iCs/>
          <w:color w:val="000000"/>
          <w:kern w:val="0"/>
          <w:sz w:val="22"/>
          <w:szCs w:val="22"/>
          <w14:ligatures w14:val="none"/>
        </w:rPr>
        <w:t>An. gambiae s.l </w:t>
      </w:r>
      <w:r w:rsidRPr="00FE5D1C">
        <w:rPr>
          <w:rFonts w:ascii="Calibri" w:eastAsia="Times New Roman" w:hAnsi="Calibri" w:cs="Calibri"/>
          <w:color w:val="000000"/>
          <w:kern w:val="0"/>
          <w:sz w:val="22"/>
          <w:szCs w:val="22"/>
          <w14:ligatures w14:val="none"/>
        </w:rPr>
        <w:t>(68%) followed by </w:t>
      </w:r>
      <w:r w:rsidRPr="00FE5D1C">
        <w:rPr>
          <w:rFonts w:ascii="Calibri" w:eastAsia="Times New Roman" w:hAnsi="Calibri" w:cs="Calibri"/>
          <w:i/>
          <w:iCs/>
          <w:color w:val="000000"/>
          <w:kern w:val="0"/>
          <w:sz w:val="22"/>
          <w:szCs w:val="22"/>
          <w14:ligatures w14:val="none"/>
        </w:rPr>
        <w:t>An.</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funestus </w:t>
      </w:r>
      <w:r w:rsidRPr="00FE5D1C">
        <w:rPr>
          <w:rFonts w:ascii="Calibri" w:eastAsia="Times New Roman" w:hAnsi="Calibri" w:cs="Calibri"/>
          <w:color w:val="000000"/>
          <w:kern w:val="0"/>
          <w:sz w:val="22"/>
          <w:szCs w:val="22"/>
          <w14:ligatures w14:val="none"/>
        </w:rPr>
        <w:t>(22%). </w:t>
      </w:r>
      <w:r w:rsidRPr="00FE5D1C">
        <w:rPr>
          <w:rFonts w:ascii="Calibri" w:eastAsia="Times New Roman" w:hAnsi="Calibri" w:cs="Calibri"/>
          <w:i/>
          <w:iCs/>
          <w:color w:val="000000"/>
          <w:kern w:val="0"/>
          <w:sz w:val="22"/>
          <w:szCs w:val="22"/>
          <w14:ligatures w14:val="none"/>
        </w:rPr>
        <w:t>An. demeilloni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An. rufipes </w:t>
      </w:r>
      <w:r w:rsidRPr="00FE5D1C">
        <w:rPr>
          <w:rFonts w:ascii="Calibri" w:eastAsia="Times New Roman" w:hAnsi="Calibri" w:cs="Calibri"/>
          <w:color w:val="000000"/>
          <w:kern w:val="0"/>
          <w:sz w:val="22"/>
          <w:szCs w:val="22"/>
          <w14:ligatures w14:val="none"/>
        </w:rPr>
        <w:t>had 7% and 3%, respectively. Molecular analysis showed 87% of the </w:t>
      </w:r>
      <w:r w:rsidRPr="00FE5D1C">
        <w:rPr>
          <w:rFonts w:ascii="Calibri" w:eastAsia="Times New Roman" w:hAnsi="Calibri" w:cs="Calibri"/>
          <w:i/>
          <w:iCs/>
          <w:color w:val="000000"/>
          <w:kern w:val="0"/>
          <w:sz w:val="22"/>
          <w:szCs w:val="22"/>
          <w14:ligatures w14:val="none"/>
        </w:rPr>
        <w:t>An. gambiae </w:t>
      </w:r>
      <w:r w:rsidRPr="00FE5D1C">
        <w:rPr>
          <w:rFonts w:ascii="Calibri" w:eastAsia="Times New Roman" w:hAnsi="Calibri" w:cs="Calibri"/>
          <w:color w:val="000000"/>
          <w:kern w:val="0"/>
          <w:sz w:val="22"/>
          <w:szCs w:val="22"/>
          <w14:ligatures w14:val="none"/>
        </w:rPr>
        <w:t>complex were </w:t>
      </w:r>
      <w:r w:rsidRPr="00FE5D1C">
        <w:rPr>
          <w:rFonts w:ascii="Calibri" w:eastAsia="Times New Roman" w:hAnsi="Calibri" w:cs="Calibri"/>
          <w:i/>
          <w:iCs/>
          <w:color w:val="000000"/>
          <w:kern w:val="0"/>
          <w:sz w:val="22"/>
          <w:szCs w:val="22"/>
          <w14:ligatures w14:val="none"/>
        </w:rPr>
        <w:t>An. gambiae s.s </w:t>
      </w:r>
      <w:r w:rsidRPr="00FE5D1C">
        <w:rPr>
          <w:rFonts w:ascii="Calibri" w:eastAsia="Times New Roman" w:hAnsi="Calibri" w:cs="Calibri"/>
          <w:color w:val="000000"/>
          <w:kern w:val="0"/>
          <w:sz w:val="22"/>
          <w:szCs w:val="22"/>
          <w14:ligatures w14:val="none"/>
        </w:rPr>
        <w:t>while</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13% were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50% of the total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were bloodfed and 21% gravid. Preliminary bloodmeal analyses show both human and non-human sources. </w:t>
      </w:r>
      <w:r w:rsidRPr="00FE5D1C">
        <w:rPr>
          <w:rFonts w:ascii="Calibri" w:eastAsia="Times New Roman" w:hAnsi="Calibri" w:cs="Calibri"/>
          <w:i/>
          <w:iCs/>
          <w:color w:val="000000"/>
          <w:kern w:val="0"/>
          <w:sz w:val="22"/>
          <w:szCs w:val="22"/>
          <w14:ligatures w14:val="none"/>
        </w:rPr>
        <w:t>An. gambiae s.</w:t>
      </w:r>
      <w:r w:rsidRPr="00FE5D1C">
        <w:rPr>
          <w:rFonts w:ascii="Calibri" w:eastAsia="Times New Roman" w:hAnsi="Calibri" w:cs="Calibri"/>
          <w:color w:val="000000"/>
          <w:kern w:val="0"/>
          <w:sz w:val="22"/>
          <w:szCs w:val="22"/>
          <w14:ligatures w14:val="none"/>
        </w:rPr>
        <w:t>s. was the most abundant species. Most female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were bloodfed, and kitchens were the most common resting places. Additional intervention strategies for malaria transmission may be needed to target outdoor resting malaria vectors.</w:t>
      </w:r>
    </w:p>
    <w:p w14:paraId="22E0EF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25-A-2210-ASTMH</w:t>
      </w:r>
    </w:p>
    <w:p w14:paraId="2A5204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278F28DB" w14:textId="01718C1D"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Uncovering hidden mortality insights in tropical settings using Verbal Autopsy: Lessons from a Rheumatic Heart Disease study in Malawi</w:t>
      </w:r>
    </w:p>
    <w:p w14:paraId="3A1F21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Rheumatic heart disease (RHD) is a leading cause of preventable cardiovascular morbidity and mortality among children in resource-limited settings. It results from progressive heart valve damage due to recurrent acute rheumatic fever (ARF), an autoimmune response to streptococcal infection. In Malawi, where RHD affects over 323,000 people, autopsies are rarely performed to assess the causes and circumstances of death. Verbal autopsy (VA) interviews with caregivers help to identify likely causes of death and uncover critical health system gaps, such as diagnostic delays and treatment challenges. From March 2018 to March 2021, we prospectively followed 124 children with RHD at two tertiary hospitals in Malawi. Deaths were identified through active follow-up, and VA interviews were conducted using an adapted WHO Verbal Autopsy questionnaire. We analyzed quantitative and qualitative data to assess mortality patterns and caregiver-reported experiences. During the study period, there were 31 deaths, with VA completed for 29 cases. Of these, 66% were female, and the mean age was 11 years. The median time from RHD diagnosis to death was 10 months, with 48% of deaths occurring within the first year of diagnosis. Using VA and clinical data, we determined that severe RHD was the primary cause of death in 73% of cases. Contributing factors included heart failure, malaria, and endocarditis. Many families reported diagnostic delays, with 55% describing misdiagnosis as a contributor to mortality. Reactions to Benzathine Penicillin G injections, used for ARF prophylaxis, were noted in some patients with severe RHD. These findings underscore the value of VA in understanding real-world diagnosis and treatment challenges that might not be captured in clinical data. By incorporating caregiver perspectives, VA adds crucial context to mortality surveillance by identifying patient challenges, diagnostic delays, and provider awareness needs. Broader application of VA could enhance mortality surveillance, improve treatment delivery and safety monitoring, and inform public health strategies to reduce pediatric mortality in resource-limited settings.</w:t>
      </w:r>
    </w:p>
    <w:p w14:paraId="574641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25-A-2211-ASTMH</w:t>
      </w:r>
    </w:p>
    <w:p w14:paraId="3D4348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Systemic Infections</w:t>
      </w:r>
    </w:p>
    <w:p w14:paraId="59467B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Microbial Quality of Carcasses Along the Supply Chain from the Abattoir to Meat Retail Outlets in the Kumasi Metropolis, Ghana</w:t>
      </w:r>
    </w:p>
    <w:p w14:paraId="7FEE08E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Meat contamination during handling and transportation presents significant public health risks. This study evaluated butchers' knowledge, meat handling practices, and the extent of microbial contamination before and after transportation of meat from the Kumasi abattoir to the Kejetia market. A cross-sectional study involving 20 butchers was conducted, and meat samples were analyzed for microbial contamination using MacConkey Agar (MCA), Mannitol Salt Agar (MSA), and </w:t>
      </w:r>
      <w:r w:rsidRPr="00FE5D1C">
        <w:rPr>
          <w:rFonts w:ascii="Calibri" w:eastAsia="Times New Roman" w:hAnsi="Calibri" w:cs="Calibri"/>
          <w:i/>
          <w:iCs/>
          <w:color w:val="000000"/>
          <w:kern w:val="0"/>
          <w:sz w:val="22"/>
          <w:szCs w:val="22"/>
          <w14:ligatures w14:val="none"/>
        </w:rPr>
        <w:t xml:space="preserve">Salmonella </w:t>
      </w:r>
      <w:r w:rsidRPr="00FE5D1C">
        <w:rPr>
          <w:rFonts w:ascii="Calibri" w:eastAsia="Times New Roman" w:hAnsi="Calibri" w:cs="Calibri"/>
          <w:i/>
          <w:iCs/>
          <w:color w:val="000000"/>
          <w:kern w:val="0"/>
          <w:sz w:val="22"/>
          <w:szCs w:val="22"/>
          <w14:ligatures w14:val="none"/>
        </w:rPr>
        <w:lastRenderedPageBreak/>
        <w:t>Shigella</w:t>
      </w:r>
      <w:r w:rsidRPr="00FE5D1C">
        <w:rPr>
          <w:rFonts w:ascii="Calibri" w:eastAsia="Times New Roman" w:hAnsi="Calibri" w:cs="Calibri"/>
          <w:color w:val="000000"/>
          <w:kern w:val="0"/>
          <w:sz w:val="22"/>
          <w:szCs w:val="22"/>
          <w14:ligatures w14:val="none"/>
        </w:rPr>
        <w:t> Agar (SSA). Findings revealed limited awareness among butchers: only 55.0% knew that meat could be contaminated during handling, 40.0% recognized the risk associated with improper transportation, 30.0% identified bacteria as the primary contaminant, and just 20.0% understood the health implications of consuming contaminated meat. Meat handling practices were generally poor—70.0% of butchers used commercial taxis for transport, and none maintained appropriate temperature control during transportation. Microbial analysis showed increased bacterial loads after transportation. Before transport, bacterial counts on MCA ranged from 4.9×10² CFU/ml (log 2.69) to 2.9×10⁵ CFU/ml (log 5.46), and on MSA from 1.5×10⁴ CFU/ml (log 4.18) to 3.1×10⁵ CFU/ml (log 5.49). SSA recorded the highest pre-transport bacterial load at 3.2×10⁵ CFU/ml (log 5.51). After transportation, counts on MCA increased to between 3.4×10³ CFU/ml (log 3.53) and 9.4×10⁵ CFU/ml (log 5.97), while MSA ranged from 4.3×10⁴ CFU/ml (log 4.64) to 1.5×10⁶ CFU/ml (log 6.18). SSA recorded the highest post-transport contamination at 9.1×10⁶ CFU/ml (log 6.96). The results indicate that improper meat handling and transportation practices significantly elevate microbial contamination levels. The study recommends targeted interventions such as butcher training programs, public health education, and the implementation of safer meat transportation methods to reduce contamination risks and protect public health.</w:t>
      </w:r>
    </w:p>
    <w:p w14:paraId="69D9AD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25-A-2212-ASTMH</w:t>
      </w:r>
    </w:p>
    <w:p w14:paraId="5ED8C7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3D70CD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Impact of Latent Tuberculosis on Immune Regulation and HIV Reservoir in Virologically Suppressed People with HIV on Antiretroviral Therapy</w:t>
      </w:r>
    </w:p>
    <w:p w14:paraId="2B7FF4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Tuberculosis (TB) is a significant comorbidity among people with HIV (PWH) in Africa. Persistent </w:t>
      </w:r>
      <w:r w:rsidRPr="00FE5D1C">
        <w:rPr>
          <w:rFonts w:ascii="Calibri" w:eastAsia="Times New Roman" w:hAnsi="Calibri" w:cs="Calibri"/>
          <w:i/>
          <w:iCs/>
          <w:color w:val="000000"/>
          <w:kern w:val="0"/>
          <w:sz w:val="22"/>
          <w:szCs w:val="22"/>
          <w14:ligatures w14:val="none"/>
        </w:rPr>
        <w:t>Mycobacterium tuberculosis</w:t>
      </w:r>
      <w:r w:rsidRPr="00FE5D1C">
        <w:rPr>
          <w:rFonts w:ascii="Calibri" w:eastAsia="Times New Roman" w:hAnsi="Calibri" w:cs="Calibri"/>
          <w:color w:val="000000"/>
          <w:kern w:val="0"/>
          <w:sz w:val="22"/>
          <w:szCs w:val="22"/>
          <w14:ligatures w14:val="none"/>
        </w:rPr>
        <w:t> antigenic stimulation, including latent TB infection (LTBI), may stimulate T cells and promote HIV reservoir persistence through viral seeding into more CD4+ T cells. However, the effect of LTBI on HIV reservoir dynamics remains unclear. This study assessed the impact of LTBI on immune activation and exhaustion markers, cytokine profile, and HIV reservoir size in PWH.</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A total of 390 PWH were screened for LTBI using interferon-gamma release assay. T cells were isolated and stimulated with PMA/ionomycin. We measured expression of activation and exhaustion markers by flow cytometry. Luminex multiplex assay was employed to profile the production of pro- and anti-inflammatory cytokines, and PCR to estimate unspliced RNA (usRNA) and proviral DNA copies. Among the participants, 37 (9.5%) tested positive for LTBI. While not statistically significant, the HIV-LTBI coinfected showed a higher proviral DNA (median: 2.4, IQR: 1.6 -</w:t>
      </w:r>
      <w:r w:rsidRPr="00FE5D1C">
        <w:rPr>
          <w:rFonts w:ascii="Calibri" w:eastAsia="Times New Roman" w:hAnsi="Calibri" w:cs="Calibri"/>
          <w:color w:val="000000"/>
          <w:kern w:val="0"/>
          <w:sz w:val="22"/>
          <w:szCs w:val="22"/>
          <w:vertAlign w:val="subscript"/>
          <w14:ligatures w14:val="none"/>
        </w:rPr>
        <w:t> </w:t>
      </w:r>
      <w:r w:rsidRPr="00FE5D1C">
        <w:rPr>
          <w:rFonts w:ascii="Calibri" w:eastAsia="Times New Roman" w:hAnsi="Calibri" w:cs="Calibri"/>
          <w:color w:val="000000"/>
          <w:kern w:val="0"/>
          <w:sz w:val="22"/>
          <w:szCs w:val="22"/>
          <w14:ligatures w14:val="none"/>
        </w:rPr>
        <w:t>2.9 log</w:t>
      </w:r>
      <w:r w:rsidRPr="00FE5D1C">
        <w:rPr>
          <w:rFonts w:ascii="Calibri" w:eastAsia="Times New Roman" w:hAnsi="Calibri" w:cs="Calibri"/>
          <w:color w:val="000000"/>
          <w:kern w:val="0"/>
          <w:sz w:val="22"/>
          <w:szCs w:val="22"/>
          <w:vertAlign w:val="subscript"/>
          <w14:ligatures w14:val="none"/>
        </w:rPr>
        <w:t>10 </w:t>
      </w:r>
      <w:r w:rsidRPr="00FE5D1C">
        <w:rPr>
          <w:rFonts w:ascii="Calibri" w:eastAsia="Times New Roman" w:hAnsi="Calibri" w:cs="Calibri"/>
          <w:color w:val="000000"/>
          <w:kern w:val="0"/>
          <w:sz w:val="22"/>
          <w:szCs w:val="22"/>
          <w14:ligatures w14:val="none"/>
        </w:rPr>
        <w:t>copies/10</w:t>
      </w:r>
      <w:r w:rsidRPr="00FE5D1C">
        <w:rPr>
          <w:rFonts w:ascii="Calibri" w:eastAsia="Times New Roman" w:hAnsi="Calibri" w:cs="Calibri"/>
          <w:color w:val="000000"/>
          <w:kern w:val="0"/>
          <w:sz w:val="22"/>
          <w:szCs w:val="22"/>
          <w:vertAlign w:val="superscript"/>
          <w14:ligatures w14:val="none"/>
        </w:rPr>
        <w:t>6</w:t>
      </w:r>
      <w:r w:rsidRPr="00FE5D1C">
        <w:rPr>
          <w:rFonts w:ascii="Calibri" w:eastAsia="Times New Roman" w:hAnsi="Calibri" w:cs="Calibri"/>
          <w:color w:val="000000"/>
          <w:kern w:val="0"/>
          <w:sz w:val="22"/>
          <w:szCs w:val="22"/>
          <w14:ligatures w14:val="none"/>
        </w:rPr>
        <w:t> PBMCs) compared to mono-infected participants (median: 2.2, IQR: 1.2 - 2.8 log</w:t>
      </w:r>
      <w:r w:rsidRPr="00FE5D1C">
        <w:rPr>
          <w:rFonts w:ascii="Calibri" w:eastAsia="Times New Roman" w:hAnsi="Calibri" w:cs="Calibri"/>
          <w:color w:val="000000"/>
          <w:kern w:val="0"/>
          <w:sz w:val="22"/>
          <w:szCs w:val="22"/>
          <w:vertAlign w:val="subscript"/>
          <w14:ligatures w14:val="none"/>
        </w:rPr>
        <w:t>10 </w:t>
      </w:r>
      <w:r w:rsidRPr="00FE5D1C">
        <w:rPr>
          <w:rFonts w:ascii="Calibri" w:eastAsia="Times New Roman" w:hAnsi="Calibri" w:cs="Calibri"/>
          <w:color w:val="000000"/>
          <w:kern w:val="0"/>
          <w:sz w:val="22"/>
          <w:szCs w:val="22"/>
          <w14:ligatures w14:val="none"/>
        </w:rPr>
        <w:t>copies/10</w:t>
      </w:r>
      <w:r w:rsidRPr="00FE5D1C">
        <w:rPr>
          <w:rFonts w:ascii="Calibri" w:eastAsia="Times New Roman" w:hAnsi="Calibri" w:cs="Calibri"/>
          <w:color w:val="000000"/>
          <w:kern w:val="0"/>
          <w:sz w:val="22"/>
          <w:szCs w:val="22"/>
          <w:vertAlign w:val="superscript"/>
          <w14:ligatures w14:val="none"/>
        </w:rPr>
        <w:t>6</w:t>
      </w:r>
      <w:r w:rsidRPr="00FE5D1C">
        <w:rPr>
          <w:rFonts w:ascii="Calibri" w:eastAsia="Times New Roman" w:hAnsi="Calibri" w:cs="Calibri"/>
          <w:color w:val="000000"/>
          <w:kern w:val="0"/>
          <w:sz w:val="22"/>
          <w:szCs w:val="22"/>
          <w14:ligatures w14:val="none"/>
        </w:rPr>
        <w:t> PBMCs). CD38 and HLA-DR were the predominant activation markers on CD4+ and CD8+ T cells respectively prior stimulation. PD-1 and TIGIT were the main exhaustion markers on both T cell subsets. Post-stimulation, immune markers CD69, HLA-DR, and PD-1 were differently expressed. Notably, CD25, CD244, LAG3, and CD38+HLA-DR+ were highly expressed in HIV-LTBI compared to HIV mono-infected individuals. We also observed higher levels of TNF-α, IL-1β, IL-6, IFN-α and IFN-γ in both CD4+ and CD8+ T cells from HIV-LTBI individuals. Interestingly, usRNA and proviral DNA levels did not differ significantly between the two groups. Our study showed simultaneous secretion of activation and exhaustion markers, along with elevated proinflammatory cytokines in HIV-LTBI coinfection compared to mono infections. This is an indication of immune dysregulation that may impact the seeding or reactivation of the latent HIV reservoir, potentially influencing strategies aimed at achieving viral eradication.</w:t>
      </w:r>
    </w:p>
    <w:p w14:paraId="66DAB9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25-A-2213-ASTMH</w:t>
      </w:r>
    </w:p>
    <w:p w14:paraId="701A0A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322177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Incidence of Diabetes Mellitus in the Ga West Municipality of Ghana: A Descriptive Analysis of Five-year Surveillance Data</w:t>
      </w:r>
    </w:p>
    <w:p w14:paraId="48F1F7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Diabetes mellitus (DM) remains a significant public health concern in Ghana. Its increasing prevalence from 5.3% in 2012 to 7.3% in 2019 poses a substantial challenge to population health. This has been </w:t>
      </w:r>
      <w:r w:rsidRPr="00FE5D1C">
        <w:rPr>
          <w:rFonts w:ascii="Calibri" w:eastAsia="Times New Roman" w:hAnsi="Calibri" w:cs="Calibri"/>
          <w:color w:val="000000"/>
          <w:kern w:val="0"/>
          <w:sz w:val="22"/>
          <w:szCs w:val="22"/>
          <w14:ligatures w14:val="none"/>
        </w:rPr>
        <w:lastRenderedPageBreak/>
        <w:t>linked to rapid urbanization and changing dietary patterns. We characterized the distribution of DM cases by person, place and time characteristics in the Ga West Municipality. This study descriptively analyzed the diabetes surveillance data from the Ga West Municipality of the Greater Accra Region of Ghana from 2019 to 2023. Secondary data of newly diagnosed DM cases including their ages, sex and sub-municipal zone were extracted from the District Health Information Management System II (DHIMS II) to Microsoft Excel. We calculated frequencies, proportions and incidence rates. Findings were presented as text, charts and maps. A total of 4,833 persons were newly diagnosed with DM between 2019 and 2023. We estimated a cumulative incidence rate of 191.5 cases per 10,000 population. Sex-specific incidence rate among females was 239.7 cases per 10,000 population compared to 141.6 cases per 10,000 population of males. About 47.8% (2,309/4,833) of cases were between the ages of 50 and 69. The Kotoku sub-municipal zone recorded the highest incidence rate of 514.8 cases per 10,000 population. The year 2020 had the highest incidence rate of 49.1 cases per 10,000 population. This study identified a high incidence of diabetes mellitus (DM) in the Ga West Municipality, with a disproportionate burden among females and individuals aged 50-69 years. The incidence rate among females was significantly higher than that of males, reflecting regional and national gender disparities but deviating from global estimates, which indicate a higher burden among males. The Kotoku sub-municipal zone exhibited the highest incidence rate, surpassing the overall municipal rate. Additionally, 2020 recorded the highest annual incidence rate. These findings underscore the urgent need for targeted public health interventions aimed at reducing DM incidence, with a particular focus on older adults and women, to mitigate the growing burden of the disease within the municipality.</w:t>
      </w:r>
    </w:p>
    <w:p w14:paraId="05B135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25-A-2214-ASTMH</w:t>
      </w:r>
    </w:p>
    <w:p w14:paraId="7A510D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128C77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Molecular Investigation of Plasmodium species in Sierra Leone: Recommendations on Diagnostic Methods for Malaria Control in High-Epidemic Regions - A Nationally Representative Cross-Sectional Epidemiological Survey</w:t>
      </w:r>
    </w:p>
    <w:p w14:paraId="31C1E8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serious public health threat, especially in Africa. The challenge in detecting low-density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via traditional microscopy hampers effective malaria surveillance and control. To date, there are no reports on nationwide community-based molecular detection for malaria in Sierra Leone. In 2022, during the COVID-19 pandemic, we conducted a nationally representative, age-stratified cross-sectional epidemiological survey in Sierra Leone during the rainy season to investigate the prevalence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A total of 2,112 individuals aged 2 years or older were recruited nationwide and all participants completed the survey and provided whole blood samples. Nucleic acids were extracted from the blood samples and tested for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using qPCR, with species identification performed on 400 of these samples. Among all 2,112 samples, the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qPCR positivity rate was 63·0% (95% CI 61·0- 65·1), and the regionally weighted positivity rate was 62·9% (95% CI 58·3- 67·4). In 400 randomly selected positive samples, 79·5% were infected with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only, while 20·5% carried multiple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The positivity rate significantly decreased in individuals aged 60 years above, and the rate was higher in males. Healthcare workers had the lowest positivity rate. Rural areas had a slightly higher positivity rate than urban areas yet showed no significant difference. Based on Ct values, 18·6% of positive samples showed relatively low parasitemia. Additionally, 93·5% of infected individuals self-reported as asymptomatic. This study highlights the importance of molecular diagnosis in malaria-endemic areas for surveillance, diagnosis, and treatment. Moreover, this study also highlights an increasing trend of mixed infections in Sierra Leone, which constitutes another challenge for diagnosis and treatment of Malaria. The high prevalence of asymptomatic malaria in Sierra Leone, uncovered through molecular diagnostic methods, necessitates the need for a significant policy shift in malaria interventions.</w:t>
      </w:r>
    </w:p>
    <w:p w14:paraId="76F9B3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25-A-2215-ASTMH</w:t>
      </w:r>
    </w:p>
    <w:p w14:paraId="645DAF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791FF6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Who is Adopting Recommended Global Health Behaviors? A Study of Positive Deviance in 19 sub-Saharan African Countries.</w:t>
      </w:r>
    </w:p>
    <w:p w14:paraId="5A3DFA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Global, maternal and child health remain a public health priority in sub-Saharan Africa which accounts for 70% of maternal deaths and 45% of newborn deaths worldwide, majority of which are preventable. Changing health prevention and service utilization behavior can improve maternal and child health. Positive deviance in behavior change is a community-led approach to identify individuals or groups within a community who are achieving better outcomes than their peers, despite facing similar challenges or having access to the same resources. This study explores positive deviance for various perinatal health behaviors using secondary analysis of Demographic Health Surveys from 19 sub-Saharan African countries with available data from 2018- 2024. Among recent mothers of children &lt;1-year-old (N=33002), behaviors included early ANC, ANC4+, receipt of tetanus toxoid and IPTP+3, skilled birth attendance, postnatal care, childhood immunizations, immediate and exclusive breastfeeding, HIV testing and receipt of results in the past 12 months, mosquito net use for mother and all children under five years, and not having an unmet need for contraception. Pooled crude and multivariable linear regression models were used to explore factors associated with positive deviance (adoption of all 13 behaviors). Spatial maps were used to identify hotspots of positive deviants across study countries. &lt;1% of mothers engaged in all behaviors (highest in Ghana and Zambia (3.6%) while the mean was 7.6 behaviors. Healthy behaviors were higher among educated (Adjusted </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;;;;eta (a</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;;;;)=.54), working (a</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;;;;=.25), empowered (a</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;;;;=.54) and wealthier (a</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;;;;=.99) but less among married (</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;;;;=-.37), older (a</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;;;;=-.14) women with barriers in accessing care (a</w:t>
      </w:r>
      <w:r w:rsidRPr="00FE5D1C">
        <w:rPr>
          <w:rFonts w:ascii="Cambria Math" w:eastAsia="Times New Roman" w:hAnsi="Cambria Math" w:cs="Cambria Math"/>
          <w:color w:val="000000"/>
          <w:kern w:val="0"/>
          <w:sz w:val="22"/>
          <w:szCs w:val="22"/>
          <w14:ligatures w14:val="none"/>
        </w:rPr>
        <w:t>𝛃</w:t>
      </w:r>
      <w:r w:rsidRPr="00FE5D1C">
        <w:rPr>
          <w:rFonts w:ascii="Calibri" w:eastAsia="Times New Roman" w:hAnsi="Calibri" w:cs="Calibri"/>
          <w:color w:val="000000"/>
          <w:kern w:val="0"/>
          <w:sz w:val="22"/>
          <w:szCs w:val="22"/>
          <w14:ligatures w14:val="none"/>
        </w:rPr>
        <w:t>;;;;=-.35). PD highlighted existing structural inequities where wealth, education and empowerment influenced adoption of behaviors. PD hotspots should be further explored to uncover enabling and transferable factors influencing the update of global health behaviors. PD can inform the design of SBC solutions such as peer-education, social mobilization, community engagement and empowerment.</w:t>
      </w:r>
    </w:p>
    <w:p w14:paraId="16C3F6E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25-A-2216-ASTMH</w:t>
      </w:r>
    </w:p>
    <w:p w14:paraId="76E4F4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4884F6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Molecular Detection Of </w:t>
      </w:r>
      <w:r w:rsidRPr="00FE5D1C">
        <w:rPr>
          <w:rFonts w:ascii="Calibri" w:eastAsia="Times New Roman" w:hAnsi="Calibri" w:cs="Calibri"/>
          <w:b/>
          <w:bCs/>
          <w:i/>
          <w:iCs/>
          <w:color w:val="000000"/>
          <w:kern w:val="0"/>
          <w:sz w:val="22"/>
          <w:szCs w:val="22"/>
          <w14:ligatures w14:val="none"/>
        </w:rPr>
        <w:t>Plasmodium</w:t>
      </w:r>
      <w:r w:rsidRPr="00FE5D1C">
        <w:rPr>
          <w:rFonts w:ascii="Calibri" w:eastAsia="Times New Roman" w:hAnsi="Calibri" w:cs="Calibri"/>
          <w:b/>
          <w:bCs/>
          <w:color w:val="000000"/>
          <w:kern w:val="0"/>
          <w:sz w:val="22"/>
          <w:szCs w:val="22"/>
          <w14:ligatures w14:val="none"/>
        </w:rPr>
        <w:t>spp. Infection In Non-Human Primates From The Brazilian Atlantic Forest</w:t>
      </w:r>
    </w:p>
    <w:p w14:paraId="2FE697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caused by protozoa of the genus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and transmitted to vertebrate hosts by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Although the disease's endemicity is restricted to the Legal Amazon region, autochthonous cases of malaria also occur in the extra-Amazonian region. An important characteristic of transmission in these areas is the ability of vectors to feed both in the tree canopy and at ground level, allowing the zoonotic transmission in the region. Two species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naturally infect non-human primates in the extra-Amazonian region: </w:t>
      </w:r>
      <w:r w:rsidRPr="00FE5D1C">
        <w:rPr>
          <w:rFonts w:ascii="Calibri" w:eastAsia="Times New Roman" w:hAnsi="Calibri" w:cs="Calibri"/>
          <w:i/>
          <w:iCs/>
          <w:color w:val="000000"/>
          <w:kern w:val="0"/>
          <w:sz w:val="22"/>
          <w:szCs w:val="22"/>
          <w14:ligatures w14:val="none"/>
        </w:rPr>
        <w:t>Plasmodium simium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Plasmodium brasilianum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Plasmodium simium</w:t>
      </w:r>
      <w:r w:rsidRPr="00FE5D1C">
        <w:rPr>
          <w:rFonts w:ascii="Calibri" w:eastAsia="Times New Roman" w:hAnsi="Calibri" w:cs="Calibri"/>
          <w:color w:val="000000"/>
          <w:kern w:val="0"/>
          <w:sz w:val="22"/>
          <w:szCs w:val="22"/>
          <w14:ligatures w14:val="none"/>
        </w:rPr>
        <w:t>, highly similar to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is restricted to the Atlantic Forest of the south and southeast of the country, infecting species of Neotropical primates (NP). Otherwise, </w:t>
      </w:r>
      <w:r w:rsidRPr="00FE5D1C">
        <w:rPr>
          <w:rFonts w:ascii="Calibri" w:eastAsia="Times New Roman" w:hAnsi="Calibri" w:cs="Calibri"/>
          <w:i/>
          <w:iCs/>
          <w:color w:val="000000"/>
          <w:kern w:val="0"/>
          <w:sz w:val="22"/>
          <w:szCs w:val="22"/>
          <w14:ligatures w14:val="none"/>
        </w:rPr>
        <w:t>P. brasilianum</w:t>
      </w:r>
      <w:r w:rsidRPr="00FE5D1C">
        <w:rPr>
          <w:rFonts w:ascii="Calibri" w:eastAsia="Times New Roman" w:hAnsi="Calibri" w:cs="Calibri"/>
          <w:color w:val="000000"/>
          <w:kern w:val="0"/>
          <w:sz w:val="22"/>
          <w:szCs w:val="22"/>
          <w14:ligatures w14:val="none"/>
        </w:rPr>
        <w:t>, highly similar to </w:t>
      </w:r>
      <w:r w:rsidRPr="00FE5D1C">
        <w:rPr>
          <w:rFonts w:ascii="Calibri" w:eastAsia="Times New Roman" w:hAnsi="Calibri" w:cs="Calibri"/>
          <w:i/>
          <w:iCs/>
          <w:color w:val="000000"/>
          <w:kern w:val="0"/>
          <w:sz w:val="22"/>
          <w:szCs w:val="22"/>
          <w14:ligatures w14:val="none"/>
        </w:rPr>
        <w:t>Plasmodium malariae</w:t>
      </w:r>
      <w:r w:rsidRPr="00FE5D1C">
        <w:rPr>
          <w:rFonts w:ascii="Calibri" w:eastAsia="Times New Roman" w:hAnsi="Calibri" w:cs="Calibri"/>
          <w:color w:val="000000"/>
          <w:kern w:val="0"/>
          <w:sz w:val="22"/>
          <w:szCs w:val="22"/>
          <w14:ligatures w14:val="none"/>
        </w:rPr>
        <w:t>, has a broader distribution infecting species from all five families of NP. Both species are also capable of infecting humans. Other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such as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were also able to infect NP, but in lower frequencies. This zoonotic transmission of malaria parasites presents a major challenge for the disease elimination. In this context, the study aimed to detect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in NP samples from Atlantic Forest region at the margins of Paraná River in Mato Grosso do Sul and Paraná border. DNA extracted from 57 blood samples was subjected to conventional and real-time PCR diagnostics, targeting three genes: ribosomal (18SSU rRNA gene), mitochondrial (</w:t>
      </w:r>
      <w:r w:rsidRPr="00FE5D1C">
        <w:rPr>
          <w:rFonts w:ascii="Calibri" w:eastAsia="Times New Roman" w:hAnsi="Calibri" w:cs="Calibri"/>
          <w:i/>
          <w:iCs/>
          <w:color w:val="000000"/>
          <w:kern w:val="0"/>
          <w:sz w:val="22"/>
          <w:szCs w:val="22"/>
          <w14:ligatures w14:val="none"/>
        </w:rPr>
        <w:t>cox1</w:t>
      </w:r>
      <w:r w:rsidRPr="00FE5D1C">
        <w:rPr>
          <w:rFonts w:ascii="Calibri" w:eastAsia="Times New Roman" w:hAnsi="Calibri" w:cs="Calibri"/>
          <w:color w:val="000000"/>
          <w:kern w:val="0"/>
          <w:sz w:val="22"/>
          <w:szCs w:val="22"/>
          <w14:ligatures w14:val="none"/>
        </w:rPr>
        <w:t>) and non-ribosomal (</w:t>
      </w:r>
      <w:r w:rsidRPr="00FE5D1C">
        <w:rPr>
          <w:rFonts w:ascii="Calibri" w:eastAsia="Times New Roman" w:hAnsi="Calibri" w:cs="Calibri"/>
          <w:i/>
          <w:iCs/>
          <w:color w:val="000000"/>
          <w:kern w:val="0"/>
          <w:sz w:val="22"/>
          <w:szCs w:val="22"/>
          <w14:ligatures w14:val="none"/>
        </w:rPr>
        <w:t>Pvr47D</w:t>
      </w:r>
      <w:r w:rsidRPr="00FE5D1C">
        <w:rPr>
          <w:rFonts w:ascii="Calibri" w:eastAsia="Times New Roman" w:hAnsi="Calibri" w:cs="Calibri"/>
          <w:color w:val="000000"/>
          <w:kern w:val="0"/>
          <w:sz w:val="22"/>
          <w:szCs w:val="22"/>
          <w14:ligatures w14:val="none"/>
        </w:rPr>
        <w:t>). Twenty-two samples (38.6%) were positive for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Additionally, mitochondrial-target diagnostics were found to be nearly twice as sensitive as ribosomal-target diagnostics, maybe because of their higher copy number, since parasitemia in NP tends to be lower than in humans. This is the first identification of NP infected by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in Paraná and Mato Grosso do Sul States. In conclusion, the findings presented here highlight the importance of using a more sensitive diagnostic protocol to monitor the regions with potential of malaria zoonotic transmission.</w:t>
      </w:r>
    </w:p>
    <w:p w14:paraId="3C5BD0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25-A-2217-ASTMH</w:t>
      </w:r>
    </w:p>
    <w:p w14:paraId="2950E3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1F25D4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Application of COM-B Behaviour change model for perennial malaria chemoprevention (PMC) messages development towards increased uptake of PMC and routine immunization in Nigeria</w:t>
      </w:r>
    </w:p>
    <w:p w14:paraId="095FEE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one of the public health concerns leading to high morbidity and mortality despite being a preventable and treatable disease. To increase the uptake of malaria intervention (MI), social behaviour change communication (SBCC) is crucial to identify and address the barriers to individuals and communities’ adoption of MI. The capability(C), opportunity(O), and motivation(M) Behaviour(B) COM-B model were used for developing Perennial Malaria Chemoprevention (PMC) SBCC messages. This paper presents the findings from a qualitative study based on COM-B model used to explore what needs to change in terms of capacity, opportunity and motivation for increased uptake of PMC and routine immunization (RI). Twelve focus group discussions were conducted with 120 people including caregivers of children under 2 years, pregnant women, men and health workers (HW). Caregivers demonstrated capacity to identify signs and symptoms of malaria that prompt them to seek health care for their children. These include nausea, fever, loss of appetite etc. Findings revealed participants’ perception about the severity of malaria was high as they recognized malaria as a very common and serious health problem. In their views, the high rate of malaria is attributed to poor attitude of people towards the use of insecticide treated mosquito nets. To explore the opportunity, participants were asked if using the preventive malaria medicine can protect children from malaria. Most of them affirmed that Sulfadoxine pyrimethamine for PMC is effective in preventing malaria in children. HW corroborated the assertions made by caregivers. They stated that they have noticed a reduction in malaria cases among children under 2 years after the commencement of PMC. On motivation, participants believed drugs in the government health facilities (HF) to be of high-quality. Enablers to increase access to health services include text messages reminders to mothers of their scheduled appointments, house-to-house campaign on PMC making PMC available in government HF. The study informed the development of the community dialogue SBCC materials to increase the uptake of PMC and RI.</w:t>
      </w:r>
    </w:p>
    <w:p w14:paraId="4053E7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25-A-2218-ASTMH</w:t>
      </w:r>
    </w:p>
    <w:p w14:paraId="6DF5EF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0F0050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Trends in socioeconomic disparities in children’s neurocognitive development before and during primary education: Evidence from Bagamoyo District, Tanzania</w:t>
      </w:r>
    </w:p>
    <w:p w14:paraId="1A2595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 low and middle-income countries, evidence of the relationship between socioeconomic status (SES) and neurocognitive development over the pediatric lifespan remains limited. Understanding when and how socioeconomic disparities in neurocognitive development emerge is critical for designing effective interventions. We assessed 590 randomly selected children aged 6 months to 10 years residing in a low-malaria-endemic region of Tanzania to assess socioeconomic disparities in neurocognitive function during childhood, with a particular focus on the preschool and primary school periods. Poverty status was determined using principle component analysis of household assets. Neurocognitive functioning was assessed using a locally validated neurocognitive battery. Age-specific standardized neurocognitive scores were regressed on poverty tertiles (wealthiest (reference group), middle, poorest) across three age brackets: early childhood (0-3 years), preschool (4-6 years), and school age (7-9 years). Overall, the wealthiest children had higher neurocognitive development scores than those from the poorest tertile. Age-stratified analyses showed no significant disparities in early childhood (0-3 years). Pre-school children from the poorest tertile scored lower than those in the top tertile (-0.39 SD; 95% CI: -0.71, -0.08), while middle tertile children were on average 0.2 SD below the top tertile (95% CI: -0.54, 0.16). At school age (7-9 years), the gap for the poorest persisted (-0.41 SD, 95% CI: -0.82, 0), while scores in the middle tertile scores were similar to the wealthiest (-0.04 SD, 95% CI: -0.44, 0.36). Our findings suggest that schooling may help reduce disparities in neurocognitive development between children in the wealthiest and middle tertile, but does not decrease the gap for the poorest. These findings underscore </w:t>
      </w:r>
      <w:r w:rsidRPr="00FE5D1C">
        <w:rPr>
          <w:rFonts w:ascii="Calibri" w:eastAsia="Times New Roman" w:hAnsi="Calibri" w:cs="Calibri"/>
          <w:color w:val="000000"/>
          <w:kern w:val="0"/>
          <w:sz w:val="22"/>
          <w:szCs w:val="22"/>
          <w14:ligatures w14:val="none"/>
        </w:rPr>
        <w:lastRenderedPageBreak/>
        <w:t>the need for targeted early childhood and educational interventions that prioritize children from low-SES backgrounds to prevent lifelong inequities.</w:t>
      </w:r>
    </w:p>
    <w:p w14:paraId="2EF2EB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25-A-2219-ASTMH</w:t>
      </w:r>
    </w:p>
    <w:p w14:paraId="384CA0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6EB7A7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Formative Research for Adapting the Cholera-Hospital-Based-Intervention-for-7-Days (CHoBI7) Water Treatment and Hygiene Mobile Health Program for Scalable Delivery in Rural Bangladesh</w:t>
      </w:r>
    </w:p>
    <w:p w14:paraId="16942E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and hygiene (WASH) programs promoting water treatment and handwashing with soap can significantly reduce diarrheal disease incidence. The Cholera-Hospital-based-Intervention-for-7-Days (CHoBI7) mobile health (mHealth) program is a targeted water treatment and handwashing with soap hygiene program for household members of diarrhea patients. The program is healthcare facility initiated and reinforced through weekly voice and text messages, and a recent RCT in Dhaka, Bangladesh found that this intervention significantly reduced diarrhea prevalence. The objective of this present study was to adapt the CHoBI7 mHealth program for scalable implementation in rural Bangladesh and promote construction of a self-made handwashing station. We conducted a 3-month multi-phase pilot with 275 recipients, including 25 semi-structured interviews and 2 focus group discussions with intervention recipients and program implementers. High appropriateness, acceptability, and adoption of the CHoBI7 Scale-up program was observed, with most recipients constructing self-made handwashing stations (90%) and chlorinating drinking water. At the Day 7 follow-up, 56% of households had &gt;0.2 mg/L free chlorine in their drinking water and observed handwashing with soap was high in all phases (&gt;50%). At the recipient level, facilitators included videos on handwashing station construction and the use of voice and text messages which served as reminders for promoted behaviors. Barriers included perceptions that self-made iron filters removed microbial contamination from water, negating the need for chlorine treatment, and that mobile messages were not always shared among household members. High patient volume in healthcare facilities and high iron in groundwater which reduced chlorination effectiveness were also barriers. These findings provide valuable insights into the process of adapting the CHoBI7 mHealth program for a rural setting with a lower-cost, scalable design, and demonstrate the important role of formative research for tailoring WASH programs for infectious disease control to new contexts.</w:t>
      </w:r>
    </w:p>
    <w:p w14:paraId="4DCAB7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25-A-2220-ASTMH</w:t>
      </w:r>
    </w:p>
    <w:p w14:paraId="74F479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61D6C8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Determination of parasitological and entomological parameters of malaria transmission in school aged children in Kolle after the implementation of Seasonal Chemo Prevention as a national malaria prevention strategy in Mali.</w:t>
      </w:r>
    </w:p>
    <w:p w14:paraId="07E2C2D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 Kolle is a malaria research site since 1998. Several clinical trials have beenconducted at this site. In the current malaria control programs, there is very little data onmalaria's parasitological and entomological parameters in the school-age children’s group.Updating the epidemiological parameters of malaria in school-age children could guide theresearch questions for future research protocols.The main objective is to evaluate the entomological and parasitological parameters of malariatransmission at the Kolle primary school.</w:t>
      </w:r>
      <w:r w:rsidRPr="00FE5D1C">
        <w:rPr>
          <w:rFonts w:ascii="Calibri" w:eastAsia="Times New Roman" w:hAnsi="Calibri" w:cs="Calibri"/>
          <w:b/>
          <w:bCs/>
          <w:color w:val="000000"/>
          <w:kern w:val="0"/>
          <w:sz w:val="22"/>
          <w:szCs w:val="22"/>
          <w14:ligatures w14:val="none"/>
        </w:rPr>
        <w:t>Methodology:</w:t>
      </w:r>
      <w:r w:rsidRPr="00FE5D1C">
        <w:rPr>
          <w:rFonts w:ascii="Calibri" w:eastAsia="Times New Roman" w:hAnsi="Calibri" w:cs="Calibri"/>
          <w:color w:val="000000"/>
          <w:kern w:val="0"/>
          <w:sz w:val="22"/>
          <w:szCs w:val="22"/>
          <w14:ligatures w14:val="none"/>
        </w:rPr>
        <w:t> A cross-sectional survey was carried out in Kollé, a village in the rural communeof Bancoumana. The main objective was to evaluate the parasitological parameters of malariatransmission at the Kollé primary school.To achieve these objectives, 205 children from different age groups from first to sixth gradeand from kindergarten were included to take part in the cross-sectional survey. The study areaconsisted of all pupils in the first cycle and pre-school at the Kollé basic school.The choice of the primary school was justified by its accessibility at the time of the survey andthe fact that most control interventions are focused on children under 5 and pregnant women. Itwas therefore deemed necessary to know the parasitological parameters of school-age childrenfor future decision-making.The survey took place in January 2023, during the period of low malaria transmission. Thesurvey provided a better estimate of the prevalence of malaria infection in schools and pre-</w:t>
      </w:r>
      <w:r w:rsidRPr="00FE5D1C">
        <w:rPr>
          <w:rFonts w:ascii="Calibri" w:eastAsia="Times New Roman" w:hAnsi="Calibri" w:cs="Calibri"/>
          <w:color w:val="000000"/>
          <w:kern w:val="0"/>
          <w:sz w:val="22"/>
          <w:szCs w:val="22"/>
          <w14:ligatures w14:val="none"/>
        </w:rPr>
        <w:lastRenderedPageBreak/>
        <w:t>schools.</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The prevalence of malaria infection obtained during this cross-sectional survey was19.0%. Children aged 10 and 12 years were the most affected (24.3%,) followed by childrenunder 5 years (22.2%). The proportion of gametocyte carriage varied with age and was higherin with children under 5 years of age (11.1 %).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i/>
          <w:iCs/>
          <w:color w:val="000000"/>
          <w:kern w:val="0"/>
          <w:sz w:val="22"/>
          <w:szCs w:val="22"/>
          <w14:ligatures w14:val="none"/>
        </w:rPr>
        <w:t> P. falciparum</w:t>
      </w:r>
      <w:r w:rsidRPr="00FE5D1C">
        <w:rPr>
          <w:rFonts w:ascii="Calibri" w:eastAsia="Times New Roman" w:hAnsi="Calibri" w:cs="Calibri"/>
          <w:color w:val="000000"/>
          <w:kern w:val="0"/>
          <w:sz w:val="22"/>
          <w:szCs w:val="22"/>
          <w14:ligatures w14:val="none"/>
        </w:rPr>
        <w:t> malaria is still the dominant parasite in endemic areas of Kolle, andolder children are becoming more vulnerable to malaria infection.</w:t>
      </w:r>
    </w:p>
    <w:p w14:paraId="215935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25-A-2222-ASTMH</w:t>
      </w:r>
    </w:p>
    <w:p w14:paraId="76570A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0439B0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Detection of Circulating Vaccine Derived Poliovirus Type2 in Wastewater with No Clinical Cases in Ghana, 2024</w:t>
      </w:r>
    </w:p>
    <w:p w14:paraId="3438EC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global polio eradication initiative identifies delayed detection of poliovirus transmission as one of the greatest risks to the programme. Since 2018, the initiative has invested heavily in environmental surveillance (ES) in Ghana as a supplement to surveillance for cases of Acute Flaccid Paralysis (AFP). Here, we describe the emergence of circulating vaccine derived poliovirus type-2 (cVDPV2) with no clinical cases in Ghana. As part of routine surveillance, AFP and ES samples are collected and received in the polio laboratory at the Noguchi Memorial Institute for Medical Research for poliovirus testing. ES samples were collected using the grab method and transported to the lab in reverse cold-chain. 500ml of raw sewage was concentrated using the Two-Phase separation method for virus isolation using L20B and RD cell lines. Intratypic differentiation assay (ITD) by rRT-PCR was done on positive cultures using degenerate primers to identify poliovirus serotypes. VP1 region of the poliovirus was sequenced. Sequenced data obtained were classified and outbreak investigation was followed. A total 1231 AFP cases and 104 ES samples were processed between January to August 2024. cVDPV2 identified from the Koforidua ES site (ENV-GHA-EAS-NEJ-KOF-24-009), was genetically similar to reported cVDPV2 isolate circulating in Niger (ENV-NIG-MAR-MAR-SRD-24-016), and linked to cVDPV2 sequence from Nigeria of the emergence group NIE-ZAS-1. Following the outbreak investigation, healthy children samples and ES samples collected. There was no evidence of community transmission in the human sample tested. Of the additional five (5) sewage samples collected, 20% yielded a Sabin-like virus (SL3) and 80% yielded non-polio enteroviruses. cVDPV2 was detected in environmental sample. No cVDPV2 was observed in clinical cases. In response to the event, active surveillance for acute flaccid paralysis (AFP) was conducted and a vaccination campaign with the novel Oral Polio Vaccine type 2 (nOPV2) has been enrolled help provide herd immunity to the country.</w:t>
      </w:r>
    </w:p>
    <w:p w14:paraId="06D4A0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25-A-2223-ASTMH</w:t>
      </w:r>
    </w:p>
    <w:p w14:paraId="261827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07A700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Rift Valley Fever in Somalia: A neglected zoonotic disease with pandemic potential</w:t>
      </w:r>
    </w:p>
    <w:p w14:paraId="2CC223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Rift Valley Fever (RVF) is a mosquito-borne zoonotic disease threatening human and animal health, trade, and global biosafety. Despite advancements in understanding the RVF virus (RVFV), gaps in surveillance, prevention, and control remain, leaving high-risk areas like Somalia vulnerable to silent circulation and cross-border transmission. Somalia, a nation heavily reliant on livestock, has not reported an RVF outbreak since 2007. However, the risk of silent viral circulation remains high, increasing the potential for both regional and global transmission. This study assessed the circulation of RVFV in Dhobley, a critical livestock trade corridor in southern Somalia, following a confirmed RVF outbreak in neighboring Kenya in 2021. Blood samples from 142 ruminants (54 goats, 54 sheep, and 34 cattle) were tested for RVFV-specific IgG and IgM antibodies using ELISA, with RT-PCR performed on IgM-positive samples. Results showed a 4.9% seroprevalence, with higher rates in goats (7.4%) and cattle (5.9%), while all sheep tested negative. The detection of IgM antibodies (1.4%) suggests recent viral exposure, although no RT-PCR-positive cases were detected, likely due to the short viremic period or RNA degradation during transport. Despite serological evidence, the absence of reported outbreaks indicates silent circulation, underreporting, limited surveillance infrastructure, and critical gaps in early detection. With Somalia’s livestock exports exceeding $1 billion in 2023 alone and the growing impact of </w:t>
      </w:r>
      <w:r w:rsidRPr="00FE5D1C">
        <w:rPr>
          <w:rFonts w:ascii="Calibri" w:eastAsia="Times New Roman" w:hAnsi="Calibri" w:cs="Calibri"/>
          <w:color w:val="000000"/>
          <w:kern w:val="0"/>
          <w:sz w:val="22"/>
          <w:szCs w:val="22"/>
          <w14:ligatures w14:val="none"/>
        </w:rPr>
        <w:lastRenderedPageBreak/>
        <w:t>climate change on vector populations, RVF poses a significant threat not only to Somalia but also to neighboring countries and beyond, making it a critical global health security concern. Strengthening cross-border surveillance, integrating climate and vector data for outbreak prediction, expanding livestock vaccination, and investing in diagnostics are essential steps to mitigate the risk of future outbreaks. With climate change accelerating vector expansion and trade amplifying RVF transmission, urgent action is needed to prevent regional resurgence and mitigate pandemic potential.</w:t>
      </w:r>
    </w:p>
    <w:p w14:paraId="2ECA1D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25-A-2224-ASTMH</w:t>
      </w:r>
    </w:p>
    <w:p w14:paraId="1AE41F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3C8BCA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Impact of seasonal malaria chemoprevention on incidence of malaria among children under five years in six districts of Karamoja region Uganda.</w:t>
      </w:r>
    </w:p>
    <w:p w14:paraId="59F0C8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Seasonal malaria chemoprevention (SMC) aims to prevent malaria among children at risk of severe malaria living in areas with seasonal transmission. SMC has been demonstrated to be a highly acceptable, feasible and effective malaria intervention in Sahel and sub-Sahel countries in Africa including Uganda. This study assessed the effect of SMC with sulfadoxine-pyrimethamine plus amodiaquine (SPAQ) on malaria incidence among children under 5 years of age in six districts of Karamoja subregion located in Northeastern Uganda. A pre-post study design was applied and mixed-effects multilevel negative binomial regression models were used to estimate the impact of SMC on malaria incidence between the pre-SMC period (June-September 2019-2021) and SMC period (June-September 2022-2024). The monthly outpatient (uncomplicated) malaria data confirmed either by rapid diagnostic test (RDT) or microscopy for children under 5 years for all reporting Health facilities in the six districts was extracted from the Uganda Ministry of Health District Health Information System 2 (DHIS2). The incidences of uncomplicated malaria per 1000 children for under 5 years was computed for the periods before and during SMC implementation. The average incidence of uncomplicated malaria was 91 (95% CI: 79, 102) and 63 (95% CI 55, 70) cases per 1000 children for 2019-2021 and 2022-2024 respectively. This represents a 31% [IRR: 0.693, 95% CI: 0.574, 0.838, p-value: &lt;0.001] reduction in the incidence of malaria, among children under five, from the pre-SMC to Post-SMC period. Incidence of all-cause fever per 1,000 children reduced from 120 (95% CI: 108, 133) in pre-SMC period to 109 (95% CI: 100, 118) in the post-SMC period; representing a 9% [IRR: 0.911, 95% CI: 0.793, 1.047, p-value: 0.189] reduction. This study demonstrated a significant reduction in the incidence of uncomplicated malaria following the introduction of SMC.</w:t>
      </w:r>
    </w:p>
    <w:p w14:paraId="053D85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25-A-2225-ASTMH</w:t>
      </w:r>
    </w:p>
    <w:p w14:paraId="2424327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1BB17E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Modelling the spatial distribution of blackfly entomological indices to guide onchocerciasis control</w:t>
      </w:r>
    </w:p>
    <w:p w14:paraId="03521B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Entomological surveillance for onchocerciasis has traditionally focused on collecting host-seeking adult female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blackflies proximate to breeding sites in fast-flowing rivers and rapids and examining them for </w:t>
      </w:r>
      <w:r w:rsidRPr="00FE5D1C">
        <w:rPr>
          <w:rFonts w:ascii="Calibri" w:eastAsia="Times New Roman" w:hAnsi="Calibri" w:cs="Calibri"/>
          <w:i/>
          <w:iCs/>
          <w:color w:val="000000"/>
          <w:kern w:val="0"/>
          <w:sz w:val="22"/>
          <w:szCs w:val="22"/>
          <w14:ligatures w14:val="none"/>
        </w:rPr>
        <w:t>Onchocerca volvulus</w:t>
      </w:r>
      <w:r w:rsidRPr="00FE5D1C">
        <w:rPr>
          <w:rFonts w:ascii="Calibri" w:eastAsia="Times New Roman" w:hAnsi="Calibri" w:cs="Calibri"/>
          <w:color w:val="000000"/>
          <w:kern w:val="0"/>
          <w:sz w:val="22"/>
          <w:szCs w:val="22"/>
          <w14:ligatures w14:val="none"/>
        </w:rPr>
        <w:t xml:space="preserve"> infection. Yet, this approach fails to account for transmission risk in human communities further away. Blackflies can disperse hundreds of kilometres from their breeding sites, and exposure risk is not limited to the immediate vicinity around the breeding site. Previous studies have reported inconsistent patterns in blackfly abundance and infection rates with distance from breeding sites, underscoring the need for improved understanding of the spatial distribution of these indices. We present a novel geospatial modelling framework that maps and predicts key entomological indices, including vector abundance, biting rates and parous rates, within the area around a breeding site. The model uses a hierarchical spatial structure to represent distance-related patterns in blackfly presence, while incorporating environmental covariates such as land cover, rainfall, vegetation density and temperature. This flexible approach allows for estimating entomological indices across unsampled locations. We applied the model to data collected in Bétérou, Benin, during the 2023 and 2024 rainy seasons. Over an eight-week period in each year, Human Landing Catch (HLC) collections were conducted at the breeding site and at 40 randomly selected locations within a 20km radius of the </w:t>
      </w:r>
      <w:r w:rsidRPr="00FE5D1C">
        <w:rPr>
          <w:rFonts w:ascii="Calibri" w:eastAsia="Times New Roman" w:hAnsi="Calibri" w:cs="Calibri"/>
          <w:color w:val="000000"/>
          <w:kern w:val="0"/>
          <w:sz w:val="22"/>
          <w:szCs w:val="22"/>
          <w14:ligatures w14:val="none"/>
        </w:rPr>
        <w:lastRenderedPageBreak/>
        <w:t>breeding site. The resulting predictive maps show spatial gradients in blackfly activity, with preliminary results indicating that this is influenced by both environmental conditions and distance from the breeding site. This work provides a scalable tool to enhance vector surveillance and guide targeted interventions. By improving understanding of blackfly dispersal, the model supports more efficient resource allocation for blackfly sampling. Additionally, by predicting spatial variations in biting rates, the model may aid in elimination modelling, thus contributing to onchocerciasis elimination goals.</w:t>
      </w:r>
    </w:p>
    <w:p w14:paraId="7FF6FE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25-A-2227-ASTMH</w:t>
      </w:r>
    </w:p>
    <w:p w14:paraId="418D98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702E41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Evaluating the Efficacy of the Praziquantel Dose Pole for Schistosomiasis Treatment A Multi-Country Systematic Review</w:t>
      </w:r>
    </w:p>
    <w:p w14:paraId="3993EF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is a neglected tropical disease targeted for elimination by 2030 under the WHO's roadmap. Praziquantel, administered via the dose pole which estimates the number of tablets needed for treatment according to an individual's height, has been used in preventive chemotherapy (PC) for 25 years, particularly for school-aged children (SAC). In 2022, PC was required for schistosomiasis in 50 countries for a total of 264.3 million people, including 129.4 million adults. This systematic review evaluates the accuracy of the praziquantel dose pole across 64,212 individuals from 21 countries, focusing on its efficacy in delivering optimal, acceptable, insufficient, and excessive doses during school-based and community-wide treatment campaigns for schistosomiasis. The search strategy included the terms and strings “dose pole” OR “tablet pole” and “praziquantel” AND “schistosomiasis” in four databases (U.S. National Institutes of Health's Library (PubMed), Scopus, LILACS, and Embase) ranging from 1999 to September 2024. The dose pole demonstrated 93% accuracy in providing optimal/acceptable doses (30-60mg/Kg) to SAC. However, its effectiveness declined for adults (15-95 years), with an average of 18% receiving insufficient doses (&lt;30mg/Kg), ranging from 12% to 34% in age-matched (16-23 and 15-49) studies. These discrepancies arise from misalignments between adult body metrics and the dose pole’s height-based dosing, largely due to overweight and obesity, leading to underdosing. While the dose pole remains effective for SAC, its limitations for adults necessitate urgent adaptation or alternative dosing strategies to ensure equitable and effective treatment across all age groups.</w:t>
      </w:r>
    </w:p>
    <w:p w14:paraId="7B4FEC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25-A-2228-ASTMH</w:t>
      </w:r>
    </w:p>
    <w:p w14:paraId="443B9B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3DB67A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Antibiotic Usage by Village Doctors for Pediatric Diarrhea in Rural Bangladesh: A Qualitative Study</w:t>
      </w:r>
    </w:p>
    <w:p w14:paraId="1C8105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Antibiotic resistance is a major public health threat, requiring coordinated antibiotic stewardship strategies to curb its spread. In low- and middle-income countries, informal healthcare providers, like “village doctors” in Bangladesh, often fill gaps left by a shortage of formally trained healthcare professionals and may dispense antibiotics more indiscriminately. Village doctors often serve as vital sources of antibiotics for various illnesses, including pediatric diarrhea, in rural Bangladesh. We interviewed 18 village doctors in the Chattogram district of Bangladesh to explore factors influencing antibiotic use and dispensing practices for treating pediatric diarrhea by village doctors. Using a thematic analysis approach grounded in the Social Ecological Framework, we identified key drivers across multiple levels. Individually, village doctor clinical knowledge, training, and personal beliefs shape their practices. At the interpersonal level, patient and caregiver expectations and demands as well as pharmaceutical promotional activities influence dispensing practices. Organizational factors, such as economic incentives and limited resources, also shape antibiotic use habits. Cultural beliefs further impact antibiotic use within the community, demonstrating how local norms and traditions can affect clinical decision-making. At the policy level, lack of regulation and oversight creates an environment conducive to the misuse of antibiotics by these informal providers. Our findings highlight the intricate interaction of various factors that contribute to inadequate antibiotic dispensing practices among village </w:t>
      </w:r>
      <w:r w:rsidRPr="00FE5D1C">
        <w:rPr>
          <w:rFonts w:ascii="Calibri" w:eastAsia="Times New Roman" w:hAnsi="Calibri" w:cs="Calibri"/>
          <w:color w:val="000000"/>
          <w:kern w:val="0"/>
          <w:sz w:val="22"/>
          <w:szCs w:val="22"/>
          <w14:ligatures w14:val="none"/>
        </w:rPr>
        <w:lastRenderedPageBreak/>
        <w:t>doctors and emphasizes the need for targeted interventions to enhance clinical knowledge, and address economic, social, and regulatory antibiotic stewardship barriers.</w:t>
      </w:r>
    </w:p>
    <w:p w14:paraId="1CAC61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25-A-2229-ASTMH</w:t>
      </w:r>
    </w:p>
    <w:p w14:paraId="1C2DDC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266D78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Levels of binding antibodies to SARS-CoV-2 variants elicited by natural infection and different COVID-19 vaccines in a sub-Saharan African population</w:t>
      </w:r>
    </w:p>
    <w:p w14:paraId="50BC02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Differences in antibody binding patterns against SARS-CoV-2 variants have been observed and can be influenced by the primary exposure variant. Since the circulation of variants and types of vaccines used for immunization differ by country, evaluation of the immune responses in different populations is necessary. Levels of antibody binding to the Spike protein from nine different SARS-CoV-2 variants were measured in serum samples from participants from 4 African countries (Democratic Republic of Congo, Guinea, Liberia, and Mali) who were previously infected (seropositive) or uninfected (seronegative). Qualitative and quantitative SARS-CoV-2 variant Spike antibody binding was measured by an electrochemiluminescence assay (Meso Scale Discovery MSD-10 plex). Samples from participants were collected before vaccination (V1) and 2 months after completion of vaccine regimen (V2) at a time when the Delta variant was dominant. Samples from 96 participants were analyzed in 6 groups, based on SARS-CoV-2 positive or negative V1 serostatus (measured by Quanterix anti-Spike IgG) and type of vaccine received (mRNA, viral vector, inactivated virus platforms). At V1, there was significantly higher antibody binding in seropositive samples compared to seronegative samples across all variants and for pre-Omicron (Wuhan, Alpha, Beta, Delta) compared to Omicron variants. At V2, the mRNA vaccine platforms had significantly higher binding across all variants and there was no difference by serostatus. Binding changes between V1 and V2 were higher for the seronegative group across all variants and differed by vaccine platform. Our data provide insight into antibody binding to SARS-CoV-2 variants elicited by natural infection and different COVID-19 vaccines in countries not previously considered. These findings show conserved binding patterns to pre-Omicron variants were not influenced by prior infection and highlight differences in binding levels between vaccine platforms.</w:t>
      </w:r>
    </w:p>
    <w:p w14:paraId="57AF5D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25-A-2230-ASTMH</w:t>
      </w:r>
    </w:p>
    <w:p w14:paraId="7D9ACC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369F7F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Assessing Face Washing Behaviour Change: Findings from the Stronger-SAFE Cluster-Randomised Controlled Trial in Oromia, Ethiopia</w:t>
      </w:r>
    </w:p>
    <w:p w14:paraId="1FF1F2F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Achieving trachoma elimination in Ethiopia, the country with the highest burden of trachoma, necessitates effective transmission interruption strategies. Facial cleanliness (F) interventions designed to interrupt transmission lack robust evidence of effectiveness. This study evaluated the impact of the community-based face washing promotion intervention delivered in the Stronger SAFE trial on face washing behaviours in a trachoma-endemic region of Ethiopia.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A cluster-randomised controlled trial was conducted in rural Oromia, Ethiopia between March 2021 and May 2024. In total, 68 clusters were randomised to standard or enhanced trachoma control strategies, including enhanced F interventions involving wash station provision and multi-modal, theory-based activities to promote face washing with soap. Primary outcomes (face washing frequency and soap use), facial cleanliness (qualitative metric and qPHAT), and behavioural determinants were assessed at baseline, 3-, and 24-months post-intervention via structured observation and surveys. </w:t>
      </w:r>
      <w:r w:rsidRPr="00FE5D1C">
        <w:rPr>
          <w:rFonts w:ascii="Calibri" w:eastAsia="Times New Roman" w:hAnsi="Calibri" w:cs="Calibri"/>
          <w:b/>
          <w:bCs/>
          <w:color w:val="000000"/>
          <w:kern w:val="0"/>
          <w:sz w:val="22"/>
          <w:szCs w:val="22"/>
          <w14:ligatures w14:val="none"/>
        </w:rPr>
        <w:t>Findings</w:t>
      </w:r>
      <w:r w:rsidRPr="00FE5D1C">
        <w:rPr>
          <w:rFonts w:ascii="Calibri" w:eastAsia="Times New Roman" w:hAnsi="Calibri" w:cs="Calibri"/>
          <w:color w:val="000000"/>
          <w:kern w:val="0"/>
          <w:sz w:val="22"/>
          <w:szCs w:val="22"/>
          <w14:ligatures w14:val="none"/>
        </w:rPr>
        <w:t> The intervention arm used soap more frequently during face washing at 24 months (baseline-adjusted prevalence difference 21.0%, 95% CI 11.9-30.2%), particularly among children. A small increase in overall face washing frequency was observed (7.3%, 95% CI 0.5-14.2%). At 24 months, 84.3% of households were classified as water insecure, averaging 9.3 litres of water per capita per day; nearly half of intervention households struggled to maintain water and soap at wash stations. </w:t>
      </w:r>
      <w:r w:rsidRPr="00FE5D1C">
        <w:rPr>
          <w:rFonts w:ascii="Calibri" w:eastAsia="Times New Roman" w:hAnsi="Calibri" w:cs="Calibri"/>
          <w:b/>
          <w:bCs/>
          <w:color w:val="000000"/>
          <w:kern w:val="0"/>
          <w:sz w:val="22"/>
          <w:szCs w:val="22"/>
          <w14:ligatures w14:val="none"/>
        </w:rPr>
        <w:t>Interpretation</w:t>
      </w:r>
      <w:r w:rsidRPr="00FE5D1C">
        <w:rPr>
          <w:rFonts w:ascii="Calibri" w:eastAsia="Times New Roman" w:hAnsi="Calibri" w:cs="Calibri"/>
          <w:color w:val="000000"/>
          <w:kern w:val="0"/>
          <w:sz w:val="22"/>
          <w:szCs w:val="22"/>
          <w14:ligatures w14:val="none"/>
        </w:rPr>
        <w:t xml:space="preserve"> The intervention effectively promoted soap use during face washing. However, limited impact on washing frequency highlights the challenge of behavioural change in water-scarce settings. Future interventions </w:t>
      </w:r>
      <w:r w:rsidRPr="00FE5D1C">
        <w:rPr>
          <w:rFonts w:ascii="Calibri" w:eastAsia="Times New Roman" w:hAnsi="Calibri" w:cs="Calibri"/>
          <w:color w:val="000000"/>
          <w:kern w:val="0"/>
          <w:sz w:val="22"/>
          <w:szCs w:val="22"/>
          <w14:ligatures w14:val="none"/>
        </w:rPr>
        <w:lastRenderedPageBreak/>
        <w:t>must address water access and develop strategies to ensure long-term adherence. </w:t>
      </w:r>
      <w:r w:rsidRPr="00FE5D1C">
        <w:rPr>
          <w:rFonts w:ascii="Calibri" w:eastAsia="Times New Roman" w:hAnsi="Calibri" w:cs="Calibri"/>
          <w:b/>
          <w:bCs/>
          <w:color w:val="000000"/>
          <w:kern w:val="0"/>
          <w:sz w:val="22"/>
          <w:szCs w:val="22"/>
          <w14:ligatures w14:val="none"/>
        </w:rPr>
        <w:t>Funding</w:t>
      </w:r>
      <w:r w:rsidRPr="00FE5D1C">
        <w:rPr>
          <w:rFonts w:ascii="Calibri" w:eastAsia="Times New Roman" w:hAnsi="Calibri" w:cs="Calibri"/>
          <w:color w:val="000000"/>
          <w:kern w:val="0"/>
          <w:sz w:val="22"/>
          <w:szCs w:val="22"/>
          <w14:ligatures w14:val="none"/>
        </w:rPr>
        <w:t> This work was funded by a Wellcome Trust Collaborative Award (206275/Z/17/Z) and the Children’s Investment Fund Foundation (102653IR12).</w:t>
      </w:r>
    </w:p>
    <w:p w14:paraId="200346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25-A-2231-ASTMH</w:t>
      </w:r>
    </w:p>
    <w:p w14:paraId="38B742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697F25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Prevalence of soil transmitted Helminths infections among primary school children in Amichi Community, Nnewi South, Anambra State.</w:t>
      </w:r>
    </w:p>
    <w:p w14:paraId="4DC239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Soil transmitted helminths infections (STHS) represent major public health problem in a poor and developing countries leading to global burden. This is a Cross-Sectional descriptive study designed to investigate the Prevalence of Soil Transmitted Helminths Infections among Primary School Children in Amichi Community, Nnewi South, Anambra State, Nigeria. A total of 90 subjects (39 males and 51 females) aged between 1 and10 years were recruited randomly from four primary schools in Amichi namely Amichi central school, Isoke-Ndida central school, Amichi, Eziama central school Amichi and Uruagu central school for this study. Standard concentration method was used for the laboratory analysis. The result showed that the prevalence rate of soil-transmitted helminths infection were highest in Amichi central school, Eziama central school Amichi and Uruagu central school, Amichi were 28.6% in each case but least in Isoke-Ndida central school, Amichi with 14.3 %. The female pupils had the highest prevalence rate of 61.9% and the male 38 %). Prevalence was highest among subjects aged between 1 and 5 years (57.1%).Bush method had the highest rate of prevalence of 47.6%, followed by pit latrines with prevalence of 42.9% while water closet system had the lowest infection rate with prevalence of 9.5%. The total prevalence of soil transmitted helminths were: </w:t>
      </w:r>
      <w:r w:rsidRPr="00FE5D1C">
        <w:rPr>
          <w:rFonts w:ascii="Calibri" w:eastAsia="Times New Roman" w:hAnsi="Calibri" w:cs="Calibri"/>
          <w:i/>
          <w:iCs/>
          <w:color w:val="000000"/>
          <w:kern w:val="0"/>
          <w:sz w:val="22"/>
          <w:szCs w:val="22"/>
          <w14:ligatures w14:val="none"/>
        </w:rPr>
        <w:t>Ascaris lumbricoides </w:t>
      </w:r>
      <w:r w:rsidRPr="00FE5D1C">
        <w:rPr>
          <w:rFonts w:ascii="Calibri" w:eastAsia="Times New Roman" w:hAnsi="Calibri" w:cs="Calibri"/>
          <w:color w:val="000000"/>
          <w:kern w:val="0"/>
          <w:sz w:val="22"/>
          <w:szCs w:val="22"/>
          <w14:ligatures w14:val="none"/>
        </w:rPr>
        <w:t>(10%), hookworm (3.3%). </w:t>
      </w:r>
      <w:r w:rsidRPr="00FE5D1C">
        <w:rPr>
          <w:rFonts w:ascii="Calibri" w:eastAsia="Times New Roman" w:hAnsi="Calibri" w:cs="Calibri"/>
          <w:i/>
          <w:iCs/>
          <w:color w:val="000000"/>
          <w:kern w:val="0"/>
          <w:sz w:val="22"/>
          <w:szCs w:val="22"/>
          <w14:ligatures w14:val="none"/>
        </w:rPr>
        <w:t>E. histolytica </w:t>
      </w:r>
      <w:r w:rsidRPr="00FE5D1C">
        <w:rPr>
          <w:rFonts w:ascii="Calibri" w:eastAsia="Times New Roman" w:hAnsi="Calibri" w:cs="Calibri"/>
          <w:color w:val="000000"/>
          <w:kern w:val="0"/>
          <w:sz w:val="22"/>
          <w:szCs w:val="22"/>
          <w14:ligatures w14:val="none"/>
        </w:rPr>
        <w:t>(10 %). In conclusion, the provision of modern day toilet system to schools alongside with public awareness campaign on personal hygiene should be encouraged as this will facilitate the reduction of soil transmitted helminths infection.</w:t>
      </w:r>
    </w:p>
    <w:p w14:paraId="2F16F5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25-A-2233-ASTMH</w:t>
      </w:r>
    </w:p>
    <w:p w14:paraId="1ECEED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037D6B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Epidemiology of Urinary Schistosomiasis Concomitant with Bacterial Infections among School Children in the Sekyere South District of the Ashanti Region, Ghana.</w:t>
      </w:r>
    </w:p>
    <w:p w14:paraId="7D8A8B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This study investigated the prevalence of urinary schistosomiasis and its co-infection with bacterial pathogens among schoolchildren in the Sekyere South District of the Ashanti Region, Ghana. A cross-sectional design was employed, involving 312 pupils randomly selected from six basic schools across three communities. Data collection included structured questionnaires and laboratory analysis of urine samples to detect </w:t>
      </w:r>
      <w:r w:rsidRPr="00FE5D1C">
        <w:rPr>
          <w:rFonts w:ascii="Calibri" w:eastAsia="Times New Roman" w:hAnsi="Calibri" w:cs="Calibri"/>
          <w:i/>
          <w:iCs/>
          <w:color w:val="000000"/>
          <w:kern w:val="0"/>
          <w:sz w:val="22"/>
          <w:szCs w:val="22"/>
          <w14:ligatures w14:val="none"/>
        </w:rPr>
        <w:t>Schistosoma haematobium</w:t>
      </w:r>
      <w:r w:rsidRPr="00FE5D1C">
        <w:rPr>
          <w:rFonts w:ascii="Calibri" w:eastAsia="Times New Roman" w:hAnsi="Calibri" w:cs="Calibri"/>
          <w:color w:val="000000"/>
          <w:kern w:val="0"/>
          <w:sz w:val="22"/>
          <w:szCs w:val="22"/>
          <w14:ligatures w14:val="none"/>
        </w:rPr>
        <w:t>. Standard culture techniques and biomedical tests were used to isolate and identify bacterial species. Additionally, an experimental component was conducted using 488 snails collected during the dry season and 455 during the rainy season to assess cercariae shedding rates. The overall prevalence of urinary schistosomiasis among schoolchildren was 27.2%, with significant differences by 11-12 age group (χ²=4.686,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=0.04) and sex—males (37.5%) were more affected than females (16.4%)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=0.01). Water contact activities such as swimming and fishing were strongly associated with infection (χ²=6.491,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=0.01). The cercariae shedding rates were 20.70% and 20.88%, respectively, for the dry and rainy seasons. Key risk factors identified included age (11-12 years: OR=1.42; 12-13 years: OR=1.58), use of pit latrines (OR=1.40), and frequent water contact through swimming (OR=2.00). The prevalence of bacterial infection was 51.6%, with the highest occurrence in children aged 10-11 years (28.0%). The most commonly isolated bacteria were </w:t>
      </w:r>
      <w:r w:rsidRPr="00FE5D1C">
        <w:rPr>
          <w:rFonts w:ascii="Calibri" w:eastAsia="Times New Roman" w:hAnsi="Calibri" w:cs="Calibri"/>
          <w:i/>
          <w:iCs/>
          <w:color w:val="000000"/>
          <w:kern w:val="0"/>
          <w:sz w:val="22"/>
          <w:szCs w:val="22"/>
          <w14:ligatures w14:val="none"/>
        </w:rPr>
        <w:t>Escherichia coli</w:t>
      </w:r>
      <w:r w:rsidRPr="00FE5D1C">
        <w:rPr>
          <w:rFonts w:ascii="Calibri" w:eastAsia="Times New Roman" w:hAnsi="Calibri" w:cs="Calibri"/>
          <w:color w:val="000000"/>
          <w:kern w:val="0"/>
          <w:sz w:val="22"/>
          <w:szCs w:val="22"/>
          <w14:ligatures w14:val="none"/>
        </w:rPr>
        <w:t> (20.5%),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spp. (15.0%), </w:t>
      </w:r>
      <w:r w:rsidRPr="00FE5D1C">
        <w:rPr>
          <w:rFonts w:ascii="Calibri" w:eastAsia="Times New Roman" w:hAnsi="Calibri" w:cs="Calibri"/>
          <w:i/>
          <w:iCs/>
          <w:color w:val="000000"/>
          <w:kern w:val="0"/>
          <w:sz w:val="22"/>
          <w:szCs w:val="22"/>
          <w14:ligatures w14:val="none"/>
        </w:rPr>
        <w:t>Shigella</w:t>
      </w:r>
      <w:r w:rsidRPr="00FE5D1C">
        <w:rPr>
          <w:rFonts w:ascii="Calibri" w:eastAsia="Times New Roman" w:hAnsi="Calibri" w:cs="Calibri"/>
          <w:color w:val="000000"/>
          <w:kern w:val="0"/>
          <w:sz w:val="22"/>
          <w:szCs w:val="22"/>
          <w14:ligatures w14:val="none"/>
        </w:rPr>
        <w:t> spp. (10.2%), and </w:t>
      </w:r>
      <w:r w:rsidRPr="00FE5D1C">
        <w:rPr>
          <w:rFonts w:ascii="Calibri" w:eastAsia="Times New Roman" w:hAnsi="Calibri" w:cs="Calibri"/>
          <w:i/>
          <w:iCs/>
          <w:color w:val="000000"/>
          <w:kern w:val="0"/>
          <w:sz w:val="22"/>
          <w:szCs w:val="22"/>
          <w14:ligatures w14:val="none"/>
        </w:rPr>
        <w:t>Klebsiella</w:t>
      </w:r>
      <w:r w:rsidRPr="00FE5D1C">
        <w:rPr>
          <w:rFonts w:ascii="Calibri" w:eastAsia="Times New Roman" w:hAnsi="Calibri" w:cs="Calibri"/>
          <w:color w:val="000000"/>
          <w:kern w:val="0"/>
          <w:sz w:val="22"/>
          <w:szCs w:val="22"/>
          <w14:ligatures w14:val="none"/>
        </w:rPr>
        <w:t> spp. (5.9%).The findings highlight a significant burden of urinary schistosomiasis and bacterial co-infection among school-aged children in the district. The study recommends targeted community health education campaigns for children and caregivers to raise awareness about urinary schistosomiasis, its risk factors, and prevention strategies.</w:t>
      </w:r>
    </w:p>
    <w:p w14:paraId="4704FA9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25-A-2234-ASTMH</w:t>
      </w:r>
    </w:p>
    <w:p w14:paraId="250D50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0AE6CC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Simulating Malaria Evolution and Impact of Antimalarial Drug Deployment in Burkina Faso Using a Newly Calibrated Individual-Based Model</w:t>
      </w:r>
    </w:p>
    <w:p w14:paraId="534E5E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With over 8 million annual cases reported throughout the entire country, Plasmodium falciparum malaria presents a serious health burden in Burkina Faso. As in every malaria-endemic country, this public health challenge requires sustained attention to reduce the number of deaths and curb possible emergence of drug resistance mutations. To help with decision making on drug-resistance preparation, we simulated malaria transmission and evolution across Burkina Faso using a previously validated individual-based mathematical simulation model. The model was calibrated using 2022 prevalence data from the Malaria Atlas Project, 2024 incidence data from the 75 health districts in Burkina Faso, known seasonal transmission patterns, and drug choice and coverage data from demographic health surveys. We evaluated multiple antimalarial drug deployment strategies, between 2025 and 2030, to evaluate which ones would have the largest preventive effect on delaying the arrival of artemisinin-resistant falciparum genotypes. We evaluated geographic strategies where different artemisinin combination therapies (ACTs) are distributed to different districts, multiple first-line therapy (MFT) approaches, and drug rotation approaches. Our results indicate that certain MFT and rotation strategies, when implemented with high deployment efficiency, have potential to reduce treatment failure rates by 10% to 40% compared to the status quo. Geographically stratified approaches have similar effects at reducing treatment failures but only if accompanied by rotations. These results highlight the importance of preparing for the arrival of artemisinin-resistant genotypes for countries where artemisinin resistance has not yet been detected.</w:t>
      </w:r>
    </w:p>
    <w:p w14:paraId="007921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25-A-2235-ASTMH</w:t>
      </w:r>
    </w:p>
    <w:p w14:paraId="4211D2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40B988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Methaemoglobinaemia in patients with </w:t>
      </w:r>
      <w:r w:rsidRPr="00FE5D1C">
        <w:rPr>
          <w:rFonts w:ascii="Calibri" w:eastAsia="Times New Roman" w:hAnsi="Calibri" w:cs="Calibri"/>
          <w:i/>
          <w:iCs/>
          <w:color w:val="000000"/>
          <w:kern w:val="0"/>
          <w:sz w:val="22"/>
          <w:szCs w:val="22"/>
          <w14:ligatures w14:val="none"/>
        </w:rPr>
        <w:t>Plasmodium vivax </w:t>
      </w:r>
      <w:r w:rsidRPr="00FE5D1C">
        <w:rPr>
          <w:rFonts w:ascii="Calibri" w:eastAsia="Times New Roman" w:hAnsi="Calibri" w:cs="Calibri"/>
          <w:color w:val="000000"/>
          <w:kern w:val="0"/>
          <w:sz w:val="22"/>
          <w:szCs w:val="22"/>
          <w14:ligatures w14:val="none"/>
        </w:rPr>
        <w:t>malaria treated with primaquine</w:t>
      </w:r>
    </w:p>
    <w:p w14:paraId="28A92A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High-dose primaquine (7mg/kg) prevents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relapses but is associated with methaemoglobinaemia. We examined the relationship between primaquine daily dose, methaemoglobin concentrations and clinical symptoms in patients with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enrolled in a large feasibility study in Papua, Indonesia. Patients with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malaria were treated with PQ7 (1 mg/kg/day for 7 days) if their G6PD activity was &gt;70% and PQ14 (0.5 mg/kg/day for 14 days) if they had intermediate deficiency (30-70% activity). On days 3 and 7, vital signs, adverse events, and haemoglobin levels were recorded. Methaemoglobin (MetHb) concentrations were recorded if the patient had any symptoms warranting further clinical review. Following the detection of three methaemoglobinaemia-related adverse events, MetHb was recorded routinely in a sub-cohort of 125 patients. Routine data were available on 84 patients treated with PQ7; the median (IQR) MetHb saturation was 3.8% (1.7%-7.2%) on day 3 and 4.9% (2.1%-9.0%) on day 7. The corresponding values for the 41 patients treated with PQ14 were 2.6% (1.7%-4.3%) and 4.6% (3.4%-7.5%). MetHb saturation was negatively correlated with oxygen saturation (r = -0.77, 95% CI: -0.82 to -0.72) and positively correlated with pulse rate (r = 0.20, 95% CI: 0.07 to 0.31). Nineteen (15.2%) patients had MetHb &gt;10% (17 after PQ7 and 2 after PQ14), 4 (21.1%) of whom reported dizziness. No patients reported breathlessness or central cyanosis. Twenty-one patients from the full cohort (n = 500) had adverse events and were referred for clinical review, of whom three had high MetHb (16.3 to 25.0%). Two occurred on day 3 and one on day 7, all following treatment with PQ7. The oxygen saturation fell to 88-93%. None of the patients reported significant clinical symptoms, but one had peripheral cyanosis. MetHb and oxygen saturation took almost three weeks to normalise. The increase in MetHb saturation following PQ is highly variable, but the risk of patients with &gt;10% is greater in patients treated with a high daily dose. Patients should be monitored for signs of oxygen desaturation and clinical compromise so that primaquine can be promptly ceased.</w:t>
      </w:r>
    </w:p>
    <w:p w14:paraId="7CC194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25-A-2236-ASTMH</w:t>
      </w:r>
    </w:p>
    <w:p w14:paraId="296E60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Malaria - Immunology</w:t>
      </w:r>
    </w:p>
    <w:p w14:paraId="0A89A9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Induction of p53 in human monocytes by </w:t>
      </w:r>
      <w:r w:rsidRPr="00FE5D1C">
        <w:rPr>
          <w:rFonts w:ascii="Calibri" w:eastAsia="Times New Roman" w:hAnsi="Calibri" w:cs="Calibri"/>
          <w:b/>
          <w:bCs/>
          <w:i/>
          <w:iCs/>
          <w:color w:val="000000"/>
          <w:kern w:val="0"/>
          <w:sz w:val="22"/>
          <w:szCs w:val="22"/>
          <w14:ligatures w14:val="none"/>
        </w:rPr>
        <w:t>P. falciparum</w:t>
      </w:r>
      <w:r w:rsidRPr="00FE5D1C">
        <w:rPr>
          <w:rFonts w:ascii="Calibri" w:eastAsia="Times New Roman" w:hAnsi="Calibri" w:cs="Calibri"/>
          <w:b/>
          <w:bCs/>
          <w:color w:val="000000"/>
          <w:kern w:val="0"/>
          <w:sz w:val="22"/>
          <w:szCs w:val="22"/>
          <w14:ligatures w14:val="none"/>
        </w:rPr>
        <w:t> is mediated by IFN-γ derived from γδ T cells</w:t>
      </w:r>
    </w:p>
    <w:p w14:paraId="5E2E38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 previously showed that increased expression of </w:t>
      </w:r>
      <w:r w:rsidRPr="00FE5D1C">
        <w:rPr>
          <w:rFonts w:ascii="Calibri" w:eastAsia="Times New Roman" w:hAnsi="Calibri" w:cs="Calibri"/>
          <w:i/>
          <w:iCs/>
          <w:color w:val="000000"/>
          <w:kern w:val="0"/>
          <w:sz w:val="22"/>
          <w:szCs w:val="22"/>
          <w14:ligatures w14:val="none"/>
        </w:rPr>
        <w:t>TP53</w:t>
      </w:r>
      <w:r w:rsidRPr="00FE5D1C">
        <w:rPr>
          <w:rFonts w:ascii="Calibri" w:eastAsia="Times New Roman" w:hAnsi="Calibri" w:cs="Calibri"/>
          <w:color w:val="000000"/>
          <w:kern w:val="0"/>
          <w:sz w:val="22"/>
          <w:szCs w:val="22"/>
          <w14:ligatures w14:val="none"/>
        </w:rPr>
        <w:t> and its downstream targets in the peripheral blood of uninfected Malian children predicted protection from fever upon incident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infection. We recently found that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consistently upregulates p53 expression in peripheral blood mononuclear cells (PBMCs) in mice in vivo as well as human monocytes in vitro. However, the mechanisms underlying p53 upregulation and its role in malaria-induced inflammation are unclear. We hypothesized that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parasites or parasite-derived products upregulate p53 and downstream pathways in innate immune cells via interferon-dependent mechanisms, affecting responses to both current and subsequent malaria infections. To test this, we co-cultured PBMCs from malaria-naïve donors with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-infected red blood cells (iRBCs) or iRBC-conditioned media and measured intracellular p53 in immune cell subsets by flow cytometry. Both live iRBCs and iRBC-conditioned media induced p53 expression in CD14+ monocytes when co-cultured with other PBMCs but not in isolation, suggesting that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-derived soluble factors can induce p53 in monocytes through signals from other mononuclear cells. Multiplex cytokine analysis of culture supernatants revealed IFN-γ as the primary cytokine produced by non-monocytes. Blockade of IFN-γ during co-culture significantly abrogated p53 induction in monocytes. Depletion of γδ T cells, which produce IFN-γ in response to soluble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phosphoantigens, from malaria-naïve PBMCs reduced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-induced p53 expression in monocytes when compared to non-depleted PBMCs. These data support a mechanism by which p53 induction in monocytes is mediated by IFN-γ from γδ T cells responding to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We are performing single-cell RNA-seq on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-stimulated PBMCs with or without γδ T cells to evaluate whether γδ T cell depletion affects monocyte signaling, differentiation, and function. In ongoing work, we are coupling in vitro</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studies with LysM-Cre-driven </w:t>
      </w:r>
      <w:r w:rsidRPr="00FE5D1C">
        <w:rPr>
          <w:rFonts w:ascii="Calibri" w:eastAsia="Times New Roman" w:hAnsi="Calibri" w:cs="Calibri"/>
          <w:i/>
          <w:iCs/>
          <w:color w:val="000000"/>
          <w:kern w:val="0"/>
          <w:sz w:val="22"/>
          <w:szCs w:val="22"/>
          <w14:ligatures w14:val="none"/>
        </w:rPr>
        <w:t>Trp53</w:t>
      </w:r>
      <w:r w:rsidRPr="00FE5D1C">
        <w:rPr>
          <w:rFonts w:ascii="Calibri" w:eastAsia="Times New Roman" w:hAnsi="Calibri" w:cs="Calibri"/>
          <w:color w:val="000000"/>
          <w:kern w:val="0"/>
          <w:sz w:val="22"/>
          <w:szCs w:val="22"/>
          <w14:ligatures w14:val="none"/>
        </w:rPr>
        <w:t> conditional knockout mice to better elucidate how p53 in myeloid cells modulate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-induced inflammation.</w:t>
      </w:r>
    </w:p>
    <w:p w14:paraId="2E40B1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25-A-2237-ASTMH</w:t>
      </w:r>
    </w:p>
    <w:p w14:paraId="02EF93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3C0028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Long-Term Safety Before and After Booster of Tetravalent Dengue Vaccine TAK-003 in Healthy Adults in Dengue Nonendemic United States</w:t>
      </w:r>
    </w:p>
    <w:p w14:paraId="6D0CCE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DEN-304 trial showed that the tetravalent dengue vaccine TAK-003 was immunogenic against all 4 dengue virus (DENV) serotypes in healthy adults (18-60 years) in the USA. In the follow-up DEN-303 trial, we evaluate long-term persistence of the immune response and safety following the primary 2-dose TAK-003 vaccination and impact of a single TAK-003 booster dose. Participants enrolled in DEN-303 were followed up for up to 36 months (from 1st TAK-003 dose) to assess persistence and safety. At month 36, they were randomized to receive a booster dose of TAK-003 or placebo and followed for 6 months. Safety data are presented for those who received 2 doses of TAK-003 in DEN-304 with no major protocol violations in DEN-303 (per protocol set, PPS). Baseline characteristics were similar between groups. The PPS (booster) comprised 122 participants (TAK-003, n=61 and placebo, n=61). There were no vaccine related deaths or SAEs during long term and booster follow up. Solicited local AEs were more frequent with TAK-003 (60.6%) vs placebo (12.5%) but were mostly mild in severity. Solicited systemic AE frequency was 43.7% for TAK-003 and 33.3% for placebo. Unsolicited AEs were low in frequency and comparable between TAK-003 and placebo groups. The DEN-303 trial in adults in the United States showed that the long-term safety of TAK-003 was maintained for up to 42 months of follow-up. The booster dose was well tolerated and consistent with the DEN-301 booster trial. Analysis of immunogenicity data is currently ongoing.</w:t>
      </w:r>
    </w:p>
    <w:p w14:paraId="1F5008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25-A-2238-ASTMH</w:t>
      </w:r>
    </w:p>
    <w:p w14:paraId="5C7114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7923A3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A randomised trial of three face washing methods for the removal of </w:t>
      </w:r>
      <w:r w:rsidRPr="00FE5D1C">
        <w:rPr>
          <w:rFonts w:ascii="Calibri" w:eastAsia="Times New Roman" w:hAnsi="Calibri" w:cs="Calibri"/>
          <w:i/>
          <w:iCs/>
          <w:color w:val="000000"/>
          <w:kern w:val="0"/>
          <w:sz w:val="22"/>
          <w:szCs w:val="22"/>
          <w14:ligatures w14:val="none"/>
        </w:rPr>
        <w:t>Chlamydia trachomatis </w:t>
      </w:r>
      <w:r w:rsidRPr="00FE5D1C">
        <w:rPr>
          <w:rFonts w:ascii="Calibri" w:eastAsia="Times New Roman" w:hAnsi="Calibri" w:cs="Calibri"/>
          <w:color w:val="000000"/>
          <w:kern w:val="0"/>
          <w:sz w:val="22"/>
          <w:szCs w:val="22"/>
          <w14:ligatures w14:val="none"/>
        </w:rPr>
        <w:t>from the faces of children with trachoma</w:t>
      </w:r>
    </w:p>
    <w:p w14:paraId="673C09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Promotion of facial cleanliness is a core element of the WHO-recommended SAFE (surgery, antibiotics, facial cleanliness, environmental improvement) strategy to control trachoma. However, limited empirical data exist to guide which face cleaning/washing behaviours should be promoted to best reduce pathogen transmission. We conducted a three-arm, open, parallel-group randomised trial to compare the effectiveness of three face washing methods at cleaning </w:t>
      </w:r>
      <w:r w:rsidRPr="00FE5D1C">
        <w:rPr>
          <w:rFonts w:ascii="Calibri" w:eastAsia="Times New Roman" w:hAnsi="Calibri" w:cs="Calibri"/>
          <w:i/>
          <w:iCs/>
          <w:color w:val="000000"/>
          <w:kern w:val="0"/>
          <w:sz w:val="22"/>
          <w:szCs w:val="22"/>
          <w14:ligatures w14:val="none"/>
        </w:rPr>
        <w:t>Chlamydia trachomatis (Ct) </w:t>
      </w:r>
      <w:r w:rsidRPr="00FE5D1C">
        <w:rPr>
          <w:rFonts w:ascii="Calibri" w:eastAsia="Times New Roman" w:hAnsi="Calibri" w:cs="Calibri"/>
          <w:color w:val="000000"/>
          <w:kern w:val="0"/>
          <w:sz w:val="22"/>
          <w:szCs w:val="22"/>
          <w14:ligatures w14:val="none"/>
        </w:rPr>
        <w:t>from the faces of children with severe active trachoma. Children aged 1-7 years in a trachoma endemic area of Oromia region, Ethiopia, were screened for active trachoma. Those with severe inflammation were randomly assigned to one of three face washing protocols: water alone, water with soap and a damp antimicrobial towel. Children’s faces and hands, and their caregivers’ hands, were swabbed immediately before, immediately after, and then at one, two, four, six, and eight hours post-wash. Facial cleanliness was assessed at the same time points. Eye swabs from children were tested for ocular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infection and only infected children with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on their faces were included in the primary analysis. Of 25 children meeting these criteria, washing removed ocular and nasal discharge and left faces generally much cleaner, but no protocol removed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from faces. The load of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on the faces did not change greatly either. Face washing did remove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from the hands of some participants and their caregivers, but in those where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remained, the load did not significantly change. This study did not find evidence for the superiority of any of the tested face washing methods, but provides useful insights into the dynamics of facial and hand </w:t>
      </w:r>
      <w:r w:rsidRPr="00FE5D1C">
        <w:rPr>
          <w:rFonts w:ascii="Calibri" w:eastAsia="Times New Roman" w:hAnsi="Calibri" w:cs="Calibri"/>
          <w:i/>
          <w:iCs/>
          <w:color w:val="000000"/>
          <w:kern w:val="0"/>
          <w:sz w:val="22"/>
          <w:szCs w:val="22"/>
          <w14:ligatures w14:val="none"/>
        </w:rPr>
        <w:t>Ct </w:t>
      </w:r>
      <w:r w:rsidRPr="00FE5D1C">
        <w:rPr>
          <w:rFonts w:ascii="Calibri" w:eastAsia="Times New Roman" w:hAnsi="Calibri" w:cs="Calibri"/>
          <w:color w:val="000000"/>
          <w:kern w:val="0"/>
          <w:sz w:val="22"/>
          <w:szCs w:val="22"/>
          <w14:ligatures w14:val="none"/>
        </w:rPr>
        <w:t>carriage and facial cleanliness in children with trachoma.</w:t>
      </w:r>
    </w:p>
    <w:p w14:paraId="0554A9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25-A-2239-ASTMH</w:t>
      </w:r>
    </w:p>
    <w:p w14:paraId="1BF491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107F43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Pre-Clade IIb Human Cases: Mpox Virus Seroprevalence in Ghana</w:t>
      </w:r>
    </w:p>
    <w:p w14:paraId="7D49A7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Mpox virus (MPXV), an orthopox virus endemic to West and Central Africa, is the etiological agent of Mpox disease. Prior to 2022, Ghana had not reported any human cases of mpox, however, the 2003 mpox outbreak in the US was reported to be initiated by rodents exported from Ghana. This survey was conducted to determine the pre-Clade IIb emergence prevalence of Mpox virus (MPXV) using ELISA and PCR. 457 serum samples from 14 regions of Ghana were analyzed. However, seroprevalence was 6·6% with higher seropositivity observed in males (aOR = 1·158, 95% CI: 0·509-2·633, </w:t>
      </w:r>
      <w:r w:rsidRPr="00FE5D1C">
        <w:rPr>
          <w:rFonts w:ascii="Calibri" w:eastAsia="Times New Roman" w:hAnsi="Calibri" w:cs="Calibri"/>
          <w:i/>
          <w:iCs/>
          <w:color w:val="000000"/>
          <w:kern w:val="0"/>
          <w:sz w:val="22"/>
          <w:szCs w:val="22"/>
          <w14:ligatures w14:val="none"/>
        </w:rPr>
        <w:t>p </w:t>
      </w:r>
      <w:r w:rsidRPr="00FE5D1C">
        <w:rPr>
          <w:rFonts w:ascii="Calibri" w:eastAsia="Times New Roman" w:hAnsi="Calibri" w:cs="Calibri"/>
          <w:color w:val="000000"/>
          <w:kern w:val="0"/>
          <w:sz w:val="22"/>
          <w:szCs w:val="22"/>
          <w14:ligatures w14:val="none"/>
        </w:rPr>
        <w:t>= 0·726), individuals &lt;16 years and residents of the Western Region (aOR = 6·70, 95% CI: 1·75-25·62, p = 0·005). Seropositivity was lower in Greater Accra (aOR = 0·28, 95% CI: 0·09-0·90, p = 0·033). Rural residence was associated with increased seropositivity (aOR = 1·09, 95% CI: 0·34-3·55,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0·881). Smallpox vaccination status did not significantly impact seropositivity significant (aOR = 1·79, 95% CI: 0·30-10·52,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0·521). The data shows that a reduced, but basal level of virus transmission is likely to continue within the Ghanaian population including asymptomatic infections. The findings also suggest prior MPXV exposure particularly among younger rural populations and calls for targeted surveillance and strengthening of diagnostic capacities in Ghana. The results also suggest that while current vaccination strategies focus on high-risk countries and individuals, there is a need to explore booster doses, especially in rural areas where healthcare access is often limited.</w:t>
      </w:r>
    </w:p>
    <w:p w14:paraId="0D9B69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25-A-2240-ASTMH</w:t>
      </w:r>
    </w:p>
    <w:p w14:paraId="1E39BE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Other Bacterial Infections</w:t>
      </w:r>
    </w:p>
    <w:p w14:paraId="285A4F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Investigation of Micronutrient and Energy Metabolism Differences in Latent and Clinical Leprosy in Minas Gerais, Brazil Using High-Resolution Plasma Metabolomics</w:t>
      </w:r>
    </w:p>
    <w:p w14:paraId="2B9DAB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Host metabolism modulates the immunologic response to </w:t>
      </w:r>
      <w:r w:rsidRPr="00FE5D1C">
        <w:rPr>
          <w:rFonts w:ascii="Calibri" w:eastAsia="Times New Roman" w:hAnsi="Calibri" w:cs="Calibri"/>
          <w:i/>
          <w:iCs/>
          <w:color w:val="000000"/>
          <w:kern w:val="0"/>
          <w:sz w:val="22"/>
          <w:szCs w:val="22"/>
          <w14:ligatures w14:val="none"/>
        </w:rPr>
        <w:t>Mycobacterium leprae</w:t>
      </w:r>
      <w:r w:rsidRPr="00FE5D1C">
        <w:rPr>
          <w:rFonts w:ascii="Calibri" w:eastAsia="Times New Roman" w:hAnsi="Calibri" w:cs="Calibri"/>
          <w:color w:val="000000"/>
          <w:kern w:val="0"/>
          <w:sz w:val="22"/>
          <w:szCs w:val="22"/>
          <w14:ligatures w14:val="none"/>
        </w:rPr>
        <w:t>. High-resolution metabolomics (HRM) enables characterization of metabolic differences associated with progression from subclinical to clinical leprosy. In this study, we used HRM to investigate differences in micronutrient and energy metabolism among </w:t>
      </w:r>
      <w:r w:rsidRPr="00FE5D1C">
        <w:rPr>
          <w:rFonts w:ascii="Calibri" w:eastAsia="Times New Roman" w:hAnsi="Calibri" w:cs="Calibri"/>
          <w:i/>
          <w:iCs/>
          <w:color w:val="000000"/>
          <w:kern w:val="0"/>
          <w:sz w:val="22"/>
          <w:szCs w:val="22"/>
          <w14:ligatures w14:val="none"/>
        </w:rPr>
        <w:t>M. leprae</w:t>
      </w:r>
      <w:r w:rsidRPr="00FE5D1C">
        <w:rPr>
          <w:rFonts w:ascii="Calibri" w:eastAsia="Times New Roman" w:hAnsi="Calibri" w:cs="Calibri"/>
          <w:color w:val="000000"/>
          <w:kern w:val="0"/>
          <w:sz w:val="22"/>
          <w:szCs w:val="22"/>
          <w14:ligatures w14:val="none"/>
        </w:rPr>
        <w:t xml:space="preserve">-exposed persons and persons with leprosy. </w:t>
      </w:r>
      <w:r w:rsidRPr="00FE5D1C">
        <w:rPr>
          <w:rFonts w:ascii="Calibri" w:eastAsia="Times New Roman" w:hAnsi="Calibri" w:cs="Calibri"/>
          <w:color w:val="000000"/>
          <w:kern w:val="0"/>
          <w:sz w:val="22"/>
          <w:szCs w:val="22"/>
          <w14:ligatures w14:val="none"/>
        </w:rPr>
        <w:lastRenderedPageBreak/>
        <w:t>Plasma HRM was conducted on a cross-sectional sample of 76 participants with serum antibodies to a leprosy-specific antigen (anti-LID-1)−18 of whom were diagnosed with leprosy at the time of sampling or within 1 year−and 39 seronegative participants aged 5+ from Minas Gerais, Brazil. Samples were analyzed using liquid chromatography with high-resolution mass spectrometry. Metabolites were compared across groups via multivariable linear regression. Pathway enrichment analysis was conducted in the </w:t>
      </w:r>
      <w:r w:rsidRPr="00FE5D1C">
        <w:rPr>
          <w:rFonts w:ascii="Calibri" w:eastAsia="Times New Roman" w:hAnsi="Calibri" w:cs="Calibri"/>
          <w:i/>
          <w:iCs/>
          <w:color w:val="000000"/>
          <w:kern w:val="0"/>
          <w:sz w:val="22"/>
          <w:szCs w:val="22"/>
          <w14:ligatures w14:val="none"/>
        </w:rPr>
        <w:t>mummichog</w:t>
      </w:r>
      <w:r w:rsidRPr="00FE5D1C">
        <w:rPr>
          <w:rFonts w:ascii="Calibri" w:eastAsia="Times New Roman" w:hAnsi="Calibri" w:cs="Calibri"/>
          <w:color w:val="000000"/>
          <w:kern w:val="0"/>
          <w:sz w:val="22"/>
          <w:szCs w:val="22"/>
          <w14:ligatures w14:val="none"/>
        </w:rPr>
        <w:t> informatics program. Select metabolites were compared between groups using a Wilcoxon rank-sum test. Vitamin D3 metabolism significantly differed between symptomatic and asymptomatic seropositive participants (p&lt;0.05) with reduced median intensity of cholecalciferol in the symptomatic group (p&lt;0.01, 95% CI: -0.67, -0.14). Differences in pathways associated with mitochondrial dynamics were identified across group comparisons. The carnitine shuttle pathway was significantly different (p&lt;0.05) between symptomatic and asymptomatic seropositive participants with reduced median intensity of L-carnitine in the seropositive group (p&lt;0.05, 95% CI: -0.44, -0.00005). Fatty acid oxidation and the citric acid cycle significantly differed between seropositive and seronegative participants (p&lt;0.05). Differences in vitamin D3 metabolism in leprosy cases versus asymptomatic seropositive persons suggest a role in disease susceptibility, while differences in energy metabolism across seropositive persons align with </w:t>
      </w:r>
      <w:r w:rsidRPr="00FE5D1C">
        <w:rPr>
          <w:rFonts w:ascii="Calibri" w:eastAsia="Times New Roman" w:hAnsi="Calibri" w:cs="Calibri"/>
          <w:i/>
          <w:iCs/>
          <w:color w:val="000000"/>
          <w:kern w:val="0"/>
          <w:sz w:val="22"/>
          <w:szCs w:val="22"/>
          <w14:ligatures w14:val="none"/>
        </w:rPr>
        <w:t>M. leprae</w:t>
      </w:r>
      <w:r w:rsidRPr="00FE5D1C">
        <w:rPr>
          <w:rFonts w:ascii="Calibri" w:eastAsia="Times New Roman" w:hAnsi="Calibri" w:cs="Calibri"/>
          <w:color w:val="000000"/>
          <w:kern w:val="0"/>
          <w:sz w:val="22"/>
          <w:szCs w:val="22"/>
          <w14:ligatures w14:val="none"/>
        </w:rPr>
        <w:t>’s hypothesized impairment of the mitochondria during host-cell infection. Continued HRM-based investigation of leprosy is needed to characterize risk factors for disease and underlying pathophysiology.</w:t>
      </w:r>
    </w:p>
    <w:p w14:paraId="5AB7E2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25-A-2241-ASTMH</w:t>
      </w:r>
    </w:p>
    <w:p w14:paraId="5B8474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03676B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Falcipain-2a Mediated Resistance to Peptide-Like Inhibitors in </w:t>
      </w:r>
      <w:r w:rsidRPr="00FE5D1C">
        <w:rPr>
          <w:rFonts w:ascii="Calibri" w:eastAsia="Times New Roman" w:hAnsi="Calibri" w:cs="Calibri"/>
          <w:i/>
          <w:iCs/>
          <w:color w:val="000000"/>
          <w:kern w:val="0"/>
          <w:sz w:val="22"/>
          <w:szCs w:val="22"/>
          <w14:ligatures w14:val="none"/>
        </w:rPr>
        <w:t>Plasmodium falciparum</w:t>
      </w:r>
    </w:p>
    <w:p w14:paraId="319CAD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caused by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parasites, remains a major global health issue, especially in tropical regions. The emergence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strains partially resistant to artemisinin underscores the need for new antimalarial agents. Peptidomimetic compounds have emerged as promising antimicrobial candidates, especially as protease inhibitors with antiplasmodial activity. Our work investigates the parasitological profile and resistance mechanisms of peptide-based inhibitors targeting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asexual blood stages. The lead compound, Neq1153, showed a mean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of 600 nM and a selectivity index of 350 against HepG2 cells. It is a slow-acting inhibitor with strong activity against rings and trophozoites, and showed 10-fold higher potency against Dd2 versus 3D7 parasites. However, it exhibited antagonism with artesunate and chloroquine. Phenotypic analyses suggest that Neq1153 interferes with hemoglobin digestion, potentially via interactions with vacuolar transporters PfCRT and PfMDR1. Notably, PfCRT mutations in Dd2 (T93S, F145I, I218F) and PfMDR1 mutations in NF54 (M841I+M924I) reduced potency by two-fold, while lower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copy number in FCB parasites increased sensitivity. In contrast, increased </w:t>
      </w:r>
      <w:r w:rsidRPr="00FE5D1C">
        <w:rPr>
          <w:rFonts w:ascii="Calibri" w:eastAsia="Times New Roman" w:hAnsi="Calibri" w:cs="Calibri"/>
          <w:i/>
          <w:iCs/>
          <w:color w:val="000000"/>
          <w:kern w:val="0"/>
          <w:sz w:val="22"/>
          <w:szCs w:val="22"/>
          <w14:ligatures w14:val="none"/>
        </w:rPr>
        <w:t>pfpm2/3</w:t>
      </w:r>
      <w:r w:rsidRPr="00FE5D1C">
        <w:rPr>
          <w:rFonts w:ascii="Calibri" w:eastAsia="Times New Roman" w:hAnsi="Calibri" w:cs="Calibri"/>
          <w:color w:val="000000"/>
          <w:kern w:val="0"/>
          <w:sz w:val="22"/>
          <w:szCs w:val="22"/>
          <w14:ligatures w14:val="none"/>
        </w:rPr>
        <w:t> copy number reduced Neq1153 potency by 2- to 4-fold.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evolution identified Falcipain-2a (FP2a) as a key resistance mediator, with copy number variations and S392R/S392I mutations arising under drug pressure. CRISPR/Cas9-edited parasites showed that only S392R in the Dd2 background conferred resistance comparable to that seen in Neq1153-selected parasites. These results highlight the complexity of resistance and the need for further studies on Neq1153’s molecular interactions. Peptide-based inhibitors show promise as new antimalarials and offer insights into resistance mechanisms.</w:t>
      </w:r>
    </w:p>
    <w:p w14:paraId="62C021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25-A-2242-ASTMH</w:t>
      </w:r>
    </w:p>
    <w:p w14:paraId="7FC235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588237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Ebolavirus</w:t>
      </w:r>
      <w:r w:rsidRPr="00FE5D1C">
        <w:rPr>
          <w:rFonts w:ascii="Calibri" w:eastAsia="Times New Roman" w:hAnsi="Calibri" w:cs="Calibri"/>
          <w:color w:val="000000"/>
          <w:kern w:val="0"/>
          <w:sz w:val="22"/>
          <w:szCs w:val="22"/>
          <w14:ligatures w14:val="none"/>
        </w:rPr>
        <w:t> evolution and emergence are associated with land use change</w:t>
      </w:r>
    </w:p>
    <w:p w14:paraId="168DE8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Anthropogenic land use change facilitates disease emergence by altering the interface betweenhumans and pathogen reservoirs and is hypothesized to drive pathogen evolution. We show apositive association between land use change and the evolution and dispersal of</w:t>
      </w:r>
      <w:r w:rsidRPr="00FE5D1C">
        <w:rPr>
          <w:rFonts w:ascii="Calibri" w:eastAsia="Times New Roman" w:hAnsi="Calibri" w:cs="Calibri"/>
          <w:i/>
          <w:iCs/>
          <w:color w:val="000000"/>
          <w:kern w:val="0"/>
          <w:sz w:val="22"/>
          <w:szCs w:val="22"/>
          <w14:ligatures w14:val="none"/>
        </w:rPr>
        <w:t> Zaireebolavirus</w:t>
      </w:r>
      <w:r w:rsidRPr="00FE5D1C">
        <w:rPr>
          <w:rFonts w:ascii="Calibri" w:eastAsia="Times New Roman" w:hAnsi="Calibri" w:cs="Calibri"/>
          <w:color w:val="000000"/>
          <w:kern w:val="0"/>
          <w:sz w:val="22"/>
          <w:szCs w:val="22"/>
          <w14:ligatures w14:val="none"/>
        </w:rPr>
        <w:t> (EBOV) and</w:t>
      </w:r>
      <w:r w:rsidRPr="00FE5D1C">
        <w:rPr>
          <w:rFonts w:ascii="Calibri" w:eastAsia="Times New Roman" w:hAnsi="Calibri" w:cs="Calibri"/>
          <w:i/>
          <w:iCs/>
          <w:color w:val="000000"/>
          <w:kern w:val="0"/>
          <w:sz w:val="22"/>
          <w:szCs w:val="22"/>
          <w14:ligatures w14:val="none"/>
        </w:rPr>
        <w:t> Sudan ebolavirus</w:t>
      </w:r>
      <w:r w:rsidRPr="00FE5D1C">
        <w:rPr>
          <w:rFonts w:ascii="Calibri" w:eastAsia="Times New Roman" w:hAnsi="Calibri" w:cs="Calibri"/>
          <w:color w:val="000000"/>
          <w:kern w:val="0"/>
          <w:sz w:val="22"/>
          <w:szCs w:val="22"/>
          <w14:ligatures w14:val="none"/>
        </w:rPr>
        <w:t xml:space="preserve"> (SUDV). We update the phylogeographies of EBOVand SUDV, which reveal that the most recent common ancestor of EBOV was circulating around1960 in the forests of what is now the </w:t>
      </w:r>
      <w:r w:rsidRPr="00FE5D1C">
        <w:rPr>
          <w:rFonts w:ascii="Calibri" w:eastAsia="Times New Roman" w:hAnsi="Calibri" w:cs="Calibri"/>
          <w:color w:val="000000"/>
          <w:kern w:val="0"/>
          <w:sz w:val="22"/>
          <w:szCs w:val="22"/>
          <w14:ligatures w14:val="none"/>
        </w:rPr>
        <w:lastRenderedPageBreak/>
        <w:t>northwestern Democratic Republic of the Congo, while themost recent common ancestor of SUDV was circulating around 1958 in the southern Sudanesesavanna. Both landscapes underwent significant anthropogenic fragmentation between 1940 and1960, associated with specific colonial “schemes,” which substantially altered local humansettlement patterns and the surrounding vegetation to support intensive cash crop agriculture.Since these disturbances, landscape fragmentation was spatiotemporally associated with thedivergence and dispersal of new variants of both viruses into new ecoregions of Africa. Thesevariants segregated geographically along ecoregion boundaries, resembling a pattern observablefor other bat-borne viruses. The amino acid changes which characterized each variantdisproportionately involved glycosylation-sensitive amino acids in the surface glycoproteindomain responsible for immune evasion and attachment to host cells, suggesting adaptation tonew hosts amidst changing landscapes. Our results show that land use change not only increasesthe risk of spillover, but also impacts the evolution of viruses themselves.</w:t>
      </w:r>
    </w:p>
    <w:p w14:paraId="5D1263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25-A-2243-ASTMH</w:t>
      </w:r>
    </w:p>
    <w:p w14:paraId="258566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09B4EB2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Antimicrobial Resistance Patterns and Prescribing Practices at a Rural Safety-Net Hospital in Southern Malawi</w:t>
      </w:r>
    </w:p>
    <w:p w14:paraId="7CAF25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Concern exists for extended spectrum beta-lactamase (ESBL) and carbapenem-resistant infections in all regions of Malawi, including rural catchment hospitals that have relatively limited access to broad-spectrum antimicrobials. Clinical cultures were reviewed from April 2021 through October 2024 at a rural teaching hospital in Thyolo District, southern Malawi (n=2366). 21.9% of all cultures were positive, with normative distribution across age and gender. Findings were notable for high prevalence of ESBL-suspect ceftriaxone resistance (52.8% E. coli, 62.5% Klebsiella), as well as high meropenem resistance rates compared to national averages (24.4% E. coli; 43.7% Klebsiella). Coverage gaps were noted in key populations, including resistance to traditional oral agents in Staph aureus infections (29.3% MRSA, 40% tetracycline, 77.9% co-trimoxazole). In a subsequent two-month period-prevalence study of hospital prescribing practices, a large percentage of antibiotic overuse or incorrect use was seen across departments (51.6% outpatient primary care, 44.8% surgical inpatients, 10.6% neonatal intensive care, 48% maternity care). Only 10.1% of all hospital admissions involved clinical cultures as part of workup, and only 5.7% of all collected cultures came from the urinary tract. These items demonstrate the importance of provider stewardship education, as well as the utility of weekly stewardship audits. Future studies will evaluate the effectiveness of these stewardship interventions.</w:t>
      </w:r>
    </w:p>
    <w:p w14:paraId="662CEE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25-A-2244-ASTMH</w:t>
      </w:r>
    </w:p>
    <w:p w14:paraId="64D836C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55BB0B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Host-Parasite Interactions of Intraerythrocytic Malaria Infections</w:t>
      </w:r>
    </w:p>
    <w:p w14:paraId="03B01E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Millions of malaria infections debilitate communities every year, with the highest fatality rates occurring in children.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 xml:space="preserve">parasites have complicated host immune evasion tactics that remain poorly understood and contribute to the difficulties in treating this disease. At the asexual replication stage of its life cycle, the parasite is known to regulate the plasma membrane of its host red blood cell (RBC) to prevent a loss of membrane asymmetry, which would reveal apoptosis signals and prompt phagocytic clearance via interactions with scavenger receptors such as CD36 expressed by host immune cells. However, how the parasite maintains membrane asymmetry to evade detection is unknown. To study the interaction of parasitized RBCs with host phagocytes, we have developed a novel flow cytometry-based assay using the pH-sensitive fluorophore pHrodo. Using this system, we demonstrated that CD36-deficient macrophages phagocytose infected RBCs at a lower rate than CD36-sufficient macrophages. Moreover, we employed apicoplast-deficient parasites and determined that membrane asymmetry is regulated, in part, by metabolic pathways of the apicoplast organelle. Collectively our data suggest that the apicoplast contributes to the immune evasion abilities of the parasite, preventing the recognition of </w:t>
      </w:r>
      <w:r w:rsidRPr="00FE5D1C">
        <w:rPr>
          <w:rFonts w:ascii="Calibri" w:eastAsia="Times New Roman" w:hAnsi="Calibri" w:cs="Calibri"/>
          <w:color w:val="000000"/>
          <w:kern w:val="0"/>
          <w:sz w:val="22"/>
          <w:szCs w:val="22"/>
          <w14:ligatures w14:val="none"/>
        </w:rPr>
        <w:lastRenderedPageBreak/>
        <w:t>infected RBCs by immune cells. Further, our data suggest that targeting the apicoplast therapeutically could improve the ability of the immune system to clear parasitized RBCs.</w:t>
      </w:r>
    </w:p>
    <w:p w14:paraId="168E9F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25-A-2245-ASTMH</w:t>
      </w:r>
    </w:p>
    <w:p w14:paraId="788D393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5CD82F1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Development of a Rural Surgical Antimicrobial Stewardship Initiative in Southern Chad</w:t>
      </w:r>
    </w:p>
    <w:p w14:paraId="6C9396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Rural health disparities are prominent in the African Sahel, including the country of Chad which is serviced by three separate Adventist Health International hospitals. Chad suffers from some of the most challenging global disparities in maternal mortality and Human Capital Index rates. One major contributor is geographic barriers to healthcare, with almost 80 percent of the population in rural areas with substantial distance from healthcare outposts. Adventist Health International institutions serve as academic training centers for healthcare workers including nurses and general surgeons in southern Chad, with an electronic medical record network, OpenKIMS, containing over eight years of retrospective data. We wish to perform a retrospective monocentric observational study of inpatient records from Bere Adventist Hospital from January 2016 through January 2025 (n=35,467), in order to assess antimicrobial prescribing patterns and clinical outcomes. We hypothesize that patient case mix will be substantially different than traditional caseloads at Western hospitals. It is suspected that there will be a preponderance of odontogenic infections in the setting of extremely limited access to dental care for rural Chadians. It is also suspected there will be varied provider approach to medical management of osteomyelitis cases, as well as high prevalence of genitourinary infections in the setting of obstructive uropathy from nephrolithiasis. This data will assist with development of further quality improvement initiatives at Bere Adventist Hospital, including development of a ‘Rural Health Center of Excellence’ with expanded microbiology testing capacity as well as antimicrobial stewardship capabilities.</w:t>
      </w:r>
    </w:p>
    <w:p w14:paraId="74FB73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25-A-2246-ASTMH</w:t>
      </w:r>
    </w:p>
    <w:p w14:paraId="6D90A4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610F7C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Long-Term Safety Before and After Booster of Tetravalent Dengue Vaccine TAK-003 in Healthy Adolescents in Dengue Nonendemic Mexico</w:t>
      </w:r>
    </w:p>
    <w:p w14:paraId="2A2D07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DEN-315 trial showed that the tetravalent dengue vaccine TAK-003 was immunogenic against all 4 dengue vaccine (DENV) serotypes in healthy adolescents (aged 12-17 years) living in non-endemic Mexico City. In the follow-up DEN-303 trial, we evaluated long-term persistence of the immune response and safety following primary 2-dose TAK-003 vaccination and impact of a single TAK-003 booster dose. Participants enrolled in DEN-303 were followed for up to 63 months (from 1st TAK-003 dose) to assess persistence and safety. At month 63 they were randomized to receive either a booster dose of TAK-003 or placebo and followed for 6 months. Safety data are presented for those who received 2 doses of TAK-003 in DEN-315. In total, 84 participants received the booster (TAK-003, n=41 and placebo, n=43); demographic and baseline characteristics were well matched between both groups. A single TAK-003 booster dose, given at 63 months, was well tolerated. No vaccine related deaths or serious adverse events (SAEs) occurred during long term and booster follow up. Solicited local AEs were reported more frequently with TAK-003 (75.6%) versus placebo (39.5%), but were mostly mild in severity. Reported solicited systemic AEs were 68.3% for TAK-003 versus 65.1% for placebo, and were mostly mild. Unsolicited AEs were infrequent and comparable between the TAK-003 (n=3) and placebo (n=5) groups; none were related to the vaccine and all were mild. Medically attended AEs were reported less frequently with TAK-003 (22.0%) versus placebo (37.2%). The DEN-303 trial in adolescents in Mexico City showed that the long-term safety of TAK-003 was maintained for up to 69 months of follow-up, and the booster dose was well tolerated and consistent with the DEN-301 booster trial. Analysis of immunogenicity data is currently ongoing.</w:t>
      </w:r>
    </w:p>
    <w:p w14:paraId="1C9213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25-A-2247-ASTMH</w:t>
      </w:r>
    </w:p>
    <w:p w14:paraId="2B06CE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One Health: The Interface of Humans, Ecosystems, and Animal Health</w:t>
      </w:r>
    </w:p>
    <w:p w14:paraId="3F323F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Next-generation sequencing of bacteria in small mammals collected in Mongolia in 2024</w:t>
      </w:r>
    </w:p>
    <w:p w14:paraId="05B318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Small mammals maintain and perpetuate transmission of tick-borne pathogens (TBPs) and can serve as sentinel species for TBP surveillance, especially during periods of low tick activity. Many bacterial genera transmitted by ticks are known threats to public health in Mongolia including </w:t>
      </w:r>
      <w:r w:rsidRPr="00FE5D1C">
        <w:rPr>
          <w:rFonts w:ascii="Calibri" w:eastAsia="Times New Roman" w:hAnsi="Calibri" w:cs="Calibri"/>
          <w:i/>
          <w:iCs/>
          <w:color w:val="000000"/>
          <w:kern w:val="0"/>
          <w:sz w:val="22"/>
          <w:szCs w:val="22"/>
          <w14:ligatures w14:val="none"/>
        </w:rPr>
        <w:t>Anaplasma, Borrelia, Coxiella, Ehrlichia, Francisella,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Rickettsia</w:t>
      </w:r>
      <w:r w:rsidRPr="00FE5D1C">
        <w:rPr>
          <w:rFonts w:ascii="Calibri" w:eastAsia="Times New Roman" w:hAnsi="Calibri" w:cs="Calibri"/>
          <w:color w:val="000000"/>
          <w:kern w:val="0"/>
          <w:sz w:val="22"/>
          <w:szCs w:val="22"/>
          <w14:ligatures w14:val="none"/>
        </w:rPr>
        <w:t>. Of which the latter four have been detected in small mammals in Mongolia. Immature ticks often feed on small mammals, highlighting their importance in TBP circulation. To analyze TBPs in small mammals, 43 spleens were collected from </w:t>
      </w:r>
      <w:r w:rsidRPr="00FE5D1C">
        <w:rPr>
          <w:rFonts w:ascii="Calibri" w:eastAsia="Times New Roman" w:hAnsi="Calibri" w:cs="Calibri"/>
          <w:i/>
          <w:iCs/>
          <w:color w:val="000000"/>
          <w:kern w:val="0"/>
          <w:sz w:val="22"/>
          <w:szCs w:val="22"/>
          <w14:ligatures w14:val="none"/>
        </w:rPr>
        <w:t>Apodemus agrarius </w:t>
      </w:r>
      <w:r w:rsidRPr="00FE5D1C">
        <w:rPr>
          <w:rFonts w:ascii="Calibri" w:eastAsia="Times New Roman" w:hAnsi="Calibri" w:cs="Calibri"/>
          <w:color w:val="000000"/>
          <w:kern w:val="0"/>
          <w:sz w:val="22"/>
          <w:szCs w:val="22"/>
          <w14:ligatures w14:val="none"/>
        </w:rPr>
        <w:t>(n= 2)</w:t>
      </w:r>
      <w:r w:rsidRPr="00FE5D1C">
        <w:rPr>
          <w:rFonts w:ascii="Calibri" w:eastAsia="Times New Roman" w:hAnsi="Calibri" w:cs="Calibri"/>
          <w:i/>
          <w:iCs/>
          <w:color w:val="000000"/>
          <w:kern w:val="0"/>
          <w:sz w:val="22"/>
          <w:szCs w:val="22"/>
          <w14:ligatures w14:val="none"/>
        </w:rPr>
        <w:t>, Apodemus peninsulae </w:t>
      </w:r>
      <w:r w:rsidRPr="00FE5D1C">
        <w:rPr>
          <w:rFonts w:ascii="Calibri" w:eastAsia="Times New Roman" w:hAnsi="Calibri" w:cs="Calibri"/>
          <w:color w:val="000000"/>
          <w:kern w:val="0"/>
          <w:sz w:val="22"/>
          <w:szCs w:val="22"/>
          <w14:ligatures w14:val="none"/>
        </w:rPr>
        <w:t>(n= 11)</w:t>
      </w:r>
      <w:r w:rsidRPr="00FE5D1C">
        <w:rPr>
          <w:rFonts w:ascii="Calibri" w:eastAsia="Times New Roman" w:hAnsi="Calibri" w:cs="Calibri"/>
          <w:i/>
          <w:iCs/>
          <w:color w:val="000000"/>
          <w:kern w:val="0"/>
          <w:sz w:val="22"/>
          <w:szCs w:val="22"/>
          <w14:ligatures w14:val="none"/>
        </w:rPr>
        <w:t>, Craseomys rufocanus </w:t>
      </w:r>
      <w:r w:rsidRPr="00FE5D1C">
        <w:rPr>
          <w:rFonts w:ascii="Calibri" w:eastAsia="Times New Roman" w:hAnsi="Calibri" w:cs="Calibri"/>
          <w:color w:val="000000"/>
          <w:kern w:val="0"/>
          <w:sz w:val="22"/>
          <w:szCs w:val="22"/>
          <w14:ligatures w14:val="none"/>
        </w:rPr>
        <w:t>(n= 8)</w:t>
      </w:r>
      <w:r w:rsidRPr="00FE5D1C">
        <w:rPr>
          <w:rFonts w:ascii="Calibri" w:eastAsia="Times New Roman" w:hAnsi="Calibri" w:cs="Calibri"/>
          <w:i/>
          <w:iCs/>
          <w:color w:val="000000"/>
          <w:kern w:val="0"/>
          <w:sz w:val="22"/>
          <w:szCs w:val="22"/>
          <w14:ligatures w14:val="none"/>
        </w:rPr>
        <w:t>, Microtus fortis </w:t>
      </w:r>
      <w:r w:rsidRPr="00FE5D1C">
        <w:rPr>
          <w:rFonts w:ascii="Calibri" w:eastAsia="Times New Roman" w:hAnsi="Calibri" w:cs="Calibri"/>
          <w:color w:val="000000"/>
          <w:kern w:val="0"/>
          <w:sz w:val="22"/>
          <w:szCs w:val="22"/>
          <w14:ligatures w14:val="none"/>
        </w:rPr>
        <w:t>(n= 1), </w:t>
      </w:r>
      <w:r w:rsidRPr="00FE5D1C">
        <w:rPr>
          <w:rFonts w:ascii="Calibri" w:eastAsia="Times New Roman" w:hAnsi="Calibri" w:cs="Calibri"/>
          <w:i/>
          <w:iCs/>
          <w:color w:val="000000"/>
          <w:kern w:val="0"/>
          <w:sz w:val="22"/>
          <w:szCs w:val="22"/>
          <w14:ligatures w14:val="none"/>
        </w:rPr>
        <w:t>Phodopus campbelli </w:t>
      </w:r>
      <w:r w:rsidRPr="00FE5D1C">
        <w:rPr>
          <w:rFonts w:ascii="Calibri" w:eastAsia="Times New Roman" w:hAnsi="Calibri" w:cs="Calibri"/>
          <w:color w:val="000000"/>
          <w:kern w:val="0"/>
          <w:sz w:val="22"/>
          <w:szCs w:val="22"/>
          <w14:ligatures w14:val="none"/>
        </w:rPr>
        <w:t>(n= 1), </w:t>
      </w:r>
      <w:r w:rsidRPr="00FE5D1C">
        <w:rPr>
          <w:rFonts w:ascii="Calibri" w:eastAsia="Times New Roman" w:hAnsi="Calibri" w:cs="Calibri"/>
          <w:i/>
          <w:iCs/>
          <w:color w:val="000000"/>
          <w:kern w:val="0"/>
          <w:sz w:val="22"/>
          <w:szCs w:val="22"/>
          <w14:ligatures w14:val="none"/>
        </w:rPr>
        <w:t>Rattus norvegicus </w:t>
      </w:r>
      <w:r w:rsidRPr="00FE5D1C">
        <w:rPr>
          <w:rFonts w:ascii="Calibri" w:eastAsia="Times New Roman" w:hAnsi="Calibri" w:cs="Calibri"/>
          <w:color w:val="000000"/>
          <w:kern w:val="0"/>
          <w:sz w:val="22"/>
          <w:szCs w:val="22"/>
          <w14:ligatures w14:val="none"/>
        </w:rPr>
        <w:t>(n= 13)</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Urocitellus undulatus </w:t>
      </w:r>
      <w:r w:rsidRPr="00FE5D1C">
        <w:rPr>
          <w:rFonts w:ascii="Calibri" w:eastAsia="Times New Roman" w:hAnsi="Calibri" w:cs="Calibri"/>
          <w:color w:val="000000"/>
          <w:kern w:val="0"/>
          <w:sz w:val="22"/>
          <w:szCs w:val="22"/>
          <w14:ligatures w14:val="none"/>
        </w:rPr>
        <w:t>(n= 7)</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through baited trapping in 2021, 2023, and 2024 in Bulgan, Dornod, and Selenge provinces. Spleens were pooled into groups of one to five spleens. DNA was extracted from homogenized spleens and 16S bacteria was amplified via PCR, followed by sequencing on the Oxford Nanopore PromethION 2 Solo. Positive results were confirmed via conventional PCR. Downstream analysis was conducted using the 16S bacterial pipeline in Epi2Me. Preliminary sequencing results detected </w:t>
      </w:r>
      <w:r w:rsidRPr="00FE5D1C">
        <w:rPr>
          <w:rFonts w:ascii="Calibri" w:eastAsia="Times New Roman" w:hAnsi="Calibri" w:cs="Calibri"/>
          <w:i/>
          <w:iCs/>
          <w:color w:val="000000"/>
          <w:kern w:val="0"/>
          <w:sz w:val="22"/>
          <w:szCs w:val="22"/>
          <w14:ligatures w14:val="none"/>
        </w:rPr>
        <w:t>Anaplasma, Bartonella, Coxiella, Ehrlichia, Francisella,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Rickettsia </w:t>
      </w:r>
      <w:r w:rsidRPr="00FE5D1C">
        <w:rPr>
          <w:rFonts w:ascii="Calibri" w:eastAsia="Times New Roman" w:hAnsi="Calibri" w:cs="Calibri"/>
          <w:color w:val="000000"/>
          <w:kern w:val="0"/>
          <w:sz w:val="22"/>
          <w:szCs w:val="22"/>
          <w14:ligatures w14:val="none"/>
        </w:rPr>
        <w:t>spp. with PCR confirmation pending. These results inform transmission dynamics between reservoirs and hosts, helping to target public health interventions. Future rodent surveillance and pathogen screening will provide insight into the transmission and role of reservoirs in tick-borne bacteria.</w:t>
      </w:r>
    </w:p>
    <w:p w14:paraId="42C5BA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25-A-2248-ASTMH</w:t>
      </w:r>
    </w:p>
    <w:p w14:paraId="369FE9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2FCF20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Investigating the contributions of hematopoietic stem and progenitor cells to antihelminth immunity and host protection</w:t>
      </w:r>
    </w:p>
    <w:p w14:paraId="382893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Protective responses to helminth parasites are dependent on type 2 cytokine-mediated inflammation that is required for worm expulsion and the healing of damaged tissues. These events are critically supported by various cell populations including mast cells. Our previous studies have identified a population of hematopoietic progenitor cells (HPCs) that possess mast cell potential and are defined by their expression of the metabolic enzyme carbonic anhydrase (Car)1. Car1-expressig progenitors exit the bone marrow and traffic to inflamed tissues following a </w:t>
      </w:r>
      <w:r w:rsidRPr="00FE5D1C">
        <w:rPr>
          <w:rFonts w:ascii="Calibri" w:eastAsia="Times New Roman" w:hAnsi="Calibri" w:cs="Calibri"/>
          <w:i/>
          <w:iCs/>
          <w:color w:val="000000"/>
          <w:kern w:val="0"/>
          <w:sz w:val="22"/>
          <w:szCs w:val="22"/>
          <w14:ligatures w14:val="none"/>
        </w:rPr>
        <w:t>Trichinella spiralis</w:t>
      </w:r>
      <w:r w:rsidRPr="00FE5D1C">
        <w:rPr>
          <w:rFonts w:ascii="Calibri" w:eastAsia="Times New Roman" w:hAnsi="Calibri" w:cs="Calibri"/>
          <w:color w:val="000000"/>
          <w:kern w:val="0"/>
          <w:sz w:val="22"/>
          <w:szCs w:val="22"/>
          <w14:ligatures w14:val="none"/>
        </w:rPr>
        <w:t> infection. Despite these advances, the relative contributions of Car1-expressing progenitors to the infection-induced increases in mast cells and their contribution to antihelminth immunity remain unknown. To address this, we have developed a novel Car1-ERCre mouse to perform important fate-mapping and lineage deletion studies. Here we demonstrate that our novel mouse model can be used to selectively label </w:t>
      </w:r>
      <w:r w:rsidRPr="00FE5D1C">
        <w:rPr>
          <w:rFonts w:ascii="Calibri" w:eastAsia="Times New Roman" w:hAnsi="Calibri" w:cs="Calibri"/>
          <w:i/>
          <w:iCs/>
          <w:color w:val="000000"/>
          <w:kern w:val="0"/>
          <w:sz w:val="22"/>
          <w:szCs w:val="22"/>
          <w14:ligatures w14:val="none"/>
        </w:rPr>
        <w:t>Trichinella</w:t>
      </w:r>
      <w:r w:rsidRPr="00FE5D1C">
        <w:rPr>
          <w:rFonts w:ascii="Calibri" w:eastAsia="Times New Roman" w:hAnsi="Calibri" w:cs="Calibri"/>
          <w:color w:val="000000"/>
          <w:kern w:val="0"/>
          <w:sz w:val="22"/>
          <w:szCs w:val="22"/>
          <w14:ligatures w14:val="none"/>
        </w:rPr>
        <w:t>-induced mast cells with a history of Car1-expression. Furthermore, deleting the Car1-expressing progenitors not only significantly reduced mast cell development, but also resulted in decreased protective immunity in the context of a </w:t>
      </w:r>
      <w:r w:rsidRPr="00FE5D1C">
        <w:rPr>
          <w:rFonts w:ascii="Calibri" w:eastAsia="Times New Roman" w:hAnsi="Calibri" w:cs="Calibri"/>
          <w:i/>
          <w:iCs/>
          <w:color w:val="000000"/>
          <w:kern w:val="0"/>
          <w:sz w:val="22"/>
          <w:szCs w:val="22"/>
          <w14:ligatures w14:val="none"/>
        </w:rPr>
        <w:t>T. spiralis </w:t>
      </w:r>
      <w:r w:rsidRPr="00FE5D1C">
        <w:rPr>
          <w:rFonts w:ascii="Calibri" w:eastAsia="Times New Roman" w:hAnsi="Calibri" w:cs="Calibri"/>
          <w:color w:val="000000"/>
          <w:kern w:val="0"/>
          <w:sz w:val="22"/>
          <w:szCs w:val="22"/>
          <w14:ligatures w14:val="none"/>
        </w:rPr>
        <w:t>infection. Collectively, our data suggests that Car1-expressing progenitors critically support infection-induced mast cell responses and represent a therapeutic target for the treatment of mast cell-mediated inflammation.</w:t>
      </w:r>
    </w:p>
    <w:p w14:paraId="34EA38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25-A-2250-ASTMH</w:t>
      </w:r>
    </w:p>
    <w:p w14:paraId="188B39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30391C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Tick-borne encephalitis virus found in </w:t>
      </w:r>
      <w:r w:rsidRPr="00FE5D1C">
        <w:rPr>
          <w:rFonts w:ascii="Calibri" w:eastAsia="Times New Roman" w:hAnsi="Calibri" w:cs="Calibri"/>
          <w:b/>
          <w:bCs/>
          <w:i/>
          <w:iCs/>
          <w:color w:val="000000"/>
          <w:kern w:val="0"/>
          <w:sz w:val="22"/>
          <w:szCs w:val="22"/>
          <w14:ligatures w14:val="none"/>
        </w:rPr>
        <w:t>Ixodes persulcatus </w:t>
      </w:r>
      <w:r w:rsidRPr="00FE5D1C">
        <w:rPr>
          <w:rFonts w:ascii="Calibri" w:eastAsia="Times New Roman" w:hAnsi="Calibri" w:cs="Calibri"/>
          <w:b/>
          <w:bCs/>
          <w:color w:val="000000"/>
          <w:kern w:val="0"/>
          <w:sz w:val="22"/>
          <w:szCs w:val="22"/>
          <w14:ligatures w14:val="none"/>
        </w:rPr>
        <w:t>ticks near Ulaanbaatar, Mongolia</w:t>
      </w:r>
    </w:p>
    <w:p w14:paraId="1A015C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Tick-borne encephalitis virus (TBEV) is a flavivirus primarily transmitted by ticks that can cause severe disease in humans and livestock. There are five TBEV strains, Western, Himalayan, Baikalian, Siberian, and Far-Eastern. Only Siberian and Far-Eastern are circulating in Mongolia with the latter causing more severe disease. In Mongolia, TBEV is most commonly detected in Selenge and Bulgan provinces, yet significant surveillance gaps remain in Tuv province that surrounds the capital, Ulaanbaatar. </w:t>
      </w:r>
      <w:r w:rsidRPr="00FE5D1C">
        <w:rPr>
          <w:rFonts w:ascii="Calibri" w:eastAsia="Times New Roman" w:hAnsi="Calibri" w:cs="Calibri"/>
          <w:i/>
          <w:iCs/>
          <w:color w:val="000000"/>
          <w:kern w:val="0"/>
          <w:sz w:val="22"/>
          <w:szCs w:val="22"/>
          <w14:ligatures w14:val="none"/>
        </w:rPr>
        <w:t xml:space="preserve">Ixodes </w:t>
      </w:r>
      <w:r w:rsidRPr="00FE5D1C">
        <w:rPr>
          <w:rFonts w:ascii="Calibri" w:eastAsia="Times New Roman" w:hAnsi="Calibri" w:cs="Calibri"/>
          <w:i/>
          <w:iCs/>
          <w:color w:val="000000"/>
          <w:kern w:val="0"/>
          <w:sz w:val="22"/>
          <w:szCs w:val="22"/>
          <w14:ligatures w14:val="none"/>
        </w:rPr>
        <w:lastRenderedPageBreak/>
        <w:t>persulcatus </w:t>
      </w:r>
      <w:r w:rsidRPr="00FE5D1C">
        <w:rPr>
          <w:rFonts w:ascii="Calibri" w:eastAsia="Times New Roman" w:hAnsi="Calibri" w:cs="Calibri"/>
          <w:color w:val="000000"/>
          <w:kern w:val="0"/>
          <w:sz w:val="22"/>
          <w:szCs w:val="22"/>
          <w14:ligatures w14:val="none"/>
        </w:rPr>
        <w:t>ticks were collected in Batsumber, Tuv in 2024, morphologically identified, and sorted into five ticks per pool. Pools were homogenized, extracted, and screened via PCR for TBEV. Positive TBEV samples were then sequenced, resulting in two full genome sequences for Siberian subtype TBEV. Both isolates were most similar to the TBEV identified in Eastern Siberia, Russia between 2002 and 2010 and isolates collected in Mongolia and China. Phylogenetic trees were created from obtained TBEV sequences using MEGA software. The detection of TBEV in Tuv province, near the dense capital city, poses a public health risk. Expanding surveillance to small mammals in the region could help identify potential reservoirs and explore transmission dynamics. Subtyping TBEV strains would provide valuable information to inform public health mitigation strategies. Furthermore, increased surveillance in Tuv province for TBEV is needed for a comprehensive understanding of TBEV’s geographic range its potential impact on Ulaanbaatar’s population.</w:t>
      </w:r>
    </w:p>
    <w:p w14:paraId="414555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25-A-2251-ASTMH</w:t>
      </w:r>
    </w:p>
    <w:p w14:paraId="1BE00E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7DABA9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Snakebite Treatment Practices: Community Roles and Perceptions to Traditional First-aids Practices in Northern Nigeria</w:t>
      </w:r>
    </w:p>
    <w:p w14:paraId="3D89A0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Snakebite is a serious public health issue in Nigeria, particularly rural communities where frequent human-snake interactions occur due to ecological and farming conditions. Recognised by the World Health Organization (WHO) as a neglected tropical disease, snakebite demands improved prevention and treatment efforts. Community perceptions significantly influence treatment-seeking behaviours, making it crucial to understand local views and practices to effectively integrate community-driven approaches with modern-medicine. Hence, this study examined community roles in snakebite treatment, focusing on traditional first-aid practices and the potential for collaboration between traditional and modern medicine in Nigeria. A qualitative research design was adopted using the Interpretive Phenomenological Analysis (IPA) approach. 16 farmers, aged 29-55 years were purposively selected from 11 different tribes across 3 states. Participants, who were relatives of snakebite victims, were selected using purposive non-probability sampling. Data were collected using semi-structured in-depth interviews, audio-recorded, transcribed, and analysed thematically. The study revealed that while all 16 farmers admit the effectiveness of hospitals in treating snakebites, 25% stated they would still opt for traditional methods due to ancestral allegiance, affordability, and accessibility. 56.25% admitted they would apply at least one traditional first-aid measure such as snake charming, prayers, or herbal concoctions before seeking hospital care. These practices remain culturally significant and often the first response in rural areas. However, barriers such as inter-tribal conflicts and the extinction of important medicinal herbs like ‘Jankawa and Dau’ were identified as threats to sustaining traditional treatments. These findings highlight a complex interplay between cultural beliefs and modern medicine despite WHO’s recommendation for prompt hospital care in snakebite cases. This suggests the need for culturally sensitive public health strategies that integrate traditional knowledge with modern medical systems.</w:t>
      </w:r>
    </w:p>
    <w:p w14:paraId="63CFA57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25-A-2252-ASTMH</w:t>
      </w:r>
    </w:p>
    <w:p w14:paraId="300AA9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24036E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Deep learning-guided cartography method for analyzing patterns and molecular determinants of antigenic evolution in influenza A virus</w:t>
      </w:r>
    </w:p>
    <w:p w14:paraId="32B6C3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As with many pathogens, influenza virus evolution remains unpredictable. Genetic mutations alter the epitope structure of viral glycoproteins, leading to antigenic changes and evasion of population immunity. Characterizing antigenic evolution and vaccine strain selection need serological testing via animal challenges and immunoassays, and the mapping of large-scale titration data into antigenic space using dimension reduction-based cartography methods. The original H3N2 antigenic map uncovered an epochal clustering pattern of viral antigenic evolution prior to 2012. Yet there has been no updated antigenic map for H3N2 viruses isolated since 2012, and no antigenic map has been built with real-world </w:t>
      </w:r>
      <w:r w:rsidRPr="00FE5D1C">
        <w:rPr>
          <w:rFonts w:ascii="Calibri" w:eastAsia="Times New Roman" w:hAnsi="Calibri" w:cs="Calibri"/>
          <w:color w:val="000000"/>
          <w:kern w:val="0"/>
          <w:sz w:val="22"/>
          <w:szCs w:val="22"/>
          <w14:ligatures w14:val="none"/>
        </w:rPr>
        <w:lastRenderedPageBreak/>
        <w:t>pandemic H1N1 isolates. Despite the thriving of sequencing tools, it remains difficult to position viruses onto antigenic space using protein sequences alone. This complicates influenza surveillance, vaccine development, and elucidation of human immune response. In this study, we develop a deep learning-guided cartography method to predict serology titer from sequences to enhance antigenic mapping, distinguish genetic signatures signaling the emergence of antigenic clusters, and identify substitutions driving antigenic cluster transitions. With data from the WHO, we found that the H3N2 antigenic evolution showed an epochal clustering pattern, with three antigenic clusters from 2012 to 2022. By contrast, H1N1 virus had slower antigenic changes, with relatively stable antigenic drift up to 2020, followed by a short, interrupted period in 2020, and then accelerated drift from 2021 onward. Their distinct evolutionary patterns may be shaped by differential circulation histories, varying population immunity, and age-related immunosenescence. We use our interpretable machine learning model to identify substitutions and epistasis linked to each cluster transition, selecting candidate strains for laboratory testing. Our work is important for real-time pathogen surveillance, synthetic serology, and vaccine design.</w:t>
      </w:r>
    </w:p>
    <w:p w14:paraId="28767F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25-A-2253-ASTMH</w:t>
      </w:r>
    </w:p>
    <w:p w14:paraId="650383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52E4AF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Prevalence, Genetic Diversity of Microsporidia MB, and Correlation to Insecticide Resistance in Anopheles gambiae sensu latoand Anopheles funestus Mosquitoes in Busia, Kenya.</w:t>
      </w:r>
    </w:p>
    <w:p w14:paraId="2A1F8C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discovery of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a malaria-impairing symbiont in </w:t>
      </w:r>
      <w:r w:rsidRPr="00FE5D1C">
        <w:rPr>
          <w:rFonts w:ascii="Calibri" w:eastAsia="Times New Roman" w:hAnsi="Calibri" w:cs="Calibri"/>
          <w:i/>
          <w:iCs/>
          <w:color w:val="000000"/>
          <w:kern w:val="0"/>
          <w:sz w:val="22"/>
          <w:szCs w:val="22"/>
          <w14:ligatures w14:val="none"/>
        </w:rPr>
        <w:t>Anopheles arabiensis</w:t>
      </w:r>
      <w:r w:rsidRPr="00FE5D1C">
        <w:rPr>
          <w:rFonts w:ascii="Calibri" w:eastAsia="Times New Roman" w:hAnsi="Calibri" w:cs="Calibri"/>
          <w:color w:val="000000"/>
          <w:kern w:val="0"/>
          <w:sz w:val="22"/>
          <w:szCs w:val="22"/>
          <w14:ligatures w14:val="none"/>
        </w:rPr>
        <w:t>, suggests its potential for malaria control. This study investigated its prevalence and diversity in </w:t>
      </w:r>
      <w:r w:rsidRPr="00FE5D1C">
        <w:rPr>
          <w:rFonts w:ascii="Calibri" w:eastAsia="Times New Roman" w:hAnsi="Calibri" w:cs="Calibri"/>
          <w:i/>
          <w:iCs/>
          <w:color w:val="000000"/>
          <w:kern w:val="0"/>
          <w:sz w:val="22"/>
          <w:szCs w:val="22"/>
          <w14:ligatures w14:val="none"/>
        </w:rPr>
        <w:t>An. gambiae s.l.</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in Busia, Kenya,</w:t>
      </w:r>
      <w:r w:rsidRPr="00FE5D1C">
        <w:rPr>
          <w:rFonts w:ascii="Calibri" w:eastAsia="Times New Roman" w:hAnsi="Calibri" w:cs="Calibri"/>
          <w:color w:val="000000"/>
          <w:kern w:val="0"/>
          <w:sz w:val="22"/>
          <w:szCs w:val="22"/>
          <w:vertAlign w:val="superscript"/>
          <w14:ligatures w14:val="none"/>
        </w:rPr>
        <w:t> </w:t>
      </w:r>
      <w:r w:rsidRPr="00FE5D1C">
        <w:rPr>
          <w:rFonts w:ascii="Calibri" w:eastAsia="Times New Roman" w:hAnsi="Calibri" w:cs="Calibri"/>
          <w:color w:val="000000"/>
          <w:kern w:val="0"/>
          <w:sz w:val="22"/>
          <w:szCs w:val="22"/>
          <w14:ligatures w14:val="none"/>
        </w:rPr>
        <w:t>and its association with insecticide resistance and environmental factors. Mosquitoes were collected from three sub-counties. Species were identified, and DNA extracted. PCR determined species distribution and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prevalence. Insecticide resistance markers were identified using TaqMan genotyping.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-positive samples underwent whole-genome sequencing and phylogenetic analysis. Statistical tests</w:t>
      </w:r>
      <w:r w:rsidRPr="00FE5D1C">
        <w:rPr>
          <w:rFonts w:ascii="Calibri" w:eastAsia="Times New Roman" w:hAnsi="Calibri" w:cs="Calibri"/>
          <w:color w:val="000000"/>
          <w:kern w:val="0"/>
          <w:sz w:val="22"/>
          <w:szCs w:val="22"/>
          <w:vertAlign w:val="superscript"/>
          <w14:ligatures w14:val="none"/>
        </w:rPr>
        <w:t> </w:t>
      </w:r>
      <w:r w:rsidRPr="00FE5D1C">
        <w:rPr>
          <w:rFonts w:ascii="Calibri" w:eastAsia="Times New Roman" w:hAnsi="Calibri" w:cs="Calibri"/>
          <w:color w:val="000000"/>
          <w:kern w:val="0"/>
          <w:sz w:val="22"/>
          <w:szCs w:val="22"/>
          <w14:ligatures w14:val="none"/>
        </w:rPr>
        <w:t>assessed relationships between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insecticide resistance, and ecological variables. Notable variation in species distribution was observed. </w:t>
      </w:r>
      <w:r w:rsidRPr="00FE5D1C">
        <w:rPr>
          <w:rFonts w:ascii="Calibri" w:eastAsia="Times New Roman" w:hAnsi="Calibri" w:cs="Calibri"/>
          <w:i/>
          <w:iCs/>
          <w:color w:val="000000"/>
          <w:kern w:val="0"/>
          <w:sz w:val="22"/>
          <w:szCs w:val="22"/>
          <w14:ligatures w14:val="none"/>
        </w:rPr>
        <w:t>An. gambiae s.l.</w:t>
      </w:r>
      <w:r w:rsidRPr="00FE5D1C">
        <w:rPr>
          <w:rFonts w:ascii="Calibri" w:eastAsia="Times New Roman" w:hAnsi="Calibri" w:cs="Calibri"/>
          <w:color w:val="000000"/>
          <w:kern w:val="0"/>
          <w:sz w:val="22"/>
          <w:szCs w:val="22"/>
          <w14:ligatures w14:val="none"/>
        </w:rPr>
        <w:t> was most prevalent in Teso South and Butula, while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dominated Budalangi.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prevalence was low to moderate (0-6.4%), highest in </w:t>
      </w:r>
      <w:r w:rsidRPr="00FE5D1C">
        <w:rPr>
          <w:rFonts w:ascii="Calibri" w:eastAsia="Times New Roman" w:hAnsi="Calibri" w:cs="Calibri"/>
          <w:i/>
          <w:iCs/>
          <w:color w:val="000000"/>
          <w:kern w:val="0"/>
          <w:sz w:val="22"/>
          <w:szCs w:val="22"/>
          <w14:ligatures w14:val="none"/>
        </w:rPr>
        <w:t>An. gambiae s.s.</w:t>
      </w:r>
      <w:r w:rsidRPr="00FE5D1C">
        <w:rPr>
          <w:rFonts w:ascii="Calibri" w:eastAsia="Times New Roman" w:hAnsi="Calibri" w:cs="Calibri"/>
          <w:color w:val="000000"/>
          <w:kern w:val="0"/>
          <w:sz w:val="22"/>
          <w:szCs w:val="22"/>
          <w14:ligatures w14:val="none"/>
        </w:rPr>
        <w:t> Despite temperature, pH, and dissolved oxygen fluctuations, only pH variation was associated with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prevalence. No correlation was found between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infection and insecticide resistance markers. Phylogenetic analysis revealed significant genetic diversity in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influenced by geographic location.The study highlights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occurrence in multiple malaria vectors and the potential role of ecological factors in its prevalence. Future research will explore if malaria-protective traits are conserved across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lineages to inform its use as a novel malaria control strategy in diverse settings. Geographic location significantly shapes </w:t>
      </w:r>
      <w:r w:rsidRPr="00FE5D1C">
        <w:rPr>
          <w:rFonts w:ascii="Calibri" w:eastAsia="Times New Roman" w:hAnsi="Calibri" w:cs="Calibri"/>
          <w:i/>
          <w:iCs/>
          <w:color w:val="000000"/>
          <w:kern w:val="0"/>
          <w:sz w:val="22"/>
          <w:szCs w:val="22"/>
          <w14:ligatures w14:val="none"/>
        </w:rPr>
        <w:t>Microsporidia MB</w:t>
      </w:r>
      <w:r w:rsidRPr="00FE5D1C">
        <w:rPr>
          <w:rFonts w:ascii="Calibri" w:eastAsia="Times New Roman" w:hAnsi="Calibri" w:cs="Calibri"/>
          <w:color w:val="000000"/>
          <w:kern w:val="0"/>
          <w:sz w:val="22"/>
          <w:szCs w:val="22"/>
          <w14:ligatures w14:val="none"/>
        </w:rPr>
        <w:t> genetic diversity and dispersal patterns in mosquitoes.</w:t>
      </w:r>
    </w:p>
    <w:p w14:paraId="1767CD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25-A-2254-ASTMH</w:t>
      </w:r>
    </w:p>
    <w:p w14:paraId="044014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2957C20A" w14:textId="7C18F040"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Strengthening Frontline Health Workforce to Improve Case Detection in Ghana</w:t>
      </w:r>
    </w:p>
    <w:p w14:paraId="26BBBA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Corresponding author and contact person: Jerry Kwame Asamoah; email address: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u w:val="single"/>
          <w14:ligatures w14:val="none"/>
        </w:rPr>
        <w:t>asamoahjerry5@gmail.com</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A well-trained, adequately resourced health workforce is vital for tropical disease prevention and treatment. In Ghana, disparities in workforce distribution, training, and resource availability vary across ecological zones—coastal, forest, and savannah—impacting case detection, reporting, and treatment outcomes for diseases like malaria, dengue, schistosomiasis, and other NTDs. This study explores zone-specific frontline workforce challenges and proposes evidence-based strategies to enhance healthcare delivery.</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xml:space="preserve"> A mixed-methods approach combined surveys and interviews with 150 frontline healthcare professionals across Ghana's three ecological zones. Data collection focused on workforce availability, training, retention </w:t>
      </w:r>
      <w:r w:rsidRPr="00FE5D1C">
        <w:rPr>
          <w:rFonts w:ascii="Calibri" w:eastAsia="Times New Roman" w:hAnsi="Calibri" w:cs="Calibri"/>
          <w:color w:val="000000"/>
          <w:kern w:val="0"/>
          <w:sz w:val="22"/>
          <w:szCs w:val="22"/>
          <w14:ligatures w14:val="none"/>
        </w:rPr>
        <w:lastRenderedPageBreak/>
        <w:t>strategies, resource distribution, and barriers to effective case management.</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Disparities in workforce challenges were evident:•</w:t>
      </w:r>
      <w:r w:rsidRPr="00FE5D1C">
        <w:rPr>
          <w:rFonts w:ascii="Calibri" w:eastAsia="Times New Roman" w:hAnsi="Calibri" w:cs="Calibri"/>
          <w:b/>
          <w:bCs/>
          <w:color w:val="000000"/>
          <w:kern w:val="0"/>
          <w:sz w:val="22"/>
          <w:szCs w:val="22"/>
          <w14:ligatures w14:val="none"/>
        </w:rPr>
        <w:t>Coastal Zone:</w:t>
      </w:r>
      <w:r w:rsidRPr="00FE5D1C">
        <w:rPr>
          <w:rFonts w:ascii="Calibri" w:eastAsia="Times New Roman" w:hAnsi="Calibri" w:cs="Calibri"/>
          <w:color w:val="000000"/>
          <w:kern w:val="0"/>
          <w:sz w:val="22"/>
          <w:szCs w:val="22"/>
          <w14:ligatures w14:val="none"/>
        </w:rPr>
        <w:t> 60% reported understaffing and high patient loads due to urban migration. Lack of specialized training hindered accurate case detection.•</w:t>
      </w:r>
      <w:r w:rsidRPr="00FE5D1C">
        <w:rPr>
          <w:rFonts w:ascii="Calibri" w:eastAsia="Times New Roman" w:hAnsi="Calibri" w:cs="Calibri"/>
          <w:b/>
          <w:bCs/>
          <w:color w:val="000000"/>
          <w:kern w:val="0"/>
          <w:sz w:val="22"/>
          <w:szCs w:val="22"/>
          <w14:ligatures w14:val="none"/>
        </w:rPr>
        <w:t>Forest Zone:</w:t>
      </w:r>
      <w:r w:rsidRPr="00FE5D1C">
        <w:rPr>
          <w:rFonts w:ascii="Calibri" w:eastAsia="Times New Roman" w:hAnsi="Calibri" w:cs="Calibri"/>
          <w:color w:val="000000"/>
          <w:kern w:val="0"/>
          <w:sz w:val="22"/>
          <w:szCs w:val="22"/>
          <w14:ligatures w14:val="none"/>
        </w:rPr>
        <w:t> High turnover (50%) stemmed from limited career progression and resource constraints. Seasonal disease outbreaks worsened challenges.•</w:t>
      </w:r>
      <w:r w:rsidRPr="00FE5D1C">
        <w:rPr>
          <w:rFonts w:ascii="Calibri" w:eastAsia="Times New Roman" w:hAnsi="Calibri" w:cs="Calibri"/>
          <w:b/>
          <w:bCs/>
          <w:color w:val="000000"/>
          <w:kern w:val="0"/>
          <w:sz w:val="22"/>
          <w:szCs w:val="22"/>
          <w14:ligatures w14:val="none"/>
        </w:rPr>
        <w:t>Savannah Zone:</w:t>
      </w:r>
      <w:r w:rsidRPr="00FE5D1C">
        <w:rPr>
          <w:rFonts w:ascii="Calibri" w:eastAsia="Times New Roman" w:hAnsi="Calibri" w:cs="Calibri"/>
          <w:color w:val="000000"/>
          <w:kern w:val="0"/>
          <w:sz w:val="22"/>
          <w:szCs w:val="22"/>
          <w14:ligatures w14:val="none"/>
        </w:rPr>
        <w:t> 75% cited inadequate supplies and limited diagnostics as major barriers. Burnout among community health workers was common.Facilities implementing continuous professional development, localized retention strategies, and zone-specific policies reported improved staff satisfaction, better case detection, and enhanced outcomes.</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Strengthening Ghana’s frontline workforce requires tailored, zone-specific interventions including targeted capacity-building, adaptive human resource policies, and sustainable retention strategies. These findings offer actionable recommendations for policymakers, healthcare administrators, and global health partners to improve tropical disease control across Ghana’s diverse landscapes.</w:t>
      </w:r>
    </w:p>
    <w:p w14:paraId="0B00A4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25-A-2255-ASTMH</w:t>
      </w:r>
    </w:p>
    <w:p w14:paraId="32C3A9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174F72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Harnessing Environmental Management and Community Engagement to Reduce Schistosomiasis Risk in Communities Adjacent to an Irrigation Scheme in Malawi</w:t>
      </w:r>
    </w:p>
    <w:p w14:paraId="5DEE89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Irrigation schemes enhance agricultural productivity and food security but can inadvertently support the transmission of waterborne diseases such as schistosomiasis. This study investigated the link between irrigation infrastructure and schistosomiasis transmission in communities near large-scale sugarcane irrigation schemes, focusing on the proliferation of Bulinus and Biomphalaria snails—intermediate hosts of Schistosoma haematobium and S. mansoni. A mixed-methods approach was used, including longitudinal malacological surveys across various aquatic habitats (canals, dams, drains, siphon boxes), water contact observations, and focus group discussions. The objective was to identify habitats most conducive to snail proliferation and understand behavioral and environmental risk factors. Findings showed that drainage systems harbored the highest proportion of snails (44% of 5,434), followed by siphon boxes and dams (27% each). Drains with nutrient-rich runoff and dense submerged vegetation provided ideal breeding conditions due to reduced water flow. Snail abundance was significantly associated with vegetation cover (p = 0.004) and water quality (p = 0.005). Behavioral data revealed that young women were most at risk due to prolonged water contact during domestic activities at drains. In response, we implemented a community-based environmental management intervention, clearing vegetation from drains to improve water velocity and disrupt snail habitats. This was complemented by health education and behavior change activities, delivered in collaboration with local volunteers. Preliminary results show a significant reduction in snail density (p = 0.003) and fewer transmission hotspots. These outcomes highlight the effectiveness of integrating community-led environmental and behavioral interventions into schistosomiasis control, particularly in irrigation-affected settings. Sustained community engagement and alignment with agricultural practices are key to reducing transmission long term.</w:t>
      </w:r>
    </w:p>
    <w:p w14:paraId="232A21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25-A-2256-ASTMH</w:t>
      </w:r>
    </w:p>
    <w:p w14:paraId="22588C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3A14FB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Enterotoxigenic </w:t>
      </w:r>
      <w:r w:rsidRPr="00FE5D1C">
        <w:rPr>
          <w:rFonts w:ascii="Calibri" w:eastAsia="Times New Roman" w:hAnsi="Calibri" w:cs="Calibri"/>
          <w:b/>
          <w:bCs/>
          <w:i/>
          <w:iCs/>
          <w:color w:val="000000"/>
          <w:kern w:val="0"/>
          <w:sz w:val="22"/>
          <w:szCs w:val="22"/>
          <w14:ligatures w14:val="none"/>
        </w:rPr>
        <w:t>Bacteroides fragilis</w:t>
      </w:r>
      <w:r w:rsidRPr="00FE5D1C">
        <w:rPr>
          <w:rFonts w:ascii="Calibri" w:eastAsia="Times New Roman" w:hAnsi="Calibri" w:cs="Calibri"/>
          <w:b/>
          <w:bCs/>
          <w:color w:val="000000"/>
          <w:kern w:val="0"/>
          <w:sz w:val="22"/>
          <w:szCs w:val="22"/>
          <w14:ligatures w14:val="none"/>
        </w:rPr>
        <w:t> effect on human gut epithelium and pathogenic gut microbe translocation</w:t>
      </w:r>
    </w:p>
    <w:p w14:paraId="520053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Presence of enterotoxigenic Bacteroides fragilis in the stool of children in LMICs has been associated with acute diarrhea and impaired growth. The B. fragilis toxin induces inflammation of the gut epithelium, and through f-actin rearrangement, alters gut epithelial cell morphology. In a mouse model, the presence of B. fragilis toxin enables translocation of B. fragilis across the epithelial layer via goblet cells, and thus, toxin presence may enable B. fragilis invasive disease. We designed and generated small peptides to inhibit B. fragilis toxin and tested these in an anaerobic human cell culture model (colonic HT29 cells). We created an Bacteroides ovatus strain to constituently express our anti-B. fragilis toxin </w:t>
      </w:r>
      <w:r w:rsidRPr="00FE5D1C">
        <w:rPr>
          <w:rFonts w:ascii="Calibri" w:eastAsia="Times New Roman" w:hAnsi="Calibri" w:cs="Calibri"/>
          <w:color w:val="000000"/>
          <w:kern w:val="0"/>
          <w:sz w:val="22"/>
          <w:szCs w:val="22"/>
          <w14:ligatures w14:val="none"/>
        </w:rPr>
        <w:lastRenderedPageBreak/>
        <w:t>peptide. To test if this engineered gut microbe could block B. fragilis toxin-induced translocation of gut microbes across the epithelium, we generated an in vitro model of B. fragilis toxin gut translocation using HT29-MTX cells in a transwell format. This model of B. fragilis toxin activity enables measurement of epithelial layer translocation and is easier to manipulate than the mouse model. We observed that Enterotoxigenic B. fragilis allows translocation of not only B. fragilis, but also of other microbes across the gut epithelial layer, including “bystander” microbiota species. We tested potential pathogens, such as clinical strains of Klebsiella pneumoniae, a pathogen known to cause bacteremia and sepsis in LMIC children. This model is important for understanding the pathogenesis of Enterotoxigenic B. fragilis, including the contribution of this species to mediating enteric enteropathy or facilitating invasive infection, and in general for understanding how gut microbial pathogens can become invasive. This work also sheds light on the potential utility of using an engineered microbiota species that expresses an anti-B. fragilis toxin peptide.</w:t>
      </w:r>
    </w:p>
    <w:p w14:paraId="71953F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25-A-2257-ASTMH</w:t>
      </w:r>
    </w:p>
    <w:p w14:paraId="05AA31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6D3830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drug resistance monitoring in Senegal reveals dramatic regional heterogeneity with general increases in markers associated with decreased susceptibility to partner drugs lumefantrine and amodiaquine.</w:t>
      </w:r>
    </w:p>
    <w:p w14:paraId="1F9F931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Antimalarial drug resistance threatens malaria elimination efforts in Senegal. National surveillance for drug resistance allele and haplotype frequencies was done on 900 Plasmodium falciparum samples from febrile individuals at 12 health posts using MAD4HatTeR amplicon sequencing. No evidence for artemisinin resistant (ARTR) K13 mutations was found, but heterogeneity in allele and haplotype frequencies for Pfcrt, Pfmdr1, Pfdhfr, and Pfdhps were detected, consistent with increasing drug pressure. Most infections (55% [Confidence Interval, CI: 51.5%, 58.9%]) had the CVIET Pfcrt haplotype associated with increased amodiaquine (AQ) resistance, but this varied from 20% to 89.7% by region. For Pfmdr1, 51.4% (CI: 45.9%, 56.7%) of infections had the NFD haplotype, associated with decreased lumefantrine (LUM) susceptibility, that ranged from 14.3% to 93.8 %, depending on the region. The Pfdhfr IRN haplotype (N51I, C59R, and S108N) associated with pyrimethamine (P) resistance was near fixation in Senegal, but a decrease (78.9% [75.6%, 82.3%] was seen overall, characterized by reduced C59R frequency (80.9% [77.8%, 83.4%]), while N51I (96.6% [95.1%, 98.0%]) and S108N (98.1% [97.1%, 99.2%] remained near fixation. Pfdhps mutations associated with sulfadoxine (S) resistance increased: A437G (83.1% [80.0%, 86.2%]), S436A (42.7% [38.8%, 46.5%]), A613S/T (21.1% [17.8%, 24.6%]), A581G (16.9% [13.8%, 20.0%], I431V (16.7%, [13.7%, 19.8%]), and K540E (1.6% [0.6%, 2.3%]), but the ISGEAA haplotype associated with high SP resistance was rare (&lt;1% across all samples). These results indicate the absence of ART K13 mutations, general increases in resistance-associated mutations (except relaxation of the Pfdhfr C59R), and dramatic regional differences in mutation frequency. We hypothesize these changes are due to differential population-level drug pressure including Seasonal Malaria Chemoprevention (SMC). Progressive selection of mutations associated with ART partner drugs (LUM and AQ) as well as SP (used in SMC) warrant ongoing surveillance for antimalarial resistance that threatens to undermine malaria elimination efforts in Senegal.</w:t>
      </w:r>
    </w:p>
    <w:p w14:paraId="47DAA7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25-A-2260-ASTMH</w:t>
      </w:r>
    </w:p>
    <w:p w14:paraId="2A646A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695649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Seasonal Malaria Chemoprevention Coverage in Hard-to-reach Populations in Turkana, Northern Kenya.</w:t>
      </w:r>
    </w:p>
    <w:p w14:paraId="2E582C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Malaria is a growing concern in northern Kenya where moderate to high incidence has been documented. The area is harsh, arid and communities are highly mobile, sleep outside and have poor access to health services. Malaria transmission in Turkana is seasonal; 30% of cases occur in children under five years and 65% occur between June and October. This calls for non-traditional prevention methods like Seasonal Malaria Chemoprevention (SMC), which is the intermittent administration of full </w:t>
      </w:r>
      <w:r w:rsidRPr="00FE5D1C">
        <w:rPr>
          <w:rFonts w:ascii="Calibri" w:eastAsia="Times New Roman" w:hAnsi="Calibri" w:cs="Calibri"/>
          <w:color w:val="000000"/>
          <w:kern w:val="0"/>
          <w:sz w:val="22"/>
          <w:szCs w:val="22"/>
          <w14:ligatures w14:val="none"/>
        </w:rPr>
        <w:lastRenderedPageBreak/>
        <w:t>treatment courses of malaria medicine during high seasons to prevent malaria. Until 2022, SMC was used only in the Sahelian countries of Africa. Like the Sahel, Turkana experiences strong seasonality of malaria making SMC a promising prevention method. During the 2024 peak malaria season, SMC was administered, in five monthly cycles, for three days a cycle, to all eligible children aged 3-59 months in Turkana Central. It was delivered door to door, at fixed points, mobile fixed points and outreaches. At the end of the round, we conducted a cross-sectional survey whose primary aim was to ascertain coverage across the cycles. Data on coverage, acceptability and adherence were collected in 450 sampled households. There were 733 eligible children in the households; the majority were male (53%); mean age was 33 months. Most of the children (97%) received at least one cycle of SMC while 71% received all 5. Partial coverage was observed in 27% of the children. Reasons for not receiving SMC included travel (10%), distance to fixed distribution points and illness on SMC days (10%). Community acceptance of SMC was high, with only 8.7% of non-recipients citing safety or benefit concerns. Adherence to day 2 and day 3 doses was 95%. Side effects were infrequent (12.4%) and included fever, vomiting, diarrhea and rash. Increasing fixed points, outreach sites and incorporating malaria case management could improve coverage and ensure febrile children are treated promptly so that they are eligible for subsequent cycles. SMC is a feasible and safe intervention in Northern Kenya. Optimizing coverage would ensure children are protected through the high-risk period of transmission.</w:t>
      </w:r>
    </w:p>
    <w:p w14:paraId="07B9D8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25-A-2262-ASTMH</w:t>
      </w:r>
    </w:p>
    <w:p w14:paraId="7FB0D8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3E6F10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REMOVED FROM PROGRAM 7791 Does repeated doses of dihydroartemisinin-piperaquine during pregnancy have a negative impact on birthweight? A pooled analysis of randomized controlled trials</w:t>
      </w:r>
    </w:p>
    <w:p w14:paraId="45DEA2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Trials of dihydroartemisinin-piperaquine (DP) for intermittent preventive treatment in pregnancy (IPTp) have shown that, despite superior malaria prevention, DP is associated with lower birthweight compared to sulfadoxine-pyrimethamine (SP). This difference has been largely attributed to SP’s non-malarial benefits. We explored an alternative hypothesis: repeated DP dosing may negatively impair fetal growth. We pooled data from two IPTp trials conducted across three sites with varying malaria transmission intensities: low (Southwest Sumba, Indonesia), moderate (Central Papua, Indonesia), and high (Tororo, Uganda). PCR parasite prevalence at enrollment was 5.8%, 8.7%, and 56.7%, respectively. In Uganda, we compared DP every 4 vs 8 weeks (mean DP courses: 6.0 vs 2.9). In Indonesia, we compared DP every 4 weeks to screen-and-treat approaches (mean DP courses: 3.0 vs 0.1). Analyses were conducted among singleton live births and pooled using 2-stage fixed-effects models. We analyzed 2135 mother-infant dyads: 820 from SW Sumba, 1038 from C. Papua, and 277 from Tororo. Maternal weight gain, birthweight, and birthweight-for gestational age Z-scores were lower in the monthly DP arm (mean difference [95% CI]: -44 g/week [-68, -20], -58 g [-106, -19], and -0.17 [-0.27, -0.06]) compared to less frequent DP dosing, with minimal differences in gestational age at birth (-0.07 weeks [-0.20, 0.06]). Birthweight differences attenuated with increasing transmission: -113 g [-186, 40], -26 g [-99, 50], and 5 g [-114, 124]. Compared to less frequent dosing, monthly DP increased risks of small-for-gestational age (RR=1.38 [1.10-1.72]) and low birthweight (LBW) (RR=1.47 [1.18, 1.84]). LBW effects varied by transmission site: low (RR=1.74 [1.25-2.25]), moderate (RR=1.03 [0.62-1.69]) and high (RR=0.45 [0.16-1.26]). Preterm birth risk was similar between arms (RR=1.02 [0.76-1.36]), except in Tororo (RR=0.38 [0.10-1.44]). In summary, monthly DP in pregnancy was associated with reduced maternal weight gain and fetal growth compared to less frequent dosing. In higher transmission areas, DP’s benefits on malaria prevention may partially offset harms.</w:t>
      </w:r>
    </w:p>
    <w:p w14:paraId="090415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25-A-2265-ASTMH</w:t>
      </w:r>
    </w:p>
    <w:p w14:paraId="7CB885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4DEEB7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Using Routine Health Facility Data to Evaluate the Retrospective Impact of Long-Lasting Insecticidal Nets in Mainland Tanzania</w:t>
      </w:r>
    </w:p>
    <w:p w14:paraId="5A06DE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Following stalled progress in malaria control, the World Health Organization has emphasized the need for malaria-endemic countries to strengthen their routine information systems. The goal is to facilitate targeted decision-making and maximize the impact of implemented control measures. In response, many countries have begun implementing tailored intervention packages, necessitating continuous monitoring and evaluation to assess their effectiveness. Retrospective impact evaluations provide crucial evidence to malaria programs on the success of interventions in reducing the malaria burden and informing national policies. They also highlight areas with no observed impact, prompting further investigation into whether this results from intervention ineffectiveness or other factors. Over the past two decades, Tanzania has implemented various malaria control strategies, resulting in significant decline in malaria burden. A major role is attributed to long lasting insecticidal nets (LLINs). However, no evidence exists to quantify LLINs’ contribution to this decline. This study aims to retrospectively assess LLIN impact in the country. Routine data from 5,410 health facilities for the period 2017-2022 were obtained for 48 councils that received a mass LLIN campaign in 2020. Interrupted time series analysis using an autoregressive integrated moving average model estimated the LLIN impact by forecasting the counterfactual scenario without LLINs and quantifying averted cases. After accounting for key covariates, results indicated high heterogeneity in LLIN impact across councils. The proportion of cases averted per 1,000 population ranged from 0% to 78% with 94% of councils showing impact. Interestingly, in 33 (68.8%) councils, incidence declined before the mass campaign, highlighting the need to explore additional contributing factors. The increasing availability and quality of routine health facility data have enabled more granular impact evaluations. Strengthening surveillance systems to generate high-quality routine data remains essential for guiding malaria elimination efforts and sustaining progress.</w:t>
      </w:r>
    </w:p>
    <w:p w14:paraId="54A0EC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25-A-2266-ASTMH</w:t>
      </w:r>
    </w:p>
    <w:p w14:paraId="3CAC1B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31A30F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early infection by </w:t>
      </w:r>
      <w:r w:rsidRPr="00FE5D1C">
        <w:rPr>
          <w:rFonts w:ascii="Calibri" w:eastAsia="Times New Roman" w:hAnsi="Calibri" w:cs="Calibri"/>
          <w:i/>
          <w:iCs/>
          <w:color w:val="000000"/>
          <w:kern w:val="0"/>
          <w:sz w:val="22"/>
          <w:szCs w:val="22"/>
          <w14:ligatures w14:val="none"/>
        </w:rPr>
        <w:t>Ascaris suum</w:t>
      </w:r>
      <w:r w:rsidRPr="00FE5D1C">
        <w:rPr>
          <w:rFonts w:ascii="Calibri" w:eastAsia="Times New Roman" w:hAnsi="Calibri" w:cs="Calibri"/>
          <w:color w:val="000000"/>
          <w:kern w:val="0"/>
          <w:sz w:val="22"/>
          <w:szCs w:val="22"/>
          <w14:ligatures w14:val="none"/>
        </w:rPr>
        <w:t> aggravates lung metastasis in a triple-negative 4T1 breast cancer model by modulating the immune response</w:t>
      </w:r>
    </w:p>
    <w:p w14:paraId="578697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Breast cancer is the most common among women worldwide. Emerging evidence suggests that previous helminth infections may influence cancer development by modulating the immune response and creating a tumor-supportive microenvironment. However, this association remains unexplored in the context of ascariasis, one of the most prevalent helminth infections globally. Here, we investigated whether chronic inflammation induced by </w:t>
      </w:r>
      <w:r w:rsidRPr="00FE5D1C">
        <w:rPr>
          <w:rFonts w:ascii="Calibri" w:eastAsia="Times New Roman" w:hAnsi="Calibri" w:cs="Calibri"/>
          <w:i/>
          <w:iCs/>
          <w:color w:val="000000"/>
          <w:kern w:val="0"/>
          <w:sz w:val="22"/>
          <w:szCs w:val="22"/>
          <w14:ligatures w14:val="none"/>
        </w:rPr>
        <w:t>Ascaris suum</w:t>
      </w:r>
      <w:r w:rsidRPr="00FE5D1C">
        <w:rPr>
          <w:rFonts w:ascii="Calibri" w:eastAsia="Times New Roman" w:hAnsi="Calibri" w:cs="Calibri"/>
          <w:color w:val="000000"/>
          <w:kern w:val="0"/>
          <w:sz w:val="22"/>
          <w:szCs w:val="22"/>
          <w14:ligatures w14:val="none"/>
        </w:rPr>
        <w:t> affects the progression of breast cancer and its pulmonary metastases in a murine model. Thus, female BALB/c mice were orally infected with 250 </w:t>
      </w:r>
      <w:r w:rsidRPr="00FE5D1C">
        <w:rPr>
          <w:rFonts w:ascii="Calibri" w:eastAsia="Times New Roman" w:hAnsi="Calibri" w:cs="Calibri"/>
          <w:i/>
          <w:iCs/>
          <w:color w:val="000000"/>
          <w:kern w:val="0"/>
          <w:sz w:val="22"/>
          <w:szCs w:val="22"/>
          <w14:ligatures w14:val="none"/>
        </w:rPr>
        <w:t>A. suum</w:t>
      </w:r>
      <w:r w:rsidRPr="00FE5D1C">
        <w:rPr>
          <w:rFonts w:ascii="Calibri" w:eastAsia="Times New Roman" w:hAnsi="Calibri" w:cs="Calibri"/>
          <w:color w:val="000000"/>
          <w:kern w:val="0"/>
          <w:sz w:val="22"/>
          <w:szCs w:val="22"/>
          <w14:ligatures w14:val="none"/>
        </w:rPr>
        <w:t> eggs. After 14 days, 1×10⁶ 4T1 cells were inoculated subcutaneously in the left flank. Tumor growth and survival were monitored. After 21 days, mice were euthanized for histopathological and cytokine analyses of lung tissue; tumors and bronchoalveolar lavage (BAL) samples were assessed by flow cytometry. Additionally, mice received injection of 100 µCi of radiolabeled bombesin and after scintigraphic imaging and lung radioactivity was quantified. Mice previously infected with </w:t>
      </w:r>
      <w:r w:rsidRPr="00FE5D1C">
        <w:rPr>
          <w:rFonts w:ascii="Calibri" w:eastAsia="Times New Roman" w:hAnsi="Calibri" w:cs="Calibri"/>
          <w:i/>
          <w:iCs/>
          <w:color w:val="000000"/>
          <w:kern w:val="0"/>
          <w:sz w:val="22"/>
          <w:szCs w:val="22"/>
          <w14:ligatures w14:val="none"/>
        </w:rPr>
        <w:t>A. suum</w:t>
      </w:r>
      <w:r w:rsidRPr="00FE5D1C">
        <w:rPr>
          <w:rFonts w:ascii="Calibri" w:eastAsia="Times New Roman" w:hAnsi="Calibri" w:cs="Calibri"/>
          <w:color w:val="000000"/>
          <w:kern w:val="0"/>
          <w:sz w:val="22"/>
          <w:szCs w:val="22"/>
          <w14:ligatures w14:val="none"/>
        </w:rPr>
        <w:t> exhibited reduced survival, increased number and area of lung metastatic foci, and greater radiotracer uptake in the lungs. Cytokine profiling revealed an exacerbated Th2 inflammatory response, with elevated IL-5, IL-13, and TGF-β levels. BAL analysis showed increased cellularity with eosinophilic predominance. Preliminary data suggest that these alterations persist for up to 100 days post-infection, potentially increasing vulnerability to other comorbidities. Furthermore, pilot studies using GATA1-deficient mice indicate that the chronic eosinophilic inflammation induced by </w:t>
      </w:r>
      <w:r w:rsidRPr="00FE5D1C">
        <w:rPr>
          <w:rFonts w:ascii="Calibri" w:eastAsia="Times New Roman" w:hAnsi="Calibri" w:cs="Calibri"/>
          <w:i/>
          <w:iCs/>
          <w:color w:val="000000"/>
          <w:kern w:val="0"/>
          <w:sz w:val="22"/>
          <w:szCs w:val="22"/>
          <w14:ligatures w14:val="none"/>
        </w:rPr>
        <w:t>Ascaris</w:t>
      </w:r>
      <w:r w:rsidRPr="00FE5D1C">
        <w:rPr>
          <w:rFonts w:ascii="Calibri" w:eastAsia="Times New Roman" w:hAnsi="Calibri" w:cs="Calibri"/>
          <w:color w:val="000000"/>
          <w:kern w:val="0"/>
          <w:sz w:val="22"/>
          <w:szCs w:val="22"/>
          <w14:ligatures w14:val="none"/>
        </w:rPr>
        <w:t> may facilitate lung metastasis progression in triple-negative breast cancer. Our findings highlight a novel link between helminth-induced immunomodulation and cancer metastasis, underscoring the need to consider parasitic infections in cancer prognosis. Thus, reinforcing previous evidence from studies with other helminths and highlighting the need for increased attention from health authorities to risks.</w:t>
      </w:r>
    </w:p>
    <w:p w14:paraId="616877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25-A-2267-ASTMH</w:t>
      </w:r>
    </w:p>
    <w:p w14:paraId="7FC287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64CD5B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Actinomycetoma caused by </w:t>
      </w:r>
      <w:r w:rsidRPr="00FE5D1C">
        <w:rPr>
          <w:rFonts w:ascii="Calibri" w:eastAsia="Times New Roman" w:hAnsi="Calibri" w:cs="Calibri"/>
          <w:i/>
          <w:iCs/>
          <w:color w:val="000000"/>
          <w:kern w:val="0"/>
          <w:sz w:val="22"/>
          <w:szCs w:val="22"/>
          <w14:ligatures w14:val="none"/>
        </w:rPr>
        <w:t>Nocardia farcinica</w:t>
      </w:r>
    </w:p>
    <w:p w14:paraId="3543F4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World Health Organization recognizes mycetoma as a neglected tropical disease. It is a chronic granulomatous infection that affects the skin, subcutaneous tissues, and sometimes bone. It is caused by filamentous fungi (eumycetoma) or bacteria (actinomycetoma). The disease is endemic in tropical and subtropical regions, particularly affecting farmers exposed to soil. In this case, a 54-year-old male rice farmer presented with a 7-year history of a progressively debilitating lesion on his right foot. The lesion exhibited classic features of mycetoma, including a tumor-like swelling with multiple sinus tracts discharging small pale grains. The presence of filamentous gram-positive bacteria on Gram stain and the identification of </w:t>
      </w:r>
      <w:r w:rsidRPr="00FE5D1C">
        <w:rPr>
          <w:rFonts w:ascii="Calibri" w:eastAsia="Times New Roman" w:hAnsi="Calibri" w:cs="Calibri"/>
          <w:i/>
          <w:iCs/>
          <w:color w:val="000000"/>
          <w:kern w:val="0"/>
          <w:sz w:val="22"/>
          <w:szCs w:val="22"/>
          <w14:ligatures w14:val="none"/>
        </w:rPr>
        <w:t>Nocardia farcinica</w:t>
      </w:r>
      <w:r w:rsidRPr="00FE5D1C">
        <w:rPr>
          <w:rFonts w:ascii="Calibri" w:eastAsia="Times New Roman" w:hAnsi="Calibri" w:cs="Calibri"/>
          <w:color w:val="000000"/>
          <w:kern w:val="0"/>
          <w:sz w:val="22"/>
          <w:szCs w:val="22"/>
          <w14:ligatures w14:val="none"/>
        </w:rPr>
        <w:t> via MALDI-TOF mass spectrometry underscore the importance of advanced microbiological techniques in diagnosing actinomycetoma given the low yield of culture and histopathological identification. The MRI findings of the "dot-in-circle" sign are characteristic of mycetoma. Our patient was treated with a combination of trimethoprim/sulfamethoxazole and amikacin, which aligns with recommended protocols for actinomycetoma. A 25-week course of treatment is planned. This case highlights the utility of modern diagnostic methods and the need for a comprehensive approach to management, including long-term antibiotic therapy and consideration of surgical options when necessary. It also emphasizes the socio-economic impact of mycetoma and the importance of early diagnosis and treatment to prevent disability and improve outcomes.</w:t>
      </w:r>
    </w:p>
    <w:p w14:paraId="0AFCA4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25-A-2268-ASTMH</w:t>
      </w:r>
    </w:p>
    <w:p w14:paraId="192F01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3B6AEF6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Combating Schistosomiasis japonica through Transmission-blocking vaccines</w:t>
      </w:r>
    </w:p>
    <w:p w14:paraId="106FA6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Asian schistosome, </w:t>
      </w:r>
      <w:r w:rsidRPr="00FE5D1C">
        <w:rPr>
          <w:rFonts w:ascii="Calibri" w:eastAsia="Times New Roman" w:hAnsi="Calibri" w:cs="Calibri"/>
          <w:i/>
          <w:iCs/>
          <w:color w:val="000000"/>
          <w:kern w:val="0"/>
          <w:sz w:val="22"/>
          <w:szCs w:val="22"/>
          <w14:ligatures w14:val="none"/>
        </w:rPr>
        <w:t>Schistosoma japonicum</w:t>
      </w:r>
      <w:r w:rsidRPr="00FE5D1C">
        <w:rPr>
          <w:rFonts w:ascii="Calibri" w:eastAsia="Times New Roman" w:hAnsi="Calibri" w:cs="Calibri"/>
          <w:color w:val="000000"/>
          <w:kern w:val="0"/>
          <w:sz w:val="22"/>
          <w:szCs w:val="22"/>
          <w14:ligatures w14:val="none"/>
        </w:rPr>
        <w:t>, is a zoonotic parasite that affects humans and 46 species of domestic animals. The species is one of the major causes of schistosomiasis, a debilitating disease that impacts 250 million people worldwide and contributes to a global health burden of 2.5 million Disability Adjusted Life Years (DALYs). In endemic regions, bovines account for up to 90% of environmental egg contamination in endemic regions, making them a key target for intervention. While control measures, especially the administration of praziquantel, can be effective against </w:t>
      </w:r>
      <w:r w:rsidRPr="00FE5D1C">
        <w:rPr>
          <w:rFonts w:ascii="Calibri" w:eastAsia="Times New Roman" w:hAnsi="Calibri" w:cs="Calibri"/>
          <w:i/>
          <w:iCs/>
          <w:color w:val="000000"/>
          <w:kern w:val="0"/>
          <w:sz w:val="22"/>
          <w:szCs w:val="22"/>
          <w14:ligatures w14:val="none"/>
        </w:rPr>
        <w:t>S. japonicum, </w:t>
      </w:r>
      <w:r w:rsidRPr="00FE5D1C">
        <w:rPr>
          <w:rFonts w:ascii="Calibri" w:eastAsia="Times New Roman" w:hAnsi="Calibri" w:cs="Calibri"/>
          <w:color w:val="000000"/>
          <w:kern w:val="0"/>
          <w:sz w:val="22"/>
          <w:szCs w:val="22"/>
          <w14:ligatures w14:val="none"/>
        </w:rPr>
        <w:t>their limitations necessitate alternative approaches for eradication. Mathematical modelling predicts that combining an effective transmission-blocking vaccine (TBV) with praziquantel therapy could lead to elimination of </w:t>
      </w:r>
      <w:r w:rsidRPr="00FE5D1C">
        <w:rPr>
          <w:rFonts w:ascii="Calibri" w:eastAsia="Times New Roman" w:hAnsi="Calibri" w:cs="Calibri"/>
          <w:i/>
          <w:iCs/>
          <w:color w:val="000000"/>
          <w:kern w:val="0"/>
          <w:sz w:val="22"/>
          <w:szCs w:val="22"/>
          <w14:ligatures w14:val="none"/>
        </w:rPr>
        <w:t>S. japonicum </w:t>
      </w:r>
      <w:r w:rsidRPr="00FE5D1C">
        <w:rPr>
          <w:rFonts w:ascii="Calibri" w:eastAsia="Times New Roman" w:hAnsi="Calibri" w:cs="Calibri"/>
          <w:color w:val="000000"/>
          <w:kern w:val="0"/>
          <w:sz w:val="22"/>
          <w:szCs w:val="22"/>
          <w14:ligatures w14:val="none"/>
        </w:rPr>
        <w:t>from endemic areas within a decade. My PhD research focusses on developing an effective schistosomiasis TBV with the primary goal of evaluating the efficacy of promising vaccine candidates that could play a crucial role in eliminating schistosomiasis. Both mRNA-based and recombinant protein vaccines will be assessed for their ability to induce protective immune responses and reduce worm burden in a murine model challenged with </w:t>
      </w:r>
      <w:r w:rsidRPr="00FE5D1C">
        <w:rPr>
          <w:rFonts w:ascii="Calibri" w:eastAsia="Times New Roman" w:hAnsi="Calibri" w:cs="Calibri"/>
          <w:i/>
          <w:iCs/>
          <w:color w:val="000000"/>
          <w:kern w:val="0"/>
          <w:sz w:val="22"/>
          <w:szCs w:val="22"/>
          <w14:ligatures w14:val="none"/>
        </w:rPr>
        <w:t>S. japonicum</w:t>
      </w:r>
      <w:r w:rsidRPr="00FE5D1C">
        <w:rPr>
          <w:rFonts w:ascii="Calibri" w:eastAsia="Times New Roman" w:hAnsi="Calibri" w:cs="Calibri"/>
          <w:color w:val="000000"/>
          <w:kern w:val="0"/>
          <w:sz w:val="22"/>
          <w:szCs w:val="22"/>
          <w14:ligatures w14:val="none"/>
        </w:rPr>
        <w:t> infection. If successful, these vaccine candidates could be used as a One Health TBV in bovines, ultimately reducing human schistosomiasis and contributing to significant public health outcomes.</w:t>
      </w:r>
    </w:p>
    <w:p w14:paraId="265073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25-A-2269-ASTMH</w:t>
      </w:r>
    </w:p>
    <w:p w14:paraId="775F35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1A840E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Evaluation of the insecticidal activity of </w:t>
      </w:r>
      <w:r w:rsidRPr="00FE5D1C">
        <w:rPr>
          <w:rFonts w:ascii="Calibri" w:eastAsia="Times New Roman" w:hAnsi="Calibri" w:cs="Calibri"/>
          <w:i/>
          <w:iCs/>
          <w:color w:val="000000"/>
          <w:kern w:val="0"/>
          <w:sz w:val="22"/>
          <w:szCs w:val="22"/>
          <w14:ligatures w14:val="none"/>
        </w:rPr>
        <w:t>Myristica fragrans </w:t>
      </w:r>
      <w:r w:rsidRPr="00FE5D1C">
        <w:rPr>
          <w:rFonts w:ascii="Calibri" w:eastAsia="Times New Roman" w:hAnsi="Calibri" w:cs="Calibri"/>
          <w:color w:val="000000"/>
          <w:kern w:val="0"/>
          <w:sz w:val="22"/>
          <w:szCs w:val="22"/>
          <w14:ligatures w14:val="none"/>
        </w:rPr>
        <w:t>essential oil against </w:t>
      </w:r>
      <w:r w:rsidRPr="00FE5D1C">
        <w:rPr>
          <w:rFonts w:ascii="Calibri" w:eastAsia="Times New Roman" w:hAnsi="Calibri" w:cs="Calibri"/>
          <w:i/>
          <w:iCs/>
          <w:color w:val="000000"/>
          <w:kern w:val="0"/>
          <w:sz w:val="22"/>
          <w:szCs w:val="22"/>
          <w14:ligatures w14:val="none"/>
        </w:rPr>
        <w:t>Aedes aegypti </w:t>
      </w:r>
      <w:r w:rsidRPr="00FE5D1C">
        <w:rPr>
          <w:rFonts w:ascii="Calibri" w:eastAsia="Times New Roman" w:hAnsi="Calibri" w:cs="Calibri"/>
          <w:color w:val="000000"/>
          <w:kern w:val="0"/>
          <w:sz w:val="22"/>
          <w:szCs w:val="22"/>
          <w14:ligatures w14:val="none"/>
        </w:rPr>
        <w:t>mosquitoes</w:t>
      </w:r>
    </w:p>
    <w:p w14:paraId="573843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growing resistance of </w:t>
      </w:r>
      <w:r w:rsidRPr="00FE5D1C">
        <w:rPr>
          <w:rFonts w:ascii="Calibri" w:eastAsia="Times New Roman" w:hAnsi="Calibri" w:cs="Calibri"/>
          <w:i/>
          <w:iCs/>
          <w:color w:val="000000"/>
          <w:kern w:val="0"/>
          <w:sz w:val="22"/>
          <w:szCs w:val="22"/>
          <w14:ligatures w14:val="none"/>
        </w:rPr>
        <w:t>Aedes </w:t>
      </w:r>
      <w:r w:rsidRPr="00FE5D1C">
        <w:rPr>
          <w:rFonts w:ascii="Calibri" w:eastAsia="Times New Roman" w:hAnsi="Calibri" w:cs="Calibri"/>
          <w:color w:val="000000"/>
          <w:kern w:val="0"/>
          <w:sz w:val="22"/>
          <w:szCs w:val="22"/>
          <w14:ligatures w14:val="none"/>
        </w:rPr>
        <w:t>mosquitoes to synthetic insecticides in Jamaica has increased the complexity of current vector control efforts. Thus, there is an urgent need for the development of alternative control agents in order to reduce the mosquito population and limit the incidence of mosquito-borne diseases. Previously we demonstrated that the essential of </w:t>
      </w:r>
      <w:r w:rsidRPr="00FE5D1C">
        <w:rPr>
          <w:rFonts w:ascii="Calibri" w:eastAsia="Times New Roman" w:hAnsi="Calibri" w:cs="Calibri"/>
          <w:i/>
          <w:iCs/>
          <w:color w:val="000000"/>
          <w:kern w:val="0"/>
          <w:sz w:val="22"/>
          <w:szCs w:val="22"/>
          <w14:ligatures w14:val="none"/>
        </w:rPr>
        <w:t>Myristica fragrans</w:t>
      </w:r>
      <w:r w:rsidRPr="00FE5D1C">
        <w:rPr>
          <w:rFonts w:ascii="Calibri" w:eastAsia="Times New Roman" w:hAnsi="Calibri" w:cs="Calibri"/>
          <w:color w:val="000000"/>
          <w:kern w:val="0"/>
          <w:sz w:val="22"/>
          <w:szCs w:val="22"/>
          <w14:ligatures w14:val="none"/>
        </w:rPr>
        <w:t xml:space="preserve"> more commonly known as nutmeg possessed potent insecticidal activity against the L3 larvae of the Rockefeller laboratory strain and Kitson Town field strain with LC50 values of 7.18 ppm and 15.82 ppm, respectively. Phenotypically changes were observed at higher concentrations, most notably pigmentation and shortening of the larvae. In this study, the efficacy of the oil was further assessed </w:t>
      </w:r>
      <w:r w:rsidRPr="00FE5D1C">
        <w:rPr>
          <w:rFonts w:ascii="Calibri" w:eastAsia="Times New Roman" w:hAnsi="Calibri" w:cs="Calibri"/>
          <w:color w:val="000000"/>
          <w:kern w:val="0"/>
          <w:sz w:val="22"/>
          <w:szCs w:val="22"/>
          <w14:ligatures w14:val="none"/>
        </w:rPr>
        <w:lastRenderedPageBreak/>
        <w:t>against all life stages of the Rockefeller strain and additional field strains. The </w:t>
      </w:r>
      <w:r w:rsidRPr="00FE5D1C">
        <w:rPr>
          <w:rFonts w:ascii="Calibri" w:eastAsia="Times New Roman" w:hAnsi="Calibri" w:cs="Calibri"/>
          <w:i/>
          <w:iCs/>
          <w:color w:val="000000"/>
          <w:kern w:val="0"/>
          <w:sz w:val="22"/>
          <w:szCs w:val="22"/>
          <w14:ligatures w14:val="none"/>
        </w:rPr>
        <w:t>Myristica fragrans</w:t>
      </w:r>
      <w:r w:rsidRPr="00FE5D1C">
        <w:rPr>
          <w:rFonts w:ascii="Calibri" w:eastAsia="Times New Roman" w:hAnsi="Calibri" w:cs="Calibri"/>
          <w:color w:val="000000"/>
          <w:kern w:val="0"/>
          <w:sz w:val="22"/>
          <w:szCs w:val="22"/>
          <w14:ligatures w14:val="none"/>
        </w:rPr>
        <w:t> essential oil displayed varying levels of activity against the different life stages of the Rockefeller strain, with the most promising activity seen against the adult stage. At concentrations of 100 ppm and 1000 ppm, a statistically significant reduction in the percentage survival of adult females from 100% to 68.3% and 53.3%, respectively was observed. Against the Old Harbour Road strain, the oil displayed potent activity with an LC50 value of 16.37 ppm. Additionally, the sublethal effects of the LC10 (1.58ppm) and LC50 (7.179ppm) of the essential oil was evaluated against the L3 larvae of the Rockefeller strain. At sublethal concentrations, no significant activity on the development of the mosquitoes or adult survival was observed Ongoing studies aim to identify the active constituent of the oil responsible for the observed insecticidal activity and to investigate its mechanism of action. Moreover, formulation development is also being explored to assess the practical application of this oil in vector control programs.</w:t>
      </w:r>
    </w:p>
    <w:p w14:paraId="246F85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25-A-2270-ASTMH</w:t>
      </w:r>
    </w:p>
    <w:p w14:paraId="656487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5CAF73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High Burden of Schistosoma and Protozoan Co-Infections Among School-Age Children in Malawi</w:t>
      </w:r>
    </w:p>
    <w:p w14:paraId="51DC7D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Parasitic infections, such as soil-transmitted helminths, protozoa, and schistosomiasis, are a major public health concern in low-resource countries like Malawi. These infections contribute to anemia, malnutrition, impaired growth, cognitive deficits, and reduced vaccine efficacy in children. Polyparasitism, in particular, is associated with more severe outcomes. Understanding the burden and distribution of polyparasitism is crucial for informing One Health strategies to reduce transmission and improve child health. Between February 2022 and August 2023, we enrolled 165 children from schools across four districts in Malawi during both wet and dry seasons. Blood, urine, and stool samples were collected to screen for ten parasites. Urine microscopy was used to detect </w:t>
      </w:r>
      <w:r w:rsidRPr="00FE5D1C">
        <w:rPr>
          <w:rFonts w:ascii="Calibri" w:eastAsia="Times New Roman" w:hAnsi="Calibri" w:cs="Calibri"/>
          <w:i/>
          <w:iCs/>
          <w:color w:val="000000"/>
          <w:kern w:val="0"/>
          <w:sz w:val="22"/>
          <w:szCs w:val="22"/>
          <w14:ligatures w14:val="none"/>
        </w:rPr>
        <w:t>Schistosoma </w:t>
      </w:r>
      <w:r w:rsidRPr="00FE5D1C">
        <w:rPr>
          <w:rFonts w:ascii="Calibri" w:eastAsia="Times New Roman" w:hAnsi="Calibri" w:cs="Calibri"/>
          <w:color w:val="000000"/>
          <w:kern w:val="0"/>
          <w:sz w:val="22"/>
          <w:szCs w:val="22"/>
          <w14:ligatures w14:val="none"/>
        </w:rPr>
        <w:t>eggs, while PCR analysis of stool DNA was used to identify various helminths and protozoa, including </w:t>
      </w:r>
      <w:r w:rsidRPr="00FE5D1C">
        <w:rPr>
          <w:rFonts w:ascii="Calibri" w:eastAsia="Times New Roman" w:hAnsi="Calibri" w:cs="Calibri"/>
          <w:i/>
          <w:iCs/>
          <w:color w:val="000000"/>
          <w:kern w:val="0"/>
          <w:sz w:val="22"/>
          <w:szCs w:val="22"/>
          <w14:ligatures w14:val="none"/>
        </w:rPr>
        <w:t>Giardia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Schistosoma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Blastocystis</w:t>
      </w:r>
      <w:r w:rsidRPr="00FE5D1C">
        <w:rPr>
          <w:rFonts w:ascii="Calibri" w:eastAsia="Times New Roman" w:hAnsi="Calibri" w:cs="Calibri"/>
          <w:color w:val="000000"/>
          <w:kern w:val="0"/>
          <w:sz w:val="22"/>
          <w:szCs w:val="22"/>
          <w14:ligatures w14:val="none"/>
        </w:rPr>
        <w:t>. Overall, 97% (n = 160) of children were positive for at least one pathogen. The most frequently detected organisms were </w:t>
      </w:r>
      <w:r w:rsidRPr="00FE5D1C">
        <w:rPr>
          <w:rFonts w:ascii="Calibri" w:eastAsia="Times New Roman" w:hAnsi="Calibri" w:cs="Calibri"/>
          <w:i/>
          <w:iCs/>
          <w:color w:val="000000"/>
          <w:kern w:val="0"/>
          <w:sz w:val="22"/>
          <w:szCs w:val="22"/>
          <w14:ligatures w14:val="none"/>
        </w:rPr>
        <w:t>Blastocystis </w:t>
      </w:r>
      <w:r w:rsidRPr="00FE5D1C">
        <w:rPr>
          <w:rFonts w:ascii="Calibri" w:eastAsia="Times New Roman" w:hAnsi="Calibri" w:cs="Calibri"/>
          <w:color w:val="000000"/>
          <w:kern w:val="0"/>
          <w:sz w:val="22"/>
          <w:szCs w:val="22"/>
          <w14:ligatures w14:val="none"/>
        </w:rPr>
        <w:t>(91%), </w:t>
      </w:r>
      <w:r w:rsidRPr="00FE5D1C">
        <w:rPr>
          <w:rFonts w:ascii="Calibri" w:eastAsia="Times New Roman" w:hAnsi="Calibri" w:cs="Calibri"/>
          <w:i/>
          <w:iCs/>
          <w:color w:val="000000"/>
          <w:kern w:val="0"/>
          <w:sz w:val="22"/>
          <w:szCs w:val="22"/>
          <w14:ligatures w14:val="none"/>
        </w:rPr>
        <w:t>Giardia </w:t>
      </w:r>
      <w:r w:rsidRPr="00FE5D1C">
        <w:rPr>
          <w:rFonts w:ascii="Calibri" w:eastAsia="Times New Roman" w:hAnsi="Calibri" w:cs="Calibri"/>
          <w:color w:val="000000"/>
          <w:kern w:val="0"/>
          <w:sz w:val="22"/>
          <w:szCs w:val="22"/>
          <w14:ligatures w14:val="none"/>
        </w:rPr>
        <w:t>(57%), and </w:t>
      </w:r>
      <w:r w:rsidRPr="00FE5D1C">
        <w:rPr>
          <w:rFonts w:ascii="Calibri" w:eastAsia="Times New Roman" w:hAnsi="Calibri" w:cs="Calibri"/>
          <w:i/>
          <w:iCs/>
          <w:color w:val="000000"/>
          <w:kern w:val="0"/>
          <w:sz w:val="22"/>
          <w:szCs w:val="22"/>
          <w14:ligatures w14:val="none"/>
        </w:rPr>
        <w:t>Schistosoma </w:t>
      </w:r>
      <w:r w:rsidRPr="00FE5D1C">
        <w:rPr>
          <w:rFonts w:ascii="Calibri" w:eastAsia="Times New Roman" w:hAnsi="Calibri" w:cs="Calibri"/>
          <w:color w:val="000000"/>
          <w:kern w:val="0"/>
          <w:sz w:val="22"/>
          <w:szCs w:val="22"/>
          <w14:ligatures w14:val="none"/>
        </w:rPr>
        <w:t>(19%). Co-infections were common, with 62% of children infected with multiple parasites. In Blantyre, 38% were co-infected with </w:t>
      </w:r>
      <w:r w:rsidRPr="00FE5D1C">
        <w:rPr>
          <w:rFonts w:ascii="Calibri" w:eastAsia="Times New Roman" w:hAnsi="Calibri" w:cs="Calibri"/>
          <w:i/>
          <w:iCs/>
          <w:color w:val="000000"/>
          <w:kern w:val="0"/>
          <w:sz w:val="22"/>
          <w:szCs w:val="22"/>
          <w14:ligatures w14:val="none"/>
        </w:rPr>
        <w:t>Giardia, Schistosoma,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Blastocystis</w:t>
      </w:r>
      <w:r w:rsidRPr="00FE5D1C">
        <w:rPr>
          <w:rFonts w:ascii="Calibri" w:eastAsia="Times New Roman" w:hAnsi="Calibri" w:cs="Calibri"/>
          <w:color w:val="000000"/>
          <w:kern w:val="0"/>
          <w:sz w:val="22"/>
          <w:szCs w:val="22"/>
          <w14:ligatures w14:val="none"/>
        </w:rPr>
        <w:t>. Blantyre also had the highest </w:t>
      </w:r>
      <w:r w:rsidRPr="00FE5D1C">
        <w:rPr>
          <w:rFonts w:ascii="Calibri" w:eastAsia="Times New Roman" w:hAnsi="Calibri" w:cs="Calibri"/>
          <w:i/>
          <w:iCs/>
          <w:color w:val="000000"/>
          <w:kern w:val="0"/>
          <w:sz w:val="22"/>
          <w:szCs w:val="22"/>
          <w14:ligatures w14:val="none"/>
        </w:rPr>
        <w:t>Schistosoma</w:t>
      </w:r>
      <w:r w:rsidRPr="00FE5D1C">
        <w:rPr>
          <w:rFonts w:ascii="Calibri" w:eastAsia="Times New Roman" w:hAnsi="Calibri" w:cs="Calibri"/>
          <w:color w:val="000000"/>
          <w:kern w:val="0"/>
          <w:sz w:val="22"/>
          <w:szCs w:val="22"/>
          <w14:ligatures w14:val="none"/>
        </w:rPr>
        <w:t> prevalence (50%), even when considering age, sex, and season. Nanopore sequencing confirmed both </w:t>
      </w:r>
      <w:r w:rsidRPr="00FE5D1C">
        <w:rPr>
          <w:rFonts w:ascii="Calibri" w:eastAsia="Times New Roman" w:hAnsi="Calibri" w:cs="Calibri"/>
          <w:i/>
          <w:iCs/>
          <w:color w:val="000000"/>
          <w:kern w:val="0"/>
          <w:sz w:val="22"/>
          <w:szCs w:val="22"/>
          <w14:ligatures w14:val="none"/>
        </w:rPr>
        <w:t>S. mansoni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S. haematobium</w:t>
      </w:r>
      <w:r w:rsidRPr="00FE5D1C">
        <w:rPr>
          <w:rFonts w:ascii="Calibri" w:eastAsia="Times New Roman" w:hAnsi="Calibri" w:cs="Calibri"/>
          <w:color w:val="000000"/>
          <w:kern w:val="0"/>
          <w:sz w:val="22"/>
          <w:szCs w:val="22"/>
          <w14:ligatures w14:val="none"/>
        </w:rPr>
        <w:t>, with multiple children testing positive for both species in Blantyre. While mass drug administration has reduced the burden of soil-transmitted helminths, our study found a notable burden of </w:t>
      </w:r>
      <w:r w:rsidRPr="00FE5D1C">
        <w:rPr>
          <w:rFonts w:ascii="Calibri" w:eastAsia="Times New Roman" w:hAnsi="Calibri" w:cs="Calibri"/>
          <w:i/>
          <w:iCs/>
          <w:color w:val="000000"/>
          <w:kern w:val="0"/>
          <w:sz w:val="22"/>
          <w:szCs w:val="22"/>
          <w14:ligatures w14:val="none"/>
        </w:rPr>
        <w:t>Schistosoma </w:t>
      </w:r>
      <w:r w:rsidRPr="00FE5D1C">
        <w:rPr>
          <w:rFonts w:ascii="Calibri" w:eastAsia="Times New Roman" w:hAnsi="Calibri" w:cs="Calibri"/>
          <w:color w:val="000000"/>
          <w:kern w:val="0"/>
          <w:sz w:val="22"/>
          <w:szCs w:val="22"/>
          <w14:ligatures w14:val="none"/>
        </w:rPr>
        <w:t>and protozoan co-infections in several districts of Malawi. These waterborne parasites share similar transmission routes, and coordinated efforts to reduce exposure could decrease this burden. Our findings underscore the need for surveillance and tailored interventions to address polyparasitism and prevent long-term health consequences in children.</w:t>
      </w:r>
    </w:p>
    <w:p w14:paraId="12B92D9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25-A-2271-ASTMH</w:t>
      </w:r>
    </w:p>
    <w:p w14:paraId="6515A7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0ABD6B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Genetic variation in the Duffy blood group among v</w:t>
      </w:r>
      <w:r w:rsidRPr="00FE5D1C">
        <w:rPr>
          <w:rFonts w:ascii="Calibri" w:eastAsia="Times New Roman" w:hAnsi="Calibri" w:cs="Calibri"/>
          <w:b/>
          <w:bCs/>
          <w:i/>
          <w:iCs/>
          <w:color w:val="000000"/>
          <w:kern w:val="0"/>
          <w:sz w:val="22"/>
          <w:szCs w:val="22"/>
          <w14:ligatures w14:val="none"/>
        </w:rPr>
        <w:t>ivax </w:t>
      </w:r>
      <w:r w:rsidRPr="00FE5D1C">
        <w:rPr>
          <w:rFonts w:ascii="Calibri" w:eastAsia="Times New Roman" w:hAnsi="Calibri" w:cs="Calibri"/>
          <w:b/>
          <w:bCs/>
          <w:color w:val="000000"/>
          <w:kern w:val="0"/>
          <w:sz w:val="22"/>
          <w:szCs w:val="22"/>
          <w14:ligatures w14:val="none"/>
        </w:rPr>
        <w:t>malaria patients and its impact on disease susceptibility</w:t>
      </w:r>
    </w:p>
    <w:p w14:paraId="1FE280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is the most common and widely distributed malaria parasite. It is known by its unique biological features, such as hypnozoite formation causing relapses and early gametocytogenesis that promotes transmission and challenge global elimination efforts. This study attempts to evaluate genetic variation in the Duffy blood group among </w:t>
      </w:r>
      <w:r w:rsidRPr="00FE5D1C">
        <w:rPr>
          <w:rFonts w:ascii="Calibri" w:eastAsia="Times New Roman" w:hAnsi="Calibri" w:cs="Calibri"/>
          <w:i/>
          <w:iCs/>
          <w:color w:val="000000"/>
          <w:kern w:val="0"/>
          <w:sz w:val="22"/>
          <w:szCs w:val="22"/>
          <w14:ligatures w14:val="none"/>
        </w:rPr>
        <w:t>vivax</w:t>
      </w:r>
      <w:r w:rsidRPr="00FE5D1C">
        <w:rPr>
          <w:rFonts w:ascii="Calibri" w:eastAsia="Times New Roman" w:hAnsi="Calibri" w:cs="Calibri"/>
          <w:color w:val="000000"/>
          <w:kern w:val="0"/>
          <w:sz w:val="22"/>
          <w:szCs w:val="22"/>
          <w14:ligatures w14:val="none"/>
        </w:rPr>
        <w:t> malaria patients and its effect on illness susceptibility. </w:t>
      </w:r>
      <w:r w:rsidRPr="00FE5D1C">
        <w:rPr>
          <w:rFonts w:ascii="Calibri" w:eastAsia="Times New Roman" w:hAnsi="Calibri" w:cs="Calibri"/>
          <w:b/>
          <w:bCs/>
          <w:color w:val="000000"/>
          <w:kern w:val="0"/>
          <w:sz w:val="22"/>
          <w:szCs w:val="22"/>
          <w14:ligatures w14:val="none"/>
        </w:rPr>
        <w:t>Method</w:t>
      </w:r>
      <w:r w:rsidRPr="00FE5D1C">
        <w:rPr>
          <w:rFonts w:ascii="Calibri" w:eastAsia="Times New Roman" w:hAnsi="Calibri" w:cs="Calibri"/>
          <w:color w:val="000000"/>
          <w:kern w:val="0"/>
          <w:sz w:val="22"/>
          <w:szCs w:val="22"/>
          <w14:ligatures w14:val="none"/>
        </w:rPr>
        <w:t>: A cross-sectional study was conducted on 485 study participants between February and June 2024 at four health facilities in Arba Minch town. About 4ml blood sample was collected from participants with mixed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 </w:t>
      </w:r>
      <w:r w:rsidRPr="00FE5D1C">
        <w:rPr>
          <w:rFonts w:ascii="Calibri" w:eastAsia="Times New Roman" w:hAnsi="Calibri" w:cs="Calibri"/>
          <w:i/>
          <w:iCs/>
          <w:color w:val="000000"/>
          <w:kern w:val="0"/>
          <w:sz w:val="22"/>
          <w:szCs w:val="22"/>
          <w14:ligatures w14:val="none"/>
        </w:rPr>
        <w:t>Pv)</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xml:space="preserve"> mono infection, and used for malaria microscopic identification and molecular analysis. The data was captured using ODK mobile application </w:t>
      </w:r>
      <w:r w:rsidRPr="00FE5D1C">
        <w:rPr>
          <w:rFonts w:ascii="Calibri" w:eastAsia="Times New Roman" w:hAnsi="Calibri" w:cs="Calibri"/>
          <w:color w:val="000000"/>
          <w:kern w:val="0"/>
          <w:sz w:val="22"/>
          <w:szCs w:val="22"/>
          <w14:ligatures w14:val="none"/>
        </w:rPr>
        <w:lastRenderedPageBreak/>
        <w:t>and analyzed using SPSS Ver. 26. </w:t>
      </w:r>
      <w:r w:rsidRPr="00FE5D1C">
        <w:rPr>
          <w:rFonts w:ascii="Calibri" w:eastAsia="Times New Roman" w:hAnsi="Calibri" w:cs="Calibri"/>
          <w:b/>
          <w:bCs/>
          <w:color w:val="000000"/>
          <w:kern w:val="0"/>
          <w:sz w:val="22"/>
          <w:szCs w:val="22"/>
          <w14:ligatures w14:val="none"/>
        </w:rPr>
        <w:t>Result</w:t>
      </w:r>
      <w:r w:rsidRPr="00FE5D1C">
        <w:rPr>
          <w:rFonts w:ascii="Calibri" w:eastAsia="Times New Roman" w:hAnsi="Calibri" w:cs="Calibri"/>
          <w:color w:val="000000"/>
          <w:kern w:val="0"/>
          <w:sz w:val="22"/>
          <w:szCs w:val="22"/>
          <w14:ligatures w14:val="none"/>
        </w:rPr>
        <w:t>: From a total of 485 participants, 58.4% were male and 60.5% were aged between 15-24 years. The proportion of </w:t>
      </w:r>
      <w:r w:rsidRPr="00FE5D1C">
        <w:rPr>
          <w:rFonts w:ascii="Calibri" w:eastAsia="Times New Roman" w:hAnsi="Calibri" w:cs="Calibri"/>
          <w:i/>
          <w:iCs/>
          <w:color w:val="000000"/>
          <w:kern w:val="0"/>
          <w:sz w:val="22"/>
          <w:szCs w:val="22"/>
          <w14:ligatures w14:val="none"/>
        </w:rPr>
        <w:t>P. vivax,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mixed</w:t>
      </w:r>
      <w:r w:rsidRPr="00FE5D1C">
        <w:rPr>
          <w:rFonts w:ascii="Calibri" w:eastAsia="Times New Roman" w:hAnsi="Calibri" w:cs="Calibri"/>
          <w:i/>
          <w:iCs/>
          <w:color w:val="000000"/>
          <w:kern w:val="0"/>
          <w:sz w:val="22"/>
          <w:szCs w:val="22"/>
          <w14:ligatures w14:val="none"/>
        </w:rPr>
        <w:t> (Pf + Pv) </w:t>
      </w:r>
      <w:r w:rsidRPr="00FE5D1C">
        <w:rPr>
          <w:rFonts w:ascii="Calibri" w:eastAsia="Times New Roman" w:hAnsi="Calibri" w:cs="Calibri"/>
          <w:color w:val="000000"/>
          <w:kern w:val="0"/>
          <w:sz w:val="22"/>
          <w:szCs w:val="22"/>
          <w14:ligatures w14:val="none"/>
        </w:rPr>
        <w:t>infection in Arba Minch town was 93.8%, and 6.2%, respectively. Of these participants, 483/485 (99.5%) were Duffy positives (119/485, 24.5% were homozygous and 364/485, 75.0% were heterozygous) and 2/485 (0.5%) were Duffy negatives (CCT/CCT). The Duffy negatives were from Nechsar and Shecha kebeles whereas high proportion of heterozygous (27.8%, 96/345) and homozygous (27.1%, 29/107) Duffy positives were from Limat kebele in the town. In this study, none of the participants with pure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infections had Duffy negative genotypes. Compared to Duffy-positive, Duffy-negative infections had significantly lower parasitemia (p=0.001).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The study confirms that Duffy-negativity does not completely protect against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infection, which is often associated with low parasitemia. More research is needed to understand invasion mechanisms in Duffy-negative individuals.</w:t>
      </w:r>
    </w:p>
    <w:p w14:paraId="4F5820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25-A-2272-ASTMH</w:t>
      </w:r>
    </w:p>
    <w:p w14:paraId="02F633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Genomics, Proteomics and Metabolomics, Molecular Therapeutic Targets (Including Leishmania and Trypanosomes)</w:t>
      </w:r>
    </w:p>
    <w:p w14:paraId="3A1CA1F8" w14:textId="63C5BE89"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Intraspecies genetic diversity of </w:t>
      </w:r>
      <w:r w:rsidRPr="00FE5D1C">
        <w:rPr>
          <w:rFonts w:ascii="Calibri" w:eastAsia="Times New Roman" w:hAnsi="Calibri" w:cs="Calibri"/>
          <w:i/>
          <w:iCs/>
          <w:color w:val="000000"/>
          <w:kern w:val="0"/>
          <w:sz w:val="22"/>
          <w:szCs w:val="22"/>
          <w14:ligatures w14:val="none"/>
        </w:rPr>
        <w:t>Endolimax nana</w:t>
      </w:r>
      <w:r w:rsidRPr="00FE5D1C">
        <w:rPr>
          <w:rFonts w:ascii="Calibri" w:eastAsia="Times New Roman" w:hAnsi="Calibri" w:cs="Calibri"/>
          <w:color w:val="000000"/>
          <w:kern w:val="0"/>
          <w:sz w:val="22"/>
          <w:szCs w:val="22"/>
          <w14:ligatures w14:val="none"/>
        </w:rPr>
        <w:t> in Sumba Island, Indonesia</w:t>
      </w:r>
    </w:p>
    <w:p w14:paraId="777E69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Endolimax nana</w:t>
      </w:r>
      <w:r w:rsidRPr="00FE5D1C">
        <w:rPr>
          <w:rFonts w:ascii="Calibri" w:eastAsia="Times New Roman" w:hAnsi="Calibri" w:cs="Calibri"/>
          <w:color w:val="000000"/>
          <w:kern w:val="0"/>
          <w:sz w:val="22"/>
          <w:szCs w:val="22"/>
          <w14:ligatures w14:val="none"/>
        </w:rPr>
        <w:t> is a commensal protozoan commonly found in the human intestine. Despite being one of the most frequently detected intestinal protozoa, the taxonomy, genetic diversity, and host adaptation remain underexplored. This study aimed to establish the genetic diversity of </w:t>
      </w:r>
      <w:r w:rsidRPr="00FE5D1C">
        <w:rPr>
          <w:rFonts w:ascii="Calibri" w:eastAsia="Times New Roman" w:hAnsi="Calibri" w:cs="Calibri"/>
          <w:i/>
          <w:iCs/>
          <w:color w:val="000000"/>
          <w:kern w:val="0"/>
          <w:sz w:val="22"/>
          <w:szCs w:val="22"/>
          <w14:ligatures w14:val="none"/>
        </w:rPr>
        <w:t>Endolimax nana</w:t>
      </w:r>
      <w:r w:rsidRPr="00FE5D1C">
        <w:rPr>
          <w:rFonts w:ascii="Calibri" w:eastAsia="Times New Roman" w:hAnsi="Calibri" w:cs="Calibri"/>
          <w:color w:val="000000"/>
          <w:kern w:val="0"/>
          <w:sz w:val="22"/>
          <w:szCs w:val="22"/>
          <w14:ligatures w14:val="none"/>
        </w:rPr>
        <w:t> across different hosts. Stool samples collected in 2015-2016 from Wainyapu Village, Indonesia, were analyzed through PCR and sequencing of the 18S rRNA gene (1,305 bp), identifying 98 human and 33 animal haplotypes from dogs (n=2), chickens (n=1), pigs (n=21), ducks (n=1), and rats (n=8). Phylogenetic analyses using</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Bayesian Inference (BI), Maximum Likelihood (ML), and Maximum Parsimony (MP) consistently revealed significant genetic diversity, with two major monophyletic subtypes, ST-1 and ST-2. ST-1 exhibited greater host diversity, suggesting a broader host range, whereas ST-2 was predominantly human-associated, indicating possible host specific strain. These findings challenge the assumption that </w:t>
      </w:r>
      <w:r w:rsidRPr="00FE5D1C">
        <w:rPr>
          <w:rFonts w:ascii="Calibri" w:eastAsia="Times New Roman" w:hAnsi="Calibri" w:cs="Calibri"/>
          <w:i/>
          <w:iCs/>
          <w:color w:val="000000"/>
          <w:kern w:val="0"/>
          <w:sz w:val="22"/>
          <w:szCs w:val="22"/>
          <w14:ligatures w14:val="none"/>
        </w:rPr>
        <w:t>Endolimax nana</w:t>
      </w:r>
      <w:r w:rsidRPr="00FE5D1C">
        <w:rPr>
          <w:rFonts w:ascii="Calibri" w:eastAsia="Times New Roman" w:hAnsi="Calibri" w:cs="Calibri"/>
          <w:color w:val="000000"/>
          <w:kern w:val="0"/>
          <w:sz w:val="22"/>
          <w:szCs w:val="22"/>
          <w14:ligatures w14:val="none"/>
        </w:rPr>
        <w:t> is a simple commensal with uniform characteristics. By establishing a comprehensive genetic classification, this study lays the groundwork for future investigations into </w:t>
      </w:r>
      <w:r w:rsidRPr="00FE5D1C">
        <w:rPr>
          <w:rFonts w:ascii="Calibri" w:eastAsia="Times New Roman" w:hAnsi="Calibri" w:cs="Calibri"/>
          <w:i/>
          <w:iCs/>
          <w:color w:val="000000"/>
          <w:kern w:val="0"/>
          <w:sz w:val="22"/>
          <w:szCs w:val="22"/>
          <w14:ligatures w14:val="none"/>
        </w:rPr>
        <w:t>Endolimax nana</w:t>
      </w:r>
      <w:r w:rsidRPr="00FE5D1C">
        <w:rPr>
          <w:rFonts w:ascii="Calibri" w:eastAsia="Times New Roman" w:hAnsi="Calibri" w:cs="Calibri"/>
          <w:color w:val="000000"/>
          <w:kern w:val="0"/>
          <w:sz w:val="22"/>
          <w:szCs w:val="22"/>
          <w14:ligatures w14:val="none"/>
        </w:rPr>
        <w:t>'s transmission pathways and potential ecological roles within the gut microbiota. Could different subtypes influence the gut environment in distinct ways? Further research is needed to unravel the functional significance of this protozoan.</w:t>
      </w:r>
    </w:p>
    <w:p w14:paraId="4798E2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25-A-2273-ASTMH</w:t>
      </w:r>
    </w:p>
    <w:p w14:paraId="4F30FE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259E5480" w14:textId="342B79BE"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Molecular docking approach using AlphaFold-predicted protein structures to accelerate antimalarial drug discovery</w:t>
      </w:r>
    </w:p>
    <w:p w14:paraId="461C7A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Molecular docking approach using AlphaFold-predicted protein structures to accelerate antimalarial drug discovery</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color w:val="000000"/>
          <w:kern w:val="0"/>
          <w:sz w:val="22"/>
          <w:szCs w:val="22"/>
          <w:u w:val="single"/>
          <w14:ligatures w14:val="none"/>
        </w:rPr>
        <w:t>Ng’etich Japheth Kibet</w:t>
      </w:r>
      <w:r w:rsidRPr="00FE5D1C">
        <w:rPr>
          <w:rFonts w:ascii="Calibri" w:eastAsia="Times New Roman" w:hAnsi="Calibri" w:cs="Calibri"/>
          <w:color w:val="000000"/>
          <w:kern w:val="0"/>
          <w:sz w:val="22"/>
          <w:szCs w:val="22"/>
          <w:u w:val="single"/>
          <w:vertAlign w:val="superscript"/>
          <w14:ligatures w14:val="none"/>
        </w:rPr>
        <w:t> </w:t>
      </w:r>
      <w:r w:rsidRPr="00FE5D1C">
        <w:rPr>
          <w:rFonts w:ascii="Calibri" w:eastAsia="Times New Roman" w:hAnsi="Calibri" w:cs="Calibri"/>
          <w:color w:val="000000"/>
          <w:kern w:val="0"/>
          <w:sz w:val="22"/>
          <w:szCs w:val="22"/>
          <w14:ligatures w14:val="none"/>
        </w:rPr>
        <w:t>, Normalita Eka Pravitasari, Takeshi Ishikawa, Ayato Sato, Shinjiro Hamano, Noriyuki Nishida, Takaya Sakura, Daniel Ken Inaoka</w:t>
      </w:r>
      <w:r w:rsidRPr="00FE5D1C">
        <w:rPr>
          <w:rFonts w:ascii="Calibri" w:eastAsia="Times New Roman" w:hAnsi="Calibri" w:cs="Calibri"/>
          <w:color w:val="000000"/>
          <w:kern w:val="0"/>
          <w:sz w:val="22"/>
          <w:szCs w:val="22"/>
          <w14:ligatures w14:val="none"/>
        </w:rPr>
        <w:br/>
        <w:t xml:space="preserve">The emergence of artemisinin-resistant malaria highlights the need for new drugs with novel targets and/or mechanisms of action. New approaches are therefore needed to accelerate and rationalize the discovery of new antimalarials. Here, we assessed the potential of protein structures predicted by AlphaFold to identify targets for hit compounds obtained by phenotypic high-throughput screening. Molecular docking was conducted using the AutoDock Vina software, against known plasmodial targets in the AlphaFold Database. Subsequently, the docking data will be compared with growth inhibition data obtained when the same compounds were tested against parasite strains carrying mutated genes for the corresponding targets. For wet lab dataset, the Nagoya Chemical Library (36,160 compounds) was screened using a robust fluorescent technique yielding 1,363 compounds further reduced to 896 after cytotoxicity studies. Dose-dependence assays were first done against the wild type (3D7) and transgenic </w:t>
      </w:r>
      <w:r w:rsidRPr="00FE5D1C">
        <w:rPr>
          <w:rFonts w:ascii="Calibri" w:eastAsia="Times New Roman" w:hAnsi="Calibri" w:cs="Calibri"/>
          <w:color w:val="000000"/>
          <w:kern w:val="0"/>
          <w:sz w:val="22"/>
          <w:szCs w:val="22"/>
          <w14:ligatures w14:val="none"/>
        </w:rPr>
        <w:lastRenderedPageBreak/>
        <w:t>(3D7-yDHODH) parasite that is resistant against the electron transport chain inhibitors, leading to prioritization of 441 compounds with &lt; 6.5 µM EC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Assays against the panel of Dd2 resistant parasites have identified a subset of compounds targeting plasmodium phosphatidylinositol-4-OH kinase (PI4K) and translation elongation factor 2 (eEf2). This will be used to validate the docking protocol.</w:t>
      </w:r>
    </w:p>
    <w:p w14:paraId="4D8ED6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25-A-2274-ASTMH</w:t>
      </w:r>
    </w:p>
    <w:p w14:paraId="7BC0B2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2A89C0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Neutrophil extracellular trap (NET) formation is suppressed by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-infected and uninfected erythrocytes</w:t>
      </w:r>
    </w:p>
    <w:p w14:paraId="01AFFA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Neutrophils are innate immune cells, but their role in clearing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from humans remains largely unknown and requires investigation. They produce neutrophil extracellular traps (NETs), web-like structures composed of decondensed chromatin (DNA and histones) and antimicrobial proteins that trap and prevent the spread of infection. We developed a simple assay to understand the effect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infected erythrocytes (IE) and purified merozoites on NET formation. In the assay, SYTOX green-stained primary neutrophils stimulated with phorbol 12-myristate 13-acetate (PMA) and calcium ionophore (CaI) were cocultured with different doses of IE, uninfected erythrocytes (UE), frozen and thawed erythrocytes (FTE) and purified merozoites for 5 hours at neutrophil: erythrocyte ratios of 1:5, 1:10, 1:20 and 1:40. To quantify NET formation, the released DNA was quantified fluorometrically and by confocal microscopy. Extracellular myeloperoxidase (MPO), an enzymatic component of NET, was also measured by ELISA in the supernatant.</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IE, UE and FTE significantly inhibited NET formation and MPO release in a dose-dependent manner, with pronounced inhibition observed at a neutrophil: erythrocyte ratio of 1:40. However, the UE inhibitory effect was more pronounced than IE, suggesting a non-parasite-specific mechanism of NET inhibition. In contrast, purified merozoites did not have any effect on NET formation. Microscopic visualisation reveals a decrease in NET formation with IE and UE. In the presence of IE, there is less inhibition of NET formation. This study highlights a potential novel immune evasion strategy of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and suggests that erythrocytes, regardless of infection status, can modulate neutrophil responses. The mechanism underlying this inhibition is currently being explored.</w:t>
      </w:r>
    </w:p>
    <w:p w14:paraId="571D0C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25-A-2275-ASTMH</w:t>
      </w:r>
    </w:p>
    <w:p w14:paraId="106247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256483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EFFICACY OF ALBENDAZOLE AGAINST GASTROINTESTINAL NEMATODES IN INFECTED SHEEP AND GOATS IN THE NEW JUABENG MUNICIPALITY, GHANA</w:t>
      </w:r>
    </w:p>
    <w:p w14:paraId="1C0277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Gastrointestinal nematode infections hold a significant public health concern in sheep and goat production, impacting their health and productivity. This study aimed to determine the prevalence of nematode infections in sheep and goats in the New Juaben Municipality. It also determined the efficacy of albendazole treatment for these infections. We employed both cross-sectional and longitudinal designs to examine 180 animals (90 sheep and 90 goats). Fecal samples were collected and analyzed using the McMaster technique to determine egg per gram (EPG) counts. Following the positive tests for gastrointestinal parasites, the study further examined 30 treated sheep and 30 treated goats receiving albendazole at 2 ml/10 kg body weight, administered orally. Overall, nematode prevalence was recorded at 60% in sheep and 85.6% in goats. The four most common parasites identified included: </w:t>
      </w:r>
      <w:r w:rsidRPr="00FE5D1C">
        <w:rPr>
          <w:rFonts w:ascii="Calibri" w:eastAsia="Times New Roman" w:hAnsi="Calibri" w:cs="Calibri"/>
          <w:i/>
          <w:iCs/>
          <w:color w:val="000000"/>
          <w:kern w:val="0"/>
          <w:sz w:val="22"/>
          <w:szCs w:val="22"/>
          <w14:ligatures w14:val="none"/>
        </w:rPr>
        <w:t>Oesophagostomum spp.</w:t>
      </w:r>
      <w:r w:rsidRPr="00FE5D1C">
        <w:rPr>
          <w:rFonts w:ascii="Calibri" w:eastAsia="Times New Roman" w:hAnsi="Calibri" w:cs="Calibri"/>
          <w:color w:val="000000"/>
          <w:kern w:val="0"/>
          <w:sz w:val="22"/>
          <w:szCs w:val="22"/>
          <w14:ligatures w14:val="none"/>
        </w:rPr>
        <w:t> (31% in sheep, 33% in goats), </w:t>
      </w:r>
      <w:r w:rsidRPr="00FE5D1C">
        <w:rPr>
          <w:rFonts w:ascii="Calibri" w:eastAsia="Times New Roman" w:hAnsi="Calibri" w:cs="Calibri"/>
          <w:i/>
          <w:iCs/>
          <w:color w:val="000000"/>
          <w:kern w:val="0"/>
          <w:sz w:val="22"/>
          <w:szCs w:val="22"/>
          <w14:ligatures w14:val="none"/>
        </w:rPr>
        <w:t>Trichuris spp.</w:t>
      </w:r>
      <w:r w:rsidRPr="00FE5D1C">
        <w:rPr>
          <w:rFonts w:ascii="Calibri" w:eastAsia="Times New Roman" w:hAnsi="Calibri" w:cs="Calibri"/>
          <w:color w:val="000000"/>
          <w:kern w:val="0"/>
          <w:sz w:val="22"/>
          <w:szCs w:val="22"/>
          <w14:ligatures w14:val="none"/>
        </w:rPr>
        <w:t> (17% in sheep, 28% in goats), </w:t>
      </w:r>
      <w:r w:rsidRPr="00FE5D1C">
        <w:rPr>
          <w:rFonts w:ascii="Calibri" w:eastAsia="Times New Roman" w:hAnsi="Calibri" w:cs="Calibri"/>
          <w:i/>
          <w:iCs/>
          <w:color w:val="000000"/>
          <w:kern w:val="0"/>
          <w:sz w:val="22"/>
          <w:szCs w:val="22"/>
          <w14:ligatures w14:val="none"/>
        </w:rPr>
        <w:t>Trichostrongylus spp.</w:t>
      </w:r>
      <w:r w:rsidRPr="00FE5D1C">
        <w:rPr>
          <w:rFonts w:ascii="Calibri" w:eastAsia="Times New Roman" w:hAnsi="Calibri" w:cs="Calibri"/>
          <w:color w:val="000000"/>
          <w:kern w:val="0"/>
          <w:sz w:val="22"/>
          <w:szCs w:val="22"/>
          <w14:ligatures w14:val="none"/>
        </w:rPr>
        <w:t> (13% in sheep, 22% in goats), </w:t>
      </w:r>
      <w:r w:rsidRPr="00FE5D1C">
        <w:rPr>
          <w:rFonts w:ascii="Calibri" w:eastAsia="Times New Roman" w:hAnsi="Calibri" w:cs="Calibri"/>
          <w:i/>
          <w:iCs/>
          <w:color w:val="000000"/>
          <w:kern w:val="0"/>
          <w:sz w:val="22"/>
          <w:szCs w:val="22"/>
          <w14:ligatures w14:val="none"/>
        </w:rPr>
        <w:t>Haemonchus spp.</w:t>
      </w:r>
      <w:r w:rsidRPr="00FE5D1C">
        <w:rPr>
          <w:rFonts w:ascii="Calibri" w:eastAsia="Times New Roman" w:hAnsi="Calibri" w:cs="Calibri"/>
          <w:color w:val="000000"/>
          <w:kern w:val="0"/>
          <w:sz w:val="22"/>
          <w:szCs w:val="22"/>
          <w14:ligatures w14:val="none"/>
        </w:rPr>
        <w:t> (0% in sheep, 5.5% in goats), and </w:t>
      </w:r>
      <w:r w:rsidRPr="00FE5D1C">
        <w:rPr>
          <w:rFonts w:ascii="Calibri" w:eastAsia="Times New Roman" w:hAnsi="Calibri" w:cs="Calibri"/>
          <w:i/>
          <w:iCs/>
          <w:color w:val="000000"/>
          <w:kern w:val="0"/>
          <w:sz w:val="22"/>
          <w:szCs w:val="22"/>
          <w14:ligatures w14:val="none"/>
        </w:rPr>
        <w:t>Strongyloides spp.</w:t>
      </w:r>
      <w:r w:rsidRPr="00FE5D1C">
        <w:rPr>
          <w:rFonts w:ascii="Calibri" w:eastAsia="Times New Roman" w:hAnsi="Calibri" w:cs="Calibri"/>
          <w:color w:val="000000"/>
          <w:kern w:val="0"/>
          <w:sz w:val="22"/>
          <w:szCs w:val="22"/>
          <w14:ligatures w14:val="none"/>
        </w:rPr>
        <w:t> (4% in sheep, 3% in goats). Albendazole treatment was highly efficacious, reducing </w:t>
      </w:r>
      <w:r w:rsidRPr="00FE5D1C">
        <w:rPr>
          <w:rFonts w:ascii="Calibri" w:eastAsia="Times New Roman" w:hAnsi="Calibri" w:cs="Calibri"/>
          <w:i/>
          <w:iCs/>
          <w:color w:val="000000"/>
          <w:kern w:val="0"/>
          <w:sz w:val="22"/>
          <w:szCs w:val="22"/>
          <w14:ligatures w14:val="none"/>
        </w:rPr>
        <w:t>Oesophagostomum spp.</w:t>
      </w:r>
      <w:r w:rsidRPr="00FE5D1C">
        <w:rPr>
          <w:rFonts w:ascii="Calibri" w:eastAsia="Times New Roman" w:hAnsi="Calibri" w:cs="Calibri"/>
          <w:color w:val="000000"/>
          <w:kern w:val="0"/>
          <w:sz w:val="22"/>
          <w:szCs w:val="22"/>
          <w14:ligatures w14:val="none"/>
        </w:rPr>
        <w:t> infections by 100% in sheep and 96% in goats. It also decreased </w:t>
      </w:r>
      <w:r w:rsidRPr="00FE5D1C">
        <w:rPr>
          <w:rFonts w:ascii="Calibri" w:eastAsia="Times New Roman" w:hAnsi="Calibri" w:cs="Calibri"/>
          <w:i/>
          <w:iCs/>
          <w:color w:val="000000"/>
          <w:kern w:val="0"/>
          <w:sz w:val="22"/>
          <w:szCs w:val="22"/>
          <w14:ligatures w14:val="none"/>
        </w:rPr>
        <w:t>Trichuris spp.</w:t>
      </w:r>
      <w:r w:rsidRPr="00FE5D1C">
        <w:rPr>
          <w:rFonts w:ascii="Calibri" w:eastAsia="Times New Roman" w:hAnsi="Calibri" w:cs="Calibri"/>
          <w:color w:val="000000"/>
          <w:kern w:val="0"/>
          <w:sz w:val="22"/>
          <w:szCs w:val="22"/>
          <w14:ligatures w14:val="none"/>
        </w:rPr>
        <w:t> infections by 93.10% in sheep and 91.70% in goats, while </w:t>
      </w:r>
      <w:r w:rsidRPr="00FE5D1C">
        <w:rPr>
          <w:rFonts w:ascii="Calibri" w:eastAsia="Times New Roman" w:hAnsi="Calibri" w:cs="Calibri"/>
          <w:i/>
          <w:iCs/>
          <w:color w:val="000000"/>
          <w:kern w:val="0"/>
          <w:sz w:val="22"/>
          <w:szCs w:val="22"/>
          <w14:ligatures w14:val="none"/>
        </w:rPr>
        <w:t>Strongyloides spp.</w:t>
      </w:r>
      <w:r w:rsidRPr="00FE5D1C">
        <w:rPr>
          <w:rFonts w:ascii="Calibri" w:eastAsia="Times New Roman" w:hAnsi="Calibri" w:cs="Calibri"/>
          <w:color w:val="000000"/>
          <w:kern w:val="0"/>
          <w:sz w:val="22"/>
          <w:szCs w:val="22"/>
          <w14:ligatures w14:val="none"/>
        </w:rPr>
        <w:t xml:space="preserve"> infections were reduced by 75% in sheep and 70% in goats. A questionnaire survey among 45 farmers revealed that 63% preferred albendazole as their anthelmintic of choice. However, 80% of them were unable to read or understand the information on anthelmintic leaflets. These findings highlight the </w:t>
      </w:r>
      <w:r w:rsidRPr="00FE5D1C">
        <w:rPr>
          <w:rFonts w:ascii="Calibri" w:eastAsia="Times New Roman" w:hAnsi="Calibri" w:cs="Calibri"/>
          <w:color w:val="000000"/>
          <w:kern w:val="0"/>
          <w:sz w:val="22"/>
          <w:szCs w:val="22"/>
          <w14:ligatures w14:val="none"/>
        </w:rPr>
        <w:lastRenderedPageBreak/>
        <w:t>significant burden of nematode infections in the study area and underscore the need for enhanced farmer education on deworming practices to improve animal health management.</w:t>
      </w:r>
    </w:p>
    <w:p w14:paraId="25C0CD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25-A-2276-ASTMH</w:t>
      </w:r>
    </w:p>
    <w:p w14:paraId="70982C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18E82B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Studies on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black flies and </w:t>
      </w:r>
      <w:r w:rsidRPr="00FE5D1C">
        <w:rPr>
          <w:rFonts w:ascii="Calibri" w:eastAsia="Times New Roman" w:hAnsi="Calibri" w:cs="Calibri"/>
          <w:i/>
          <w:iCs/>
          <w:color w:val="000000"/>
          <w:kern w:val="0"/>
          <w:sz w:val="22"/>
          <w:szCs w:val="22"/>
          <w14:ligatures w14:val="none"/>
        </w:rPr>
        <w:t>Onchocerca</w:t>
      </w:r>
      <w:r w:rsidRPr="00FE5D1C">
        <w:rPr>
          <w:rFonts w:ascii="Calibri" w:eastAsia="Times New Roman" w:hAnsi="Calibri" w:cs="Calibri"/>
          <w:color w:val="000000"/>
          <w:kern w:val="0"/>
          <w:sz w:val="22"/>
          <w:szCs w:val="22"/>
          <w14:ligatures w14:val="none"/>
        </w:rPr>
        <w:t> parasites to decipher the transmission dynamics of onchocerciasis in Ethiopia</w:t>
      </w:r>
    </w:p>
    <w:p w14:paraId="1DC8DB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Onchocerciasis is a filarial disease caused by a filarial worm </w:t>
      </w:r>
      <w:r w:rsidRPr="00FE5D1C">
        <w:rPr>
          <w:rFonts w:ascii="Calibri" w:eastAsia="Times New Roman" w:hAnsi="Calibri" w:cs="Calibri"/>
          <w:i/>
          <w:iCs/>
          <w:color w:val="000000"/>
          <w:kern w:val="0"/>
          <w:sz w:val="22"/>
          <w:szCs w:val="22"/>
          <w14:ligatures w14:val="none"/>
        </w:rPr>
        <w:t>Onchocerca volvulus</w:t>
      </w:r>
      <w:r w:rsidRPr="00FE5D1C">
        <w:rPr>
          <w:rFonts w:ascii="Calibri" w:eastAsia="Times New Roman" w:hAnsi="Calibri" w:cs="Calibri"/>
          <w:color w:val="000000"/>
          <w:kern w:val="0"/>
          <w:sz w:val="22"/>
          <w:szCs w:val="22"/>
          <w14:ligatures w14:val="none"/>
        </w:rPr>
        <w:t> and transmitted by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flies. In Ethiopia, the vectors known to transmit the disease are </w:t>
      </w:r>
      <w:r w:rsidRPr="00FE5D1C">
        <w:rPr>
          <w:rFonts w:ascii="Calibri" w:eastAsia="Times New Roman" w:hAnsi="Calibri" w:cs="Calibri"/>
          <w:i/>
          <w:iCs/>
          <w:color w:val="000000"/>
          <w:kern w:val="0"/>
          <w:sz w:val="22"/>
          <w:szCs w:val="22"/>
          <w14:ligatures w14:val="none"/>
        </w:rPr>
        <w:t>Simulium damnosum</w:t>
      </w:r>
      <w:r w:rsidRPr="00FE5D1C">
        <w:rPr>
          <w:rFonts w:ascii="Calibri" w:eastAsia="Times New Roman" w:hAnsi="Calibri" w:cs="Calibri"/>
          <w:color w:val="000000"/>
          <w:kern w:val="0"/>
          <w:sz w:val="22"/>
          <w:szCs w:val="22"/>
          <w14:ligatures w14:val="none"/>
        </w:rPr>
        <w:t> s.l. and </w:t>
      </w:r>
      <w:r w:rsidRPr="00FE5D1C">
        <w:rPr>
          <w:rFonts w:ascii="Calibri" w:eastAsia="Times New Roman" w:hAnsi="Calibri" w:cs="Calibri"/>
          <w:i/>
          <w:iCs/>
          <w:color w:val="000000"/>
          <w:kern w:val="0"/>
          <w:sz w:val="22"/>
          <w:szCs w:val="22"/>
          <w14:ligatures w14:val="none"/>
        </w:rPr>
        <w:t>S. ethiopense</w:t>
      </w:r>
      <w:r w:rsidRPr="00FE5D1C">
        <w:rPr>
          <w:rFonts w:ascii="Calibri" w:eastAsia="Times New Roman" w:hAnsi="Calibri" w:cs="Calibri"/>
          <w:color w:val="000000"/>
          <w:kern w:val="0"/>
          <w:sz w:val="22"/>
          <w:szCs w:val="22"/>
          <w14:ligatures w14:val="none"/>
        </w:rPr>
        <w:t>. The national standard field operating procedures emphasize the importance of those two species for surveillance and evaluating the progress towards eliminating onchocerciasis. However, problems in vector species identification and co-transmission of animal filariae affect onchocerciasis elimination. We identified different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species collected by human landing catches (HLCs) and studied the transmission of other </w:t>
      </w:r>
      <w:r w:rsidRPr="00FE5D1C">
        <w:rPr>
          <w:rFonts w:ascii="Calibri" w:eastAsia="Times New Roman" w:hAnsi="Calibri" w:cs="Calibri"/>
          <w:i/>
          <w:iCs/>
          <w:color w:val="000000"/>
          <w:kern w:val="0"/>
          <w:sz w:val="22"/>
          <w:szCs w:val="22"/>
          <w14:ligatures w14:val="none"/>
        </w:rPr>
        <w:t>Onchocerca</w:t>
      </w:r>
      <w:r w:rsidRPr="00FE5D1C">
        <w:rPr>
          <w:rFonts w:ascii="Calibri" w:eastAsia="Times New Roman" w:hAnsi="Calibri" w:cs="Calibri"/>
          <w:color w:val="000000"/>
          <w:kern w:val="0"/>
          <w:sz w:val="22"/>
          <w:szCs w:val="22"/>
          <w14:ligatures w14:val="none"/>
        </w:rPr>
        <w:t> filariae (non-volvulus) of human and animal origin.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flies were collected and morphologically identified from various sites in different onchocerciasis endemic areas of Ethiopia. Molecular genetic analyses (Sanger sequencing of Cox1 and ITS2 genes) have been used to verify morphological identification. Entomological indices such as black flies species and Annual Biting Rate (ABR) have been determined based on HLCs. Geneious Prime and MEGA 11 software were employed for phylogenetic analyses.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species biting man include </w:t>
      </w:r>
      <w:r w:rsidRPr="00FE5D1C">
        <w:rPr>
          <w:rFonts w:ascii="Calibri" w:eastAsia="Times New Roman" w:hAnsi="Calibri" w:cs="Calibri"/>
          <w:i/>
          <w:iCs/>
          <w:color w:val="000000"/>
          <w:kern w:val="0"/>
          <w:sz w:val="22"/>
          <w:szCs w:val="22"/>
          <w14:ligatures w14:val="none"/>
        </w:rPr>
        <w:t>S. damnosum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 gonderense</w:t>
      </w:r>
      <w:r w:rsidRPr="00FE5D1C">
        <w:rPr>
          <w:rFonts w:ascii="Calibri" w:eastAsia="Times New Roman" w:hAnsi="Calibri" w:cs="Calibri"/>
          <w:color w:val="000000"/>
          <w:kern w:val="0"/>
          <w:sz w:val="22"/>
          <w:szCs w:val="22"/>
          <w14:ligatures w14:val="none"/>
        </w:rPr>
        <w:t>’), which had the ABR of 24,000 bites/man/year; </w:t>
      </w:r>
      <w:r w:rsidRPr="00FE5D1C">
        <w:rPr>
          <w:rFonts w:ascii="Calibri" w:eastAsia="Times New Roman" w:hAnsi="Calibri" w:cs="Calibri"/>
          <w:i/>
          <w:iCs/>
          <w:color w:val="000000"/>
          <w:kern w:val="0"/>
          <w:sz w:val="22"/>
          <w:szCs w:val="22"/>
          <w14:ligatures w14:val="none"/>
        </w:rPr>
        <w:t>S. bovis, </w:t>
      </w:r>
      <w:r w:rsidRPr="00FE5D1C">
        <w:rPr>
          <w:rFonts w:ascii="Calibri" w:eastAsia="Times New Roman" w:hAnsi="Calibri" w:cs="Calibri"/>
          <w:color w:val="000000"/>
          <w:kern w:val="0"/>
          <w:sz w:val="22"/>
          <w:szCs w:val="22"/>
          <w14:ligatures w14:val="none"/>
        </w:rPr>
        <w:t>ABR= 8,800 (in the northern areas); and </w:t>
      </w:r>
      <w:r w:rsidRPr="00FE5D1C">
        <w:rPr>
          <w:rFonts w:ascii="Calibri" w:eastAsia="Times New Roman" w:hAnsi="Calibri" w:cs="Calibri"/>
          <w:i/>
          <w:iCs/>
          <w:color w:val="000000"/>
          <w:kern w:val="0"/>
          <w:sz w:val="22"/>
          <w:szCs w:val="22"/>
          <w14:ligatures w14:val="none"/>
        </w:rPr>
        <w:t>S. kaffaense, ABR=170,000 </w:t>
      </w:r>
      <w:r w:rsidRPr="00FE5D1C">
        <w:rPr>
          <w:rFonts w:ascii="Calibri" w:eastAsia="Times New Roman" w:hAnsi="Calibri" w:cs="Calibri"/>
          <w:color w:val="000000"/>
          <w:kern w:val="0"/>
          <w:sz w:val="22"/>
          <w:szCs w:val="22"/>
          <w14:ligatures w14:val="none"/>
        </w:rPr>
        <w:t>in the southern Ethiopia. Except for </w:t>
      </w:r>
      <w:r w:rsidRPr="00FE5D1C">
        <w:rPr>
          <w:rFonts w:ascii="Calibri" w:eastAsia="Times New Roman" w:hAnsi="Calibri" w:cs="Calibri"/>
          <w:i/>
          <w:iCs/>
          <w:color w:val="000000"/>
          <w:kern w:val="0"/>
          <w:sz w:val="22"/>
          <w:szCs w:val="22"/>
          <w14:ligatures w14:val="none"/>
        </w:rPr>
        <w:t>S. vorax</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 adersi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 bovis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 dentulosum</w:t>
      </w:r>
      <w:r w:rsidRPr="00FE5D1C">
        <w:rPr>
          <w:rFonts w:ascii="Calibri" w:eastAsia="Times New Roman" w:hAnsi="Calibri" w:cs="Calibri"/>
          <w:color w:val="000000"/>
          <w:kern w:val="0"/>
          <w:sz w:val="22"/>
          <w:szCs w:val="22"/>
          <w14:ligatures w14:val="none"/>
        </w:rPr>
        <w:t> have</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exceeded the critical threshold of 1,000 ABR needed for disease transmission. </w:t>
      </w:r>
      <w:r w:rsidRPr="00FE5D1C">
        <w:rPr>
          <w:rFonts w:ascii="Calibri" w:eastAsia="Times New Roman" w:hAnsi="Calibri" w:cs="Calibri"/>
          <w:i/>
          <w:iCs/>
          <w:color w:val="000000"/>
          <w:kern w:val="0"/>
          <w:sz w:val="22"/>
          <w:szCs w:val="22"/>
          <w14:ligatures w14:val="none"/>
        </w:rPr>
        <w:t>S. damnosum </w:t>
      </w:r>
      <w:r w:rsidRPr="00FE5D1C">
        <w:rPr>
          <w:rFonts w:ascii="Calibri" w:eastAsia="Times New Roman" w:hAnsi="Calibri" w:cs="Calibri"/>
          <w:color w:val="000000"/>
          <w:kern w:val="0"/>
          <w:sz w:val="22"/>
          <w:szCs w:val="22"/>
          <w14:ligatures w14:val="none"/>
        </w:rPr>
        <w:t>complex collected from Adiyo and Cheriko Rivers were molecularly identified, respectively </w:t>
      </w:r>
      <w:r w:rsidRPr="00FE5D1C">
        <w:rPr>
          <w:rFonts w:ascii="Calibri" w:eastAsia="Times New Roman" w:hAnsi="Calibri" w:cs="Calibri"/>
          <w:i/>
          <w:iCs/>
          <w:color w:val="000000"/>
          <w:kern w:val="0"/>
          <w:sz w:val="22"/>
          <w:szCs w:val="22"/>
          <w14:ligatures w14:val="none"/>
        </w:rPr>
        <w:t>S. kulfoense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S. kaffaense</w:t>
      </w:r>
      <w:r w:rsidRPr="00FE5D1C">
        <w:rPr>
          <w:rFonts w:ascii="Calibri" w:eastAsia="Times New Roman" w:hAnsi="Calibri" w:cs="Calibri"/>
          <w:color w:val="000000"/>
          <w:kern w:val="0"/>
          <w:sz w:val="22"/>
          <w:szCs w:val="22"/>
          <w14:ligatures w14:val="none"/>
        </w:rPr>
        <w:t>. Although </w:t>
      </w:r>
      <w:r w:rsidRPr="00FE5D1C">
        <w:rPr>
          <w:rFonts w:ascii="Calibri" w:eastAsia="Times New Roman" w:hAnsi="Calibri" w:cs="Calibri"/>
          <w:i/>
          <w:iCs/>
          <w:color w:val="000000"/>
          <w:kern w:val="0"/>
          <w:sz w:val="22"/>
          <w:szCs w:val="22"/>
          <w14:ligatures w14:val="none"/>
        </w:rPr>
        <w:t>S. dentulosum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 vorax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S. bovis </w:t>
      </w:r>
      <w:r w:rsidRPr="00FE5D1C">
        <w:rPr>
          <w:rFonts w:ascii="Calibri" w:eastAsia="Times New Roman" w:hAnsi="Calibri" w:cs="Calibri"/>
          <w:color w:val="000000"/>
          <w:kern w:val="0"/>
          <w:sz w:val="22"/>
          <w:szCs w:val="22"/>
          <w14:ligatures w14:val="none"/>
        </w:rPr>
        <w:t>are vectors of </w:t>
      </w:r>
      <w:r w:rsidRPr="00FE5D1C">
        <w:rPr>
          <w:rFonts w:ascii="Calibri" w:eastAsia="Times New Roman" w:hAnsi="Calibri" w:cs="Calibri"/>
          <w:i/>
          <w:iCs/>
          <w:color w:val="000000"/>
          <w:kern w:val="0"/>
          <w:sz w:val="22"/>
          <w:szCs w:val="22"/>
          <w14:ligatures w14:val="none"/>
        </w:rPr>
        <w:t>O. volvulus</w:t>
      </w:r>
      <w:r w:rsidRPr="00FE5D1C">
        <w:rPr>
          <w:rFonts w:ascii="Calibri" w:eastAsia="Times New Roman" w:hAnsi="Calibri" w:cs="Calibri"/>
          <w:color w:val="000000"/>
          <w:kern w:val="0"/>
          <w:sz w:val="22"/>
          <w:szCs w:val="22"/>
          <w14:ligatures w14:val="none"/>
        </w:rPr>
        <w:t> in other countries, their vectorial capacity in Ethiopia is yet to be determined. Members of </w:t>
      </w:r>
      <w:r w:rsidRPr="00FE5D1C">
        <w:rPr>
          <w:rFonts w:ascii="Calibri" w:eastAsia="Times New Roman" w:hAnsi="Calibri" w:cs="Calibri"/>
          <w:i/>
          <w:iCs/>
          <w:color w:val="000000"/>
          <w:kern w:val="0"/>
          <w:sz w:val="22"/>
          <w:szCs w:val="22"/>
          <w14:ligatures w14:val="none"/>
        </w:rPr>
        <w:t>S. damnosum</w:t>
      </w:r>
      <w:r w:rsidRPr="00FE5D1C">
        <w:rPr>
          <w:rFonts w:ascii="Calibri" w:eastAsia="Times New Roman" w:hAnsi="Calibri" w:cs="Calibri"/>
          <w:color w:val="000000"/>
          <w:kern w:val="0"/>
          <w:sz w:val="22"/>
          <w:szCs w:val="22"/>
          <w14:ligatures w14:val="none"/>
        </w:rPr>
        <w:t> complex involve in transmitting </w:t>
      </w:r>
      <w:r w:rsidRPr="00FE5D1C">
        <w:rPr>
          <w:rFonts w:ascii="Calibri" w:eastAsia="Times New Roman" w:hAnsi="Calibri" w:cs="Calibri"/>
          <w:i/>
          <w:iCs/>
          <w:color w:val="000000"/>
          <w:kern w:val="0"/>
          <w:sz w:val="22"/>
          <w:szCs w:val="22"/>
          <w14:ligatures w14:val="none"/>
        </w:rPr>
        <w:t>O. volvulus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non-</w:t>
      </w:r>
      <w:r w:rsidRPr="00FE5D1C">
        <w:rPr>
          <w:rFonts w:ascii="Calibri" w:eastAsia="Times New Roman" w:hAnsi="Calibri" w:cs="Calibri"/>
          <w:i/>
          <w:iCs/>
          <w:color w:val="000000"/>
          <w:kern w:val="0"/>
          <w:sz w:val="22"/>
          <w:szCs w:val="22"/>
          <w14:ligatures w14:val="none"/>
        </w:rPr>
        <w:t>O. volvulus</w:t>
      </w:r>
      <w:r w:rsidRPr="00FE5D1C">
        <w:rPr>
          <w:rFonts w:ascii="Calibri" w:eastAsia="Times New Roman" w:hAnsi="Calibri" w:cs="Calibri"/>
          <w:color w:val="000000"/>
          <w:kern w:val="0"/>
          <w:sz w:val="22"/>
          <w:szCs w:val="22"/>
          <w14:ligatures w14:val="none"/>
        </w:rPr>
        <w:t> infective larvae and further studies are recommended. To succeed on onchocerciasis elimination program, the non-volvulus species recently identified should be considered during surveillance and impact monitoring.</w:t>
      </w:r>
    </w:p>
    <w:p w14:paraId="3D9404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25-A-2277-ASTMH</w:t>
      </w:r>
    </w:p>
    <w:p w14:paraId="726B75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1F9343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Vaccination Coverage Patterns in Children Under 5 Presenting at Tertiary Health Facilities in Rural South and Southeast Asia</w:t>
      </w:r>
    </w:p>
    <w:p w14:paraId="6FA241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impact of measles vaccination programmes highlights the power of vaccines in preventing and containing outbreaks. Inequitable vaccine access and coverage curtails outbreak control efforts and enables the emergence of variants, as seen with SARS-CoV-2. Understanding demographic and spatial vaccination gaps and needs in low resource and remote settings will allow targeted and cost-effective vaccination campaigns. Levels of age- and country-appropriate vaccination histories were obtained from children under 5 years of age presenting with acute fevers at 9 rural tertiary health care facilities in 39 districts in Bangladesh, Lao PDR, Myanmar and Thailand. Their sex, age, residence, symptoms, and healthcare worker discharge diagnosis were collected, along with dried blood spot samples for further diagnosis offsite. 74.4% of 1875 under 5s with vaccination status reported were fully vaccinated, while 22.6% had partial, 1.9% had never, and 1.1% had unknown vaccination histories. As under 5s got older, the proportion of fully vaccinated children significantly increased (p = 9.9 x10</w:t>
      </w:r>
      <w:r w:rsidRPr="00FE5D1C">
        <w:rPr>
          <w:rFonts w:ascii="Calibri" w:eastAsia="Times New Roman" w:hAnsi="Calibri" w:cs="Calibri"/>
          <w:color w:val="000000"/>
          <w:kern w:val="0"/>
          <w:sz w:val="22"/>
          <w:szCs w:val="22"/>
          <w:vertAlign w:val="superscript"/>
          <w14:ligatures w14:val="none"/>
        </w:rPr>
        <w:t>-5</w:t>
      </w:r>
      <w:r w:rsidRPr="00FE5D1C">
        <w:rPr>
          <w:rFonts w:ascii="Calibri" w:eastAsia="Times New Roman" w:hAnsi="Calibri" w:cs="Calibri"/>
          <w:color w:val="000000"/>
          <w:kern w:val="0"/>
          <w:sz w:val="22"/>
          <w:szCs w:val="22"/>
          <w14:ligatures w14:val="none"/>
        </w:rPr>
        <w:t xml:space="preserve">) from &lt;1 year (32.7%), 1 year (33.6%), 2 years (37.2%), 3 years (39.5%), to 4 years (43.0%). 36.6% of females and 37.6% of males were fully vaccinated, and 11.5% and 11.2% partially vaccinated. Vaccination histories varied greatly between districts with mean 79.0% (range 10.0% in Mae Sot, Thailand to 100% in 5 districts in Chiang Rai Province, Thailand) being fully vaccinated, 2.8% (range 0% in 10 districts to 21.4% in Atsaphone, Lao PDR) never vaccinated. The commonest syndrome identified was respiratory infections (49.6%), of </w:t>
      </w:r>
      <w:r w:rsidRPr="00FE5D1C">
        <w:rPr>
          <w:rFonts w:ascii="Calibri" w:eastAsia="Times New Roman" w:hAnsi="Calibri" w:cs="Calibri"/>
          <w:color w:val="000000"/>
          <w:kern w:val="0"/>
          <w:sz w:val="22"/>
          <w:szCs w:val="22"/>
          <w14:ligatures w14:val="none"/>
        </w:rPr>
        <w:lastRenderedPageBreak/>
        <w:t>which 74.4% were fully vaccinated, followed by fevers of an unknown source (13.5%), with 88.2% fully vaccinated. These findings demonstrate differing vaccination coverage between age groups, and locations, highlighting a need for locally targeted and tailored cost-effective vaccination and outreach programmes. Further work will be conducted to assess the role of environmental risk factors in infectious disease spatial distribution and discuss the need for updated vaccination policies in changing environments.</w:t>
      </w:r>
    </w:p>
    <w:p w14:paraId="3EC339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25-A-2278-ASTMH</w:t>
      </w:r>
    </w:p>
    <w:p w14:paraId="628A6F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73F401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Development and evaluation of an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malaria parasite killing assay to assess novel malaria vaccine candidates that induce cellular immunity</w:t>
      </w:r>
    </w:p>
    <w:p w14:paraId="72E008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global health burden, with 263 million cases and 597,000 deaths reported in 2023. Developing an efficacious blood-stage vaccine is crucial for malaria control. The ideal vaccine would reduce parasitemia, prevent illness, and mitigate severe disease. Current candidates targeting merozoite surface antigens show limited efficacy in endemic regions, emphasizing the need for innovative strategies. Our laboratory explores whole blood-stage parasites formulated within liposomes as vaccine candidates. Vaccination with parasites plus specific adjuvants, such as CAF01 or 3D(6-acyl) PHAD liposomes, induces a parasite-specific cellular immune response that protects against infection in murine models. However, this protection is incomplete, with vaccinated mice showing low-grade parasitemia after challenge. The protective effect is CD4+ T-cell-dependent, although this requires further investigation. Identifying immunological correlates of protection could improve vaccine design and efficacy. Previous studies indicated that human peripheral blood mononuclear cells (PBMCs) inhibit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growth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We developed a parasite-killing assay using splenocytes from vaccinated mice and assessed their ability to inhibit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growth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Our results show significant parasitemia reduction after 72 h co-culture with splenocytes from mice vaccinated with </w:t>
      </w:r>
      <w:r w:rsidRPr="00FE5D1C">
        <w:rPr>
          <w:rFonts w:ascii="Calibri" w:eastAsia="Times New Roman" w:hAnsi="Calibri" w:cs="Calibri"/>
          <w:i/>
          <w:iCs/>
          <w:color w:val="000000"/>
          <w:kern w:val="0"/>
          <w:sz w:val="22"/>
          <w:szCs w:val="22"/>
          <w14:ligatures w14:val="none"/>
        </w:rPr>
        <w:t>P. yoelii</w:t>
      </w:r>
      <w:r w:rsidRPr="00FE5D1C">
        <w:rPr>
          <w:rFonts w:ascii="Calibri" w:eastAsia="Times New Roman" w:hAnsi="Calibri" w:cs="Calibri"/>
          <w:color w:val="000000"/>
          <w:kern w:val="0"/>
          <w:sz w:val="22"/>
          <w:szCs w:val="22"/>
          <w14:ligatures w14:val="none"/>
        </w:rPr>
        <w:t> + PHAD liposomes (~80% inhibition at the highest concentration). Splenocytes from adjuvant-only mice showed significantly reduced inhibition (~50% inhibition, p &lt; 0.0001), suggesting vaccine-induced cellular responses contribute significantly to parasite clearance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If linked to protection, this immunological endpoint would enable functional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evaluation of the cellular immune response induced by our vaccine in pre-clinical models. Ongoing studies will determine whether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killing correlates with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protection, guiding immunological assay development for future pre-clinical and clinical malaria vaccine trials.</w:t>
      </w:r>
    </w:p>
    <w:p w14:paraId="17A4AF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25-A-2279-ASTMH</w:t>
      </w:r>
    </w:p>
    <w:p w14:paraId="23F864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0B3DCC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Training the Next Generation of Tropical Medicine Specialists: A 12-Year Analysis of Baylor’s Diploma of Tropical Medicine (DTM) Trainee Cohorts</w:t>
      </w:r>
    </w:p>
    <w:p w14:paraId="5CCBDD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field of Infectious Diseases (ID) is facing declining fellowship applicants, with recent NRMP Specialties Matching Service data showing nearly half of ID programs had unfilled positions in 2025. This shortage is particularly concerning given the increasing need for ID specialists in growing tropical and vector-borne disease hotspots, exacerbated by climate change, urbanization, travel, and vaccine gaps. The objective of this study is to describe changes in the cohorts of trainees at Baylor College of Medicine (BCM)’s Diploma of Tropical Medicine (DTM), which has provided training in tropical bacteriology, virology, parasitology, and public health since 2011. Analysis of 2012-2025 DTM trainee data showed sustained early participation (average 39 trainees/year, 2012-2017), followed by decline related to transition from</w:t>
      </w:r>
      <w:r w:rsidRPr="00FE5D1C">
        <w:rPr>
          <w:rFonts w:ascii="Calibri" w:eastAsia="Times New Roman" w:hAnsi="Calibri" w:cs="Calibri"/>
          <w:color w:val="000000"/>
          <w:kern w:val="0"/>
          <w:sz w:val="22"/>
          <w:szCs w:val="22"/>
          <w14:ligatures w14:val="none"/>
        </w:rPr>
        <w:br/>
        <w:t xml:space="preserve">synchronous live teaching to asynchronous/recorded teaching during the COVID pandemic (22/year, 2018-2020) and post-2020 recovery, rebounding to 29 trainees in 2025. Across all years, most trainees were medical students (36%) or physicians (32%), while physician assistant (PA) student involvement emerged as a growing cohort (24% of the 2025 class from 0% at the program’s initiation in 2011). Racial </w:t>
      </w:r>
      <w:r w:rsidRPr="00FE5D1C">
        <w:rPr>
          <w:rFonts w:ascii="Calibri" w:eastAsia="Times New Roman" w:hAnsi="Calibri" w:cs="Calibri"/>
          <w:color w:val="000000"/>
          <w:kern w:val="0"/>
          <w:sz w:val="22"/>
          <w:szCs w:val="22"/>
          <w14:ligatures w14:val="none"/>
        </w:rPr>
        <w:lastRenderedPageBreak/>
        <w:t>diversification increased over time, with 2025 marking the first year non-Caucasian groups (Asian 38%, Hispanic 17%, African American 14%) comprised the majority (69%) of trainees. DTM course completion rates surged from a stable pre-2021 average of 44% to 76-80% in 2022-2024. Over all years, 10% of students went on to complete the CTropMed Exam, with a 63% pass rate (29/46, 2014-2021). Collectively, these trends demonstrate the program's success in attracting diverse trainees, improving retention, and building critical capacity in tropical medicine—a model that could help reverse broader ID workforce shortages. The BCM DTM fosters early interest in ID and equips clinicians for emerging tropical disease challenges through its hybrid model integrating didactic training, hands-on labs, and mentorship.</w:t>
      </w:r>
    </w:p>
    <w:p w14:paraId="14044D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25-A-2280-ASTMH</w:t>
      </w:r>
    </w:p>
    <w:p w14:paraId="040CDA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7C2E92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syncytial virus and human rhinovirus coinfection and long-term respiratory outcomes in children, a systematic review and meta-analysis</w:t>
      </w:r>
    </w:p>
    <w:p w14:paraId="21B7A0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syncytial virus (RSV) and human rhinovirus (HRV) are leading causes of LRTI in young children. Early-life RSV-HRV coinfection may affect long-term respiratory outcomes, but evidence remains limited. We evaluated whether RSV-HRV coinfection LRTI in the first few years of life is associated with a higher risk of subsequent recurrent wheezing, asthma or impaired lung function in children, compared to single RSV or HRV LRTI. We conducted a systematic review, PROSPERO:CRD420251007098. We searched in Pubmed/Medline, Scopus, Embase, LILACS, Cochrane Library, and Web of Science until February 28 ,2025. We performed a random-effects models meta-analysis, and applied GRADE approach. We included eleven studies (n=2,253); most from high-income countries (81.82%) and 27.27% of the studies included preterm infants. Follow-up began before one year of age in 45.45% of the cohorts, and continued until school age (54.55%). RSV-HRV coinfection represented 15.05% (95%CI:8.80-22.56) of viral LRTIs in the first three years of life. The frequency of recurrent wheezing was 26.11% (95%CI:17.67-35.49), and of current asthma was 29.78% (95%CI:22.07-38.07). Single RSV infection was associated with a higher frequency of recurrent wheezing at preschool age (48.45%; 95%CI:28.27-68.89) compared to RSV-HRV coinfection (12.39%;95%CI:4.60-22.86) or single HRV infection (19.74%; 95%CI:13.70-26.56) (p=0.006). No significant differences were observed in the frequency of current asthma at school age with RSV-HRV coinfection (22.91%;95%CI:9.99-38.82), single RSV infection (33.66%;95%CI:18.33-50.83), and single HRV infection (34.82%;95%CI:27.96-41.98) (p=0.390). Additionally, only one study evaluated lung function and found that single HRV infection was associated with lower lung function (lower FEV1-related outcomes) compared to coinfections or single RSV infections. The certainty of evidence was very low. In conclusion, early-life single RSV or HRV infections may be associated with a higher frequency of long-term respiratory outcomes than RSV-HRV coinfection. Long-term cohort studies are necessary to confirm our findings.</w:t>
      </w:r>
    </w:p>
    <w:p w14:paraId="1C85F0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25-A-2281-ASTMH</w:t>
      </w:r>
    </w:p>
    <w:p w14:paraId="596EA7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0510B8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Dogs as a potential reservoir host for </w:t>
      </w:r>
      <w:r w:rsidRPr="00FE5D1C">
        <w:rPr>
          <w:rFonts w:ascii="Calibri" w:eastAsia="Times New Roman" w:hAnsi="Calibri" w:cs="Calibri"/>
          <w:i/>
          <w:iCs/>
          <w:color w:val="000000"/>
          <w:kern w:val="0"/>
          <w:sz w:val="22"/>
          <w:szCs w:val="22"/>
          <w14:ligatures w14:val="none"/>
        </w:rPr>
        <w:t>Leishmania donovani</w:t>
      </w:r>
      <w:r w:rsidRPr="00FE5D1C">
        <w:rPr>
          <w:rFonts w:ascii="Calibri" w:eastAsia="Times New Roman" w:hAnsi="Calibri" w:cs="Calibri"/>
          <w:color w:val="000000"/>
          <w:kern w:val="0"/>
          <w:sz w:val="22"/>
          <w:szCs w:val="22"/>
          <w14:ligatures w14:val="none"/>
        </w:rPr>
        <w:t> in Sri Lanka</w:t>
      </w:r>
    </w:p>
    <w:p w14:paraId="6D8F4F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Cutaneous Leishmaniasis is an endemic vector-borne disease in Sri Lanka, with </w:t>
      </w:r>
      <w:r w:rsidRPr="00FE5D1C">
        <w:rPr>
          <w:rFonts w:ascii="Calibri" w:eastAsia="Times New Roman" w:hAnsi="Calibri" w:cs="Calibri"/>
          <w:i/>
          <w:iCs/>
          <w:color w:val="000000"/>
          <w:kern w:val="0"/>
          <w:sz w:val="22"/>
          <w:szCs w:val="22"/>
          <w14:ligatures w14:val="none"/>
        </w:rPr>
        <w:t>Leishmania donovani </w:t>
      </w:r>
      <w:r w:rsidRPr="00FE5D1C">
        <w:rPr>
          <w:rFonts w:ascii="Calibri" w:eastAsia="Times New Roman" w:hAnsi="Calibri" w:cs="Calibri"/>
          <w:color w:val="000000"/>
          <w:kern w:val="0"/>
          <w:sz w:val="22"/>
          <w:szCs w:val="22"/>
          <w14:ligatures w14:val="none"/>
        </w:rPr>
        <w:t>as the causative protozoan parasite. Dogs are identified as reservoir hosts in other endemic countries, but data on canine leishmaniasis in Sri Lanka are limited. This study was designed to determine whether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in Sri Lanka is maintained through a zoonotic transmission cycle via dogs. A cross-sectional survey was conducted in the Matara and Hambantota districts within the high infection transmission zone, by integrating molecular, serological and xenodiagnostic techniques. Blood samples were collected for serum from 68 stray dogs trapped in selected public places. Skin scrapings were collected from suspected lesions from 5 dogs. Xenodiagnosis was performed using a laboratory-reared F1 generation </w:t>
      </w:r>
      <w:r w:rsidRPr="00FE5D1C">
        <w:rPr>
          <w:rFonts w:ascii="Calibri" w:eastAsia="Times New Roman" w:hAnsi="Calibri" w:cs="Calibri"/>
          <w:i/>
          <w:iCs/>
          <w:color w:val="000000"/>
          <w:kern w:val="0"/>
          <w:sz w:val="22"/>
          <w:szCs w:val="22"/>
          <w14:ligatures w14:val="none"/>
        </w:rPr>
        <w:t>Phlebotomus argentipes</w:t>
      </w:r>
      <w:r w:rsidRPr="00FE5D1C">
        <w:rPr>
          <w:rFonts w:ascii="Calibri" w:eastAsia="Times New Roman" w:hAnsi="Calibri" w:cs="Calibri"/>
          <w:color w:val="000000"/>
          <w:kern w:val="0"/>
          <w:sz w:val="22"/>
          <w:szCs w:val="22"/>
          <w14:ligatures w14:val="none"/>
        </w:rPr>
        <w:t xml:space="preserve"> colony. DNA extracted from blood, skin scrapings and sandflies fed </w:t>
      </w:r>
      <w:r w:rsidRPr="00FE5D1C">
        <w:rPr>
          <w:rFonts w:ascii="Calibri" w:eastAsia="Times New Roman" w:hAnsi="Calibri" w:cs="Calibri"/>
          <w:color w:val="000000"/>
          <w:kern w:val="0"/>
          <w:sz w:val="22"/>
          <w:szCs w:val="22"/>
          <w14:ligatures w14:val="none"/>
        </w:rPr>
        <w:lastRenderedPageBreak/>
        <w:t>on dogs were subjected to PCR targeting </w:t>
      </w:r>
      <w:r w:rsidRPr="00FE5D1C">
        <w:rPr>
          <w:rFonts w:ascii="Calibri" w:eastAsia="Times New Roman" w:hAnsi="Calibri" w:cs="Calibri"/>
          <w:i/>
          <w:iCs/>
          <w:color w:val="000000"/>
          <w:kern w:val="0"/>
          <w:sz w:val="22"/>
          <w:szCs w:val="22"/>
          <w14:ligatures w14:val="none"/>
        </w:rPr>
        <w:t>Leishmania spp</w:t>
      </w:r>
      <w:r w:rsidRPr="00FE5D1C">
        <w:rPr>
          <w:rFonts w:ascii="Calibri" w:eastAsia="Times New Roman" w:hAnsi="Calibri" w:cs="Calibri"/>
          <w:color w:val="000000"/>
          <w:kern w:val="0"/>
          <w:sz w:val="22"/>
          <w:szCs w:val="22"/>
          <w14:ligatures w14:val="none"/>
        </w:rPr>
        <w:t> ribosomal DNA. All molecular assay results were negative. Already established KMP11 antigen-based indirect ELISA revealed that 50 out of 68 (73.52%) samples were seropositive for L. </w:t>
      </w:r>
      <w:r w:rsidRPr="00FE5D1C">
        <w:rPr>
          <w:rFonts w:ascii="Calibri" w:eastAsia="Times New Roman" w:hAnsi="Calibri" w:cs="Calibri"/>
          <w:i/>
          <w:iCs/>
          <w:color w:val="000000"/>
          <w:kern w:val="0"/>
          <w:sz w:val="22"/>
          <w:szCs w:val="22"/>
          <w14:ligatures w14:val="none"/>
        </w:rPr>
        <w:t>donovani</w:t>
      </w:r>
      <w:r w:rsidRPr="00FE5D1C">
        <w:rPr>
          <w:rFonts w:ascii="Calibri" w:eastAsia="Times New Roman" w:hAnsi="Calibri" w:cs="Calibri"/>
          <w:color w:val="000000"/>
          <w:kern w:val="0"/>
          <w:sz w:val="22"/>
          <w:szCs w:val="22"/>
          <w14:ligatures w14:val="none"/>
        </w:rPr>
        <w:t>. These results indicate a high-level exposure of dogs to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however, with no apparent evidence of parasite-positive lesions or infectivity to sandflies. The study outcome favors the assumption that the stray dogs may be potential reservoirs of leishmaniasis in Sri Lanka and highlights the importance of expanding such studies to involve larger numbers of dogs, including domestic dogs from more endemic areas.</w:t>
      </w:r>
    </w:p>
    <w:p w14:paraId="2DD925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25-A-2282-ASTMH</w:t>
      </w:r>
    </w:p>
    <w:p w14:paraId="7E8FE9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720F2A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Genotypic characterization of </w:t>
      </w:r>
      <w:r w:rsidRPr="00FE5D1C">
        <w:rPr>
          <w:rFonts w:ascii="Calibri" w:eastAsia="Times New Roman" w:hAnsi="Calibri" w:cs="Calibri"/>
          <w:i/>
          <w:iCs/>
          <w:color w:val="000000"/>
          <w:kern w:val="0"/>
          <w:sz w:val="22"/>
          <w:szCs w:val="22"/>
          <w14:ligatures w14:val="none"/>
        </w:rPr>
        <w:t>Plasmodium falciparum pfhrp2/3</w:t>
      </w:r>
      <w:r w:rsidRPr="00FE5D1C">
        <w:rPr>
          <w:rFonts w:ascii="Calibri" w:eastAsia="Times New Roman" w:hAnsi="Calibri" w:cs="Calibri"/>
          <w:color w:val="000000"/>
          <w:kern w:val="0"/>
          <w:sz w:val="22"/>
          <w:szCs w:val="22"/>
          <w14:ligatures w14:val="none"/>
        </w:rPr>
        <w:t> gene deletions in field isolates from remote communities in the Loreto and Amazonas regions of the Peruvian Amazon.</w:t>
      </w:r>
    </w:p>
    <w:p w14:paraId="4ACE25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Loreto and Amazonas regions accounted for 95% of malaria infections in Peru by 2024. Within the Amazonas region, the district of Río Santiago is responsible for 95% of the infections in the province of Condorcanqui, which itself represents 95% of the cases in the Amazonas region. In Loreto, the district of Andoas accounts for 54% of infections in Datem del Marañón, the province with the highest infection rate in the region, while in the district of Trompeteros (Loreto province), deletions have been in previous studies. Since 2010, P. falciparum parasites with pfhrp2 and pfhpr3 genes (pfhrp2/3) deletions have been reported in Loreto. These deletions lead to false-negative results in Rapid Diagnosis Tests (RDTs) and consequently, prevent adequate treatment of infected patients. So far, the frequency of these deletions in Amazonas samples has not been reported. This project aims to genotypically characterize deletions in the pfhrp2/3 genes in P. falciparum from communities located in remote districts of the Loreto and Amazonas regions. A total of 142 samples from the three aforementioned districts were evaluated from 2019 to 2023. Parasitemia was quantified by real-time PCR and the presence or absence of pfhrp2/3 genes was determined by conventional PCR. Evaluation of the pfhrp2 gene showed different profiles within the three districts. Río Santiago district had a complete deletion in 100% of the samples (n=49), Andoas (74.3%, n=35), while the Trompeteros district was the only one that reported partial deletions (35.1%, n=57). On the other hand, there was a deletion in the pfhrp3 gene in 100% of the samples from Rio Santiago, while in the other districts, it was minimal: 14.3% (Andoas) and 29.8% (Trompeteros). In summary, a double deletion was observed in the Río Santiago district, indicating that HRP2-based RDTs are not feasible for the detection of P. falciparum in this area. Also, the presence of deletions in other districts suggests that the use of these tests is not generally recommended. These findings highlight the importance of raising awareness of the prevalence of these deletions and their impact on diagnosis.</w:t>
      </w:r>
    </w:p>
    <w:p w14:paraId="61851A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25-A-2283-ASTMH</w:t>
      </w:r>
    </w:p>
    <w:p w14:paraId="4A548C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28A421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Artemisinin-resistant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Kelch13 mutant proteins display reduced heme-binding affinity and decreased artemisinin activation</w:t>
      </w:r>
    </w:p>
    <w:p w14:paraId="3BA264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potency of frontline antimalarial drug artemisinin (ART) derivatives is triggered by heme-induced cleavage of the endoperoxide bond to form reactive heme-ART alkoxy radicals and covalent heme-ART adducts, which are highly toxic to the parasite. ART-resistant (ART-R) parasites with mutations in the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xml:space="preserve"> Kelch-containing protein Kelch13 (PfKekch13) exhibit impaired hemoglobin uptake, reduced yield of hemoglobin-derived heme, and thus decreased ART activation. However, any direct involvement of PfKelch13 in heme-mediated ART activation has not been reported. Here, we show that the purified recombinant PfKelch13 wild-type (WT) protein displays measurable binding affinity for iron and heme, the main effectors for ART activation. The heme-binding property is also exhibited by the native PfKelch13 protein from parasite culture. The two ART-R recombinant PfKelch13 mutants (C580Y and R539T) display weaker heme binding affinities compared to the ART-sensitive WT and A578S mutant proteins, which further translates into reduced yield of heme-ART derivatives when </w:t>
      </w:r>
      <w:r w:rsidRPr="00FE5D1C">
        <w:rPr>
          <w:rFonts w:ascii="Calibri" w:eastAsia="Times New Roman" w:hAnsi="Calibri" w:cs="Calibri"/>
          <w:color w:val="000000"/>
          <w:kern w:val="0"/>
          <w:sz w:val="22"/>
          <w:szCs w:val="22"/>
          <w14:ligatures w14:val="none"/>
        </w:rPr>
        <w:lastRenderedPageBreak/>
        <w:t>ART is incubated with the heme molecules bound to the mutant PfKelch13 proteins. In conclusion, this study provides the first evidence for ART activation via the heme-binding propensity of PfKelch13. This mechanism may contribute to the modulation of ART-R levels in malaria parasites through a novel function of PfKelch13.</w:t>
      </w:r>
    </w:p>
    <w:p w14:paraId="5FFA4F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25-A-2284-ASTMH</w:t>
      </w:r>
    </w:p>
    <w:p w14:paraId="20BFF6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7F5D0D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Integrating Village Malaria Workers into Cambodia’s Health System: A Pathway to Sustain Malaria Elimination</w:t>
      </w:r>
    </w:p>
    <w:p w14:paraId="2FC8F10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With only 355 malaria cases reported in 2024, Cambodia is on track to achieve malaria elimination by 2025. Village Malaria Workers (VMWs) have been instrumental to elimination efforts since 2014, conducting 72% of malaria tests and detecting 55% of all malaria cases in 2024. As the need for a malaria volunteer network decline, Cambodia is exploring integration of VMWs with VHSGs, a government-led community network that delivers integrated primary health care services. In 2024, a survey was conducted to measure current overlap between VMWs and VHSGs and inform the integration strategy. At least one of two VMWs completed the survey in (99%) of VMW villages. Among 5,602 total respondents, 52% were female, 47% had completed secondary or higher education, and 80% were aged 30 to 59 years old. 3,210 VMWs (57%) reported serving in another community role beyond their VMW role, a 12% increase from a 2020 survey. VHSG was the most common other role served by 2,460 VMWs (44%), followed by TB (24%), and nutrition (13%). Overlap between VMWs and VHSGs was most evident in low malaria burden areas; 89% of low or no malaria risk villages reported at least one VMW also serving as VHSG. Naturally occurring integration of VMWs and VHSGs indicates that VMWs are an optimal candidate pool for VHSG recruitment and should be prioritized as the VHSG program grows. Targeted, cost-effective efforts to prevent reestablishment of malaria can be organized in villages with overlapping roles. Where VMWs have yet to integrate with other community cadres, a systematic, phased integration strategy is needed as malaria test positivity plummets and vertical funding security declines. As Cambodia approaches elimination, demand for vertical malaria services and justification for a vertical cadre decline. The country must develop a transition plan for existing VMWs, identify essential anti-malarial functions that must sustain into elimination, and transfer strong, community-based vertical malaria infrastructure to the national health system. Significant cross-ministry and department coordination will be required to achieve this.</w:t>
      </w:r>
    </w:p>
    <w:p w14:paraId="4AD351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25-A-2285-ASTMH</w:t>
      </w:r>
    </w:p>
    <w:p w14:paraId="27DF83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44BAE0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Magnitude of Vaccine-Induced T Cell Response Cannot Be Inferred From Neutralising Antibody Titers</w:t>
      </w:r>
    </w:p>
    <w:p w14:paraId="504A30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Several lines of recent evidence underscore the importance of cellular immunity in controlling acute viral infections. For example, the magnitude of the spike-specific T cell response following COVID-19 mRNA vaccination was the single most important correlate of protection against symptomatic SARS-CoV-2 infection. Nonetheless, vaccine studies and decisions on their clinical development mostly rely on serology to assess immune response to vaccination. We therefore asked whether serological responses can serve as a surrogate for the magnitude of vaccine-induced T cell response, or whether routinely measuring T cells separately is indeed necessary in vaccine studies. Herein, we examined both neutralising antibody and antigen-specific T cell responses induced by live-attenuated yellow fever (YF17D) (N=16), and COVID-19 mRNA (N=19) vaccination, in healthy human volunteers. In both cohorts, we found no correlation between neutralising antibody titers and the magnitude of antigen-specific T cell responses. Moreover, using a systems vaccinology approach, we found that the innate immune responses correlating with either the magnitude of B or T cell responses were disparate: Differing lymphocyte-related and myeloid-related pathways were associated with antibody and T cell responses separately. Likewise, plasma cytokines whose levels correlated with antibody or T cell responses were also distinct. The lack of correlation observed between the two adaptive immune parameters - likely </w:t>
      </w:r>
      <w:r w:rsidRPr="00FE5D1C">
        <w:rPr>
          <w:rFonts w:ascii="Calibri" w:eastAsia="Times New Roman" w:hAnsi="Calibri" w:cs="Calibri"/>
          <w:color w:val="000000"/>
          <w:kern w:val="0"/>
          <w:sz w:val="22"/>
          <w:szCs w:val="22"/>
          <w14:ligatures w14:val="none"/>
        </w:rPr>
        <w:lastRenderedPageBreak/>
        <w:t>driven by distinct immune pathways that shape either the humoral or cellular response to vaccination - underscores the importance of routinely measuring both arms of the adaptive immune response in vaccine studies and clinical development.</w:t>
      </w:r>
    </w:p>
    <w:p w14:paraId="49224F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25-A-2286-ASTMH</w:t>
      </w:r>
    </w:p>
    <w:p w14:paraId="444E91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Transmission Biology</w:t>
      </w:r>
    </w:p>
    <w:p w14:paraId="152CA6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Dynamics of DENV-2D30-7169 attenuated virus infection in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mosquitoes</w:t>
      </w:r>
    </w:p>
    <w:p w14:paraId="6CF7DD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Several dengue virus (DENV) challenge human infection models (CHIMs) have been used to assess the safety and efficacy of dengue vaccines and therapies. However, these have used needle inoculation of the virus, bypassing the natural mosquito vector. Prior research has shown that mosquito saliva can potentiate viral infections and may promote distinct DENV infection outcomes in mouse models. Here, we propose a “natural CHIM” where DENV infected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will be used for human challenge. For safety and feasibility, we chose a cGMP-grade, naturally attenuated DENV-2Δ30-7169 virus, that was tested in prior FDA-approved CHIMs. DENV-2Δ30-7169 infection was shown to cause mild symptoms (rash) and viremia, but no severe dengue outcomes in humans. An additional benefit of using DENV-2Δ30-7169 is its poor transmissibility back into Aedes aegypti by blood feeding. To overcome this paradox for our “natural CHIM”, we injected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intrathoracically with 100 or 300 DENV-2Δ30-7169 plaque forming units and we will evaluate viral dissemination kinetics by PCR of dissected mosquito salivary glands at days 1, 3, 7, 10, 14, 21, and 30 post-infection. We will validate the PCR data by titration and immunofluorescence of salivary glands at days 1-30. Data generated in these experiments will indicate the best dose of DENV2Δ30-7169 that can consistently infect and disseminate within Aedes aegypti mosquitoes following intrathoracic inoculation, making this a suitable model to develop a “natural CHIM” using dengue infected mosquitoes.</w:t>
      </w:r>
    </w:p>
    <w:p w14:paraId="7BF9B13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25-A-2288-ASTMH</w:t>
      </w:r>
    </w:p>
    <w:p w14:paraId="3511A2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009FF9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REMOVED FROM PROGRAM 6577 Intermittent preventive treatment in pregnancy with sulfadoxine-pyrimethamine plus dihydroartemisinin-piperaquine to prevent malaria infection and adverse birth outcomes in Papua New Guinea: a randomized controlled trial</w:t>
      </w:r>
    </w:p>
    <w:p w14:paraId="142717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Papua New Guinea (PNG) is the only country outside of sub-Saharan Africa to deploy intermittent preventive treatment in pregnancy (IPTp) with sulfadoxine-pyrimethamine (SP).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are co-endemic in PNG with high prevalence on the North Coast of mainland PNG. In this area malaria is a key factor driving the high burden of adverse pregnancy outcomes including fetal loss (miscarriage, stillbirth), fetal growth restriction and preterm birth, leading to low birth weight and neonatal death. In light of emerging high-grade SP resistance, more efficacious antimalarials are required for IPTp in PNG. However, these may not confer potential non-malarial benefits of SP on preventing adverse pregnancy outcomes. We hypothesized that monthly IPTp-SP (three 500/25mg tablets of SP given once) combined with dihydroartemisinin-piperaquine (DP; three 40m/320mg tablets of DP given daily for three days) would reduce the risk of malaria in pregnancy and adverse pregnancy outcome compared to IPTp-SP alone. We are conducting a Phase III double-blind randomized placebo-controlled superiority trial at five health centers on the North coast of Madang Province, PNG. Between 31</w:t>
      </w:r>
      <w:r w:rsidRPr="00FE5D1C">
        <w:rPr>
          <w:rFonts w:ascii="Calibri" w:eastAsia="Times New Roman" w:hAnsi="Calibri" w:cs="Calibri"/>
          <w:color w:val="000000"/>
          <w:kern w:val="0"/>
          <w:sz w:val="22"/>
          <w:szCs w:val="22"/>
          <w:vertAlign w:val="superscript"/>
          <w14:ligatures w14:val="none"/>
        </w:rPr>
        <w:t>st</w:t>
      </w:r>
      <w:r w:rsidRPr="00FE5D1C">
        <w:rPr>
          <w:rFonts w:ascii="Calibri" w:eastAsia="Times New Roman" w:hAnsi="Calibri" w:cs="Calibri"/>
          <w:color w:val="000000"/>
          <w:kern w:val="0"/>
          <w:sz w:val="22"/>
          <w:szCs w:val="22"/>
          <w14:ligatures w14:val="none"/>
        </w:rPr>
        <w:t> August 2022 and 14</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xml:space="preserve"> August 2024, a total of 1,172 pregnant women with a singleton live pregnancy were enrolled at their first antenatal clinic visit &lt;27 gestational weeks and randomized 1:1 to monthly IPTp-SP or IPTp-SP plus DP. To evaluate the impact of IPTp regimens on malaria risk, women were screened for malaria infection by light microscopy and PCR at scheduled and unscheduled throughout pregnancy and at birth. Placental tissue and blood was collected for additional malariometric assessments. Pregnancy outcomes were assessed and women and their neonates followed for 42 days postpartum. At enrolment, 70.5% of women (826/1,172) had a hemoglobin &lt;100g/L and the prevalence of malaria infection by PCR was 38.1% (447/1,171). Of these, 67.4% (301) </w:t>
      </w:r>
      <w:r w:rsidRPr="00FE5D1C">
        <w:rPr>
          <w:rFonts w:ascii="Calibri" w:eastAsia="Times New Roman" w:hAnsi="Calibri" w:cs="Calibri"/>
          <w:color w:val="000000"/>
          <w:kern w:val="0"/>
          <w:sz w:val="22"/>
          <w:szCs w:val="22"/>
          <w14:ligatures w14:val="none"/>
        </w:rPr>
        <w:lastRenderedPageBreak/>
        <w:t>were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mono- or mixed infections, 18.8% (84) were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mono-infections, and 13.8% (62) were species indeterminate. The full results of the trial will be presented.</w:t>
      </w:r>
    </w:p>
    <w:p w14:paraId="3AC14A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25-A-2289-ASTMH</w:t>
      </w:r>
    </w:p>
    <w:p w14:paraId="2445E1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27F6C5D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Data-Driven ITN Reprioritization Strategy for Selected Global Fund-Assisted States in Nigeria with Malaria Risk Scores and Machine Learning.</w:t>
      </w:r>
    </w:p>
    <w:p w14:paraId="411061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With limited funding for malaria control, optimizing insecticide-treated net (ITN) distribution is crucial for efficient coverage. Nigeria currently applies a uniform ITN distribution strategy regardless of malaria risk levels, leading to suboptimal resource allocation. The National Malaria Elimination Programme, in collaboration with Loyola University Chicago, developed a data-driven strategy to identify lower-risk urban areas for targeted ITN distribution in six states. For Kaduna, Katsina, Niger, Taraba, and Yobe, satellite-derived environmental and socio-demographic data were used to generate composite malaria risk scores, ranking wards based on malaria prevalence and variables linked to risk, including vegetation index, test positivity rates, historical flood intensity, settlement type, and distance to water bodies. In Kano Metropolis, a machine learning model further refined predictions using environmental and building morphology data. Geospatial analysis assessed ITN targeting using urban land cover thresholds (20%, 30%, 50%, 75%). The remaining wards were ranked by risk score, with the lowest prioritized. 72 wards from the 50% scenario and 59 from the 75% scenario across seven states met the reprioritization criteria, indicating areas where ITNs should not be distributed. The stakeholder assessment showed 90% agreement for wards where 75% of land cover was urban. Despite heterogeneity within Kano wards, machine learning models consistently identified low-risk areas with strong root mean square error values and high specificity. Additional wards were added through discussions, yielding a final list of 130 wards, or households with nearly 6 million residents, who would not receive nets in the 2025 ITN campaign. This study presents a novel framework integrating qualitative and quantitative methods to support evidence-informed decision-making.</w:t>
      </w:r>
    </w:p>
    <w:p w14:paraId="2C77A0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25-A-2290-ASTMH</w:t>
      </w:r>
    </w:p>
    <w:p w14:paraId="0459A2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7DB9A9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Combined surveillance of malaria and schistosomiasis in primary school children from Chikwawa District, Malawi: The importance of microepidemiology within rapid environmental modification and climate change vulnerabilities</w:t>
      </w:r>
    </w:p>
    <w:p w14:paraId="56996B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Despite best efforts of the National Malaria Control Programme and National Schistosomiasis Control Programme, both malaria and schistosomiasis remain a major public health burden in school-aged children from Malawi. Furthermore, in Chikwawa District, southern Malawi, there is rapid environmental modification due to large-scale irrigation development (Shire Valley Transformation Project) and local population vulnerability to ongoing climate change, including increased cyclonic flooding, harmful heatwaves and shifting rainfall patterns. These changes combined may alter vector distribution(s), larval breeding sites and disease transmission potentials and dynamics, yet their precise impacts upon child health remain poorly understood, particularly at fine spatial and temporal scales. To address this gap, we conducted a two-year longitudinal surveillance study involving over 3,800 school-aged children recruited across four biannual cross-sectional surveys (encompassing alternating wet and dry seasons). Additionally, we digitized retrospective community malaria diagnostic records, spanning the past five years (2019-2024) for the district. Our study aims were to (1) characterize small-scale spatial and temporal variations in coinfection risk, (2) assess the influence of local land cover change and regional climate factors on transmission, and (3) inform targeted disease control and elimination strategies. In this presentation, we will share policy-relevant findings on featuring disease hotspots, ecological drivers of transmission and future implications for control programs in the context of anthropogenic modifications and umbrella climatic shifts. Our discussion will highlight actionable </w:t>
      </w:r>
      <w:r w:rsidRPr="00FE5D1C">
        <w:rPr>
          <w:rFonts w:ascii="Calibri" w:eastAsia="Times New Roman" w:hAnsi="Calibri" w:cs="Calibri"/>
          <w:color w:val="000000"/>
          <w:kern w:val="0"/>
          <w:sz w:val="22"/>
          <w:szCs w:val="22"/>
          <w14:ligatures w14:val="none"/>
        </w:rPr>
        <w:lastRenderedPageBreak/>
        <w:t>insights for optimizing malaria and schistosomiasis combined control within this high-disease-endemic setting.</w:t>
      </w:r>
    </w:p>
    <w:p w14:paraId="56C81A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25-A-2291-ASTMH</w:t>
      </w:r>
    </w:p>
    <w:p w14:paraId="55BC6A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3858445B" w14:textId="02EA3E0D"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Identification of novel and essential genes for </w:t>
      </w:r>
      <w:r w:rsidRPr="00FE5D1C">
        <w:rPr>
          <w:rFonts w:ascii="Calibri" w:eastAsia="Times New Roman" w:hAnsi="Calibri" w:cs="Calibri"/>
          <w:i/>
          <w:iCs/>
          <w:color w:val="000000"/>
          <w:kern w:val="0"/>
          <w:sz w:val="22"/>
          <w:szCs w:val="22"/>
          <w14:ligatures w14:val="none"/>
        </w:rPr>
        <w:t>Haemaphysalis longicornis</w:t>
      </w:r>
      <w:r w:rsidRPr="00FE5D1C">
        <w:rPr>
          <w:rFonts w:ascii="Calibri" w:eastAsia="Times New Roman" w:hAnsi="Calibri" w:cs="Calibri"/>
          <w:color w:val="000000"/>
          <w:kern w:val="0"/>
          <w:sz w:val="22"/>
          <w:szCs w:val="22"/>
          <w14:ligatures w14:val="none"/>
        </w:rPr>
        <w:t> embryogenesis, based on a classic transcriptomic study</w:t>
      </w:r>
    </w:p>
    <w:p w14:paraId="2D4333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vectorial capacity of ticks</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is influenced by their high reproductive potential in laying several thousand eggs, which hatch within 21-24 days post-oviposition (dpo). Identifying essential genes in tick embryogenesis can facilitate the development of target-specific interventions towards the control of ticks and tick-borne diseases. Unfortunately, such studies involving chelicerates have mainly focused on spiders, with ticks largely neglected. In the present study, gene expression was studied in </w:t>
      </w:r>
      <w:r w:rsidRPr="00FE5D1C">
        <w:rPr>
          <w:rFonts w:ascii="Calibri" w:eastAsia="Times New Roman" w:hAnsi="Calibri" w:cs="Calibri"/>
          <w:i/>
          <w:iCs/>
          <w:color w:val="000000"/>
          <w:kern w:val="0"/>
          <w:sz w:val="22"/>
          <w:szCs w:val="22"/>
          <w14:ligatures w14:val="none"/>
        </w:rPr>
        <w:t>Haemaphysalis longicornis </w:t>
      </w:r>
      <w:r w:rsidRPr="00FE5D1C">
        <w:rPr>
          <w:rFonts w:ascii="Calibri" w:eastAsia="Times New Roman" w:hAnsi="Calibri" w:cs="Calibri"/>
          <w:color w:val="000000"/>
          <w:kern w:val="0"/>
          <w:sz w:val="22"/>
          <w:szCs w:val="22"/>
          <w14:ligatures w14:val="none"/>
        </w:rPr>
        <w:t>eggs</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using a microarray-based approach. The microarray was designed using ESTs from four organ specific cDNA libraries: salivary glands, midgut, ovary and embryo. RNA samples used were extracted from early, middle and late stage embryonated eggs. To avoid genes with overlapping maternal and larval functions, genes highly expressed in the mid-phase embryo were selected. Hierarchical and K-means clustering analyses identified 31 genes which were highly expressed in mid-phase tick embryos. RT-PCR and RT-qPCR validations were conducted across different tick developmental and feeding stages, confirming elevated expression of all 31 genes in embryonic eggs. Notably, 11 uncharacterized genes displayed embryo-specific expression, peaking on day 13 post-oviposition, indicating their novelty. Parental-RNAi activity targeting the gene, S03044-17L21, significantly suppressed gene expression at 13 dpo, which resulted in about 60% of dsRNA-derived eggs exhibiting abnormal whitish spots, leading to their failure to hatch. Detailed elucidation of function for all selected genes using Parental-RNAi is currently underway. Results suggest the importance of these genes in tick embryogenesis, paving way for the identification of novel targets, towards the development of effective control agents.</w:t>
      </w:r>
    </w:p>
    <w:p w14:paraId="061C54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25-A-2292-ASTMH</w:t>
      </w:r>
    </w:p>
    <w:p w14:paraId="07EA39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3FB1D7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Novel Approach to Early Warning System for arboviral transmission: Integrating Vector Surveillance and Molecular Pathogen Detection in Dhaka, Bangladesh</w:t>
      </w:r>
    </w:p>
    <w:p w14:paraId="249936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chikungunya, and Zika are the major arboviral diseases poses a major public health concern in Bangladesh. Vector of this arboviral diseases,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are abundant in both urban and peri-urban areas, enable their concurrent spread, damage healthcare systems. In order to develop a novel early warning system by integrating vector surveillance with molecular pathogen detection we conducted this study where BG-Sentinel traps were deployed in 16 wards in Dhaka (8 each in Dhaka North City Corporation or DNCC and Dhaka South City Corporation or DSCC) from January to December 2024. A total of 80 traps were set five traps per ward for two consecutive days per month (12 rounds). Trapped mosquitoes were identified morphologically, stored, and later pooled (3-10 mosquitoes/pool, n=48) for molecular investigations . Real-time multiplex PCR for dengue, chikungunya, and Zika, and nanopore sequencing were used for pathogen detection. Vector surveillance showed 942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in DNCC and 548 in DSCC, with the highest abundance in June (23.25% in DNCC, 22.45% in DSCC). Multiplex PCR detected 6 (13%) dengue-positive pools and 1 (2%) dengue-chikungunya co-infection pool. Nanopore sequencing identified </w:t>
      </w:r>
      <w:r w:rsidRPr="00FE5D1C">
        <w:rPr>
          <w:rFonts w:ascii="Calibri" w:eastAsia="Times New Roman" w:hAnsi="Calibri" w:cs="Calibri"/>
          <w:i/>
          <w:iCs/>
          <w:color w:val="000000"/>
          <w:kern w:val="0"/>
          <w:sz w:val="22"/>
          <w:szCs w:val="22"/>
          <w14:ligatures w14:val="none"/>
        </w:rPr>
        <w:t>Phasivirus phasiense</w:t>
      </w:r>
      <w:r w:rsidRPr="00FE5D1C">
        <w:rPr>
          <w:rFonts w:ascii="Calibri" w:eastAsia="Times New Roman" w:hAnsi="Calibri" w:cs="Calibri"/>
          <w:color w:val="000000"/>
          <w:kern w:val="0"/>
          <w:sz w:val="22"/>
          <w:szCs w:val="22"/>
          <w14:ligatures w14:val="none"/>
        </w:rPr>
        <w:t> (87.5%), </w:t>
      </w:r>
      <w:r w:rsidRPr="00FE5D1C">
        <w:rPr>
          <w:rFonts w:ascii="Calibri" w:eastAsia="Times New Roman" w:hAnsi="Calibri" w:cs="Calibri"/>
          <w:i/>
          <w:iCs/>
          <w:color w:val="000000"/>
          <w:kern w:val="0"/>
          <w:sz w:val="22"/>
          <w:szCs w:val="22"/>
          <w14:ligatures w14:val="none"/>
        </w:rPr>
        <w:t>Plesiomonas shigelloides</w:t>
      </w:r>
      <w:r w:rsidRPr="00FE5D1C">
        <w:rPr>
          <w:rFonts w:ascii="Calibri" w:eastAsia="Times New Roman" w:hAnsi="Calibri" w:cs="Calibri"/>
          <w:color w:val="000000"/>
          <w:kern w:val="0"/>
          <w:sz w:val="22"/>
          <w:szCs w:val="22"/>
          <w14:ligatures w14:val="none"/>
        </w:rPr>
        <w:t> (43.75%), </w:t>
      </w:r>
      <w:r w:rsidRPr="00FE5D1C">
        <w:rPr>
          <w:rFonts w:ascii="Calibri" w:eastAsia="Times New Roman" w:hAnsi="Calibri" w:cs="Calibri"/>
          <w:i/>
          <w:iCs/>
          <w:color w:val="000000"/>
          <w:kern w:val="0"/>
          <w:sz w:val="22"/>
          <w:szCs w:val="22"/>
          <w14:ligatures w14:val="none"/>
        </w:rPr>
        <w:t>Mycoplasmopsis bovis</w:t>
      </w:r>
      <w:r w:rsidRPr="00FE5D1C">
        <w:rPr>
          <w:rFonts w:ascii="Calibri" w:eastAsia="Times New Roman" w:hAnsi="Calibri" w:cs="Calibri"/>
          <w:color w:val="000000"/>
          <w:kern w:val="0"/>
          <w:sz w:val="22"/>
          <w:szCs w:val="22"/>
          <w14:ligatures w14:val="none"/>
        </w:rPr>
        <w:t xml:space="preserve"> (16.67%), and Wolbachia (4.17%). Higher mosquito density in DNCC, peaking in June, was associated with an increase in human dengue cases, validating the theory that vector abundance precedes human case spikes. PCR confirmed the continuous arboviral transmission risk. Nanopore sequencing revealed a varied range of microorganisms, which may have an impact on vector competence. Integrated entomological, molecular, and microbiome data are critical for </w:t>
      </w:r>
      <w:r w:rsidRPr="00FE5D1C">
        <w:rPr>
          <w:rFonts w:ascii="Calibri" w:eastAsia="Times New Roman" w:hAnsi="Calibri" w:cs="Calibri"/>
          <w:color w:val="000000"/>
          <w:kern w:val="0"/>
          <w:sz w:val="22"/>
          <w:szCs w:val="22"/>
          <w14:ligatures w14:val="none"/>
        </w:rPr>
        <w:lastRenderedPageBreak/>
        <w:t>improving early detection and disease prevention. This strategy offers a strong framework for timely interventions, reducing the impact of arboviral epidemics in urban areas.</w:t>
      </w:r>
    </w:p>
    <w:p w14:paraId="24C847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25-A-2293-ASTMH</w:t>
      </w:r>
    </w:p>
    <w:p w14:paraId="3271F4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58AECE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Hygiene index for predicting risk of podoconiosis in endemic communities</w:t>
      </w:r>
    </w:p>
    <w:p w14:paraId="4537FF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Podoconiosis (non-filarial lymphoedema) affects an estimated 4 million people across 17 countries worldwide causing avoidable disability through swollen, deformed feet and lower legs and painful acute attacks that render patients bedbound. Water, sanitation and hygiene (WASH) is essential for prevention of podoconiosis and for Morbidity management and disability prevention (MMDP). We constructed an individual based hygiene index from 10,044 people living in areas endemic for podoconiosis in Uganda and assessed its ability to predict occurrence of podoconiosis. Data was collected by observations as well as interviewer administered questionnaire regarding time to collect water (less than 30 or 30 min and above), has shoes (no/yes), skin condition (dirty, clean), sleeps on a bed (no, yes) floor of dwelling smeared/concrete or not), walls of main dwelling (permanent or not) (roof of dwelling (Iron sheets/ other permanent materials ), water source (protected or not), wash body (at least once a day, less frequently), uses soap (yes always, sometimes or not), shoe condition (broken, moderate or good). One summary hygiene index (SHI) was constructed using principal component analysis (PCA). We classified the hygiene index in five classes 1 to 5 (with 5 being the most hygienic and 1 being the least hygienic). The prevalence of podoconiosis was then calculated based on the hygiene classes. Diagnosis of podoconiosis was based on clinical presentation. The overall prevalence of podoconiosis was 187/10,044 (1.9%). Podoconiosis was 13 times as common in the lowest hygiene class 108/2017 (5.4%) compared to 8/1993 (0.4%) in highest class crude prevalence ratio [CPR] = 13.3 P&lt;0.0001). Prevalence of podoconiosis decreased linearly with increasing hygiene class (Chi square for linear trend = 12.45, 1df and P-level =0.0004). The Hygiene index is useful in predicting the occurrence of podoconiosis in this population. Further assessments are necessary to gauge whether hygiene-based interventions are effective in reducing the incidence of podoconiosis as well as in management of disability attributable to the disease.</w:t>
      </w:r>
    </w:p>
    <w:p w14:paraId="1064B9A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25-A-2295-ASTMH</w:t>
      </w:r>
    </w:p>
    <w:p w14:paraId="0331D6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29FA74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Assessing the Agreement Between Maternal and Perinatal Death Surveillance and Response Methods, and Minimally Invasive Tissue Sampling Added Information in Cause-of-Death Determination of Perinatal Deaths</w:t>
      </w:r>
    </w:p>
    <w:p w14:paraId="085BBD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 </w:t>
      </w:r>
      <w:r w:rsidRPr="00FE5D1C">
        <w:rPr>
          <w:rFonts w:ascii="Calibri" w:eastAsia="Times New Roman" w:hAnsi="Calibri" w:cs="Calibri"/>
          <w:color w:val="000000"/>
          <w:kern w:val="0"/>
          <w:sz w:val="22"/>
          <w:szCs w:val="22"/>
          <w14:ligatures w14:val="none"/>
        </w:rPr>
        <w:t>The Maternal and Perinatal Death Surveillance and Response (MPDSR) system reviews maternal and perinatal deaths, but it has limitations in determining the precise cause of death (CoD). The purpose of this study was to evaluate the agreement between CoD determinations in perinatal deaths with minimally invasive tissue sampling (MITS) and those without MITS, as is done in the standard MPDSR system.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This concordance analysis included 38 early neonatal deaths that underwent MITS, as well as 110 stillbirths that underwent MITS and placental examinations. The CoD obtained from the current MPDSR system, without MITS, was compared to that obtained using MITS-added information. Cohen's kappa statistic was used to assess the degree of agreement between MITS and non-MITS assessments.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xml:space="preserve"> Among stillbirths, there was a slight agreement (kappa=0.254, p&lt;0.001) between the MITS added (80.9%) and that without MITS (38.2%) in identifying intrauterine hypoxia among stillbirths. In 32.7% of MITS cases, infectious causes were found; however, in non-MITS evaluations, they were not. There was perfect concordance between congenital anomalies and growth and gestational period disorders (kappa=1, p&lt;0.001). In neonatal deaths, while respiratory disorders showed significant agreement (kappa=0.741, p&lt;0.001), there was perfect agreement for congenital anomalies, growth disorders, prematurity, and intrauterine hypoxia and birth asphyxia (kappa=1, p&lt;0.001). While M1 and M5 categories had lower concordance, maternal causes of stillbirths varied, </w:t>
      </w:r>
      <w:r w:rsidRPr="00FE5D1C">
        <w:rPr>
          <w:rFonts w:ascii="Calibri" w:eastAsia="Times New Roman" w:hAnsi="Calibri" w:cs="Calibri"/>
          <w:color w:val="000000"/>
          <w:kern w:val="0"/>
          <w:sz w:val="22"/>
          <w:szCs w:val="22"/>
          <w14:ligatures w14:val="none"/>
        </w:rPr>
        <w:lastRenderedPageBreak/>
        <w:t>with M2 and M4 categories exhibiting near-perfect agreement (kappa&gt;0.88, p&lt;0.001).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The routine MPDSR system, when it only uses clinical and demographic data, misses causes of perinatal deaths. Intrauterine hypoxia and infections, especially in stillbirths, are discrepant. There is a noticeable discrepancy among maternal causes, including issues with the placenta, cord, and membranes. The disparities in cases that are not conclusive imply that MITS enhances the determination of the cause of death by lowering uncertainty and misclassification.</w:t>
      </w:r>
    </w:p>
    <w:p w14:paraId="4285FE8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25-A-2296-ASTMH</w:t>
      </w:r>
    </w:p>
    <w:p w14:paraId="29839B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38F4384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Intergrating morphological and molecular methods to identify</w:t>
      </w:r>
      <w:r w:rsidRPr="00FE5D1C">
        <w:rPr>
          <w:rFonts w:ascii="Calibri" w:eastAsia="Times New Roman" w:hAnsi="Calibri" w:cs="Calibri"/>
          <w:i/>
          <w:iCs/>
          <w:color w:val="000000"/>
          <w:kern w:val="0"/>
          <w:sz w:val="22"/>
          <w:szCs w:val="22"/>
          <w14:ligatures w14:val="none"/>
        </w:rPr>
        <w:t> Anopheles </w:t>
      </w:r>
      <w:r w:rsidRPr="00FE5D1C">
        <w:rPr>
          <w:rFonts w:ascii="Calibri" w:eastAsia="Times New Roman" w:hAnsi="Calibri" w:cs="Calibri"/>
          <w:color w:val="000000"/>
          <w:kern w:val="0"/>
          <w:sz w:val="22"/>
          <w:szCs w:val="22"/>
          <w14:ligatures w14:val="none"/>
        </w:rPr>
        <w:t>mosquitoes in western Kenya</w:t>
      </w:r>
    </w:p>
    <w:p w14:paraId="0C1F1E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mosquitoes transmit the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parasite; that cause malaria. Understanding mosquito species composition and ecology in malaria surveillance programmes is crucial for effective control strategies. Mosquitoes within the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genus are often identified to species using morphological taxonomic keys, however complementary methods of molecular identification are often required when species complexes are present or key diagnostic characters are damaged on the specimen during the collection. Here we assessed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 species diversity and abundance, as well as accuracies in field morphological identification compared to molecular methods.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species collected in the western Kenyan highlands using CDC UV-light traps, Prokopack aspirators and MMX traps were identified to species in the field by eye, in the laboratory using a taxonomic key, with qPCR, end point PCR, and Sanger sequencing. Of the 46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samples collected thus far, only 52% were positively identified as a described species with a GenBank accession sequence for definitive molecular species identification. Of these, 16 aligned to the assigned species presumed during field collections. The generation of an ITS2 phylogenetic tree revealed multiple currently unassigned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species collected from western Kenya. This study highlights the challenges of morphological identification and confirms the presence of potential unidentified malaria vectors in western Kenya. Further testing of the samples for the presence of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sporozoites would allow results to further align with published work on the unknown species. Further work to ensure high quality DNA is produced, and ITS2 primer redesign are hypothesised to improve identification of species beyond this study. These findings highlight the importance of combining morphological and molecular approaches to accurately characterise mosquito populations and assess their epidemiological significance</w:t>
      </w:r>
    </w:p>
    <w:p w14:paraId="20DC75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25-A-2297-ASTMH</w:t>
      </w:r>
    </w:p>
    <w:p w14:paraId="44A222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1B12A7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Impact of Natural Infection, Vaccination, and Repeated Omicron Exposure on Cross-Variant Neutralization and Shaping SARS-CoV-2 Immunity in Population-based immunity</w:t>
      </w:r>
    </w:p>
    <w:p w14:paraId="35BC1D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Ongoing emergence of SARS-CoV-2 variants, combined with diverse antigen exposures from successive infection waves and vaccination, poses challenges for updating COVID-19 vaccine antigens. To understand the impact of natural infection, vaccination, and repeated antigen exposures shape immunity, we conducted two studies analyzing over 4,500 serum samples across age groups and immune histories. First, we analyzed 206 individuals stratified by vaccination-only, hybrid immunity, and single or repeated post-vaccination omicron infections (PVIs). Neutralization was assessed against six omicron subvariants. The responses were narrow and diminished against BQ.1.1 and XBB lineages, even after multiple doses of wild-type (WT) vaccine. While hybrid immunity moderately improved titers, repeated JN.1 PVIs led to broader, though not statistically significant, cross-variant neutralization. Antigenic mapping confirmed that JN.1 and XBB variants are antigenically distant from both WT and earlier omicron strains; however, repeated JN.1 exposures appeared to narrow this gap. Additionally, we analyzed 4,371 serum samples collected between May and August 2024 from individuals aged 6 months to 80 years. We observed widespread prior infection, with 95.1% testing positive for anti-N IgG. Unvaccinated children showed high rates of asymptomatic infection and stronger neutralization against JN.1 than WT, whereas adults showed the opposite trend. Notably, vaccinated individuals exhibited </w:t>
      </w:r>
      <w:r w:rsidRPr="00FE5D1C">
        <w:rPr>
          <w:rFonts w:ascii="Calibri" w:eastAsia="Times New Roman" w:hAnsi="Calibri" w:cs="Calibri"/>
          <w:color w:val="000000"/>
          <w:kern w:val="0"/>
          <w:sz w:val="22"/>
          <w:szCs w:val="22"/>
          <w14:ligatures w14:val="none"/>
        </w:rPr>
        <w:lastRenderedPageBreak/>
        <w:t>reduced neutralization against JN.1 regardless of vaccine dose, while unvaccinated individuals mounted stronger JN.1-specific responses. Although 86.5% of participants had neutralizing activity against JN.1, the overall titers remained relatively low. These findings highlight the role of natural infection, especially with JN.1 plays a crucial role in shaping cross-variant immunity and reducing WT-based immune imprinting. This work underscores the importance of infection-driven boosting and offers valuable insights for optimizing future vaccine strategies tailored to different age groups based on cost-effectiveness.</w:t>
      </w:r>
    </w:p>
    <w:p w14:paraId="0CC06E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25-A-2298-ASTMH</w:t>
      </w:r>
    </w:p>
    <w:p w14:paraId="4D688B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3EB377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Surveillance of antimalarial resistance markers to inform SP suitability for perennial malaria chemoprevention in Côte d’Ivoire</w:t>
      </w:r>
    </w:p>
    <w:p w14:paraId="060729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Perennial malaria chemoprevention (PMC) aims to prevent malaria infection among children under 2 years olds. The Plus Project is implementing and evaluating PMC with sulfadoxine-pyrimethamine (SP) in Côte d’Ivoire. We present maps that illustrate the geographical distribution of SP resistance markers at the district level across the Côte d’Ivoire to inform future sub-national use of SP in PMC.</w:t>
      </w:r>
      <w:r w:rsidRPr="00FE5D1C">
        <w:rPr>
          <w:rFonts w:ascii="Calibri" w:eastAsia="Times New Roman" w:hAnsi="Calibri" w:cs="Calibri"/>
          <w:color w:val="000000"/>
          <w:kern w:val="0"/>
          <w:sz w:val="22"/>
          <w:szCs w:val="22"/>
          <w14:ligatures w14:val="none"/>
        </w:rPr>
        <w:br/>
        <w:t>In 15 health regions selected throughout the national territory, we collected pin-pricks of blood on filter paper from 150 symptomatic malaria-infected individuals. We employed a highly sensitive qPCR method to confirm parasite positivity. We used next generation sequencing methods with the Illumina platform to sequence dhps and dhfr genes. Additionally, we analyzed and mapped the Plasmodium falciparum resistance genes related to other antimalarials (crt, mdr1 and k13).</w:t>
      </w:r>
      <w:r w:rsidRPr="00FE5D1C">
        <w:rPr>
          <w:rFonts w:ascii="Calibri" w:eastAsia="Times New Roman" w:hAnsi="Calibri" w:cs="Calibri"/>
          <w:color w:val="000000"/>
          <w:kern w:val="0"/>
          <w:sz w:val="22"/>
          <w:szCs w:val="22"/>
          <w14:ligatures w14:val="none"/>
        </w:rPr>
        <w:br/>
        <w:t>Regarding dhfr gene, the triple mutant IRNI (64.8-86.7%) was the most common, followed by the double mutant NRNI. The I164L mutation was not found. For dhps, the mutation A437G was the most common while the I431V (8.3%), A581G (8.4%), A613S (17%), and K540E (2.2%) were observed as well. The triple mutant VAGKGS was detected in some regions but at very low rates (0 - 8,1%) and ISGEAA (0 - 2,6%). Only one sample with VAGKAA was found. Analysis of the dhfr/dhps showed that the quadruple mutant (IRNI/ISGKAA) was present at all sites at proportions ranging from 3.1% to 27.5%. The quintuple mutant IRNI/ISGEAA was present at a low proportion. The IRNI/VAGKAA haplotype was observed in a single isolate. In addition, concerning mdr1, only two haplotypes were observed at all study sites: the wild-type NYSND haplotype and the single mutant NFSND haplotype (56.9% to 77.2%). For the crt, the mutant CVIET haplotype was present and varied between 0.7% and 17.8%. Mutations in the k13 gene were observed. According to WHO, none of the mutations identified were either validated or candidate markers of artemisinin partial resistance.</w:t>
      </w:r>
      <w:r w:rsidRPr="00FE5D1C">
        <w:rPr>
          <w:rFonts w:ascii="Calibri" w:eastAsia="Times New Roman" w:hAnsi="Calibri" w:cs="Calibri"/>
          <w:color w:val="000000"/>
          <w:kern w:val="0"/>
          <w:sz w:val="22"/>
          <w:szCs w:val="22"/>
          <w14:ligatures w14:val="none"/>
        </w:rPr>
        <w:br/>
        <w:t>These molecular results show that SP resistance remains low across Côte d’Ivoire at present, indicating that SP may remain efficacious for PMC.</w:t>
      </w:r>
    </w:p>
    <w:p w14:paraId="5BDC21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25-A-2299-ASTMH</w:t>
      </w:r>
    </w:p>
    <w:p w14:paraId="270E43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693723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i/>
          <w:iCs/>
          <w:color w:val="000000"/>
          <w:kern w:val="0"/>
          <w:sz w:val="22"/>
          <w:szCs w:val="22"/>
          <w14:ligatures w14:val="none"/>
        </w:rPr>
        <w:t>Klebsiella pneumoniae</w:t>
      </w:r>
      <w:r w:rsidRPr="00FE5D1C">
        <w:rPr>
          <w:rFonts w:ascii="Calibri" w:eastAsia="Times New Roman" w:hAnsi="Calibri" w:cs="Calibri"/>
          <w:b/>
          <w:bCs/>
          <w:color w:val="000000"/>
          <w:kern w:val="0"/>
          <w:sz w:val="22"/>
          <w:szCs w:val="22"/>
          <w14:ligatures w14:val="none"/>
        </w:rPr>
        <w:t> longitudinal trends in Blantyre, Malawi, highlights genomic changes in lineages circulating on neonatal wards</w:t>
      </w:r>
    </w:p>
    <w:p w14:paraId="03626D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Klebsiella pneumoniae</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Kpn</w:t>
      </w:r>
      <w:r w:rsidRPr="00FE5D1C">
        <w:rPr>
          <w:rFonts w:ascii="Calibri" w:eastAsia="Times New Roman" w:hAnsi="Calibri" w:cs="Calibri"/>
          <w:color w:val="000000"/>
          <w:kern w:val="0"/>
          <w:sz w:val="22"/>
          <w:szCs w:val="22"/>
          <w14:ligatures w14:val="none"/>
        </w:rPr>
        <w:t>) is the leading cause of gram-negative bacterial neonatal sepsis in sub-saharan Africa. Challenges in access to antimicrobials, combined with the increasing antimicrobial resistance of </w:t>
      </w:r>
      <w:r w:rsidRPr="00FE5D1C">
        <w:rPr>
          <w:rFonts w:ascii="Calibri" w:eastAsia="Times New Roman" w:hAnsi="Calibri" w:cs="Calibri"/>
          <w:i/>
          <w:iCs/>
          <w:color w:val="000000"/>
          <w:kern w:val="0"/>
          <w:sz w:val="22"/>
          <w:szCs w:val="22"/>
          <w14:ligatures w14:val="none"/>
        </w:rPr>
        <w:t>Kpn</w:t>
      </w:r>
      <w:r w:rsidRPr="00FE5D1C">
        <w:rPr>
          <w:rFonts w:ascii="Calibri" w:eastAsia="Times New Roman" w:hAnsi="Calibri" w:cs="Calibri"/>
          <w:color w:val="000000"/>
          <w:kern w:val="0"/>
          <w:sz w:val="22"/>
          <w:szCs w:val="22"/>
          <w14:ligatures w14:val="none"/>
        </w:rPr>
        <w:t>, leaves a large number of cases </w:t>
      </w:r>
      <w:r w:rsidRPr="00FE5D1C">
        <w:rPr>
          <w:rFonts w:ascii="Calibri" w:eastAsia="Times New Roman" w:hAnsi="Calibri" w:cs="Calibri"/>
          <w:i/>
          <w:iCs/>
          <w:color w:val="000000"/>
          <w:kern w:val="0"/>
          <w:sz w:val="22"/>
          <w:szCs w:val="22"/>
          <w14:ligatures w14:val="none"/>
        </w:rPr>
        <w:t>de facto</w:t>
      </w:r>
      <w:r w:rsidRPr="00FE5D1C">
        <w:rPr>
          <w:rFonts w:ascii="Calibri" w:eastAsia="Times New Roman" w:hAnsi="Calibri" w:cs="Calibri"/>
          <w:color w:val="000000"/>
          <w:kern w:val="0"/>
          <w:sz w:val="22"/>
          <w:szCs w:val="22"/>
          <w14:ligatures w14:val="none"/>
        </w:rPr>
        <w:t> untreatable. Longitudinal studies (over several years) provide insights into overarching trends of pathogens and have highlighted the marked difference between </w:t>
      </w:r>
      <w:r w:rsidRPr="00FE5D1C">
        <w:rPr>
          <w:rFonts w:ascii="Calibri" w:eastAsia="Times New Roman" w:hAnsi="Calibri" w:cs="Calibri"/>
          <w:i/>
          <w:iCs/>
          <w:color w:val="000000"/>
          <w:kern w:val="0"/>
          <w:sz w:val="22"/>
          <w:szCs w:val="22"/>
          <w14:ligatures w14:val="none"/>
        </w:rPr>
        <w:t>Kpn</w:t>
      </w:r>
      <w:r w:rsidRPr="00FE5D1C">
        <w:rPr>
          <w:rFonts w:ascii="Calibri" w:eastAsia="Times New Roman" w:hAnsi="Calibri" w:cs="Calibri"/>
          <w:color w:val="000000"/>
          <w:kern w:val="0"/>
          <w:sz w:val="22"/>
          <w:szCs w:val="22"/>
          <w14:ligatures w14:val="none"/>
        </w:rPr>
        <w:t> and other related species (e.g. </w:t>
      </w:r>
      <w:r w:rsidRPr="00FE5D1C">
        <w:rPr>
          <w:rFonts w:ascii="Calibri" w:eastAsia="Times New Roman" w:hAnsi="Calibri" w:cs="Calibri"/>
          <w:i/>
          <w:iCs/>
          <w:color w:val="000000"/>
          <w:kern w:val="0"/>
          <w:sz w:val="22"/>
          <w:szCs w:val="22"/>
          <w14:ligatures w14:val="none"/>
        </w:rPr>
        <w:t>E. coli, Enterobacter</w:t>
      </w:r>
      <w:r w:rsidRPr="00FE5D1C">
        <w:rPr>
          <w:rFonts w:ascii="Calibri" w:eastAsia="Times New Roman" w:hAnsi="Calibri" w:cs="Calibri"/>
          <w:color w:val="000000"/>
          <w:kern w:val="0"/>
          <w:sz w:val="22"/>
          <w:szCs w:val="22"/>
          <w14:ligatures w14:val="none"/>
        </w:rPr>
        <w:t>). We see regular replacement of dominant </w:t>
      </w:r>
      <w:r w:rsidRPr="00FE5D1C">
        <w:rPr>
          <w:rFonts w:ascii="Calibri" w:eastAsia="Times New Roman" w:hAnsi="Calibri" w:cs="Calibri"/>
          <w:i/>
          <w:iCs/>
          <w:color w:val="000000"/>
          <w:kern w:val="0"/>
          <w:sz w:val="22"/>
          <w:szCs w:val="22"/>
          <w14:ligatures w14:val="none"/>
        </w:rPr>
        <w:t>Kpn</w:t>
      </w:r>
      <w:r w:rsidRPr="00FE5D1C">
        <w:rPr>
          <w:rFonts w:ascii="Calibri" w:eastAsia="Times New Roman" w:hAnsi="Calibri" w:cs="Calibri"/>
          <w:color w:val="000000"/>
          <w:kern w:val="0"/>
          <w:sz w:val="22"/>
          <w:szCs w:val="22"/>
          <w14:ligatures w14:val="none"/>
        </w:rPr>
        <w:t xml:space="preserve"> clones which spread rapidly in hospitals and account for the vast majority of cases, until a new dominant clone takes over. These patterns usually take 1-2 years and are thus not captured by the more commonly done intense but short-term studies. Our analysis on long-term trends (doi:10.1186/s13073-024-01342-3 ) not only highlights the very high levels of antimicrobial resistance in hospital isolates, but also the urgent need for more data from understudied regions to ensure </w:t>
      </w:r>
      <w:r w:rsidRPr="00FE5D1C">
        <w:rPr>
          <w:rFonts w:ascii="Calibri" w:eastAsia="Times New Roman" w:hAnsi="Calibri" w:cs="Calibri"/>
          <w:color w:val="000000"/>
          <w:kern w:val="0"/>
          <w:sz w:val="22"/>
          <w:szCs w:val="22"/>
          <w14:ligatures w14:val="none"/>
        </w:rPr>
        <w:lastRenderedPageBreak/>
        <w:t>identification of appropriate vaccine targets. We are now following up with studies to i) identify the most likely source of infection within the wards and where potential environmental reservoirs might be; and ii) detailed genomic studies of the outbreak lineages, which highlight the plasticity of the genomes over time. We observe several chromosomal insertion events that might provide selective advantage in the hostile hospital environment, e.g. to withstand disinfectant measures better. Our highly interdisciplinary team including hospital staff, clinical researchers, bioinformaticians and microbiologists, allows us to address the challenge of hospital-associated </w:t>
      </w:r>
      <w:r w:rsidRPr="00FE5D1C">
        <w:rPr>
          <w:rFonts w:ascii="Calibri" w:eastAsia="Times New Roman" w:hAnsi="Calibri" w:cs="Calibri"/>
          <w:i/>
          <w:iCs/>
          <w:color w:val="000000"/>
          <w:kern w:val="0"/>
          <w:sz w:val="22"/>
          <w:szCs w:val="22"/>
          <w14:ligatures w14:val="none"/>
        </w:rPr>
        <w:t>Kpn</w:t>
      </w:r>
      <w:r w:rsidRPr="00FE5D1C">
        <w:rPr>
          <w:rFonts w:ascii="Calibri" w:eastAsia="Times New Roman" w:hAnsi="Calibri" w:cs="Calibri"/>
          <w:color w:val="000000"/>
          <w:kern w:val="0"/>
          <w:sz w:val="22"/>
          <w:szCs w:val="22"/>
          <w14:ligatures w14:val="none"/>
        </w:rPr>
        <w:t> with a multidisciplinary approach. The overarching aims are to i) identify environmental reservoirs to focus infection prevention and control measures, ii) understand why some clones are so successful in causing infections over a sustained period of time, and iii) better understand genome dynamics to enable us the development of a maternally administered vaccine, which is essential especially in resource-limited settings where the majority of treatments remain unavailable.</w:t>
      </w:r>
    </w:p>
    <w:p w14:paraId="721D82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25-A-2301-ASTMH</w:t>
      </w:r>
    </w:p>
    <w:p w14:paraId="711944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7153CE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Beyond Metrics: Assessing Zimbabwe's Sub-National Malaria Elimination Progress and Priority Districts for Accelerating Malaria Elimination Activities, 2025</w:t>
      </w:r>
    </w:p>
    <w:p w14:paraId="373298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Zimbabwe has made impressive progress towards its subnational malaria elimination goals, with 31 districts now targeting elimination, up from 7 in 2012. While malaria incidence in these districts dropped by 86.6% from 2.8/1000 population to 0.3/1000 population between 2020 and 2024, progress has plateaued. An understanding of each district's performance is essential to accelerate elimination efforts. To measure elimination performance, data from 2020-2024 for 30 pre-elimination rural districts were extracted from DHIS2 and analyzed. Changes in burden indicators (</w:t>
      </w:r>
      <w:r w:rsidRPr="00FE5D1C">
        <w:rPr>
          <w:rFonts w:ascii="Calibri" w:eastAsia="Times New Roman" w:hAnsi="Calibri" w:cs="Calibri"/>
          <w:i/>
          <w:iCs/>
          <w:color w:val="000000"/>
          <w:kern w:val="0"/>
          <w:sz w:val="22"/>
          <w:szCs w:val="22"/>
          <w14:ligatures w14:val="none"/>
        </w:rPr>
        <w:t>absolute case counts, incidence</w:t>
      </w:r>
      <w:r w:rsidRPr="00FE5D1C">
        <w:rPr>
          <w:rFonts w:ascii="Calibri" w:eastAsia="Times New Roman" w:hAnsi="Calibri" w:cs="Calibri"/>
          <w:color w:val="000000"/>
          <w:kern w:val="0"/>
          <w:sz w:val="22"/>
          <w:szCs w:val="22"/>
          <w14:ligatures w14:val="none"/>
        </w:rPr>
        <w:t>) and programmatic indicators (case </w:t>
      </w:r>
      <w:r w:rsidRPr="00FE5D1C">
        <w:rPr>
          <w:rFonts w:ascii="Calibri" w:eastAsia="Times New Roman" w:hAnsi="Calibri" w:cs="Calibri"/>
          <w:i/>
          <w:iCs/>
          <w:color w:val="000000"/>
          <w:kern w:val="0"/>
          <w:sz w:val="22"/>
          <w:szCs w:val="22"/>
          <w14:ligatures w14:val="none"/>
        </w:rPr>
        <w:t>notification, investigation and treatment rates</w:t>
      </w:r>
      <w:r w:rsidRPr="00FE5D1C">
        <w:rPr>
          <w:rFonts w:ascii="Calibri" w:eastAsia="Times New Roman" w:hAnsi="Calibri" w:cs="Calibri"/>
          <w:color w:val="000000"/>
          <w:kern w:val="0"/>
          <w:sz w:val="22"/>
          <w:szCs w:val="22"/>
          <w14:ligatures w14:val="none"/>
        </w:rPr>
        <w:t>) were ranked across districts. The highest and lowest performing districts were identified based on aggregated performance scores. Goromonzi District had the steepest yearly decline in incidence of 5.59/1000 while Lupane District had the steepest yearly increase in incidence of 1.33/1000 population. There was a weak positive correlation between performance of burden indicators and duration of pre-elimination support (</w:t>
      </w:r>
      <w:r w:rsidRPr="00FE5D1C">
        <w:rPr>
          <w:rFonts w:ascii="Calibri" w:eastAsia="Times New Roman" w:hAnsi="Calibri" w:cs="Calibri"/>
          <w:i/>
          <w:iCs/>
          <w:color w:val="000000"/>
          <w:kern w:val="0"/>
          <w:sz w:val="22"/>
          <w:szCs w:val="22"/>
          <w14:ligatures w14:val="none"/>
        </w:rPr>
        <w:t>r=0.25</w:t>
      </w:r>
      <w:r w:rsidRPr="00FE5D1C">
        <w:rPr>
          <w:rFonts w:ascii="Calibri" w:eastAsia="Times New Roman" w:hAnsi="Calibri" w:cs="Calibri"/>
          <w:color w:val="000000"/>
          <w:kern w:val="0"/>
          <w:sz w:val="22"/>
          <w:szCs w:val="22"/>
          <w14:ligatures w14:val="none"/>
        </w:rPr>
        <w:t>) and a moderate positive correlation between performance of programmatic indicators and duration of pre-elimination support (</w:t>
      </w:r>
      <w:r w:rsidRPr="00FE5D1C">
        <w:rPr>
          <w:rFonts w:ascii="Calibri" w:eastAsia="Times New Roman" w:hAnsi="Calibri" w:cs="Calibri"/>
          <w:i/>
          <w:iCs/>
          <w:color w:val="000000"/>
          <w:kern w:val="0"/>
          <w:sz w:val="22"/>
          <w:szCs w:val="22"/>
          <w14:ligatures w14:val="none"/>
        </w:rPr>
        <w:t>r=0.51</w:t>
      </w:r>
      <w:r w:rsidRPr="00FE5D1C">
        <w:rPr>
          <w:rFonts w:ascii="Calibri" w:eastAsia="Times New Roman" w:hAnsi="Calibri" w:cs="Calibri"/>
          <w:color w:val="000000"/>
          <w:kern w:val="0"/>
          <w:sz w:val="22"/>
          <w:szCs w:val="22"/>
          <w14:ligatures w14:val="none"/>
        </w:rPr>
        <w:t>). Based on aggregated performance scores, the top performing districts were Bulilima, Umguza, Nkayi, Matobo and Bubi while the least performing was Gokwe South, Zvimba, Beitbridge, Lupane and Mhondoro. Twenty-three districts showed sustained decline in malaria incidence while seven had upsurging malaria cases though at different rates. The analysis showed that a few districts are slowly losing the gains made in malaria elimination over the years. A study to understand the factors leading to malaria resurgence is recommended.</w:t>
      </w:r>
    </w:p>
    <w:p w14:paraId="2B1D893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25-A-2303-ASTMH</w:t>
      </w:r>
    </w:p>
    <w:p w14:paraId="272667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075267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Population Genetics of</w:t>
      </w:r>
      <w:r w:rsidRPr="00FE5D1C">
        <w:rPr>
          <w:rFonts w:ascii="Calibri" w:eastAsia="Times New Roman" w:hAnsi="Calibri" w:cs="Calibri"/>
          <w:b/>
          <w:bCs/>
          <w:i/>
          <w:iCs/>
          <w:color w:val="000000"/>
          <w:kern w:val="0"/>
          <w:sz w:val="22"/>
          <w:szCs w:val="22"/>
          <w14:ligatures w14:val="none"/>
        </w:rPr>
        <w:t>Aedes aegypti</w:t>
      </w:r>
      <w:r w:rsidRPr="00FE5D1C">
        <w:rPr>
          <w:rFonts w:ascii="Calibri" w:eastAsia="Times New Roman" w:hAnsi="Calibri" w:cs="Calibri"/>
          <w:b/>
          <w:bCs/>
          <w:color w:val="000000"/>
          <w:kern w:val="0"/>
          <w:sz w:val="22"/>
          <w:szCs w:val="22"/>
          <w14:ligatures w14:val="none"/>
        </w:rPr>
        <w:t>Populations across West Africa: a pilot project from the West African Aedes Surveillance Network (WAASuN)</w:t>
      </w:r>
    </w:p>
    <w:p w14:paraId="7F49F3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recent years, the West African region has witnessed an upsurge in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-borne disease outbreaks, particularly dengue. Understanding the genetic diversity and population structure of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the primary arbovirus vector in the region, is central to improving predictions of disease risk, characterizing vectorial capacity, and informing targeted control strategies. In this study,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samples were collected across nine West African countries and assessed for genetic variation and population structure, and insecticide resistance allele frequencies. The average frequency of the V1016L and F1534C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mutations across populations was 23% and 49%, respectively. Notably, the F1534C mutation—associated with pyrethroid resistance—was significantly overrepresented in sites with previous arboviral outbreaks, suggesting a potential link between insecticide resistance and outbreak history. Genetic distance analyses based on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xml:space="preserve"> markers revealed moderate differentiation across </w:t>
      </w:r>
      <w:r w:rsidRPr="00FE5D1C">
        <w:rPr>
          <w:rFonts w:ascii="Calibri" w:eastAsia="Times New Roman" w:hAnsi="Calibri" w:cs="Calibri"/>
          <w:color w:val="000000"/>
          <w:kern w:val="0"/>
          <w:sz w:val="22"/>
          <w:szCs w:val="22"/>
          <w14:ligatures w14:val="none"/>
        </w:rPr>
        <w:lastRenderedPageBreak/>
        <w:t>countries (average FST = 0.28); Ouagadougou showed the highest divergence (FST = 0.91) with The Gambia, pointing to localized selection. Despite these differences in resistance allele frequencies, analyses of mitochondrial diversity and pairwise FST generally suggest weak genetic structuring among West African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populations. Most pairwise FST values were below 0.01, indicating high gene flow or recent common ancestry among populations. Neutrality test statistics, including Tajima’s D and Fu’s Fs, were consistent with recent population expansion events—possibly driven by increased urbanization and anthropogenic changes that favor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proliferation.These findings highlight weak population structure, coupled with widespread resistance mutations and demographic expansion signals of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populations across West Africa. As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continues to expand its range such collaboraive studies within WAASuN will be critical in monitoring genetic shifts, informing vector control efforts, and ultimately mitigating the impact of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-borne arboviruses in the region.</w:t>
      </w:r>
    </w:p>
    <w:p w14:paraId="531B42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25-A-2304-ASTMH</w:t>
      </w:r>
    </w:p>
    <w:p w14:paraId="57C7EE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2C1F337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Are mutations encoding Praziquantel Resistance in TRPM-PZQ enriched in schistosomiasis hotspots in Western Kenya?</w:t>
      </w:r>
    </w:p>
    <w:p w14:paraId="4406FF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Mass drug administration (MDA) using Praziquantel is central to efforts to eliminate Schistosomiasis. However, regions which respond poorly to MDA (“persistent hotspots”) have been reported in many regions of Africa, including in Western Kenya. One possible explanation for persistent hotspots is that these areas contain PZQ resistant schistosome parasites. Recent studies have shown that </w:t>
      </w:r>
      <w:r w:rsidRPr="00FE5D1C">
        <w:rPr>
          <w:rFonts w:ascii="Calibri" w:eastAsia="Times New Roman" w:hAnsi="Calibri" w:cs="Calibri"/>
          <w:i/>
          <w:iCs/>
          <w:color w:val="000000"/>
          <w:kern w:val="0"/>
          <w:sz w:val="22"/>
          <w:szCs w:val="22"/>
          <w14:ligatures w14:val="none"/>
        </w:rPr>
        <w:t>smTRPM-PZQ</w:t>
      </w:r>
      <w:r w:rsidRPr="00FE5D1C">
        <w:rPr>
          <w:rFonts w:ascii="Calibri" w:eastAsia="Times New Roman" w:hAnsi="Calibri" w:cs="Calibri"/>
          <w:color w:val="000000"/>
          <w:kern w:val="0"/>
          <w:sz w:val="22"/>
          <w:szCs w:val="22"/>
          <w14:ligatures w14:val="none"/>
        </w:rPr>
        <w:t> gene is responsible for PZQ sensitivity in </w:t>
      </w:r>
      <w:r w:rsidRPr="00FE5D1C">
        <w:rPr>
          <w:rFonts w:ascii="Calibri" w:eastAsia="Times New Roman" w:hAnsi="Calibri" w:cs="Calibri"/>
          <w:i/>
          <w:iCs/>
          <w:color w:val="000000"/>
          <w:kern w:val="0"/>
          <w:sz w:val="22"/>
          <w:szCs w:val="22"/>
          <w14:ligatures w14:val="none"/>
        </w:rPr>
        <w:t>Schistosoma mansoni</w:t>
      </w:r>
      <w:r w:rsidRPr="00FE5D1C">
        <w:rPr>
          <w:rFonts w:ascii="Calibri" w:eastAsia="Times New Roman" w:hAnsi="Calibri" w:cs="Calibri"/>
          <w:color w:val="000000"/>
          <w:kern w:val="0"/>
          <w:sz w:val="22"/>
          <w:szCs w:val="22"/>
          <w14:ligatures w14:val="none"/>
        </w:rPr>
        <w:t>. The study sought to characterize </w:t>
      </w:r>
      <w:r w:rsidRPr="00FE5D1C">
        <w:rPr>
          <w:rFonts w:ascii="Calibri" w:eastAsia="Times New Roman" w:hAnsi="Calibri" w:cs="Calibri"/>
          <w:i/>
          <w:iCs/>
          <w:color w:val="000000"/>
          <w:kern w:val="0"/>
          <w:sz w:val="22"/>
          <w:szCs w:val="22"/>
          <w14:ligatures w14:val="none"/>
        </w:rPr>
        <w:t>smTRPM-PZQ</w:t>
      </w:r>
      <w:r w:rsidRPr="00FE5D1C">
        <w:rPr>
          <w:rFonts w:ascii="Calibri" w:eastAsia="Times New Roman" w:hAnsi="Calibri" w:cs="Calibri"/>
          <w:color w:val="000000"/>
          <w:kern w:val="0"/>
          <w:sz w:val="22"/>
          <w:szCs w:val="22"/>
          <w14:ligatures w14:val="none"/>
        </w:rPr>
        <w:t> gene in parasite samples collected from infected individuals in both hotspot and non-hotspot villages in Siaya County, western Kenya for mutations linked to PZQ drug resistance. We examined frequencies of mutations in TRPM-PZQ in 30,000 miracidia collected from Western Kenya. We recruited a total of 500 participants for a cross-sectional study, 250 from non-hotspot villages and the remaining 250 from the hotspot villages. We collected triplicate pools of 1000 miracidia from each of the five hotspot villages, where </w:t>
      </w:r>
      <w:r w:rsidRPr="00FE5D1C">
        <w:rPr>
          <w:rFonts w:ascii="Calibri" w:eastAsia="Times New Roman" w:hAnsi="Calibri" w:cs="Calibri"/>
          <w:i/>
          <w:iCs/>
          <w:color w:val="000000"/>
          <w:kern w:val="0"/>
          <w:sz w:val="22"/>
          <w:szCs w:val="22"/>
          <w14:ligatures w14:val="none"/>
        </w:rPr>
        <w:t>S. mansoni</w:t>
      </w:r>
      <w:r w:rsidRPr="00FE5D1C">
        <w:rPr>
          <w:rFonts w:ascii="Calibri" w:eastAsia="Times New Roman" w:hAnsi="Calibri" w:cs="Calibri"/>
          <w:color w:val="000000"/>
          <w:kern w:val="0"/>
          <w:sz w:val="22"/>
          <w:szCs w:val="22"/>
          <w14:ligatures w14:val="none"/>
        </w:rPr>
        <w:t> prevalence remains high despite continued treatments, and from the 5 non-hotspot villages where annual treatment resulted in reduction in prevalence. We extracted DNA from each miracidia pool, and then amplified 15 amplicons covering 1695bp of the </w:t>
      </w:r>
      <w:r w:rsidRPr="00FE5D1C">
        <w:rPr>
          <w:rFonts w:ascii="Calibri" w:eastAsia="Times New Roman" w:hAnsi="Calibri" w:cs="Calibri"/>
          <w:i/>
          <w:iCs/>
          <w:color w:val="000000"/>
          <w:kern w:val="0"/>
          <w:sz w:val="22"/>
          <w:szCs w:val="22"/>
          <w14:ligatures w14:val="none"/>
        </w:rPr>
        <w:t>smTRPM-PZQ</w:t>
      </w:r>
      <w:r w:rsidRPr="00FE5D1C">
        <w:rPr>
          <w:rFonts w:ascii="Calibri" w:eastAsia="Times New Roman" w:hAnsi="Calibri" w:cs="Calibri"/>
          <w:color w:val="000000"/>
          <w:kern w:val="0"/>
          <w:sz w:val="22"/>
          <w:szCs w:val="22"/>
          <w14:ligatures w14:val="none"/>
        </w:rPr>
        <w:t>, which we sequenced to high read depth (21,110x coverage) using a Miseq at KEMRI-CGHR. We identified a total of 396 </w:t>
      </w:r>
      <w:r w:rsidRPr="00FE5D1C">
        <w:rPr>
          <w:rFonts w:ascii="Calibri" w:eastAsia="Times New Roman" w:hAnsi="Calibri" w:cs="Calibri"/>
          <w:i/>
          <w:iCs/>
          <w:color w:val="000000"/>
          <w:kern w:val="0"/>
          <w:sz w:val="22"/>
          <w:szCs w:val="22"/>
          <w14:ligatures w14:val="none"/>
        </w:rPr>
        <w:t>smTRPM-PZQ</w:t>
      </w:r>
      <w:r w:rsidRPr="00FE5D1C">
        <w:rPr>
          <w:rFonts w:ascii="Calibri" w:eastAsia="Times New Roman" w:hAnsi="Calibri" w:cs="Calibri"/>
          <w:color w:val="000000"/>
          <w:kern w:val="0"/>
          <w:sz w:val="22"/>
          <w:szCs w:val="22"/>
          <w14:ligatures w14:val="none"/>
        </w:rPr>
        <w:t> gene variants, 18 of them were putative resistant and 1 variant was a known resistant variant (Y1517H). However, the mean frequency of putative or known resistant variants was extremely low (mean ˂0.01) and close to the limits of detection. Importantly, we observed no difference in allele frequency of mutations between hotspots and non-hotspots. Our studies suggest that resistance variants are extremely rare in </w:t>
      </w:r>
      <w:r w:rsidRPr="00FE5D1C">
        <w:rPr>
          <w:rFonts w:ascii="Calibri" w:eastAsia="Times New Roman" w:hAnsi="Calibri" w:cs="Calibri"/>
          <w:i/>
          <w:iCs/>
          <w:color w:val="000000"/>
          <w:kern w:val="0"/>
          <w:sz w:val="22"/>
          <w:szCs w:val="22"/>
          <w14:ligatures w14:val="none"/>
        </w:rPr>
        <w:t>smTRPM-PZQ </w:t>
      </w:r>
      <w:r w:rsidRPr="00FE5D1C">
        <w:rPr>
          <w:rFonts w:ascii="Calibri" w:eastAsia="Times New Roman" w:hAnsi="Calibri" w:cs="Calibri"/>
          <w:color w:val="000000"/>
          <w:kern w:val="0"/>
          <w:sz w:val="22"/>
          <w:szCs w:val="22"/>
          <w14:ligatures w14:val="none"/>
        </w:rPr>
        <w:t>and do not explain the existence of hotspots in this region.</w:t>
      </w:r>
    </w:p>
    <w:p w14:paraId="5B9505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25-A-2306-ASTMH</w:t>
      </w:r>
    </w:p>
    <w:p w14:paraId="7F0CA0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22745C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Comorbidity and Interactions of Malaria, Undernutrition, and Anaemia in Children Under Five in Rural Tanzania</w:t>
      </w:r>
    </w:p>
    <w:p w14:paraId="65021D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Malaria, undernutrition, and anaemia significantly contribute to child morbidity and mortality in sub-Saharan Africa. The 2022 Tanzania Demographic and Health Survey reports an overall malaria prevalence of 8%, with Kigoma region showing a higher rate of 13%. In Kigoma, malnutrition also remains a concern: 27.1% of children are stunted, 2.5% wasted, and 12.2% underweight. Anaemia affects 49% of children aged 6-59 months as measured by capillary blood tests. While each condition independently poses serious health risks, their co-occurrence and interactions, particularly between malaria and undernutrition, are underexplored in Tanzania. This study assessed the prevalence of malaria, malnutrition and anaemia in children aged 6-59 months in rural Tanzania and explored their interrelations. 609 children were sampled. Malaria was diagnosed using microscopy and mRDT, </w:t>
      </w:r>
      <w:r w:rsidRPr="00FE5D1C">
        <w:rPr>
          <w:rFonts w:ascii="Calibri" w:eastAsia="Times New Roman" w:hAnsi="Calibri" w:cs="Calibri"/>
          <w:color w:val="000000"/>
          <w:kern w:val="0"/>
          <w:sz w:val="22"/>
          <w:szCs w:val="22"/>
          <w14:ligatures w14:val="none"/>
        </w:rPr>
        <w:lastRenderedPageBreak/>
        <w:t>nutritional status was measured using anthropometric indicators, and anaemia through haemoglobin levels. Malaria prevalence was 15.3% by mRDT and 7.1% by microscopy. Undernutrition affected 46.8% of children, with 42.5% stunted, 20.9% underweight, and 5.1% wasted. Anaemia prevalence was 31.4%. No significant overall association was found between malaria and undernutrition (p = 0.906), but an inverse relationship was observed for underweight status: 11.8% of malaria-positive children were underweight compared to 22.5% of those without malaria (p = 0.020). Only 5.9% had malaria, undernutrition and anaemia, and 4.2% had both malaria and undernutrition. These findings suggest complex interactions between immunity, nutrition, and infection, emphasizing the need for integrated child health interventions, particularly nutritional support in malaria-endemic areas. The high burden and overlap of malaria, undernutrition, and anaemia highlight the need for integrated child health interventions. Special attention should be given to nutritional support in malaria-endemic areas and further investigation into the bidirectional effects of infection and nutritional status</w:t>
      </w:r>
    </w:p>
    <w:p w14:paraId="1D3711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25-A-2307-ASTMH</w:t>
      </w:r>
    </w:p>
    <w:p w14:paraId="64A1E3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31B08A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Hidden Burden of High Malaria and Anemia Prevalence in Nigerian School-age Children: A Call for Expanded Preventive Interventions.</w:t>
      </w:r>
    </w:p>
    <w:p w14:paraId="5CAFE7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Nigeria, malaria control interventions have historically focused on children under five and pregnant women, resulting in significant progress over the last two decades. However, poor understanding and the absence of interventions targeting school-age children (SAC) threaten this gain. Recent service data show significant shifts in the age distribution of children affected by malaria and an increasing representation of the SAC category, with approximately 48 million potentially at risk of malaria. There is a critical need to understand the burden of malaria among SAC to help support decision-making around control interventions. The World Health Organization recommends implementation of intermittent preventive treatment of malaria in SAC (IPTsc) in areas where malaria prevalence is &gt;10%. To determine the burden of malaria and anemia in SAC, a school-based cross-sectional study was conducted in 2 states in Nigeria, between October and November 2024. Enrollment of 3,283 SAC from 12 public and 4 private schools took place during the peak malaria transmission period. Finger-prick blood samples were used for malaria screening using microscopy and Rapid Diagnostic Test (RDT), and haemoglobin levels using a hemoglobinometer. A total of 2,567 (81.7%) of SAC had no history of fever, 2,543 (77.5%) had no signs or symptoms of malaria, 3,210 (97.8%) were afebrile at presentation. RDT results showed 1,824 (55.6%) SAC were positive for malaria, while 916 (27.9%) had a positive microscopy result. Mean hemoglobin was 10.6g/dL, 1,983 (61%) were anemic, 1,270 (39%) had normal Hb levels, and 10 (0.3%) had severe anemia. These results highlight the alarming fact that the malaria transmission in SAC ranged from moderate to high intensity, a hitherto hidden fact. Many of the affected SAC were asymptomatic, and overall malaria positivity contributed to anemia. Malaria among SAC, therefore, serves as a reservoir to increase malaria morbidity and mortality, sustaining transmission of malaria and delaying elimination efforts. The study provides evidence to support policy making related to IPTsc and other focused interventions among SAC in Nigeria.</w:t>
      </w:r>
    </w:p>
    <w:p w14:paraId="635DBA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25-A-2308-ASTMH</w:t>
      </w:r>
    </w:p>
    <w:p w14:paraId="1DB6B5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054D70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Enhancing Malaria Diagnosis with a Web-Based PCR-Quality Control System</w:t>
      </w:r>
    </w:p>
    <w:p w14:paraId="06E277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Polymerase Chain Reaction</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PCR</w:t>
      </w:r>
      <w:r w:rsidRPr="00FE5D1C">
        <w:rPr>
          <w:rFonts w:ascii="Calibri" w:eastAsia="Times New Roman" w:hAnsi="Calibri" w:cs="Calibri"/>
          <w:color w:val="000000"/>
          <w:kern w:val="0"/>
          <w:sz w:val="22"/>
          <w:szCs w:val="22"/>
          <w14:ligatures w14:val="none"/>
        </w:rPr>
        <w:t>)-based diagnosis is increasingly available but requires rigorous validation and quality assurance due to risk of contamination and batch effect. To address this, we developed a web-based system for real-time, automated quality control (QC) of </w:t>
      </w:r>
      <w:r w:rsidRPr="00FE5D1C">
        <w:rPr>
          <w:rFonts w:ascii="Calibri" w:eastAsia="Times New Roman" w:hAnsi="Calibri" w:cs="Calibri"/>
          <w:i/>
          <w:iCs/>
          <w:color w:val="000000"/>
          <w:kern w:val="0"/>
          <w:sz w:val="22"/>
          <w:szCs w:val="22"/>
          <w14:ligatures w14:val="none"/>
        </w:rPr>
        <w:t>PCR </w:t>
      </w:r>
      <w:r w:rsidRPr="00FE5D1C">
        <w:rPr>
          <w:rFonts w:ascii="Calibri" w:eastAsia="Times New Roman" w:hAnsi="Calibri" w:cs="Calibri"/>
          <w:color w:val="000000"/>
          <w:kern w:val="0"/>
          <w:sz w:val="22"/>
          <w:szCs w:val="22"/>
          <w14:ligatures w14:val="none"/>
        </w:rPr>
        <w:t>results for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detection. We present the system’s features, along with results from its application to 142,455 samples tested for asexual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infection. The Web-based </w:t>
      </w:r>
      <w:r w:rsidRPr="00FE5D1C">
        <w:rPr>
          <w:rFonts w:ascii="Calibri" w:eastAsia="Times New Roman" w:hAnsi="Calibri" w:cs="Calibri"/>
          <w:i/>
          <w:iCs/>
          <w:color w:val="000000"/>
          <w:kern w:val="0"/>
          <w:sz w:val="22"/>
          <w:szCs w:val="22"/>
          <w14:ligatures w14:val="none"/>
        </w:rPr>
        <w:t>PCR</w:t>
      </w:r>
      <w:r w:rsidRPr="00FE5D1C">
        <w:rPr>
          <w:rFonts w:ascii="Calibri" w:eastAsia="Times New Roman" w:hAnsi="Calibri" w:cs="Calibri"/>
          <w:color w:val="000000"/>
          <w:kern w:val="0"/>
          <w:sz w:val="22"/>
          <w:szCs w:val="22"/>
          <w14:ligatures w14:val="none"/>
        </w:rPr>
        <w:t xml:space="preserve">-Quality Control System automatically integrates data from PCR machines with sample identifiers, re-estimates stand curves after removing outliers, and flags plates and wells that do not pass QC standards. A real-time </w:t>
      </w:r>
      <w:r w:rsidRPr="00FE5D1C">
        <w:rPr>
          <w:rFonts w:ascii="Calibri" w:eastAsia="Times New Roman" w:hAnsi="Calibri" w:cs="Calibri"/>
          <w:color w:val="000000"/>
          <w:kern w:val="0"/>
          <w:sz w:val="22"/>
          <w:szCs w:val="22"/>
          <w14:ligatures w14:val="none"/>
        </w:rPr>
        <w:lastRenderedPageBreak/>
        <w:t>dashboard displays key metrics, including summary statistics for plates that passed QC as well as reasons for failing a plate or test sample. Automated notifications for plates that did or did not meet quality control standards are sent through email to relevant users to expedite decision-making regarding the need for the repeat of plates or wells. Assays were specifically designed to establish QC parameter values for the system. During studies conducted under the aegis of the Malawi International Center of Excellence for Malaria Research (ICEMR), among a total of 1,539 PCR plates, 290 (19%) were flagged for repetition. Several of these plates failed due to unreliable dilution controls: approximately 33% of plates showed large variability in the wells used to estimate the standard curve (R</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41% an unacceptable slope of the standard curve; 30% too many outlying points in the standard curve. In addition, 3% of plates were rejected due to contamination in the negative control wells. A total of 142,455 test samples were successfully processed using the system, spread across 1,539 plates. The integration of the Laboratory </w:t>
      </w:r>
      <w:r w:rsidRPr="00FE5D1C">
        <w:rPr>
          <w:rFonts w:ascii="Calibri" w:eastAsia="Times New Roman" w:hAnsi="Calibri" w:cs="Calibri"/>
          <w:i/>
          <w:iCs/>
          <w:color w:val="000000"/>
          <w:kern w:val="0"/>
          <w:sz w:val="22"/>
          <w:szCs w:val="22"/>
          <w14:ligatures w14:val="none"/>
        </w:rPr>
        <w:t>PCR</w:t>
      </w:r>
      <w:r w:rsidRPr="00FE5D1C">
        <w:rPr>
          <w:rFonts w:ascii="Calibri" w:eastAsia="Times New Roman" w:hAnsi="Calibri" w:cs="Calibri"/>
          <w:color w:val="000000"/>
          <w:kern w:val="0"/>
          <w:sz w:val="22"/>
          <w:szCs w:val="22"/>
          <w14:ligatures w14:val="none"/>
        </w:rPr>
        <w:t> Quality Control System into molecular laboratory yielded significant improvements in efficiency, data quality, and the overall management of </w:t>
      </w:r>
      <w:r w:rsidRPr="00FE5D1C">
        <w:rPr>
          <w:rFonts w:ascii="Calibri" w:eastAsia="Times New Roman" w:hAnsi="Calibri" w:cs="Calibri"/>
          <w:i/>
          <w:iCs/>
          <w:color w:val="000000"/>
          <w:kern w:val="0"/>
          <w:sz w:val="22"/>
          <w:szCs w:val="22"/>
          <w14:ligatures w14:val="none"/>
        </w:rPr>
        <w:t>PCR</w:t>
      </w:r>
      <w:r w:rsidRPr="00FE5D1C">
        <w:rPr>
          <w:rFonts w:ascii="Calibri" w:eastAsia="Times New Roman" w:hAnsi="Calibri" w:cs="Calibri"/>
          <w:color w:val="000000"/>
          <w:kern w:val="0"/>
          <w:sz w:val="22"/>
          <w:szCs w:val="22"/>
          <w14:ligatures w14:val="none"/>
        </w:rPr>
        <w:t> plates. This innovative system boosts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detection, enhancing accuracy and speed to help curb the disease’s severe burden, saving thousands of lives.</w:t>
      </w:r>
    </w:p>
    <w:p w14:paraId="3905E9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25-A-2309-ASTMH</w:t>
      </w:r>
    </w:p>
    <w:p w14:paraId="32E575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Evolution and Genomic Epidemiology</w:t>
      </w:r>
    </w:p>
    <w:p w14:paraId="27DD11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Genomic characterization of mumps virus strains from the 2022 to 2023 outbreak in two districts in Uganda</w:t>
      </w:r>
    </w:p>
    <w:p w14:paraId="670666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Mumps is a highly contagious viral disease caused by the mumps virus (MuV), a member of the genus </w:t>
      </w:r>
      <w:r w:rsidRPr="00FE5D1C">
        <w:rPr>
          <w:rFonts w:ascii="Calibri" w:eastAsia="Times New Roman" w:hAnsi="Calibri" w:cs="Calibri"/>
          <w:i/>
          <w:iCs/>
          <w:color w:val="000000"/>
          <w:kern w:val="0"/>
          <w:sz w:val="22"/>
          <w:szCs w:val="22"/>
          <w14:ligatures w14:val="none"/>
        </w:rPr>
        <w:t>Rubulavirus </w:t>
      </w:r>
      <w:r w:rsidRPr="00FE5D1C">
        <w:rPr>
          <w:rFonts w:ascii="Calibri" w:eastAsia="Times New Roman" w:hAnsi="Calibri" w:cs="Calibri"/>
          <w:color w:val="000000"/>
          <w:kern w:val="0"/>
          <w:sz w:val="22"/>
          <w:szCs w:val="22"/>
          <w14:ligatures w14:val="none"/>
        </w:rPr>
        <w:t>within the family </w:t>
      </w:r>
      <w:r w:rsidRPr="00FE5D1C">
        <w:rPr>
          <w:rFonts w:ascii="Calibri" w:eastAsia="Times New Roman" w:hAnsi="Calibri" w:cs="Calibri"/>
          <w:i/>
          <w:iCs/>
          <w:color w:val="000000"/>
          <w:kern w:val="0"/>
          <w:sz w:val="22"/>
          <w:szCs w:val="22"/>
          <w14:ligatures w14:val="none"/>
        </w:rPr>
        <w:t>Paramyxoviridae</w:t>
      </w:r>
      <w:r w:rsidRPr="00FE5D1C">
        <w:rPr>
          <w:rFonts w:ascii="Calibri" w:eastAsia="Times New Roman" w:hAnsi="Calibri" w:cs="Calibri"/>
          <w:color w:val="000000"/>
          <w:kern w:val="0"/>
          <w:sz w:val="22"/>
          <w:szCs w:val="22"/>
          <w14:ligatures w14:val="none"/>
        </w:rPr>
        <w:t>. Despite being a vaccine-preventable disease, Uganda has not yet incorporated the mumps vaccine into its routine immunization program. During 2022 and 2023, the country experienced an outbreak of mumps. This study aimed to identify and genetically characterize the mumps virus strains responsible for the outbreak. Buccal swabs were collected from 23 clinically confirmed cases from two districts, who had unilateral or bilateral swelling of the parotid or other salivary glands without apparent cause, lasting for at least 2 days. RNA was extracted from the clinical samples using a Qiagen kit. Real-time PCR test was conducted using the QuantiTect kit. Positive samples were subjected to Sanger sequencing of the SH gene, a key target for genotypic classification. Phylogenetic analysis was performed using the sequencer software and genotypes determined by comparison with the 24 WHO mumps reference sequences. Fourteen sequences belonging to three Genotypes: D, H and G were obtained. The findings provide genomic baseline data for future mumps virus surveillance in Uganda, contributing to the understanding of mumps virus evolution, transmission dynamics, and potential vaccine introduction strategies.</w:t>
      </w:r>
    </w:p>
    <w:p w14:paraId="7BA76F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25-A-2310-ASTMH</w:t>
      </w:r>
    </w:p>
    <w:p w14:paraId="616042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44DC45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Metagenomics-driven discovery of pathogens causing healthcare associated infections in Senegal</w:t>
      </w:r>
    </w:p>
    <w:p w14:paraId="516A2F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 resource-limited countries, the burden of healthcare-associated infections (HAIs) remains uncertain due to the unavailability of adequate surveillance and diagnostic tools. Metagenomics next-generation sequencing (mNGS) has emerged as a promising diagnostic tool, capable of addressing these challenges. The objective of this study is to use mNGS to identify the pathogens involved in HAIs infections.Patients were enrolled on their first day of hospitalization at the Intensive Care Unit (ICU) at Dalal Jamm Hospital (HDJ) in Dakar, Senegal. On the first day of hospitalization, nasal and rectal swabs were collected. Depending on the clinician's prescription, other types of samples were collected. Bacteriological culture (BC) was run alongside RNA shotgun mNGS to identify pathogens and determine relatedness using the CZI_ID platform. Whole genome sequencing (WGS) on isolated strains was performed to determine antimicrobial resistance (AMR).A total of 470 hospitalized patients were enrolled, of which 70 were selected for BC. To date, 40 samples from 21 patients have been sequenced (the remaining are currently being sequenced). Based on the BC, the incidence of HAIs was 14.28% and the most prevalent bacteria </w:t>
      </w:r>
      <w:r w:rsidRPr="00FE5D1C">
        <w:rPr>
          <w:rFonts w:ascii="Calibri" w:eastAsia="Times New Roman" w:hAnsi="Calibri" w:cs="Calibri"/>
          <w:color w:val="000000"/>
          <w:kern w:val="0"/>
          <w:sz w:val="22"/>
          <w:szCs w:val="22"/>
          <w14:ligatures w14:val="none"/>
        </w:rPr>
        <w:lastRenderedPageBreak/>
        <w:t>were Klebsiella pneumoniae (28.57%), followed by Pseudomonas aeruginosa (14.29%), Escherichia coli (10.11%), and Enterococcus spp. (10.11%). With the mNGS A. baumannii (33.33%) was the primary pathogen, followed by P. aeruginosa (26.67%), K. pneumoniae (20%), E. coli (13.33%), and Enterobacter cloacae (6.67%). Notably, two species identified as K. pneumoniae through BC were reclassified as A. baumanii by the mNGS. 46.43% of the bacteria exhibited AMR, with at least one form of resistance to aztreonam, gentamicin, ceftazidime, and ticarcillin. Furthermore, a 20% prevalence of correlation between HAIs and nasal or rectal colonization with multi-resistant bacteria was identified by the BC. To further refine these findings, 40 strains are currently undergoing WGS to ascertain their precise AMR profiles. The relatedness of the species is being determined to trace the origin of the HAIs.</w:t>
      </w:r>
    </w:p>
    <w:p w14:paraId="71BB94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25-A-2311-ASTMH</w:t>
      </w:r>
    </w:p>
    <w:p w14:paraId="4438AF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4DACB0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Trajectories of lung function recovery in Gambian children and adolescents following treatment for pulmonary tuberculosis</w:t>
      </w:r>
    </w:p>
    <w:p w14:paraId="750926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Rationale: </w:t>
      </w:r>
      <w:r w:rsidRPr="00FE5D1C">
        <w:rPr>
          <w:rFonts w:ascii="Calibri" w:eastAsia="Times New Roman" w:hAnsi="Calibri" w:cs="Calibri"/>
          <w:color w:val="000000"/>
          <w:kern w:val="0"/>
          <w:sz w:val="22"/>
          <w:szCs w:val="22"/>
          <w14:ligatures w14:val="none"/>
        </w:rPr>
        <w:t>Pulmonary tuberculosis (TB) can cause lasting respiratory impairment, even after successful treatment in children and adolescents. While ongoing lung development may facilitate recovery, it remains unclear whether this leads to significant improvement after TB. Lung function is often impaired at treatment completion, but the extent and variability of recovery remain poorly understood. Clarifying these trajectories is essential to inform the timing and type of post-treatment interventions. </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We conducted a prospective cohort study in The Gambia, enrolling children and adolescents aged ≤19 years who had completed treatment for pulmonary TB at National TB Programme clinics. Participants were recruited within six weeks of treatment completion and followed for 12 months, with evaluations at baseline, six, and 12 months. At each visit, participants underwent clinical assessments and spirometry per American Thoracic Society/European Respiratory Society (ATS/ERS) guidelines. Lung function z-scores (FEV₁, FVC, FEV₁/FVC) were calculated using the GLI 2012 African American reference equations. Abnormal spirometry and severity were defined using ATS/ERS interpretative strategies. Group-based trajectory modelling was employed to assess patterns of lung function change over time. </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Seventy-nine participants (52% female; median age 15.6 years) were enrolled. Abnormal spirometry was present in 57% at baseline, 62% at six months, and 59% at 12 months. Despite this, spirometric severity improved: median zFVC rose from -1.84 to -1.68 (p=0.02), with more participants moving from moderate/severe to mild impairment. Trajectory modelling identified two patterns: about one-fifth showed progressive improvement, especially those with worse baseline function; the rest had stable or persistently reduced values. Abnormal baseline spirometry was the strongest predictor of impairment at 12 months (aOR 13.3; 95% CI 3.4-52.1). </w:t>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Lung function recovery after TB varies widely in children and adolescents. Long-term follow-up is critical to identify and support those with persistent impairment.</w:t>
      </w:r>
    </w:p>
    <w:p w14:paraId="7B1453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25-A-2312-ASTMH</w:t>
      </w:r>
    </w:p>
    <w:p w14:paraId="55D82E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184C8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High insecticide resistance and loss of net physical integrity: A big challenge for vector control in Cameroon</w:t>
      </w:r>
    </w:p>
    <w:p w14:paraId="3DFA41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Long-lasting insecticidal nets (LLINs) remain one of the most widespread and impactful malaria prevention and control in Africa. Unfortunately, the continued effectiveness of these interventions is threatened by the spread of pyrethroid resistance in most endemic settings. This study was conducted to investigate major factors influencing the physical integrity and bio-efficacy of net in Yaoundé.</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Between 2023 and 2024, a cross-sectional survey was conducted on 188 randomly selected households from 15 study sites to assess the physical integrity and bio-efficacy of nets as well as the factors associated with net utilization. WHO cone assay was used to assess the bioefficacy of nets. Holes in LLINs were counted and classified into four sizes, and net integrity was determined using the WHO-</w:t>
      </w:r>
      <w:r w:rsidRPr="00FE5D1C">
        <w:rPr>
          <w:rFonts w:ascii="Calibri" w:eastAsia="Times New Roman" w:hAnsi="Calibri" w:cs="Calibri"/>
          <w:color w:val="000000"/>
          <w:kern w:val="0"/>
          <w:sz w:val="22"/>
          <w:szCs w:val="22"/>
          <w14:ligatures w14:val="none"/>
        </w:rPr>
        <w:lastRenderedPageBreak/>
        <w:t>recommended pHI. To identify factors affecting net physical integrity, univariate negative binomial mixed regression models were used, and a multivariate mixed logistic regression model was used to identify factors affecting net bio-efficacy.</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A total loss of bio-efficacy and an extremely high loss of physical integrity of nets were observed in Yaoundé</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High insecticide resistance against field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s.l. mosquitoes was observed and mortality rate ranged from 0 to 42.19%. Nearly all of the LLINs assessed in the current study had holes and over 25% of these nets were in « torn condition». The most common types of holes were size 1 and the majority of these holes were on the front side of nets. Many factors were found to strongly correlate with the reported loss of effectiveness and physical integrity of nets.</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b/>
          <w:bCs/>
          <w:color w:val="000000"/>
          <w:kern w:val="0"/>
          <w:sz w:val="22"/>
          <w:szCs w:val="22"/>
          <w14:ligatures w14:val="none"/>
        </w:rPr>
        <w:t>Conclusions: </w:t>
      </w:r>
      <w:r w:rsidRPr="00FE5D1C">
        <w:rPr>
          <w:rFonts w:ascii="Calibri" w:eastAsia="Times New Roman" w:hAnsi="Calibri" w:cs="Calibri"/>
          <w:color w:val="000000"/>
          <w:kern w:val="0"/>
          <w:sz w:val="22"/>
          <w:szCs w:val="22"/>
          <w14:ligatures w14:val="none"/>
        </w:rPr>
        <w:t>National malaria control program should raise public awareness on the appropriate handling, best practices and maintenance of nets. New approaches and active system of insecticide resistance monitoring are urgently need to be implemented to slow down the spread of insecticide resistance and strengthen vector control and eradicate malaria.</w:t>
      </w:r>
    </w:p>
    <w:p w14:paraId="44B87B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25-A-2313-ASTMH</w:t>
      </w:r>
    </w:p>
    <w:p w14:paraId="74698B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102014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Malaria treatment choices and outcomes from hospital care seekers versus non-seekers in a targeted </w:t>
      </w:r>
      <w:r w:rsidRPr="00FE5D1C">
        <w:rPr>
          <w:rFonts w:ascii="Calibri" w:eastAsia="Times New Roman" w:hAnsi="Calibri" w:cs="Calibri"/>
          <w:b/>
          <w:bCs/>
          <w:i/>
          <w:iCs/>
          <w:color w:val="000000"/>
          <w:kern w:val="0"/>
          <w:sz w:val="22"/>
          <w:szCs w:val="22"/>
          <w14:ligatures w14:val="none"/>
        </w:rPr>
        <w:t>Plasmodium falciparum</w:t>
      </w:r>
      <w:r w:rsidRPr="00FE5D1C">
        <w:rPr>
          <w:rFonts w:ascii="Calibri" w:eastAsia="Times New Roman" w:hAnsi="Calibri" w:cs="Calibri"/>
          <w:b/>
          <w:bCs/>
          <w:color w:val="000000"/>
          <w:kern w:val="0"/>
          <w:sz w:val="22"/>
          <w:szCs w:val="22"/>
          <w14:ligatures w14:val="none"/>
        </w:rPr>
        <w:t> endemic region in India</w:t>
      </w:r>
    </w:p>
    <w:p w14:paraId="39AF58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Remote tribal regions contribute substantially to India’s malaria burden. In these areas, inadequate self-treatment practices, resulting in failure to detect mixed-species infections, based on non-specific symptoms are common. We conducted a comparative study of malaria infections in a hospital-based cohort (n=305, symptomatic patients), and a community-based cohort (n=432, febrile participants) study. Generalized linear models were applied to determine the effect of symptoms on disease severity. Diagnostic accuracy was evaluated using microscopy; bivalent rapid diagnostic tests (RDT), polymerase chain reaction (PCR). Patient demographics and the distribution of infecting species were comparable between settings, hospital participants exhibited more severe infections with stronger and more frequent symptoms. Both microscopy and RDTs showed limitations in detecting mixed-species infections. In the community, many infections were sub-microscopic, likely due to prior self-treatment with over-the-counter antimalarials, yet remained detectable by RDTs and PCR. Particularly less symptomatic malaria infections are frequently subject to self-treatment with over-the counter antimalarials and other drugs. Such practices contribute to residual parasitaemia, potentially subject to recrudescence/relapses, jeopardizes the sensitivity of microscopy, contributes to underdiagnosis of mixed-species infections. The latter are inadequately treated, particularly regarding radical cure. These findings underscore the need to strengthen malaria control through targeted interventions against self- treatment and improved diagnostics including the use of RDTs with the capacity to detect less common malaria species. Further we are analyzing the </w:t>
      </w:r>
      <w:r w:rsidRPr="00FE5D1C">
        <w:rPr>
          <w:rFonts w:ascii="Calibri" w:eastAsia="Times New Roman" w:hAnsi="Calibri" w:cs="Calibri"/>
          <w:i/>
          <w:iCs/>
          <w:color w:val="000000"/>
          <w:kern w:val="0"/>
          <w:sz w:val="22"/>
          <w:szCs w:val="22"/>
          <w14:ligatures w14:val="none"/>
        </w:rPr>
        <w:t>hrp-2</w:t>
      </w:r>
      <w:r w:rsidRPr="00FE5D1C">
        <w:rPr>
          <w:rFonts w:ascii="Calibri" w:eastAsia="Times New Roman" w:hAnsi="Calibri" w:cs="Calibri"/>
          <w:color w:val="000000"/>
          <w:kern w:val="0"/>
          <w:sz w:val="22"/>
          <w:szCs w:val="22"/>
          <w14:ligatures w14:val="none"/>
        </w:rPr>
        <w:t> gene deletion as well as the antimalarial resistance markers to determine the factor association with parasite movement and selection in the specific region.</w:t>
      </w:r>
    </w:p>
    <w:p w14:paraId="16DB40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25-A-2314-ASTMH</w:t>
      </w:r>
    </w:p>
    <w:p w14:paraId="743F1B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Diversity, Inclusion, Decolonization and Human Rights</w:t>
      </w:r>
    </w:p>
    <w:p w14:paraId="341665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Adolescent Boys' Attitudes towards Menstruation in Selected High Schools in Ghana</w:t>
      </w:r>
    </w:p>
    <w:p w14:paraId="5A398C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Adolescent boys can reinforce negative societal attitudes towards menstruation. This could lead to stigmatizing menstruation and making it difficult for adolescent girls to achieve optimal menstrual health and hygiene (MHH). However, empirical research in this domain remains limited and very few MHH interventions target adolescent boys. This study investigated the sociocultural beliefs, adolescent boys’ knowledge and attitudes towards menstruation. A mixed methods study of adolescent boys attending five selected senior high schools in Ghana was conducted. Participants were selected using probability proportional to size for each school based on school boys’ population. The study classified boys’ knowledge using Bloom’s cut off criteria. Sociocultural beliefs and attitudes were measured and </w:t>
      </w:r>
      <w:r w:rsidRPr="00FE5D1C">
        <w:rPr>
          <w:rFonts w:ascii="Calibri" w:eastAsia="Times New Roman" w:hAnsi="Calibri" w:cs="Calibri"/>
          <w:color w:val="000000"/>
          <w:kern w:val="0"/>
          <w:sz w:val="22"/>
          <w:szCs w:val="22"/>
          <w14:ligatures w14:val="none"/>
        </w:rPr>
        <w:lastRenderedPageBreak/>
        <w:t>classified using mean scores. Descriptive and inferential analysis were conducted where preliminary findings of the survey informed in-depth interviews. 431 students were surveyed with a mean age of 17.3 (± 1.0). Majority (60.6%) were aged 10-17. 50% of adolescent boys had low menstrual knowledge, 38% had moderate, and 11% had high knowledge. Also, negative sociocultural beliefs (55.2%) outweighed positive beliefs, which reflected in boys’ attitudes towards menstruation with 52.7% exhibiting poor attitudes. Inferentially, structural equation modeling revealed that knowledge had significant negative impact on sociocultural beliefs (</w:t>
      </w:r>
      <w:r w:rsidRPr="00FE5D1C">
        <w:rPr>
          <w:rFonts w:ascii="Cambria Math" w:eastAsia="Times New Roman" w:hAnsi="Cambria Math" w:cs="Cambria Math"/>
          <w:color w:val="000000"/>
          <w:kern w:val="0"/>
          <w:sz w:val="22"/>
          <w:szCs w:val="22"/>
          <w14:ligatures w14:val="none"/>
        </w:rPr>
        <w:t>𝛽</w:t>
      </w:r>
      <w:r w:rsidRPr="00FE5D1C">
        <w:rPr>
          <w:rFonts w:ascii="Calibri" w:eastAsia="Times New Roman" w:hAnsi="Calibri" w:cs="Calibri"/>
          <w:color w:val="000000"/>
          <w:kern w:val="0"/>
          <w:sz w:val="22"/>
          <w:szCs w:val="22"/>
          <w14:ligatures w14:val="none"/>
        </w:rPr>
        <w:t>;;=-0.06; SE = 0.01; p &lt; 0.001). Attitudes towards menstruation were also significantly affected by knowledge (</w:t>
      </w:r>
      <w:r w:rsidRPr="00FE5D1C">
        <w:rPr>
          <w:rFonts w:ascii="Cambria Math" w:eastAsia="Times New Roman" w:hAnsi="Cambria Math" w:cs="Cambria Math"/>
          <w:color w:val="000000"/>
          <w:kern w:val="0"/>
          <w:sz w:val="22"/>
          <w:szCs w:val="22"/>
          <w14:ligatures w14:val="none"/>
        </w:rPr>
        <w:t>𝛽</w:t>
      </w:r>
      <w:r w:rsidRPr="00FE5D1C">
        <w:rPr>
          <w:rFonts w:ascii="Calibri" w:eastAsia="Times New Roman" w:hAnsi="Calibri" w:cs="Calibri"/>
          <w:color w:val="000000"/>
          <w:kern w:val="0"/>
          <w:sz w:val="22"/>
          <w:szCs w:val="22"/>
          <w14:ligatures w14:val="none"/>
        </w:rPr>
        <w:t>;;=-0.28; SE = 0.06; p &lt; 0.001), indicating that more negative attitudes are linked to lower levels of knowledge. Also, the GLS function indicated that knowledge buffers the effect of sociocultural beliefs on attitudes when negative sociocultural beliefs are higher. The qualitative findings revealed ingrained sociocultural and religious beliefs that underline the poor attitudes of boys. This study furthers the discussions in this field and adds a layer of evidence on how improving knowledge reduces poor attitudes and subsequently could lead to optimal MHH for adolescent girls.</w:t>
      </w:r>
    </w:p>
    <w:p w14:paraId="6CCBF2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25-A-2315-ASTMH</w:t>
      </w:r>
    </w:p>
    <w:p w14:paraId="672F9D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28C127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ECOLOGY AND INSECTICIDE RESISTANCE STATUS OF AEDES AEGYPTI MOSQUITOES IN GHANA.</w:t>
      </w:r>
    </w:p>
    <w:p w14:paraId="150F8D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ECOLOGY AND INSECTICIDE RESISTANCE STATUS OF </w:t>
      </w:r>
      <w:r w:rsidRPr="00FE5D1C">
        <w:rPr>
          <w:rFonts w:ascii="Calibri" w:eastAsia="Times New Roman" w:hAnsi="Calibri" w:cs="Calibri"/>
          <w:b/>
          <w:bCs/>
          <w:i/>
          <w:iCs/>
          <w:color w:val="000000"/>
          <w:kern w:val="0"/>
          <w:sz w:val="22"/>
          <w:szCs w:val="22"/>
          <w14:ligatures w14:val="none"/>
        </w:rPr>
        <w:t>AEDES AEGYPTI </w:t>
      </w:r>
      <w:r w:rsidRPr="00FE5D1C">
        <w:rPr>
          <w:rFonts w:ascii="Calibri" w:eastAsia="Times New Roman" w:hAnsi="Calibri" w:cs="Calibri"/>
          <w:b/>
          <w:bCs/>
          <w:color w:val="000000"/>
          <w:kern w:val="0"/>
          <w:sz w:val="22"/>
          <w:szCs w:val="22"/>
          <w14:ligatures w14:val="none"/>
        </w:rPr>
        <w:t>MOSQUITOES</w:t>
      </w:r>
      <w:r w:rsidRPr="00FE5D1C">
        <w:rPr>
          <w:rFonts w:ascii="Calibri" w:eastAsia="Times New Roman" w:hAnsi="Calibri" w:cs="Calibri"/>
          <w:b/>
          <w:bCs/>
          <w:i/>
          <w:iCs/>
          <w:color w:val="000000"/>
          <w:kern w:val="0"/>
          <w:sz w:val="22"/>
          <w:szCs w:val="22"/>
          <w14:ligatures w14:val="none"/>
        </w:rPr>
        <w:t> </w:t>
      </w:r>
      <w:r w:rsidRPr="00FE5D1C">
        <w:rPr>
          <w:rFonts w:ascii="Calibri" w:eastAsia="Times New Roman" w:hAnsi="Calibri" w:cs="Calibri"/>
          <w:b/>
          <w:bCs/>
          <w:color w:val="000000"/>
          <w:kern w:val="0"/>
          <w:sz w:val="22"/>
          <w:szCs w:val="22"/>
          <w14:ligatures w14:val="none"/>
        </w:rPr>
        <w:t>IN GHANA.ABSTRACT</w:t>
      </w:r>
      <w:r w:rsidRPr="00FE5D1C">
        <w:rPr>
          <w:rFonts w:ascii="Calibri" w:eastAsia="Times New Roman" w:hAnsi="Calibri" w:cs="Calibri"/>
          <w:color w:val="000000"/>
          <w:kern w:val="0"/>
          <w:sz w:val="22"/>
          <w:szCs w:val="22"/>
          <w14:ligatures w14:val="none"/>
        </w:rPr>
        <w:t>With Ghana reporting its first dengue outbreak in 2024, the threat of arboviral diseases is no longer a distant concern but a pressing public health reality. Yet, little is known about the ecology and insecticide resistance patterns of its vectors in Ghana. This study explored the ecology and resistance status of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in Takoradi through adult and larval surveys. Adults were sampled using BG-Sentinel traps, Human Landing Catches, and Prokopack aspirators, while larvae were collected from outdoor water-holding containers. WHO susceptibility assays and PBO synergist tests were used to assess phenotypic resistance, and allele-specific PCR was employed to detect kdr mutations (V1016I, F1534C, V410L).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were found mostly in car tyres, with peak abundance during the rainy season (79.4%) and primarily outdoors (93%). High resistance to deltamethrin (75%) and permethrin (74.3%) was observed, with full susceptibility to pirimiphos-methyl (100%). Kdr mutation frequencies ranged from 0.15 to 0.87 across both resistant and susceptible groups. These findings highlight the urgent need for sustained vector surveillance and resistance monitoring to support effective control of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-borne diseases in Ghana.</w:t>
      </w:r>
    </w:p>
    <w:p w14:paraId="10AC82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25-A-2316-ASTMH</w:t>
      </w:r>
    </w:p>
    <w:p w14:paraId="450957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1265FB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Revolutionizing Malaria Risk: Data fusion modelling approaches for developing robust malaria burden estimates in Nigeria</w:t>
      </w:r>
    </w:p>
    <w:p w14:paraId="6D5F43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Nigeria bears the highest malaria burden globally—accounting for 27% of cases worldwide. With expected reductions in funding for malaria control threatening progress toward national targets, there is an urgent need for more accurate, locally grounded estimates of malaria burden to guide effective decision-making. We developed an innovative modelling framework that fuses parasite prevalence, fever rates, and routine case incidence data to deliver high-resolution risk maps at the Local Government Area (LGA) level. We modelled the relationship between new infections, prevalence, and reported clinical incidence across a high-resolution raster grid. These pixel-level estimates were aggregated-up to compute the catchment-level weights, allowing the model to reflect realistic health-seeking and service coverage patterns. The framework incorporates spatial heterogeneity in environmental conditions (e.g., temperature, rainfall, vegetation), a residual spatiotemporal process across all grid cells, and the effects of key interventions such as insecticide-treated net (ITN) distribution, informed by coarse but dynamically estimated usage patterns. We applied a fully Bayesian modelling framework using Hamiltonian Monte Carlo to accommodate complex, non-linear, and non-factorizable </w:t>
      </w:r>
      <w:r w:rsidRPr="00FE5D1C">
        <w:rPr>
          <w:rFonts w:ascii="Calibri" w:eastAsia="Times New Roman" w:hAnsi="Calibri" w:cs="Calibri"/>
          <w:color w:val="000000"/>
          <w:kern w:val="0"/>
          <w:sz w:val="22"/>
          <w:szCs w:val="22"/>
          <w14:ligatures w14:val="none"/>
        </w:rPr>
        <w:lastRenderedPageBreak/>
        <w:t>likelihoods to ensure scalability across the full spatial domain and quantify uncertainty. Results indicate improved alignment between modelled incidence and expected community-level burden. Key covariates, such as travel time to urban centers, nighttime lights, and population density, strongly influenced treatment-seeking patterns. By fusing survey and routine data, this modelling framework produces more reliable malaria burden estimates, helping to overcome known data gaps and biases. Its application at the LGA level supports strategic planning, prioritization, and more equitable resource allocation for malaria control in Nigeria—especially critical in the context of constrained funding.</w:t>
      </w:r>
    </w:p>
    <w:p w14:paraId="7AAC85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25-A-2318-ASTMH</w:t>
      </w:r>
    </w:p>
    <w:p w14:paraId="477CD6F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1B4F01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Phase 1a clinical trial of safety, tolerability and immunogenicity of Pvs25-IMX313 in Matrix-M</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b/>
          <w:bCs/>
          <w:color w:val="000000"/>
          <w:kern w:val="0"/>
          <w:sz w:val="22"/>
          <w:szCs w:val="22"/>
          <w14:ligatures w14:val="none"/>
        </w:rPr>
        <w:t>adjuvant - a novel transmission-blocking malaria vaccine candidate against </w:t>
      </w:r>
      <w:r w:rsidRPr="00FE5D1C">
        <w:rPr>
          <w:rFonts w:ascii="Calibri" w:eastAsia="Times New Roman" w:hAnsi="Calibri" w:cs="Calibri"/>
          <w:b/>
          <w:bCs/>
          <w:i/>
          <w:iCs/>
          <w:color w:val="000000"/>
          <w:kern w:val="0"/>
          <w:sz w:val="22"/>
          <w:szCs w:val="22"/>
          <w14:ligatures w14:val="none"/>
        </w:rPr>
        <w:t>Plasmodium vivax</w:t>
      </w:r>
    </w:p>
    <w:p w14:paraId="40FA0B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Pvs25 is a highly-conserved plasma membrane protein present in ookinetes of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species. It is essential for survival of the malaria parasite in the mosquito midgut during sexual development, making it an ideal antigenic target for transmission-blocking vaccines. Fusion of Pvs25 with IMX313, a complement-inhibitor C4b-binding protein, allows heptamerisation of the antigen, improving vaccine-induced antibody responses. In this first-in-human vaccine trial, 25 healthy, malaria-naïve adults in the UK were recruited to three groups in which the vaccine was administered at varying doses and regimens: i) 10µg Pvs25-IMX313 at day 0, 28 and 56, ii) 50µg Pvs25-IMX313 at day 0, 28 and 56, iii) 50µg Pvs25-IMX313 at day 0 and 28 and 10µg Pvs25-IMX313 at day 56. All doses were administered with 50µg Matrix-M</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 a saponin-based adjuvant. All vaccinations were well-tolerated with mainly mild adverse events (AEs) reported. The most common local AE was pain at injection site. The most common systemic AE was fatigue. No serious AEs were recorded. All participants demonstrated a strong IgG response to Pvs25, peaking at day 70. To assess the functionality of vaccine-induced antibodies, direct membrane feeding assays (DMFAs) were run with total IgG purified from participant sera taken at day 0 (pre-vaccination) and day 70. </w:t>
      </w:r>
      <w:r w:rsidRPr="00FE5D1C">
        <w:rPr>
          <w:rFonts w:ascii="Calibri" w:eastAsia="Times New Roman" w:hAnsi="Calibri" w:cs="Calibri"/>
          <w:i/>
          <w:iCs/>
          <w:color w:val="000000"/>
          <w:kern w:val="0"/>
          <w:sz w:val="22"/>
          <w:szCs w:val="22"/>
          <w14:ligatures w14:val="none"/>
        </w:rPr>
        <w:t>Anopheles dirus</w:t>
      </w:r>
      <w:r w:rsidRPr="00FE5D1C">
        <w:rPr>
          <w:rFonts w:ascii="Calibri" w:eastAsia="Times New Roman" w:hAnsi="Calibri" w:cs="Calibri"/>
          <w:color w:val="000000"/>
          <w:kern w:val="0"/>
          <w:sz w:val="22"/>
          <w:szCs w:val="22"/>
          <w14:ligatures w14:val="none"/>
        </w:rPr>
        <w:t> mosquitoes were fed on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infected blood mixed with purified IgG and their midguts dissected 7 days later to determine the presence of oocysts. Preliminary DMFA results show transmission-reducing activity (TRA) in 4/8 Group 1, 6/7 Group 2 and 4/5 Group 3 participants, defined as a reduction in number of oocysts in mosquitoes fed on day 70 sera compared to those fed on the corresponding day 0 sample. The results of this study demonstrate that Pvs25-IMX313 in Matrix-M</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 is safe and well-tolerated, and initial findings show significant TRA across all three groups. These results support onward assessment of the efficacy of this vaccine, both alone and in combination with blood-stage and/or pre-erythrocytic malaria vaccine candidates as part of a multi-stage malaria vaccine approach to disease prevention and control.</w:t>
      </w:r>
    </w:p>
    <w:p w14:paraId="539C0D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25-A-2319-ASTMH</w:t>
      </w:r>
    </w:p>
    <w:p w14:paraId="24B734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236860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Maternal Carriage of Bacterial Enteropathogens and Antimicrobial Resistance Genes During Pregnancy and Postpartum- A Secondary Analysis of the Mumta Pregnant Women Trial</w:t>
      </w:r>
    </w:p>
    <w:p w14:paraId="7640DB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Maternal carriage of enteropathogens and antimicrobial resistance genes (ARG) during pregnancy and postpartum can impact birth outcomes and infant growth. We assessed the impact of Mumta trial interventions on maternal enteropathogen and ARG carriage at 19 and 32w of gestation and up to 12m postpartum. In the Mumta Pregnant Women (PW) trial (n=1884), participants were randomized into 4 arms: 1) lactation counseling (LC); 2) LC + balanced energy protein (BEP); 3) BEP + two 2g oral azithromycin (AZ) doses; and 4) BEP + nicotinamide/choline. Fifty PW per arm were randomly selected for stool testing via TaqMan Array Card. We focused on 7 most prevalent bacteria, and change in paired counts from 19 to 32w. Postpartum effects were assessed using generalized estimating equations. Frequency of macrolide ARG </w:t>
      </w:r>
      <w:r w:rsidRPr="00FE5D1C">
        <w:rPr>
          <w:rFonts w:ascii="Calibri" w:eastAsia="Times New Roman" w:hAnsi="Calibri" w:cs="Calibri"/>
          <w:i/>
          <w:iCs/>
          <w:color w:val="000000"/>
          <w:kern w:val="0"/>
          <w:sz w:val="22"/>
          <w:szCs w:val="22"/>
          <w14:ligatures w14:val="none"/>
        </w:rPr>
        <w:t>mph(A)</w:t>
      </w:r>
      <w:r w:rsidRPr="00FE5D1C">
        <w:rPr>
          <w:rFonts w:ascii="Calibri" w:eastAsia="Times New Roman" w:hAnsi="Calibri" w:cs="Calibri"/>
          <w:color w:val="000000"/>
          <w:kern w:val="0"/>
          <w:sz w:val="22"/>
          <w:szCs w:val="22"/>
          <w14:ligatures w14:val="none"/>
        </w:rPr>
        <w:t> was reported. At 19w, the most detected pathogens in maternal stool were </w:t>
      </w:r>
      <w:r w:rsidRPr="00FE5D1C">
        <w:rPr>
          <w:rFonts w:ascii="Calibri" w:eastAsia="Times New Roman" w:hAnsi="Calibri" w:cs="Calibri"/>
          <w:i/>
          <w:iCs/>
          <w:color w:val="000000"/>
          <w:kern w:val="0"/>
          <w:sz w:val="22"/>
          <w:szCs w:val="22"/>
          <w14:ligatures w14:val="none"/>
        </w:rPr>
        <w:t>Enteroaggregative E. coli </w:t>
      </w:r>
      <w:r w:rsidRPr="00FE5D1C">
        <w:rPr>
          <w:rFonts w:ascii="Calibri" w:eastAsia="Times New Roman" w:hAnsi="Calibri" w:cs="Calibri"/>
          <w:color w:val="000000"/>
          <w:kern w:val="0"/>
          <w:sz w:val="22"/>
          <w:szCs w:val="22"/>
          <w14:ligatures w14:val="none"/>
        </w:rPr>
        <w:t>(60.0%, 95% CI: 53.2-66.5) and </w:t>
      </w:r>
      <w:r w:rsidRPr="00FE5D1C">
        <w:rPr>
          <w:rFonts w:ascii="Calibri" w:eastAsia="Times New Roman" w:hAnsi="Calibri" w:cs="Calibri"/>
          <w:i/>
          <w:iCs/>
          <w:color w:val="000000"/>
          <w:kern w:val="0"/>
          <w:sz w:val="22"/>
          <w:szCs w:val="22"/>
          <w14:ligatures w14:val="none"/>
        </w:rPr>
        <w:t>Enteropathogenic E. coli</w:t>
      </w:r>
      <w:r w:rsidRPr="00FE5D1C">
        <w:rPr>
          <w:rFonts w:ascii="Calibri" w:eastAsia="Times New Roman" w:hAnsi="Calibri" w:cs="Calibri"/>
          <w:color w:val="000000"/>
          <w:kern w:val="0"/>
          <w:sz w:val="22"/>
          <w:szCs w:val="22"/>
          <w14:ligatures w14:val="none"/>
        </w:rPr>
        <w:t xml:space="preserve"> (56.8%, CI: 49.9-63.4), with similar prevalence at 32w (61.1%, CI: 54.1-67.7 and 55.8%, CI: 48.7-62.6, </w:t>
      </w:r>
      <w:r w:rsidRPr="00FE5D1C">
        <w:rPr>
          <w:rFonts w:ascii="Calibri" w:eastAsia="Times New Roman" w:hAnsi="Calibri" w:cs="Calibri"/>
          <w:color w:val="000000"/>
          <w:kern w:val="0"/>
          <w:sz w:val="22"/>
          <w:szCs w:val="22"/>
          <w14:ligatures w14:val="none"/>
        </w:rPr>
        <w:lastRenderedPageBreak/>
        <w:t>respectively). </w:t>
      </w:r>
      <w:r w:rsidRPr="00FE5D1C">
        <w:rPr>
          <w:rFonts w:ascii="Calibri" w:eastAsia="Times New Roman" w:hAnsi="Calibri" w:cs="Calibri"/>
          <w:i/>
          <w:iCs/>
          <w:color w:val="000000"/>
          <w:kern w:val="0"/>
          <w:sz w:val="22"/>
          <w:szCs w:val="22"/>
          <w14:ligatures w14:val="none"/>
        </w:rPr>
        <w:t>Enterotoxigenic E. coli</w:t>
      </w:r>
      <w:r w:rsidRPr="00FE5D1C">
        <w:rPr>
          <w:rFonts w:ascii="Calibri" w:eastAsia="Times New Roman" w:hAnsi="Calibri" w:cs="Calibri"/>
          <w:color w:val="000000"/>
          <w:kern w:val="0"/>
          <w:sz w:val="22"/>
          <w:szCs w:val="22"/>
          <w14:ligatures w14:val="none"/>
        </w:rPr>
        <w:t> prevalence remained stable (32.3%, CI: 26.1-38.9 at 19w vs. 33.6%, CI: 27.2-40.5 at 32w). In contrast, </w:t>
      </w:r>
      <w:r w:rsidRPr="00FE5D1C">
        <w:rPr>
          <w:rFonts w:ascii="Calibri" w:eastAsia="Times New Roman" w:hAnsi="Calibri" w:cs="Calibri"/>
          <w:i/>
          <w:iCs/>
          <w:color w:val="000000"/>
          <w:kern w:val="0"/>
          <w:sz w:val="22"/>
          <w:szCs w:val="22"/>
          <w14:ligatures w14:val="none"/>
        </w:rPr>
        <w:t>Aeromonas</w:t>
      </w:r>
      <w:r w:rsidRPr="00FE5D1C">
        <w:rPr>
          <w:rFonts w:ascii="Calibri" w:eastAsia="Times New Roman" w:hAnsi="Calibri" w:cs="Calibri"/>
          <w:color w:val="000000"/>
          <w:kern w:val="0"/>
          <w:sz w:val="22"/>
          <w:szCs w:val="22"/>
          <w14:ligatures w14:val="none"/>
        </w:rPr>
        <w:t> declined from 18.6% (CI: 13.7-24.4) to 13.5%(CI: 9.1-18.9), and </w:t>
      </w:r>
      <w:r w:rsidRPr="00FE5D1C">
        <w:rPr>
          <w:rFonts w:ascii="Calibri" w:eastAsia="Times New Roman" w:hAnsi="Calibri" w:cs="Calibri"/>
          <w:i/>
          <w:iCs/>
          <w:color w:val="000000"/>
          <w:kern w:val="0"/>
          <w:sz w:val="22"/>
          <w:szCs w:val="22"/>
          <w14:ligatures w14:val="none"/>
        </w:rPr>
        <w:t>Shigella eiec</w:t>
      </w:r>
      <w:r w:rsidRPr="00FE5D1C">
        <w:rPr>
          <w:rFonts w:ascii="Calibri" w:eastAsia="Times New Roman" w:hAnsi="Calibri" w:cs="Calibri"/>
          <w:color w:val="000000"/>
          <w:kern w:val="0"/>
          <w:sz w:val="22"/>
          <w:szCs w:val="22"/>
          <w14:ligatures w14:val="none"/>
        </w:rPr>
        <w:t> from 25.9% (CI: 20.2-32.2) to 19.7% (CI: 14.5-25.8). In BEP+AZ arm, prevalence of </w:t>
      </w:r>
      <w:r w:rsidRPr="00FE5D1C">
        <w:rPr>
          <w:rFonts w:ascii="Calibri" w:eastAsia="Times New Roman" w:hAnsi="Calibri" w:cs="Calibri"/>
          <w:i/>
          <w:iCs/>
          <w:color w:val="000000"/>
          <w:kern w:val="0"/>
          <w:sz w:val="22"/>
          <w:szCs w:val="22"/>
          <w14:ligatures w14:val="none"/>
        </w:rPr>
        <w:t>Aeromonas</w:t>
      </w:r>
      <w:r w:rsidRPr="00FE5D1C">
        <w:rPr>
          <w:rFonts w:ascii="Calibri" w:eastAsia="Times New Roman" w:hAnsi="Calibri" w:cs="Calibri"/>
          <w:color w:val="000000"/>
          <w:kern w:val="0"/>
          <w:sz w:val="22"/>
          <w:szCs w:val="22"/>
          <w14:ligatures w14:val="none"/>
        </w:rPr>
        <w:t> (p=0.004), </w:t>
      </w:r>
      <w:r w:rsidRPr="00FE5D1C">
        <w:rPr>
          <w:rFonts w:ascii="Calibri" w:eastAsia="Times New Roman" w:hAnsi="Calibri" w:cs="Calibri"/>
          <w:i/>
          <w:iCs/>
          <w:color w:val="000000"/>
          <w:kern w:val="0"/>
          <w:sz w:val="22"/>
          <w:szCs w:val="22"/>
          <w14:ligatures w14:val="none"/>
        </w:rPr>
        <w:t>C. jejuni/coli</w:t>
      </w:r>
      <w:r w:rsidRPr="00FE5D1C">
        <w:rPr>
          <w:rFonts w:ascii="Calibri" w:eastAsia="Times New Roman" w:hAnsi="Calibri" w:cs="Calibri"/>
          <w:color w:val="000000"/>
          <w:kern w:val="0"/>
          <w:sz w:val="22"/>
          <w:szCs w:val="22"/>
          <w14:ligatures w14:val="none"/>
        </w:rPr>
        <w:t> (p=0.02), and </w:t>
      </w:r>
      <w:r w:rsidRPr="00FE5D1C">
        <w:rPr>
          <w:rFonts w:ascii="Calibri" w:eastAsia="Times New Roman" w:hAnsi="Calibri" w:cs="Calibri"/>
          <w:i/>
          <w:iCs/>
          <w:color w:val="000000"/>
          <w:kern w:val="0"/>
          <w:sz w:val="22"/>
          <w:szCs w:val="22"/>
          <w14:ligatures w14:val="none"/>
        </w:rPr>
        <w:t>Shigella eiec</w:t>
      </w:r>
      <w:r w:rsidRPr="00FE5D1C">
        <w:rPr>
          <w:rFonts w:ascii="Calibri" w:eastAsia="Times New Roman" w:hAnsi="Calibri" w:cs="Calibri"/>
          <w:color w:val="000000"/>
          <w:kern w:val="0"/>
          <w:sz w:val="22"/>
          <w:szCs w:val="22"/>
          <w14:ligatures w14:val="none"/>
        </w:rPr>
        <w:t> (p=0.001) decreased from 19 and 32w. In other arms, no significant change was observed. Postpartum, BEP+AZ reduced </w:t>
      </w:r>
      <w:r w:rsidRPr="00FE5D1C">
        <w:rPr>
          <w:rFonts w:ascii="Calibri" w:eastAsia="Times New Roman" w:hAnsi="Calibri" w:cs="Calibri"/>
          <w:i/>
          <w:iCs/>
          <w:color w:val="000000"/>
          <w:kern w:val="0"/>
          <w:sz w:val="22"/>
          <w:szCs w:val="22"/>
          <w14:ligatures w14:val="none"/>
        </w:rPr>
        <w:t>Aeromonas</w:t>
      </w:r>
      <w:r w:rsidRPr="00FE5D1C">
        <w:rPr>
          <w:rFonts w:ascii="Calibri" w:eastAsia="Times New Roman" w:hAnsi="Calibri" w:cs="Calibri"/>
          <w:color w:val="000000"/>
          <w:kern w:val="0"/>
          <w:sz w:val="22"/>
          <w:szCs w:val="22"/>
          <w14:ligatures w14:val="none"/>
        </w:rPr>
        <w:t> colonization risk by 61.2% (p=0.08), while BEP+NIC+Chol reduced it by 74.7% (p=0.02). No differences were found for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pathotypes. At 32w, frequency of mph(A) gene carriage was 90.4%, 96%, 96.2% and 94.4% respectively (P=0.65, no difference between arms). At 1-2m post-birth, frequency was 95.7%, 96.4%, 100% and 97.3% respectively (P=0.79, no difference between arms). AZ significantly reduced maternal colonization of select enteropathogens in pregnancy, with sustained reductions postpartum for </w:t>
      </w:r>
      <w:r w:rsidRPr="00FE5D1C">
        <w:rPr>
          <w:rFonts w:ascii="Calibri" w:eastAsia="Times New Roman" w:hAnsi="Calibri" w:cs="Calibri"/>
          <w:i/>
          <w:iCs/>
          <w:color w:val="000000"/>
          <w:kern w:val="0"/>
          <w:sz w:val="22"/>
          <w:szCs w:val="22"/>
          <w14:ligatures w14:val="none"/>
        </w:rPr>
        <w:t>Aeromonas</w:t>
      </w:r>
      <w:r w:rsidRPr="00FE5D1C">
        <w:rPr>
          <w:rFonts w:ascii="Calibri" w:eastAsia="Times New Roman" w:hAnsi="Calibri" w:cs="Calibri"/>
          <w:color w:val="000000"/>
          <w:kern w:val="0"/>
          <w:sz w:val="22"/>
          <w:szCs w:val="22"/>
          <w14:ligatures w14:val="none"/>
        </w:rPr>
        <w:t>. High levels of ARG carriage across arms are noted regardless of intervention.</w:t>
      </w:r>
    </w:p>
    <w:p w14:paraId="31329B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25-A-2320-ASTMH</w:t>
      </w:r>
    </w:p>
    <w:p w14:paraId="7D95348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Genomics, Proteomics and Metabolomics, Molecular Therapeutic Targets (Including Leishmania and Trypanosomes)</w:t>
      </w:r>
    </w:p>
    <w:p w14:paraId="600E1A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Phylogenomic analysis of </w:t>
      </w:r>
      <w:r w:rsidRPr="00FE5D1C">
        <w:rPr>
          <w:rFonts w:ascii="Calibri" w:eastAsia="Times New Roman" w:hAnsi="Calibri" w:cs="Calibri"/>
          <w:b/>
          <w:bCs/>
          <w:i/>
          <w:iCs/>
          <w:color w:val="000000"/>
          <w:kern w:val="0"/>
          <w:sz w:val="22"/>
          <w:szCs w:val="22"/>
          <w14:ligatures w14:val="none"/>
        </w:rPr>
        <w:t>Leishmania</w:t>
      </w:r>
      <w:r w:rsidRPr="00FE5D1C">
        <w:rPr>
          <w:rFonts w:ascii="Calibri" w:eastAsia="Times New Roman" w:hAnsi="Calibri" w:cs="Calibri"/>
          <w:b/>
          <w:bCs/>
          <w:color w:val="000000"/>
          <w:kern w:val="0"/>
          <w:sz w:val="22"/>
          <w:szCs w:val="22"/>
          <w14:ligatures w14:val="none"/>
        </w:rPr>
        <w:t> Parasites collected from patients with visceral leishmaniasis in Garissa County, Northern Kenya reveals a new emerging hybridgenotype of </w:t>
      </w:r>
      <w:r w:rsidRPr="00FE5D1C">
        <w:rPr>
          <w:rFonts w:ascii="Calibri" w:eastAsia="Times New Roman" w:hAnsi="Calibri" w:cs="Calibri"/>
          <w:b/>
          <w:bCs/>
          <w:i/>
          <w:iCs/>
          <w:color w:val="000000"/>
          <w:kern w:val="0"/>
          <w:sz w:val="22"/>
          <w:szCs w:val="22"/>
          <w14:ligatures w14:val="none"/>
        </w:rPr>
        <w:t>L. donovani</w:t>
      </w:r>
    </w:p>
    <w:p w14:paraId="182633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Leishmaniasis is endemic in many countries, including Kenya. Globally, around 350 million people are at risk of contracting the disease. Despite the rising frequency of visceral leishmaniasis (VL) outbreaks in Garissa County, Northeastern Kenya, there is limited data on the genetic structure and epidemiology of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parasites originating from this region. This study used molecular methods to characterize the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parasites collected at Garissa County Referral Hospital during the 2019 - 2022 VL outbreak. A total of 286 blood samples, collected from patients suspected of having VL at Garissa County Referral Hospital between 2019 and 2022, were analyzed.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parasites were screened at genus level by a quantitative real-time PCR assay targeting the arginine permease gene AAP3 (AAP3-qRT-PCR). Species identification and targeted gene sequencing were performed on Illumina MiSeq using PCR amplicons of the </w:t>
      </w:r>
      <w:r w:rsidRPr="00FE5D1C">
        <w:rPr>
          <w:rFonts w:ascii="Calibri" w:eastAsia="Times New Roman" w:hAnsi="Calibri" w:cs="Calibri"/>
          <w:i/>
          <w:iCs/>
          <w:color w:val="000000"/>
          <w:kern w:val="0"/>
          <w:sz w:val="22"/>
          <w:szCs w:val="22"/>
          <w14:ligatures w14:val="none"/>
        </w:rPr>
        <w:t>Hsp70</w:t>
      </w:r>
      <w:r w:rsidRPr="00FE5D1C">
        <w:rPr>
          <w:rFonts w:ascii="Calibri" w:eastAsia="Times New Roman" w:hAnsi="Calibri" w:cs="Calibri"/>
          <w:color w:val="000000"/>
          <w:kern w:val="0"/>
          <w:sz w:val="22"/>
          <w:szCs w:val="22"/>
          <w14:ligatures w14:val="none"/>
        </w:rPr>
        <w:t> gene and ITS regions, then analyzed using phylogenetic tools. Whole genome sequencing (WGS) was conducted directly on eight selected clinical samples using a target enrichment method after which data was analyzed using phylogenomic tools.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By AAP3-qRT-PCR, 128/286 (45%) blood specimens were determined to have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parasites. Phylogenetic analysis of the 86 </w:t>
      </w:r>
      <w:r w:rsidRPr="00FE5D1C">
        <w:rPr>
          <w:rFonts w:ascii="Calibri" w:eastAsia="Times New Roman" w:hAnsi="Calibri" w:cs="Calibri"/>
          <w:i/>
          <w:iCs/>
          <w:color w:val="000000"/>
          <w:kern w:val="0"/>
          <w:sz w:val="22"/>
          <w:szCs w:val="22"/>
          <w14:ligatures w14:val="none"/>
        </w:rPr>
        <w:t>Hsp70</w:t>
      </w:r>
      <w:r w:rsidRPr="00FE5D1C">
        <w:rPr>
          <w:rFonts w:ascii="Calibri" w:eastAsia="Times New Roman" w:hAnsi="Calibri" w:cs="Calibri"/>
          <w:color w:val="000000"/>
          <w:kern w:val="0"/>
          <w:sz w:val="22"/>
          <w:szCs w:val="22"/>
          <w14:ligatures w14:val="none"/>
        </w:rPr>
        <w:t> and 79 ITS amplicon sequences revealed a clustering with the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species complex. The WGS of the eight selected samples identified them as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s.s., which clustered into two distinct groups: one similar to the previously reported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group 5 and the other constituting a new and hybrid genetic variant not reported previously.</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conclusion,</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this study reveals the complex nature of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epidemiology in Kenya and sheds light on the genomic polymorphism of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in the region which, in turn, may have implications on diagnosis and treatment.</w:t>
      </w:r>
    </w:p>
    <w:p w14:paraId="0C8F2B4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25-A-2321-ASTMH</w:t>
      </w:r>
    </w:p>
    <w:p w14:paraId="6B7CC8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2D255BDA" w14:textId="6F5B2BE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Genetic signatures in the highly virulent subtype B HIV-1 conferring immune escape to V1/V2 and V3 broadly neutralizing antibodies</w:t>
      </w:r>
    </w:p>
    <w:p w14:paraId="0D4183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genetic diversity of HIV-1 is continuously evolving due to high mutation rates and frequent recombination, contributing to the ability of the virus to evade the host immune system, which represents a major challenge in HIV-1 vaccine development. HIV-1 is considered to adapt to both cellular and humoral immunity over time at the population level, with a decrease in sensitivity to existing broadly neutralizing antibodies (bNAbs) over time. The rapid emergence and potential transmissibility of the virulent subtype B (VB) HIV-1 globally is a major concern. However, whether VB HIV-1 is associated with immune escape of bNAbs remains to be determined. This study sought to identify genetic signatures in the V2 and V3 loops of VB variants associated with resistance against broadly neutralizing </w:t>
      </w:r>
      <w:r w:rsidRPr="00FE5D1C">
        <w:rPr>
          <w:rFonts w:ascii="Calibri" w:eastAsia="Times New Roman" w:hAnsi="Calibri" w:cs="Calibri"/>
          <w:color w:val="000000"/>
          <w:kern w:val="0"/>
          <w:sz w:val="22"/>
          <w:szCs w:val="22"/>
          <w14:ligatures w14:val="none"/>
        </w:rPr>
        <w:lastRenderedPageBreak/>
        <w:t>antibodies (bNAbs), particularly those targeting V1/V2 and V3 glycan sites. Seventeen (17) virulent subtype B (VB) HIV-1 sequences were analyzed and compared with over 3,000 global subtype B env sequences to identify genetic differences, particularly in glycan sites. Full-length HIV-1 </w:t>
      </w:r>
      <w:r w:rsidRPr="00FE5D1C">
        <w:rPr>
          <w:rFonts w:ascii="Calibri" w:eastAsia="Times New Roman" w:hAnsi="Calibri" w:cs="Calibri"/>
          <w:i/>
          <w:iCs/>
          <w:color w:val="000000"/>
          <w:kern w:val="0"/>
          <w:sz w:val="22"/>
          <w:szCs w:val="22"/>
          <w14:ligatures w14:val="none"/>
        </w:rPr>
        <w:t>env</w:t>
      </w:r>
      <w:r w:rsidRPr="00FE5D1C">
        <w:rPr>
          <w:rFonts w:ascii="Calibri" w:eastAsia="Times New Roman" w:hAnsi="Calibri" w:cs="Calibri"/>
          <w:color w:val="000000"/>
          <w:kern w:val="0"/>
          <w:sz w:val="22"/>
          <w:szCs w:val="22"/>
          <w14:ligatures w14:val="none"/>
        </w:rPr>
        <w:t> clones of four VB strains were synthesized, pseudovirus stock prepared, and their sensitivity to broadly neutralizing antibodies (bNAbs) was assessed using luciferase-based neutralization assays in TZM-bl cells. Co-receptor usage and Maraviroc sensitivity were evaluated in NP-2 cell lines and primary CD4+ T cells to confirm viral entry pathways and potential drug inhibition.We found that the absence of N295 and N332 glycans in the high-mannose patch, which are crucial for neutralization by V3 glycan bNAbs and are typically conserved in subtype B HIV-1, is a notable feature in more than half of the VB variants. Neutralization assays confirmed that the loss of these two glycans in VB HIV-1 leads to its escape from V3 glycan bNAbs. Additionally, all VB variants investigated had an insertion in V2, contributing to immune escape from the V1/V2 bNAbs PG9 and PG16. These findings suggest the potential co-evolution of HIV-1 virulence and antigenicity, underscoring the need to monitor both the viral pathogenicity and neutralization susceptibility of newly emerged HIV-1 strains.</w:t>
      </w:r>
    </w:p>
    <w:p w14:paraId="25550B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25-A-2322-ASTMH</w:t>
      </w:r>
    </w:p>
    <w:p w14:paraId="4AB6C5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60C0FA5B" w14:textId="17AFF2B9"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From Demonstration to Sustainability: Evaluating the post-elimination phase of the Malaria Elimination Demonstration Project, Mandla, India</w:t>
      </w:r>
    </w:p>
    <w:p w14:paraId="665156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Malaria Elimination Demonstration Project (MEDP) in Mandla district, Madhya Pradesh, conducted from 2017 to 2021, demonstrated that malaria elimination is possible in hard-to-reach tribal areas with complex epidemiology through evidence-based strategies and focused operations with management controls. At the end of the project in 2021, over 88% (262) of sub-centres were malaria-free, which increased to 97% (288) until 2023. The gains of the demonstration project were observed with malaria cases in the district with around 36 cases for the years 2022 and 2023. It was not known if these cases were indigenous or imported. However, recent surveillance data from 2024 by the Government has reported 175 confirmed malaria cases across the district, prompting a critical reflection on the challenges of sustaining elimination gains beyond the project lifecycle. Unlike the previous two years, this year’s data is segregated with 125 indigenous and 50 imported malaria infections. While sustainability was built into the project’s design, including transition planning, health system integration, and community ownership - the post-project period in the year 2024 has revealed the fragile nature of such gains in the absence of continued capacity building and training. As part of ongoing monitoring and response, a capacity-building initiative targeting all 1300+ Accredited Social Health Activists (ASHAs) of the district is being planned to strengthen local surveillance, diagnosis, and response capabilities. The Mandla experience serves as an example for similar geographies where successful interventions risk reversal without structured transition planning and post-elimination support. It raises the critical question: is there a need for a multi-tiered approach for accomplishing and maintaining malaria elimination at sub-national and national levels?This presentation presents the trajectory of Mandla post-MEDP, offering valuable insights into operational sustainability, continuous frontline workforce training and capacity strengthening, and the evolving understanding of what it will truly take to end malaria.</w:t>
      </w:r>
    </w:p>
    <w:p w14:paraId="596C12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25-A-2323-ASTMH</w:t>
      </w:r>
    </w:p>
    <w:p w14:paraId="2206AA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74C8CA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Urban malaria in Accra, Ghana: Transmission Risk and influence of irrigated vegetable farms</w:t>
      </w:r>
    </w:p>
    <w:p w14:paraId="5608635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Urban malaria transmission in Sub-Saharan Africa is an emerging public health challenge, often underestimated due to the less availability of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breeding habitats in urban settings. However, in cities like Accra, Ghana, these vectors are adapting to polluted habitats, including household and industrial effluents. This study investigated the distribution, abundance, adult behavior, and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xml:space="preserve"> infection rates of malaria vectors across five site categories: Irrigated Urban Farming </w:t>
      </w:r>
      <w:r w:rsidRPr="00FE5D1C">
        <w:rPr>
          <w:rFonts w:ascii="Calibri" w:eastAsia="Times New Roman" w:hAnsi="Calibri" w:cs="Calibri"/>
          <w:color w:val="000000"/>
          <w:kern w:val="0"/>
          <w:sz w:val="22"/>
          <w:szCs w:val="22"/>
          <w14:ligatures w14:val="none"/>
        </w:rPr>
        <w:lastRenderedPageBreak/>
        <w:t>(IUF), Lower Socioeconomic Status (LS), Middle Socioeconomic Status (MS), High Socioeconomic Status (HS), and Peri-urban (PU). Larvae were sampled using WHO dipping technique, and adults using human landing catch (HLC) and Prokopack aspiration. Physicochemical parameters of breeding habitats were measured, and molecular techniques used to identify vector species, sporozoite infectivity, bloodmeal source, and resistance mutation genes. The highest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larval abundance was found in the irrigated agriculture sites (27.24%, 6,244/22,919). Vectors bred in highly polluted waters with low dissolved oxygen (1.4 ppm) compared to unpolluted habitats (7.8 ppm) and high concentrations of total dissolved solids (4,567.0 mg/L vs 1,780.2 mg/L) and NH</w:t>
      </w:r>
      <w:r w:rsidRPr="00FE5D1C">
        <w:rPr>
          <w:rFonts w:ascii="Calibri" w:eastAsia="Times New Roman" w:hAnsi="Calibri" w:cs="Calibri"/>
          <w:color w:val="000000"/>
          <w:kern w:val="0"/>
          <w:sz w:val="22"/>
          <w:szCs w:val="22"/>
          <w:vertAlign w:val="subscript"/>
          <w14:ligatures w14:val="none"/>
        </w:rPr>
        <w:t>4</w:t>
      </w:r>
      <w:r w:rsidRPr="00FE5D1C">
        <w:rPr>
          <w:rFonts w:ascii="Calibri" w:eastAsia="Times New Roman" w:hAnsi="Calibri" w:cs="Calibri"/>
          <w:color w:val="000000"/>
          <w:kern w:val="0"/>
          <w:sz w:val="22"/>
          <w:szCs w:val="22"/>
          <w14:ligatures w14:val="none"/>
        </w:rPr>
        <w:t>-N (11.9 mg/L vs 4.9 mg/L). In total, 21,534 adult malaria vectors (97.26% host-seeking and 2.74% resting) were collected. The highest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density was recorded in irrigated urban farming sites, with indoor resting vectors having higher sporozoite infectivity (4.56%, 16/351) than outdoor (3.78%, 9/238) (χ² = 6.78, P = 0.009). Human Blood Index (86.30%) exceeded the Bovine Blood Index (29.33%) across all sites. Overall EIR was 1.53 ib/p/n, higher in the rainy season (2.86 ib/p/n) than dry season (0.19 ib/p/n), with no significant difference (χ² = 18.80, df = 15,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0.331). This study showed that irrigated urban agriculture drives urban malaria transmission in Accra, with high vector abundance, human bloodmeal indices, sporozoite infectivity and EIR, emphasizing the need for continuous surveillance and control efforts.</w:t>
      </w:r>
    </w:p>
    <w:p w14:paraId="1AD90A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25-A-2324-ASTMH</w:t>
      </w:r>
    </w:p>
    <w:p w14:paraId="137A8C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5F5A96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Developing an innovation and enterprise framework for translating UK-driven global health research into commercially viable interventions: the FLIGHT study</w:t>
      </w:r>
    </w:p>
    <w:p w14:paraId="314B87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UK Higher Education Institution (HEI) sector faces significant challenges in translating early-stage research into commercially viable public health products, particularly in infectious diseases. This gap, often termed the "valley of death," is exacerbated by a fragmented ecosystem and unclear pathways to implementation. The FLIGHT (Framework for Leveraging Innovation in Global Health Technologies) project aims to address these challenges by enhancing the commercialisation of global health research from UK HEIs to drive economic and societal impact. Led by Liverpool School of Tropical Medicine, in partnership with London School of Hygiene and Tropical Medicine, Brighton and Sussex Medical School, and other associated partners, FLIGHT seeks to develop a best practice Innovation and Enterprise Framework (IEF) to support R&amp;D commercialisation.This project will use a mixed-methods approach to assess existing public health R&amp;D assets and the commercialisation knowledge and skills of HEI professionals and Early Career Researchers (ECRs) across partner institutions. Data collection will include literature reviews, surveys, qualitative interviews, and focus group discussions exploring staff and ECR’s perceptions and experiences with commercialisation, to identify barriers and opportunities for improvement. Ethical considerations and participant confidentiality are central to the study design.The FLIGHT project aims to bridge critical gaps in the innovation pipeline, fostering a robust ecosystem for translating HEI research into deployable health interventions. This initiative will contribute to strengthening the UK’s global health R&amp;D commercialisation capabilities and accelerating the development and deployment of essential public health interventions. Findings will inform policy recommendations and best practice for HEI commercialisation strategies, with implications for both UK and low-and middle-income country (LMIC) contexts.</w:t>
      </w:r>
    </w:p>
    <w:p w14:paraId="398921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25-A-2325-ASTMH</w:t>
      </w:r>
    </w:p>
    <w:p w14:paraId="5CE600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7EB570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CYP2D genetic variation modulates </w:t>
      </w:r>
      <w:r w:rsidRPr="00FE5D1C">
        <w:rPr>
          <w:rFonts w:ascii="Calibri" w:eastAsia="Times New Roman" w:hAnsi="Calibri" w:cs="Calibri"/>
          <w:b/>
          <w:bCs/>
          <w:i/>
          <w:iCs/>
          <w:color w:val="000000"/>
          <w:kern w:val="0"/>
          <w:sz w:val="22"/>
          <w:szCs w:val="22"/>
          <w14:ligatures w14:val="none"/>
        </w:rPr>
        <w:t>Plasmodium vivax</w:t>
      </w:r>
      <w:r w:rsidRPr="00FE5D1C">
        <w:rPr>
          <w:rFonts w:ascii="Calibri" w:eastAsia="Times New Roman" w:hAnsi="Calibri" w:cs="Calibri"/>
          <w:b/>
          <w:bCs/>
          <w:color w:val="000000"/>
          <w:kern w:val="0"/>
          <w:sz w:val="22"/>
          <w:szCs w:val="22"/>
          <w14:ligatures w14:val="none"/>
        </w:rPr>
        <w:t> infection risk: insights from a longitudinal community-based study in the Brazilian Amazon</w:t>
      </w:r>
    </w:p>
    <w:p w14:paraId="11A8BA8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caused by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xml:space="preserve"> remains a significant public health concern in endemic regions, particularly in the Brazilian Amazon, where transmission persists despite control efforts. Understanding host factors that influence susceptibility to infection is critical for advancing prevention strategies. The cytochrome P450 2D6 (CYP2D6) enzyme is essential for the metabolism of primaquine, the main drug </w:t>
      </w:r>
      <w:r w:rsidRPr="00FE5D1C">
        <w:rPr>
          <w:rFonts w:ascii="Calibri" w:eastAsia="Times New Roman" w:hAnsi="Calibri" w:cs="Calibri"/>
          <w:color w:val="000000"/>
          <w:kern w:val="0"/>
          <w:sz w:val="22"/>
          <w:szCs w:val="22"/>
          <w14:ligatures w14:val="none"/>
        </w:rPr>
        <w:lastRenderedPageBreak/>
        <w:t>used for the radical cure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but its role in infection risk, beyond relapse prevention, remains underexplored. We hypothesized that individuals with impaired CYP2D6 activity develop partial immunity more rapidly due to the ineffective clearance of hypnozoites. To test this hypothesis, we conducted a community-based longitudinal study in an urban area of the Brazilian Amazon, enrolling over 2690 individuals with a 4-year follow-up. Participants were genotyped for CYP2D6 and repeatedly tested for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using molecular methods to detect asymptomatic and submicroscopic infections. A total of 1,305 participants were successfully genotyped for CYP2D6. Impaired CYP2D6 activity (AS ≤ 1.0) was identified in 27.7% of the genotyped individuals. Children with impaired CYP2D6 had a higher frequency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infection, but from adolescence onwards, infection became more prevalent among individuals with normal enzyme activity. In the 15-34 age group, impaired activity was associated with a significantly lower infection rate (3.9% vs. 7.4%; OR = 0.51; 95% CI: 0.29-0.85; P = 0.0077). A generalized additive mixed model confirmed this age-dependent pattern (P = 0.0008). Parasite densities were also lower in adults (35-54 years) with impaired CYP2D6 activity compared to younger individuals with normal activity (P = 0.0383). Our findings support the hypothesis that CYP2D6 activity modulates the dynamics of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infection and immunity development. The genetic heterogeneity of the Brazilian population and variability in CYP2D6 allele frequencies are key to understanding therapeutic failure. These insights may inform strategies for malaria control and elimination by integrating host genetic into treatment approaches.</w:t>
      </w:r>
    </w:p>
    <w:p w14:paraId="1109C9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25-A-2326-ASTMH</w:t>
      </w:r>
    </w:p>
    <w:p w14:paraId="3F7C88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278DAE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Modelling malaria transmission in hotspot regions using Bayesian belief networks: Developing an operational framework for Tanzania</w:t>
      </w:r>
    </w:p>
    <w:p w14:paraId="016D5F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Despite increasing intervention coverage and dropping transmission rates at the national level, malaria remains a significant public health challenge in multiple regions in Tanzania. A holistic approach to understanding the multi-dimensional drivers of malaria transmission opens more avenues for intervention targeting. Modelling transmission using standard methods does not account for the dynamic interplay of factors that are implicated in malaria transmission. Here, for the first time, we model malaria transmission using the Bayesian belief networks, employing a Machine Learning (ML) approach to improve predictive accuracy. Using the 2017 NMCP hotspot survey data, 16 villages from 4 hotspot regions were included. Parasitological assessments, entomological surveys and health system evaluations were collected alongside information about household characteristics, prevention, and individual health-seeking behaviors. To analyze malaria risk, a Bayesian Belief Network (BBN) is structured using transmission determinants, with Conditional Probability Tables (CPTs) informed by available data. Scenario testing and sensitivity analyses are being conducted to assess intervention impact and identify the key drivers of malaria prevalence at village level. Preliminary exploratory analysis suggests significant interactions between low socioeconomic status, school age, housing quality and malaria positivity rates. Sensitivity analysis using a BBN identified key drivers, including housing quality, healthcare access and prevalence in school age children. By leveraging multiple sources of data, this framework aims to holistically address malaria and inform targeted evidence-based decisions. The result is an adaptable tool that can be scaled to national and regional settings to assist in the design of malaria control programs.</w:t>
      </w:r>
    </w:p>
    <w:p w14:paraId="5C064D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25-A-2327-ASTMH</w:t>
      </w:r>
    </w:p>
    <w:p w14:paraId="78D56D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2EDA56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MDA alone is not enough: Integrating WASH and Health Education to Reduce Intestinal Parasites in Rural Ethiopia</w:t>
      </w:r>
    </w:p>
    <w:p w14:paraId="093392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Neglected tropical diseases such as soil-transmitted helminths and schistosomiasis remain a significant public health burden in Ethiopia, where school-based mass drug administration (MDA) alone has proven insufficient to prevent reinfection. This quasi-experimental study assessed the impact of combining MDA </w:t>
      </w:r>
      <w:r w:rsidRPr="00FE5D1C">
        <w:rPr>
          <w:rFonts w:ascii="Calibri" w:eastAsia="Times New Roman" w:hAnsi="Calibri" w:cs="Calibri"/>
          <w:color w:val="000000"/>
          <w:kern w:val="0"/>
          <w:sz w:val="22"/>
          <w:szCs w:val="22"/>
          <w14:ligatures w14:val="none"/>
        </w:rPr>
        <w:lastRenderedPageBreak/>
        <w:t>with targeted water, sanitation, and hygiene (WASH) improvements and behavior change communication by comparing two districts in Southwest Ethiopia: North Bench (intervention) and Shay Bench (control). Both districts received routine MDA and multisectoral coordination support, while only North Bench received additional social and behavior change interventions. School-based surveys at baseline (2022) and endline (2023) included stool analysis using the Kato-Katz method and structured WASH questionnaires (n=633). Analysis using chi-square tests and difference-in-differences modeling showed that schistosomiasis prevalence declined by 57.3% in North Bench district compared to 35.2% in Shay Bench (p&lt;0.001). Furthermore, a 43% reduction in Ascaris prevalence was observed in North Bench versus 22.3% in the control district. In addition, significant behavioral improvements were observed in the intervention group, including increased hand washing after defecation (69.0%), improved facial hygiene (61.0%), and a 53.5% reduction in daily river contact. Uptake of medication, latrine use, and belief in parasite prevention also rose substantially. On the contrary, the control group had smaller improvements with some WASH behaviors even declining. These results highlight the effectiveness of integrating behavioral and WASH interventions with MDA and underscore the need for community-based, multisectoral approaches to sustainably reduce the burden of schistosomiasis and other intestinal parasites.</w:t>
      </w:r>
    </w:p>
    <w:p w14:paraId="1A7EB9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25-A-2328-ASTMH</w:t>
      </w:r>
    </w:p>
    <w:p w14:paraId="0AB0A6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35F137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Fine scale temporal patterns of mosquito density, Plasmodium falciparum sporozoite rate in Anopheles mosquitoes, and malaria cases in a community-based longitudinal cohort in Kenya</w:t>
      </w:r>
    </w:p>
    <w:p w14:paraId="01DF75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transmitted through the bite of an infected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 carrying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sporozoites in its salivary glands. We established a cohort in western Kenya to pinpoint discrete exposures to infectious bites. In February 2024, we initiated an innovative reactive sampling scheme designed to study the outcome of known exposure to infectious bites. We aspirated mosquitoes from 75 households weekly and tested all bloodfed and half-gravid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by real-time PCR for the presence of sporozoites. We report the results of real-time sporozoite detection and the household factors associated with exposure to infectious bites. Between February 2024 and March 2025, 1,771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were identified</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73/75 cohort households. The thoraces of 1099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which were visibly bloodfed and half-gravid (62%) were tested for the presence of sporozoites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total, 57 were positive (5.19%) from 23/75 households, suggesting that sporozoite-positive (spz+) mosquitoes are more clustered at the household level than mosquitoes alone (p = 0.006). At the same time,</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711 RDTs were performed for household members reporting malaria-like symptoms, of which 264 (37%) were Pf-positive. The number of Pf-positive RDTs per person in households where at least one spz+ mosquito was detected was higher than in households with only spz- mosquitoes detected (median (IQR): 0.63 (0.35-0.90) vs 0.25 (0.05-0.45), p = 0.013). The population of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peaked in May 2024, while the proportion of spz+ mosquitoes peaked in March 2024, before the increase in mosquitoes population, and rose again in June 2024 after the peak in total mosquitoes. The number and proportion of Pf+ RDTs steadily rose over the months with peak in June 2024, closely aligning with the months when the proportion of spz+ mosquitoes was high. Despite 79% of individuals using mosquito nets and 89% of these nets permanently fixed, there is still a significant burden of malaria. However, inconsistencies in net usage frequency and the presence of spz+ mosquitoes indicate gaps in protection and the need for improved vector control measures.</w:t>
      </w:r>
    </w:p>
    <w:p w14:paraId="749EE4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25-A-2329-ASTMH</w:t>
      </w:r>
    </w:p>
    <w:p w14:paraId="0EA013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2E2496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 the juice?: T. cruzi vectorial-oral outbreak investigation in a semi-arid rural area of South America</w:t>
      </w:r>
    </w:p>
    <w:p w14:paraId="4C9E92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Chagas disease remains a significant public health concern in Latin America, where the vectorial and oral transmission routes of Trypanosoma cruzi persist in domestic environments. We aim to describe the </w:t>
      </w:r>
      <w:r w:rsidRPr="00FE5D1C">
        <w:rPr>
          <w:rFonts w:ascii="Calibri" w:eastAsia="Times New Roman" w:hAnsi="Calibri" w:cs="Calibri"/>
          <w:color w:val="000000"/>
          <w:kern w:val="0"/>
          <w:sz w:val="22"/>
          <w:szCs w:val="22"/>
          <w14:ligatures w14:val="none"/>
        </w:rPr>
        <w:lastRenderedPageBreak/>
        <w:t>investigation of an acute Chagas disease outbreak in Bahia, Brazil. We conducted a descriptive study based on Unified Health System using primary care information, epidemiological evaluation, entomological surveillance, and molecular analysis of samples. The investigation began after the death of a 12-year-old child (Case 1 - Index). Among the five family members, four tested positive for acute Chagas disease. All affected individuals reported ingesting acerola juice from fruits grown on their property, except for Case 5, who did not consume the juice or fresh fruit and tested negative for T. cruzi. During the entomological investigation of the rural household, we captured 21 Triatoma pseudomaculata specimens (14 nymphs and seven adults) in a chicken coop near the residence, and fifteen of them tested positive for T. cruzi. Blood samples were collected from three domestic cats, two dogs, and an opossum. Triatominae blood meal analysis and T. cruzi molecular evaluation from vectors and hosts revealed T. cruzi DTU TcI and high diversity of haplotypes, H1 to H8 in triatomine, H1 to H4 in opossum, and H1 in the human Case 2. TcI haplotypes show a close relationship between the parasites found in the vectors and those detected in the human cases and reservoir, respectively, reinforcing the hypothesis of vector/oral transmission and the maintenance of T. cruzi anthropozoonotic cycle in the region. This study describes the investigation of an acute Chagas disease outbreak in the Serrolândia municipality. Based on clinical symptoms, epidemiological investigation, entomological evaluation, and molecular analysis of the biological samples, we conclude that the infection occurred through the vector/oral route via ingestion of T. cruzi-contaminated fresh acerola (Malpighia sp) fruit or juice. Our findings underscore the necessity for improved surveillance and preventive measures in areas vulnerable to Chagas disease.</w:t>
      </w:r>
    </w:p>
    <w:p w14:paraId="7A56B2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25-A-2330-ASTMH</w:t>
      </w:r>
    </w:p>
    <w:p w14:paraId="6B12680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3C2D96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Longitudinal surveillance of </w:t>
      </w:r>
      <w:r w:rsidRPr="00FE5D1C">
        <w:rPr>
          <w:rFonts w:ascii="Calibri" w:eastAsia="Times New Roman" w:hAnsi="Calibri" w:cs="Calibri"/>
          <w:b/>
          <w:bCs/>
          <w:i/>
          <w:iCs/>
          <w:color w:val="000000"/>
          <w:kern w:val="0"/>
          <w:sz w:val="22"/>
          <w:szCs w:val="22"/>
          <w14:ligatures w14:val="none"/>
        </w:rPr>
        <w:t>Anopheles </w:t>
      </w:r>
      <w:r w:rsidRPr="00FE5D1C">
        <w:rPr>
          <w:rFonts w:ascii="Calibri" w:eastAsia="Times New Roman" w:hAnsi="Calibri" w:cs="Calibri"/>
          <w:b/>
          <w:bCs/>
          <w:color w:val="000000"/>
          <w:kern w:val="0"/>
          <w:sz w:val="22"/>
          <w:szCs w:val="22"/>
          <w14:ligatures w14:val="none"/>
        </w:rPr>
        <w:t>mosquitoes across different settings in Tanga and Unguja: increased distribution of </w:t>
      </w:r>
      <w:r w:rsidRPr="00FE5D1C">
        <w:rPr>
          <w:rFonts w:ascii="Calibri" w:eastAsia="Times New Roman" w:hAnsi="Calibri" w:cs="Calibri"/>
          <w:b/>
          <w:bCs/>
          <w:i/>
          <w:iCs/>
          <w:color w:val="000000"/>
          <w:kern w:val="0"/>
          <w:sz w:val="22"/>
          <w:szCs w:val="22"/>
          <w14:ligatures w14:val="none"/>
        </w:rPr>
        <w:t>An. merus</w:t>
      </w:r>
      <w:r w:rsidRPr="00FE5D1C">
        <w:rPr>
          <w:rFonts w:ascii="Calibri" w:eastAsia="Times New Roman" w:hAnsi="Calibri" w:cs="Calibri"/>
          <w:b/>
          <w:bCs/>
          <w:color w:val="000000"/>
          <w:kern w:val="0"/>
          <w:sz w:val="22"/>
          <w:szCs w:val="22"/>
          <w14:ligatures w14:val="none"/>
        </w:rPr>
        <w:t> in coastal and inland areas of Tanzania</w:t>
      </w:r>
    </w:p>
    <w:p w14:paraId="3BFB60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Effective malaria vector control in endemic areas requires understanding of the distribution and composition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species, as shifts in malaria vector species composition can influence the efficacy of control interventions and transmission patterns. The current study explored the temporal and spatial distribution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species and their infection with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 different transmission settings in Tanga region and Unguja, Zanzibar, United Republic of Tanzania.From September 2021 to December 2023, we conducted a series of cross-sectional entomological surveys along a transect covering different transmission strata and altitudes. Each month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mosquitoes were sampled indoors and outdoors at 10 households in each of 11 villages in Tanga and four Shehias in Unguja. Collected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were identified based on morphological criteria and sibling species of the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sensu lato (s.l.) complex and the </w:t>
      </w:r>
      <w:r w:rsidRPr="00FE5D1C">
        <w:rPr>
          <w:rFonts w:ascii="Calibri" w:eastAsia="Times New Roman" w:hAnsi="Calibri" w:cs="Calibri"/>
          <w:i/>
          <w:iCs/>
          <w:color w:val="000000"/>
          <w:kern w:val="0"/>
          <w:sz w:val="22"/>
          <w:szCs w:val="22"/>
          <w14:ligatures w14:val="none"/>
        </w:rPr>
        <w:t>An. funestus </w:t>
      </w:r>
      <w:r w:rsidRPr="00FE5D1C">
        <w:rPr>
          <w:rFonts w:ascii="Calibri" w:eastAsia="Times New Roman" w:hAnsi="Calibri" w:cs="Calibri"/>
          <w:color w:val="000000"/>
          <w:kern w:val="0"/>
          <w:sz w:val="22"/>
          <w:szCs w:val="22"/>
          <w14:ligatures w14:val="none"/>
        </w:rPr>
        <w:t>group were identified using polymerase chain reaction (PCR). The collected malaria vectors were screened for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using Taqman real time PCR assay. A total of 3,766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were collected in Tanga and 905 in Unguja. In Tanga, </w:t>
      </w:r>
      <w:r w:rsidRPr="00FE5D1C">
        <w:rPr>
          <w:rFonts w:ascii="Calibri" w:eastAsia="Times New Roman" w:hAnsi="Calibri" w:cs="Calibri"/>
          <w:i/>
          <w:iCs/>
          <w:color w:val="000000"/>
          <w:kern w:val="0"/>
          <w:sz w:val="22"/>
          <w:szCs w:val="22"/>
          <w14:ligatures w14:val="none"/>
        </w:rPr>
        <w:t>An. gambiae s.s </w:t>
      </w:r>
      <w:r w:rsidRPr="00FE5D1C">
        <w:rPr>
          <w:rFonts w:ascii="Calibri" w:eastAsia="Times New Roman" w:hAnsi="Calibri" w:cs="Calibri"/>
          <w:color w:val="000000"/>
          <w:kern w:val="0"/>
          <w:sz w:val="22"/>
          <w:szCs w:val="22"/>
          <w14:ligatures w14:val="none"/>
        </w:rPr>
        <w:t>(43.8%) and </w:t>
      </w:r>
      <w:r w:rsidRPr="00FE5D1C">
        <w:rPr>
          <w:rFonts w:ascii="Calibri" w:eastAsia="Times New Roman" w:hAnsi="Calibri" w:cs="Calibri"/>
          <w:i/>
          <w:iCs/>
          <w:color w:val="000000"/>
          <w:kern w:val="0"/>
          <w:sz w:val="22"/>
          <w:szCs w:val="22"/>
          <w14:ligatures w14:val="none"/>
        </w:rPr>
        <w:t>An. merus</w:t>
      </w:r>
      <w:r w:rsidRPr="00FE5D1C">
        <w:rPr>
          <w:rFonts w:ascii="Calibri" w:eastAsia="Times New Roman" w:hAnsi="Calibri" w:cs="Calibri"/>
          <w:color w:val="000000"/>
          <w:kern w:val="0"/>
          <w:sz w:val="22"/>
          <w:szCs w:val="22"/>
          <w14:ligatures w14:val="none"/>
        </w:rPr>
        <w:t> (37.1%) were the predominant species, while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(55.7%) and </w:t>
      </w:r>
      <w:r w:rsidRPr="00FE5D1C">
        <w:rPr>
          <w:rFonts w:ascii="Calibri" w:eastAsia="Times New Roman" w:hAnsi="Calibri" w:cs="Calibri"/>
          <w:i/>
          <w:iCs/>
          <w:color w:val="000000"/>
          <w:kern w:val="0"/>
          <w:sz w:val="22"/>
          <w:szCs w:val="22"/>
          <w14:ligatures w14:val="none"/>
        </w:rPr>
        <w:t>An. merus</w:t>
      </w:r>
      <w:r w:rsidRPr="00FE5D1C">
        <w:rPr>
          <w:rFonts w:ascii="Calibri" w:eastAsia="Times New Roman" w:hAnsi="Calibri" w:cs="Calibri"/>
          <w:color w:val="000000"/>
          <w:kern w:val="0"/>
          <w:sz w:val="22"/>
          <w:szCs w:val="22"/>
          <w14:ligatures w14:val="none"/>
        </w:rPr>
        <w:t> (41.9%) were the most common in Unguja. In Tanga, </w:t>
      </w:r>
      <w:r w:rsidRPr="00FE5D1C">
        <w:rPr>
          <w:rFonts w:ascii="Calibri" w:eastAsia="Times New Roman" w:hAnsi="Calibri" w:cs="Calibri"/>
          <w:i/>
          <w:iCs/>
          <w:color w:val="000000"/>
          <w:kern w:val="0"/>
          <w:sz w:val="22"/>
          <w:szCs w:val="22"/>
          <w14:ligatures w14:val="none"/>
        </w:rPr>
        <w:t>An. merus</w:t>
      </w:r>
      <w:r w:rsidRPr="00FE5D1C">
        <w:rPr>
          <w:rFonts w:ascii="Calibri" w:eastAsia="Times New Roman" w:hAnsi="Calibri" w:cs="Calibri"/>
          <w:color w:val="000000"/>
          <w:kern w:val="0"/>
          <w:sz w:val="22"/>
          <w:szCs w:val="22"/>
          <w14:ligatures w14:val="none"/>
        </w:rPr>
        <w:t> species was consistently present throughout the study period in all settings including highland villages with two peaks in January and December 2022, respectively.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rates for screened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was 2.3% in Tanga and 1.2% in Unguja. This study indicates a major shift in </w:t>
      </w:r>
      <w:r w:rsidRPr="00FE5D1C">
        <w:rPr>
          <w:rFonts w:ascii="Calibri" w:eastAsia="Times New Roman" w:hAnsi="Calibri" w:cs="Calibri"/>
          <w:i/>
          <w:iCs/>
          <w:color w:val="000000"/>
          <w:kern w:val="0"/>
          <w:sz w:val="22"/>
          <w:szCs w:val="22"/>
          <w14:ligatures w14:val="none"/>
        </w:rPr>
        <w:t>An. gambiae s.l</w:t>
      </w:r>
      <w:r w:rsidRPr="00FE5D1C">
        <w:rPr>
          <w:rFonts w:ascii="Calibri" w:eastAsia="Times New Roman" w:hAnsi="Calibri" w:cs="Calibri"/>
          <w:color w:val="000000"/>
          <w:kern w:val="0"/>
          <w:sz w:val="22"/>
          <w:szCs w:val="22"/>
          <w14:ligatures w14:val="none"/>
        </w:rPr>
        <w:t>. sibling species composition compared to the past. Notably,</w:t>
      </w:r>
      <w:r w:rsidRPr="00FE5D1C">
        <w:rPr>
          <w:rFonts w:ascii="Calibri" w:eastAsia="Times New Roman" w:hAnsi="Calibri" w:cs="Calibri"/>
          <w:i/>
          <w:iCs/>
          <w:color w:val="000000"/>
          <w:kern w:val="0"/>
          <w:sz w:val="22"/>
          <w:szCs w:val="22"/>
          <w14:ligatures w14:val="none"/>
        </w:rPr>
        <w:t> An. merus</w:t>
      </w:r>
      <w:r w:rsidRPr="00FE5D1C">
        <w:rPr>
          <w:rFonts w:ascii="Calibri" w:eastAsia="Times New Roman" w:hAnsi="Calibri" w:cs="Calibri"/>
          <w:color w:val="000000"/>
          <w:kern w:val="0"/>
          <w:sz w:val="22"/>
          <w:szCs w:val="22"/>
          <w14:ligatures w14:val="none"/>
        </w:rPr>
        <w:t> has become the second most pre-dominant species in the coastal and inland areas of both Tanga and Unguja. This finding suggests increased adaptability, abundance and resilience of </w:t>
      </w:r>
      <w:r w:rsidRPr="00FE5D1C">
        <w:rPr>
          <w:rFonts w:ascii="Calibri" w:eastAsia="Times New Roman" w:hAnsi="Calibri" w:cs="Calibri"/>
          <w:i/>
          <w:iCs/>
          <w:color w:val="000000"/>
          <w:kern w:val="0"/>
          <w:sz w:val="22"/>
          <w:szCs w:val="22"/>
          <w14:ligatures w14:val="none"/>
        </w:rPr>
        <w:t>An. merus </w:t>
      </w:r>
      <w:r w:rsidRPr="00FE5D1C">
        <w:rPr>
          <w:rFonts w:ascii="Calibri" w:eastAsia="Times New Roman" w:hAnsi="Calibri" w:cs="Calibri"/>
          <w:color w:val="000000"/>
          <w:kern w:val="0"/>
          <w:sz w:val="22"/>
          <w:szCs w:val="22"/>
          <w14:ligatures w14:val="none"/>
        </w:rPr>
        <w:t>and combined with its infection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this mosquito species is likely to contribute to the year-round spread of malaria in the coastal regions of Tanzania.</w:t>
      </w:r>
    </w:p>
    <w:p w14:paraId="35A6FC3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25-A-2331-ASTMH</w:t>
      </w:r>
    </w:p>
    <w:p w14:paraId="62279D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24CB92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Case Study of Hospital Acquired Multidrug Resistant Infections in a post surgical patient in Kenya</w:t>
      </w:r>
    </w:p>
    <w:p w14:paraId="30B89E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Hospital Acquired infections (HAI) can result in prolonged infection especially in post-surgical patients. This study details the progression of HAIs in a 45-year-old paraplegic patient who was hospitalized for more than 2 years. Following a spinal surgery, he was enrolled in an Anti-microbial resistance (AMR) program on July 2022. Clinical and demographic data were collected. Sampling was done and included, 2 wound swabs (20</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July, 6</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September 2022) from surgical site infection (SSI), 3 urine samples (6</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October 2022, 3</w:t>
      </w:r>
      <w:r w:rsidRPr="00FE5D1C">
        <w:rPr>
          <w:rFonts w:ascii="Calibri" w:eastAsia="Times New Roman" w:hAnsi="Calibri" w:cs="Calibri"/>
          <w:color w:val="000000"/>
          <w:kern w:val="0"/>
          <w:sz w:val="22"/>
          <w:szCs w:val="22"/>
          <w:vertAlign w:val="superscript"/>
          <w14:ligatures w14:val="none"/>
        </w:rPr>
        <w:t>rd</w:t>
      </w:r>
      <w:r w:rsidRPr="00FE5D1C">
        <w:rPr>
          <w:rFonts w:ascii="Calibri" w:eastAsia="Times New Roman" w:hAnsi="Calibri" w:cs="Calibri"/>
          <w:color w:val="000000"/>
          <w:kern w:val="0"/>
          <w:sz w:val="22"/>
          <w:szCs w:val="22"/>
          <w14:ligatures w14:val="none"/>
        </w:rPr>
        <w:t>, 29</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August 2023) due to recurrent urinary tract infection linked to long-term catheterization. Samples were cultured on Sheep Blood, MacConkey agar. Identification and antimicrobial susceptibility testing (Vitek 2). Whole genome sequencing (Illumina and Nanopore) provided molecular insights. The SSI yielded </w:t>
      </w:r>
      <w:r w:rsidRPr="00FE5D1C">
        <w:rPr>
          <w:rFonts w:ascii="Calibri" w:eastAsia="Times New Roman" w:hAnsi="Calibri" w:cs="Calibri"/>
          <w:i/>
          <w:iCs/>
          <w:color w:val="000000"/>
          <w:kern w:val="0"/>
          <w:sz w:val="22"/>
          <w:szCs w:val="22"/>
          <w14:ligatures w14:val="none"/>
        </w:rPr>
        <w:t>Acinetobacter baumannii </w:t>
      </w:r>
      <w:r w:rsidRPr="00FE5D1C">
        <w:rPr>
          <w:rFonts w:ascii="Calibri" w:eastAsia="Times New Roman" w:hAnsi="Calibri" w:cs="Calibri"/>
          <w:color w:val="000000"/>
          <w:kern w:val="0"/>
          <w:sz w:val="22"/>
          <w:szCs w:val="22"/>
          <w14:ligatures w14:val="none"/>
        </w:rPr>
        <w:t>(ST2), resistant to β-lactams (including penicillin, 4</w:t>
      </w:r>
      <w:r w:rsidRPr="00FE5D1C">
        <w:rPr>
          <w:rFonts w:ascii="Calibri" w:eastAsia="Times New Roman" w:hAnsi="Calibri" w:cs="Calibri"/>
          <w:color w:val="000000"/>
          <w:kern w:val="0"/>
          <w:sz w:val="22"/>
          <w:szCs w:val="22"/>
          <w:vertAlign w:val="superscript"/>
          <w14:ligatures w14:val="none"/>
        </w:rPr>
        <w:t>th</w:t>
      </w:r>
      <w:r w:rsidRPr="00FE5D1C">
        <w:rPr>
          <w:rFonts w:ascii="Calibri" w:eastAsia="Times New Roman" w:hAnsi="Calibri" w:cs="Calibri"/>
          <w:color w:val="000000"/>
          <w:kern w:val="0"/>
          <w:sz w:val="22"/>
          <w:szCs w:val="22"/>
          <w14:ligatures w14:val="none"/>
        </w:rPr>
        <w:t> generation cephalosporin, carbapenems) and fluoroquinolones with beta lactamase genes (</w:t>
      </w:r>
      <w:r w:rsidRPr="00FE5D1C">
        <w:rPr>
          <w:rFonts w:ascii="Calibri" w:eastAsia="Times New Roman" w:hAnsi="Calibri" w:cs="Calibri"/>
          <w:i/>
          <w:iCs/>
          <w:color w:val="000000"/>
          <w:kern w:val="0"/>
          <w:sz w:val="22"/>
          <w:szCs w:val="22"/>
          <w14:ligatures w14:val="none"/>
        </w:rPr>
        <w:t>blaOXA-23, blaOXA-66, blaTEM-1) </w:t>
      </w:r>
      <w:r w:rsidRPr="00FE5D1C">
        <w:rPr>
          <w:rFonts w:ascii="Calibri" w:eastAsia="Times New Roman" w:hAnsi="Calibri" w:cs="Calibri"/>
          <w:color w:val="000000"/>
          <w:kern w:val="0"/>
          <w:sz w:val="22"/>
          <w:szCs w:val="22"/>
          <w14:ligatures w14:val="none"/>
        </w:rPr>
        <w:t>and the virulence gene</w:t>
      </w:r>
      <w:r w:rsidRPr="00FE5D1C">
        <w:rPr>
          <w:rFonts w:ascii="Calibri" w:eastAsia="Times New Roman" w:hAnsi="Calibri" w:cs="Calibri"/>
          <w:i/>
          <w:iCs/>
          <w:color w:val="000000"/>
          <w:kern w:val="0"/>
          <w:sz w:val="22"/>
          <w:szCs w:val="22"/>
          <w14:ligatures w14:val="none"/>
        </w:rPr>
        <w:t> qacEdelta1 </w:t>
      </w:r>
      <w:r w:rsidRPr="00FE5D1C">
        <w:rPr>
          <w:rFonts w:ascii="Calibri" w:eastAsia="Times New Roman" w:hAnsi="Calibri" w:cs="Calibri"/>
          <w:color w:val="000000"/>
          <w:kern w:val="0"/>
          <w:sz w:val="22"/>
          <w:szCs w:val="22"/>
          <w14:ligatures w14:val="none"/>
        </w:rPr>
        <w:t>which makes organisms resistant to disinfectants. The 2</w:t>
      </w:r>
      <w:r w:rsidRPr="00FE5D1C">
        <w:rPr>
          <w:rFonts w:ascii="Calibri" w:eastAsia="Times New Roman" w:hAnsi="Calibri" w:cs="Calibri"/>
          <w:color w:val="000000"/>
          <w:kern w:val="0"/>
          <w:sz w:val="22"/>
          <w:szCs w:val="22"/>
          <w:vertAlign w:val="superscript"/>
          <w14:ligatures w14:val="none"/>
        </w:rPr>
        <w:t>nd</w:t>
      </w:r>
      <w:r w:rsidRPr="00FE5D1C">
        <w:rPr>
          <w:rFonts w:ascii="Calibri" w:eastAsia="Times New Roman" w:hAnsi="Calibri" w:cs="Calibri"/>
          <w:color w:val="000000"/>
          <w:kern w:val="0"/>
          <w:sz w:val="22"/>
          <w:szCs w:val="22"/>
          <w14:ligatures w14:val="none"/>
        </w:rPr>
        <w:t> SSI was caused by an Extended Spectrum Beta Lactamase (ESBL)-producing </w:t>
      </w:r>
      <w:r w:rsidRPr="00FE5D1C">
        <w:rPr>
          <w:rFonts w:ascii="Calibri" w:eastAsia="Times New Roman" w:hAnsi="Calibri" w:cs="Calibri"/>
          <w:i/>
          <w:iCs/>
          <w:color w:val="000000"/>
          <w:kern w:val="0"/>
          <w:sz w:val="22"/>
          <w:szCs w:val="22"/>
          <w14:ligatures w14:val="none"/>
        </w:rPr>
        <w:t>Escherichia coli </w:t>
      </w:r>
      <w:r w:rsidRPr="00FE5D1C">
        <w:rPr>
          <w:rFonts w:ascii="Calibri" w:eastAsia="Times New Roman" w:hAnsi="Calibri" w:cs="Calibri"/>
          <w:color w:val="000000"/>
          <w:kern w:val="0"/>
          <w:sz w:val="22"/>
          <w:szCs w:val="22"/>
          <w14:ligatures w14:val="none"/>
        </w:rPr>
        <w:t>(EC)</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(ST1193) harboring ESBL genes (</w:t>
      </w:r>
      <w:r w:rsidRPr="00FE5D1C">
        <w:rPr>
          <w:rFonts w:ascii="Calibri" w:eastAsia="Times New Roman" w:hAnsi="Calibri" w:cs="Calibri"/>
          <w:i/>
          <w:iCs/>
          <w:color w:val="000000"/>
          <w:kern w:val="0"/>
          <w:sz w:val="22"/>
          <w:szCs w:val="22"/>
          <w14:ligatures w14:val="none"/>
        </w:rPr>
        <w:t>blaCTX-M-15, blaTEM-1,</w:t>
      </w:r>
      <w:r w:rsidRPr="00FE5D1C">
        <w:rPr>
          <w:rFonts w:ascii="Calibri" w:eastAsia="Times New Roman" w:hAnsi="Calibri" w:cs="Calibri"/>
          <w:color w:val="000000"/>
          <w:kern w:val="0"/>
          <w:sz w:val="22"/>
          <w:szCs w:val="22"/>
          <w14:ligatures w14:val="none"/>
        </w:rPr>
        <w:t>) and fluoroquinolone resistance mutations </w:t>
      </w:r>
      <w:r w:rsidRPr="00FE5D1C">
        <w:rPr>
          <w:rFonts w:ascii="Calibri" w:eastAsia="Times New Roman" w:hAnsi="Calibri" w:cs="Calibri"/>
          <w:i/>
          <w:iCs/>
          <w:color w:val="000000"/>
          <w:kern w:val="0"/>
          <w:sz w:val="22"/>
          <w:szCs w:val="22"/>
          <w14:ligatures w14:val="none"/>
        </w:rPr>
        <w:t>(gyrA_D87N, parC_S80I)</w:t>
      </w:r>
      <w:r w:rsidRPr="00FE5D1C">
        <w:rPr>
          <w:rFonts w:ascii="Calibri" w:eastAsia="Times New Roman" w:hAnsi="Calibri" w:cs="Calibri"/>
          <w:color w:val="000000"/>
          <w:kern w:val="0"/>
          <w:sz w:val="22"/>
          <w:szCs w:val="22"/>
          <w14:ligatures w14:val="none"/>
        </w:rPr>
        <w:t>. The first urine sample grew ESBL EC (ST131), with the same ESBL genes and fluoroquinolone resistance mutations as the 2</w:t>
      </w:r>
      <w:r w:rsidRPr="00FE5D1C">
        <w:rPr>
          <w:rFonts w:ascii="Calibri" w:eastAsia="Times New Roman" w:hAnsi="Calibri" w:cs="Calibri"/>
          <w:color w:val="000000"/>
          <w:kern w:val="0"/>
          <w:sz w:val="22"/>
          <w:szCs w:val="22"/>
          <w:vertAlign w:val="superscript"/>
          <w14:ligatures w14:val="none"/>
        </w:rPr>
        <w:t>nd</w:t>
      </w:r>
      <w:r w:rsidRPr="00FE5D1C">
        <w:rPr>
          <w:rFonts w:ascii="Calibri" w:eastAsia="Times New Roman" w:hAnsi="Calibri" w:cs="Calibri"/>
          <w:color w:val="000000"/>
          <w:kern w:val="0"/>
          <w:sz w:val="22"/>
          <w:szCs w:val="22"/>
          <w14:ligatures w14:val="none"/>
        </w:rPr>
        <w:t> SSI EC and additional AMR gene </w:t>
      </w:r>
      <w:r w:rsidRPr="00FE5D1C">
        <w:rPr>
          <w:rFonts w:ascii="Calibri" w:eastAsia="Times New Roman" w:hAnsi="Calibri" w:cs="Calibri"/>
          <w:i/>
          <w:iCs/>
          <w:color w:val="000000"/>
          <w:kern w:val="0"/>
          <w:sz w:val="22"/>
          <w:szCs w:val="22"/>
          <w14:ligatures w14:val="none"/>
        </w:rPr>
        <w:t>dfrA17</w:t>
      </w:r>
      <w:r w:rsidRPr="00FE5D1C">
        <w:rPr>
          <w:rFonts w:ascii="Calibri" w:eastAsia="Times New Roman" w:hAnsi="Calibri" w:cs="Calibri"/>
          <w:color w:val="000000"/>
          <w:kern w:val="0"/>
          <w:sz w:val="22"/>
          <w:szCs w:val="22"/>
          <w14:ligatures w14:val="none"/>
        </w:rPr>
        <w:t> (Trimethoprim). The 2nd grew multi-drug-resistant (MDRO) </w:t>
      </w:r>
      <w:r w:rsidRPr="00FE5D1C">
        <w:rPr>
          <w:rFonts w:ascii="Calibri" w:eastAsia="Times New Roman" w:hAnsi="Calibri" w:cs="Calibri"/>
          <w:i/>
          <w:iCs/>
          <w:color w:val="000000"/>
          <w:kern w:val="0"/>
          <w:sz w:val="22"/>
          <w:szCs w:val="22"/>
          <w14:ligatures w14:val="none"/>
        </w:rPr>
        <w:t>Pseudomonas aeruginosa</w:t>
      </w:r>
      <w:r w:rsidRPr="00FE5D1C">
        <w:rPr>
          <w:rFonts w:ascii="Calibri" w:eastAsia="Times New Roman" w:hAnsi="Calibri" w:cs="Calibri"/>
          <w:color w:val="000000"/>
          <w:kern w:val="0"/>
          <w:sz w:val="22"/>
          <w:szCs w:val="22"/>
          <w14:ligatures w14:val="none"/>
        </w:rPr>
        <w:t> (ST357), with ESBL genes (</w:t>
      </w:r>
      <w:r w:rsidRPr="00FE5D1C">
        <w:rPr>
          <w:rFonts w:ascii="Calibri" w:eastAsia="Times New Roman" w:hAnsi="Calibri" w:cs="Calibri"/>
          <w:i/>
          <w:iCs/>
          <w:color w:val="000000"/>
          <w:kern w:val="0"/>
          <w:sz w:val="22"/>
          <w:szCs w:val="22"/>
          <w14:ligatures w14:val="none"/>
        </w:rPr>
        <w:t>blaVEB-9, blaOXA-10</w:t>
      </w:r>
      <w:r w:rsidRPr="00FE5D1C">
        <w:rPr>
          <w:rFonts w:ascii="Calibri" w:eastAsia="Times New Roman" w:hAnsi="Calibri" w:cs="Calibri"/>
          <w:color w:val="000000"/>
          <w:kern w:val="0"/>
          <w:sz w:val="22"/>
          <w:szCs w:val="22"/>
          <w14:ligatures w14:val="none"/>
        </w:rPr>
        <w:t>,) and efflux pump genes (</w:t>
      </w:r>
      <w:r w:rsidRPr="00FE5D1C">
        <w:rPr>
          <w:rFonts w:ascii="Calibri" w:eastAsia="Times New Roman" w:hAnsi="Calibri" w:cs="Calibri"/>
          <w:i/>
          <w:iCs/>
          <w:color w:val="000000"/>
          <w:kern w:val="0"/>
          <w:sz w:val="22"/>
          <w:szCs w:val="22"/>
          <w14:ligatures w14:val="none"/>
        </w:rPr>
        <w:t>mexA, mexX</w:t>
      </w:r>
      <w:r w:rsidRPr="00FE5D1C">
        <w:rPr>
          <w:rFonts w:ascii="Calibri" w:eastAsia="Times New Roman" w:hAnsi="Calibri" w:cs="Calibri"/>
          <w:color w:val="000000"/>
          <w:kern w:val="0"/>
          <w:sz w:val="22"/>
          <w:szCs w:val="22"/>
          <w14:ligatures w14:val="none"/>
        </w:rPr>
        <w:t>) that target β-lactams and Fluoroquinolones. The third grew </w:t>
      </w:r>
      <w:r w:rsidRPr="00FE5D1C">
        <w:rPr>
          <w:rFonts w:ascii="Calibri" w:eastAsia="Times New Roman" w:hAnsi="Calibri" w:cs="Calibri"/>
          <w:i/>
          <w:iCs/>
          <w:color w:val="000000"/>
          <w:kern w:val="0"/>
          <w:sz w:val="22"/>
          <w:szCs w:val="22"/>
          <w14:ligatures w14:val="none"/>
        </w:rPr>
        <w:t>Enterobacter cloacae</w:t>
      </w:r>
      <w:r w:rsidRPr="00FE5D1C">
        <w:rPr>
          <w:rFonts w:ascii="Calibri" w:eastAsia="Times New Roman" w:hAnsi="Calibri" w:cs="Calibri"/>
          <w:color w:val="000000"/>
          <w:kern w:val="0"/>
          <w:sz w:val="22"/>
          <w:szCs w:val="22"/>
          <w14:ligatures w14:val="none"/>
        </w:rPr>
        <w:t> resistant to most 3</w:t>
      </w:r>
      <w:r w:rsidRPr="00FE5D1C">
        <w:rPr>
          <w:rFonts w:ascii="Calibri" w:eastAsia="Times New Roman" w:hAnsi="Calibri" w:cs="Calibri"/>
          <w:color w:val="000000"/>
          <w:kern w:val="0"/>
          <w:sz w:val="22"/>
          <w:szCs w:val="22"/>
          <w:vertAlign w:val="superscript"/>
          <w14:ligatures w14:val="none"/>
        </w:rPr>
        <w:t>rd</w:t>
      </w:r>
      <w:r w:rsidRPr="00FE5D1C">
        <w:rPr>
          <w:rFonts w:ascii="Calibri" w:eastAsia="Times New Roman" w:hAnsi="Calibri" w:cs="Calibri"/>
          <w:color w:val="000000"/>
          <w:kern w:val="0"/>
          <w:sz w:val="22"/>
          <w:szCs w:val="22"/>
          <w14:ligatures w14:val="none"/>
        </w:rPr>
        <w:t> generation cephalosporins and monobactams. This highlights challenges of managing HAIs in long-term hospitalized patients caused by MDROs with high-risk strains and extensive AMR. The co-occurrence of different MDROs in the same environment increases the likelihood of sharing AMR genes through horizontal gene transfer increasing the difficulty of treatment.</w:t>
      </w:r>
    </w:p>
    <w:p w14:paraId="35ABC1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25-A-2332-ASTMH</w:t>
      </w:r>
    </w:p>
    <w:p w14:paraId="193B05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085E24DF" w14:textId="53FF576E"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Pig Slaughtering and Selling in a Rural Market in Bangladesh: an Anthropological Exploration</w:t>
      </w:r>
    </w:p>
    <w:p w14:paraId="1EB92A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Pigs can Amplify Pandemic-Prone Viruses Like Influenza and Nipah (NiV), Transmitting Them via Respiratory Secretions and Blood. While Past Studies in Bangladesh Detected NiV Antibodies in Pigs and Explored Pig-Human Contact in Domestic and Herd Settings, Interactions with Pigs and Pig Products in Markets Remained Unexplored. Wet Markets Are Hotspots for Zoonotic Spillover. Thus, We Aimed to Explore the Network, and Agency of Actors Involved in a Pig Market, to Understand Dynamics of Pig-Human Interactions. In January 2024 in Faridpur, We Observed Slaughtering and Selling of Two Pigs and Conducted Five In-depth Interviews: Two Slaughterers, One Pig Raiser and Two Poultry Shop Owners. We Conducted 38 Informal and Short Interviews with People Buying Pig Products. We Analyzed the Data Using Actor-Network Theory, a Theoretical and Methodological Approach That Examines How Networks of Human and Non-Human Actors Interact and Shapes the Formation of Market Structures. We Observed Pig Slaughter and Processing from 3:30–7:00am, with Pig Product Sold from 6:30–08:00am in the Local Wet Market. Three Years Ago, Pig Raisers, Slaughterers, Shop Owners, Sellers, and Customers Formed a Network That Led to the Evolvement of This Pig Market, Which Was Earlier Held at Home or by the Riverbank. Pigs Were Slaughtered in This Market During Religious Festivals, Holidays, and Weekends Based on Customer Demand. Slaughterers Reported Higher Customer Turnout Now Than When Previously Held in Households or by the Riverbank, Attracting Customers from Distant Villages and Districts. The Team Observed That Sixty-Eight People Had Contact with Raw Pork Products. While Processing Pigs, People Ate and Smoked, and Discarded Offal in Adjacent Bushes. The Blood, Bone, and Flesh Were Observed Splattered Across the Market Footpath. Market Slaughtering Exposed a Wider Range of Individuals and Animal Species to Pig Products and Body Fluids Than Household Slaughtering, Potentially Increasing the Risk of Zoonotic Transmission. Efforts to Improve Sanitation in Bangladesh's Wet Markets Could Be Extended to Pig Markets, Reducing Transmission Risk from Offal or Body Fluids.</w:t>
      </w:r>
    </w:p>
    <w:p w14:paraId="4090C5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25-A-2334-ASTMH</w:t>
      </w:r>
    </w:p>
    <w:p w14:paraId="0CF826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26E0C955" w14:textId="05CA07F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Spatio-temporal Generalized Additive Mixed Effects Modelling and Forecasting of the Abundance of </w:t>
      </w:r>
      <w:r w:rsidRPr="00FE5D1C">
        <w:rPr>
          <w:rFonts w:ascii="Calibri" w:eastAsia="Times New Roman" w:hAnsi="Calibri" w:cs="Calibri"/>
          <w:b/>
          <w:bCs/>
          <w:i/>
          <w:iCs/>
          <w:color w:val="000000"/>
          <w:kern w:val="0"/>
          <w:sz w:val="22"/>
          <w:szCs w:val="22"/>
          <w14:ligatures w14:val="none"/>
        </w:rPr>
        <w:t>Anopheles</w:t>
      </w:r>
      <w:r w:rsidRPr="00FE5D1C">
        <w:rPr>
          <w:rFonts w:ascii="Calibri" w:eastAsia="Times New Roman" w:hAnsi="Calibri" w:cs="Calibri"/>
          <w:b/>
          <w:bCs/>
          <w:color w:val="000000"/>
          <w:kern w:val="0"/>
          <w:sz w:val="22"/>
          <w:szCs w:val="22"/>
          <w14:ligatures w14:val="none"/>
        </w:rPr>
        <w:t> Mosquito in Tanga and Unguja, Tanzania</w:t>
      </w:r>
    </w:p>
    <w:p w14:paraId="189898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transmitted through the bite of an infected female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 In the context of climate changes, understanding how meteorological variability impacts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populations is vital for sustainable malaria control. This study utilized the spatio-temporal Generalized Additive Mixed Model (GAMM) to identify factors influencing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densities and forecast their distribution in two regions in Tanzania, aiding early warning systems for malaria control. Between September 2021 and December 2023, a total of 4,312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were collected from 11 villages in Tanga, and 1,450 from 4 shehias in Unguja. Of these, 82.0% in Tanga and 95.0% in Unguja were morphologically identified as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with the remainder classified as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The GAMM identified key meteorological factors influenced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abundance. In Tanga, altitude was negatively associated with mosquito density and each 1°C increase in maximum temperature was associated with a 38.8% increase in mosquito abundance. In Unguja, average temperature exhibited a non-linear relationship with mosquito abundance, peaking at lower temperatures and declining at higher temperatures. In Tanga, precipitation positively affect the abundance of mosquitoes in both current and two-months lag. Relative humidity exhibited a non-linear effect in both regions, with higher humidity associated with high abundance. Finally, the GAMM accurately forecasted future mosquito populations, demonstrating its value as a tool for data-driven vector control. Its predictive capacity supports the development of early warning systems based on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abundance, with potential to anticipate and mitigate malaria epidemics. The findings highlight the importance of incorporating meteorological variability into mosquito surveillance and control. The spatio-temporal GAMM effectively captured the relationship between weather conditions and mosquito densities while forecasting future abundance. These insights can inform targeted interventions across diverse eco-climatic settings, supporting more efficient malaria vector control.</w:t>
      </w:r>
    </w:p>
    <w:p w14:paraId="311C39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25-A-2335-ASTMH</w:t>
      </w:r>
    </w:p>
    <w:p w14:paraId="22CB75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725A3D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Collaboration across multiple sectors and communities for mosquito surveillance to expedite the elimination of lymphatic filariasis in Mkinga District, northeastern Tanzania</w:t>
      </w:r>
    </w:p>
    <w:p w14:paraId="0AED73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Lymphatic filariasis (LF) is a leading debilitating disease transmitted by mosquitoes. Escalating climatic aspects, particularly temperatures and rainfall, are associated with the spread of mosquitoes and LF transmission, requiring increased funding and human resources. Effective and affordable surveillance that considers climate effects is paramount to attain LF elimination. However, in Tanzania, surveillance is impeded by inadequate funding, resources, and multi-sectoral partnerships. Research evidence has shown that community-based interventions and multi-sectoral partnerships are cost-effective and effective for disease elimination. This study aimed to evaluate the effectiveness of multisectoral and community collaboration in mosquito surveillance to enhance lymphatic filariasis elimination in Tanzania. A cross-sectional mosquito surveillance study was conducted from July to October 2023 across five villages in Mkinga district, involving community participants and researchers from the Kilimanjaro Christian Medical Centre University, National Institute for Medical Research, and the Tanzania Meteorological Agency. The Polymerase Chain Reaction for Wuchereria bancrofti was conducted on collected mosquitoes, followed by the Pool screening method to determine the LF transmission hot spots. Secondary data analysis from previous LF vectors studies (1991 to 2022) was correlated with climatological data using mathematical modeling to determine the influence of climate change on LF transmission. A total of 8567 Culex quinquefasciatus, equivalent to 99% of all mosquitoes, were captured, with the highest mosquito LF infection rates of 0.79% and 0.21% at Kizingani and Bamba Mwarongo village, respectively. Correlation analysis revealed climate change influence (with a Pearson correlation (r): -0.34 and 0.44) on mosquito infection rate, with a major shift of transmission from Anopheles to Culex. This study indicates that a multi-sectoral and community collaboration for mosquito surveillance is an effective strategy in identifying transmission hot spots to accelerate the elimination of LF.</w:t>
      </w:r>
    </w:p>
    <w:p w14:paraId="527BBE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25-A-2336-ASTMH</w:t>
      </w:r>
    </w:p>
    <w:p w14:paraId="704996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52176C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Metagenomic Survey of Tick RNA Viruses from Select Pastoral Regions of Kenya,2022-2024.</w:t>
      </w:r>
    </w:p>
    <w:p w14:paraId="67B4C4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Ticks serve as vectors for various pathogens that impact both humans and animals. In Kenya’s pastoral regions, interactions between livestock, wildlife, and humans increase the risk of disease spillover. This study analyzed 1592 ticks (Amblyomma 39%, Argas 1.9%, Hyalomma 42%, Rhipicephalus 17%) collected from Wajir, Mandera, Isiolo, Baringo, West Pokot, Kilifi, and Lamu. Metagenomic next-generation sequencing was employed to identify circulating RNA viruses. Cytochrome oxidase 1 (COI) metabarcoding was used to confirm tick species. In the present study eight viral families were detected, including: Bunyaviridae, Chuviridae, Iflaviridae, Nairoviridae, Flaviviridae, Phenuiviridae, Phleboviridae, and Unclassified Flaviviridae. </w:t>
      </w:r>
      <w:r w:rsidRPr="00FE5D1C">
        <w:rPr>
          <w:rFonts w:ascii="Calibri" w:eastAsia="Times New Roman" w:hAnsi="Calibri" w:cs="Calibri"/>
          <w:i/>
          <w:iCs/>
          <w:color w:val="000000"/>
          <w:kern w:val="0"/>
          <w:sz w:val="22"/>
          <w:szCs w:val="22"/>
          <w14:ligatures w14:val="none"/>
        </w:rPr>
        <w:t>Amblyomma gemma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Rhipicephalus boophilus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microplus</w:t>
      </w:r>
      <w:r w:rsidRPr="00FE5D1C">
        <w:rPr>
          <w:rFonts w:ascii="Calibri" w:eastAsia="Times New Roman" w:hAnsi="Calibri" w:cs="Calibri"/>
          <w:color w:val="000000"/>
          <w:kern w:val="0"/>
          <w:sz w:val="22"/>
          <w:szCs w:val="22"/>
          <w14:ligatures w14:val="none"/>
        </w:rPr>
        <w:t> exhibited the highest virus prevalence, indicating their potential role in maintaining tick-borne viruses in Kenya. Jingmen and Mogiana tick viruses of the Unclassified Flaviviridae, were the most frequently identified viruses. Other detected viruses included Chuvirus, Kupe, Iflavirus, Trinbago, Tacheng, Bole, Brown dog tick, Guangxi, Zhangye, Xinjiang, Volzhskoe, Karukera and Dali chuvi tick viruses. Isiolo recorded the highest viral presence, followed by Lamu, Malindi, and West Pokot. Virus prevalence correlated with temperature and precipitation, suggesting environmental factors influence distribution. Phylogenetic analysis showed that some Kenyan viral strains shared similarities with global strains. The study also found an 83% match between morphological tick identification and metabarcoding using COI primers, emphasizing the value of molecular techniques in species verification. These findings highlight the significant viral diversity in Kenyan ticks, with some viruses posing potential health threats; JMTV and Tacheng tick virus. Presence of viruses with human pathogenic potential underscores the need for enhanced tick surveillance, vector control, and sero-epidemiological studies. Strengthening disease monitoring systems will be crucial in preventing and managing future outbreaks in the region.</w:t>
      </w:r>
    </w:p>
    <w:p w14:paraId="1CDC2F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25-A-2337-ASTMH</w:t>
      </w:r>
    </w:p>
    <w:p w14:paraId="462431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75989357" w14:textId="329FF22F"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Anopheles subpictus</w:t>
      </w:r>
      <w:r w:rsidRPr="00FE5D1C">
        <w:rPr>
          <w:rFonts w:ascii="Calibri" w:eastAsia="Times New Roman" w:hAnsi="Calibri" w:cs="Calibri"/>
          <w:color w:val="000000"/>
          <w:kern w:val="0"/>
          <w:sz w:val="22"/>
          <w:szCs w:val="22"/>
          <w14:ligatures w14:val="none"/>
        </w:rPr>
        <w:t>, an emerging vector in malaria transmission in the western part of India during the malaria pre-elimination phase</w:t>
      </w:r>
    </w:p>
    <w:p w14:paraId="79595E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transmission is a dynamic and complex process, and a thorough understanding of vector behaviour, vectorial capacity and distribution is essential for developing effective intervention strategies. While primary vectors are often the focus of control programs, secondary vectors also play a crucial role in sustaining disease transmission, particularly during peak and dry seasons. In India,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is recognized as a secondary malaria vector in certain regions, contributing significantly to the persistence of transmission. In this study, we have carried out an in-depth investigation of the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behaviour and transmission potential in Goa, an endemic state in the western coastal part of India. To comprehend the bionomics of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a longitudinal investigation was carried out using standard entomological methods in selected endemic urban and rural areas in Goa. Vector incrimination, sibling species identification, and host preferences were investigated by microscopy, dissection, and molecular methods. Additionally, the susceptibility and compatibility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of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was determined by membrane feeding assay with patient blood. A total of 56,290 mosquitoes were collected,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accounted for 14.13% of the total Anophelines. The infectivity rate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was found to be 1.61%. A change in the biting behaviour of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was observed. Moreover, the human blood index (HBI) was found to be 8.21%, and sibling species B was predominant in the study area. The high HBI observed in the species suggests an increase in anthropophagy, likely may be driven by the reduced bovine host availability due to rapid urbanization over the past three decades. </w:t>
      </w:r>
      <w:r w:rsidRPr="00FE5D1C">
        <w:rPr>
          <w:rFonts w:ascii="Calibri" w:eastAsia="Times New Roman" w:hAnsi="Calibri" w:cs="Calibri"/>
          <w:i/>
          <w:iCs/>
          <w:color w:val="000000"/>
          <w:kern w:val="0"/>
          <w:sz w:val="22"/>
          <w:szCs w:val="22"/>
          <w14:ligatures w14:val="none"/>
        </w:rPr>
        <w:t>An. subpictus</w:t>
      </w:r>
      <w:r w:rsidRPr="00FE5D1C">
        <w:rPr>
          <w:rFonts w:ascii="Calibri" w:eastAsia="Times New Roman" w:hAnsi="Calibri" w:cs="Calibri"/>
          <w:color w:val="000000"/>
          <w:kern w:val="0"/>
          <w:sz w:val="22"/>
          <w:szCs w:val="22"/>
          <w14:ligatures w14:val="none"/>
        </w:rPr>
        <w:t> has been shown to support the development of both oocyst and sporozoite for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 laboratory conditions. However, the parasite load was lower when compared to the established primary vector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xml:space="preserve">. This study </w:t>
      </w:r>
      <w:r w:rsidRPr="00FE5D1C">
        <w:rPr>
          <w:rFonts w:ascii="Calibri" w:eastAsia="Times New Roman" w:hAnsi="Calibri" w:cs="Calibri"/>
          <w:color w:val="000000"/>
          <w:kern w:val="0"/>
          <w:sz w:val="22"/>
          <w:szCs w:val="22"/>
          <w14:ligatures w14:val="none"/>
        </w:rPr>
        <w:lastRenderedPageBreak/>
        <w:t>highlights the need for continuous monitoring of this species in the wake of India’s malaria elimination efforts to plan suitable strategies to accelerate the intervention momentum.</w:t>
      </w:r>
    </w:p>
    <w:p w14:paraId="747AE7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25-A-2338-ASTMH</w:t>
      </w:r>
    </w:p>
    <w:p w14:paraId="2A0769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796E1EC9" w14:textId="3D1AC70C"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Wound healing effect of Ethanolic extract of Newbouldia laevis leaf in Albino Sprague-Dawley rats</w:t>
      </w:r>
    </w:p>
    <w:p w14:paraId="109FF8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Medicinal plants, in traditional medicine are important components of the Ghanaian healthcare system and have been documented in many peer-reviewed studies. To cure wounds, majority of developing countries use native medicinal herbs, like the leaf of Newbouldia laevis. However, the use of this leaf for medicinal purposes are not well known and fully established. In southeast Nigeria, Ghana, and some other parts of Africa, the leaves of Newbouldia laevis are traditionally used to cure a wide range of conditions such as diabetes mellitus, malaria, ulcers, wounds, and many others. This study used an excisional wound model with 1% silver sulfadiazine as the positive control and normal saline as the negative control to evaluate the effects of Newbouldia laevis leaves ethanol extract (NLE) wound healing capabilities. Doses of 10%, 20%, and 30% NLE were topically applied to the excised wound of the Albino Sprague-Dawley rats. Along with a phytochemical examination to assess the secondary metabolites present in the extract, histological investigations on tissue samples taken from the wound region were also carried out to determine the influence of the extract on the wound healing process. Results demonstrated that, 20% NLE cream showed substantial wound closure rates with a maximum closure observed on day 9 (p&lt;0.0001). A very thin epithelization, moderate neovascularization, the presence of moderate inflammatory cells, very good collagen depositions, moderate fibrosis, and the presence of low edema were all observed in histopathological analyses on skin tissue samples from wounds treated with 20% NLE creams. The 20% ethanolic leaves extract of Newbouldia laevis leaves formulated into cream demonstrated a better potential for wound healing at the end of the study and can be used as an alternative medicine at an optimal concentration for the management and treatment of wounds as1% Silver Sulfadiazine cream. We however recommend further studies of toxicological tests to ensure the complete safety of the extract on humans and on the optimal concentration of the extract with the highest wound healing effect.</w:t>
      </w:r>
    </w:p>
    <w:p w14:paraId="6409A3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25-A-2340-ASTMH</w:t>
      </w:r>
    </w:p>
    <w:p w14:paraId="60D200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73634B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development in a climatically changing world</w:t>
      </w:r>
    </w:p>
    <w:p w14:paraId="4342A5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a major malaria vector well adapted to urban environments, has been expanding into Africa, posing a major challenge to malaria control initiatives in that continent. As climate change may lead to higher temperatures and increased humidity, these environmental changes are expected to impact mosquito biology. This study investigates how variations in temperature and humidity, simulating the natural variability in a scenario of climate change, influence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development and fitness. Despite the critical role the environment plays in vector-borne disease transmission, including malaria, the impacts of temperature and relative humidity variations driven by climate change remain poorly understood, as traditional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studies use fixed standard conditions, 27ºC and 75% relative humidity. To address this gap, mosquitoes were reared under wo scenarios: a control group reflecting current conditions in East Africa, and a climate change group with elevated temperature and humidity We observed no significant differences in hatch rates between climate change and control </w:t>
      </w:r>
      <w:r w:rsidRPr="00FE5D1C">
        <w:rPr>
          <w:rFonts w:ascii="Calibri" w:eastAsia="Times New Roman" w:hAnsi="Calibri" w:cs="Calibri"/>
          <w:i/>
          <w:iCs/>
          <w:color w:val="000000"/>
          <w:kern w:val="0"/>
          <w:sz w:val="22"/>
          <w:szCs w:val="22"/>
          <w14:ligatures w14:val="none"/>
        </w:rPr>
        <w:t>An. stephensi </w:t>
      </w:r>
      <w:r w:rsidRPr="00FE5D1C">
        <w:rPr>
          <w:rFonts w:ascii="Calibri" w:eastAsia="Times New Roman" w:hAnsi="Calibri" w:cs="Calibri"/>
          <w:color w:val="000000"/>
          <w:kern w:val="0"/>
          <w:sz w:val="22"/>
          <w:szCs w:val="22"/>
          <w14:ligatures w14:val="none"/>
        </w:rPr>
        <w:t>mosquitoes. However, larvae in the climate change group were larger at day three post-hatch, indicating faster development. Pupation occurred earlier and completed before it began in the control group, with a higher pupation rate and earlier emergence. Adult females from the climate change cohort displayed smaller body sizes (2.8 mm) than those in the control group (3.3 mm). Additionally, lifespan analysis of sugar-fed adult females showed no significant difference between groups, contrasting with results from constant-condition studies. Overall, these findings indicate that elevated temperature and humidity substantially accelerate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xml:space="preserve"> development, conferring notable </w:t>
      </w:r>
      <w:r w:rsidRPr="00FE5D1C">
        <w:rPr>
          <w:rFonts w:ascii="Calibri" w:eastAsia="Times New Roman" w:hAnsi="Calibri" w:cs="Calibri"/>
          <w:color w:val="000000"/>
          <w:kern w:val="0"/>
          <w:sz w:val="22"/>
          <w:szCs w:val="22"/>
          <w14:ligatures w14:val="none"/>
        </w:rPr>
        <w:lastRenderedPageBreak/>
        <w:t>fitness advantages during early life stages (larvae and pupae) without negatively impacting adult viability. These findings underscore the importance of incorporating realistic environmental conditions into mosquito studies and highlight how climate change may shape malaria transmission dynamics.</w:t>
      </w:r>
    </w:p>
    <w:p w14:paraId="6EC5F5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25-A-2341-ASTMH</w:t>
      </w:r>
    </w:p>
    <w:p w14:paraId="3B7280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32B4B0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Monitoring the impact of malaria vaccine roll-out on awareness, perceptions and coverage of seasonal malaria chemoprevention: insights from routine programmatic data in Burkina Faso</w:t>
      </w:r>
    </w:p>
    <w:p w14:paraId="58DF65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WHO recommendation of two malaria vaccines marks a significant milestone in malaria control efforts, complementing existing preventive strategies. However, the impact of the malaria vaccine roll-out on the uptake of existing preventive interventions, such as seasonal malaria chemoprevention (SMC), remains unclear. In 2024, Burkina Faso introduced the RTS,S/AS01 vaccine in priority districts. This study assessed whether malaria vaccine introduction had any observable impact on SMC coverage, caregiver awareness and perceptions. We analysed data from household surveys conducted following the final cycle of the 2024 SMC round in Burkina Faso and compared estimates of SMC coverage and caregiver awareness and perceptions in districts where the malaria vaccine had been introduced (SMC-plus-vaccine) and where it had not (SMC-only). Appropriate descriptive and inferential statistics were applied. A total of 1,668 pairs of caregivers and children aged 3-59 months participated in the survey (366 and 1,302 sampled in the SMC-plus-vaccine and SMC-only districts, respectively). We there were no statistically significant differences between SMC-plus-vaccine and SMC-only districts for coverage of the first dose of SMC medicines among eligible children (98.2% vs 96.1%, p=0.082), completion of the three-day course of SMC medicines (99.3% vs 98.5%, p=0.351), caregivers’ awareness of SMC (96.1% vs 93.8%, p=0.131) and caregivers’ belief in the protective effect of SMC (98.9% vs 99.1%, p=0.812). Our results show the introduction of the RTS,S/AS01 malaria vaccine in Burkina Faso did not appear to negatively impact SMC coverage, caregiver awareness or perceptions of its protective benefits during the 2024 SMC round. Our findings suggest that both interventions can coexist effectively, supporting integrated malaria prevention strategies. However, further monitoring is needed as vaccine roll-out expands.</w:t>
      </w:r>
    </w:p>
    <w:p w14:paraId="0D48F7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25-A-2342-ASTMH</w:t>
      </w:r>
    </w:p>
    <w:p w14:paraId="435EB6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238EDD13" w14:textId="4752E642"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Understanding the Challenges of Malaria Elimination in Maputo Province: Perspectives from Stakeholders</w:t>
      </w:r>
    </w:p>
    <w:p w14:paraId="3AC3FA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Mozambique continues to be one of the highest-burden malaria countries in Africa, with elimination efforts advancing at varying rates across different regions. Understanding local challenges and effective strategies is crucial for accelerating progress towards malaria elimination. </w:t>
      </w:r>
      <w:r w:rsidRPr="00FE5D1C">
        <w:rPr>
          <w:rFonts w:ascii="Calibri" w:eastAsia="Times New Roman" w:hAnsi="Calibri" w:cs="Calibri"/>
          <w:b/>
          <w:bCs/>
          <w:color w:val="000000"/>
          <w:kern w:val="0"/>
          <w:sz w:val="22"/>
          <w:szCs w:val="22"/>
          <w14:ligatures w14:val="none"/>
        </w:rPr>
        <w:t>Objective:</w:t>
      </w:r>
      <w:r w:rsidRPr="00FE5D1C">
        <w:rPr>
          <w:rFonts w:ascii="Calibri" w:eastAsia="Times New Roman" w:hAnsi="Calibri" w:cs="Calibri"/>
          <w:color w:val="000000"/>
          <w:kern w:val="0"/>
          <w:sz w:val="22"/>
          <w:szCs w:val="22"/>
          <w14:ligatures w14:val="none"/>
        </w:rPr>
        <w:t> This qualitative study aimed to explore stakeholder perceptions regarding the challenges and strategies for malaria elimination in Maputo province, Mozambique.</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We conducted in-depth interviews with a diverse range of stakeholders involved in malaria and related vector control activities in the region. Participants included health professionals, policymakers, and community leaders actively engaged in malaria prevention and elimination efforts.</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Stakeholder insights highlight that persistent malaria transmission in Maputo Province is driven by a complex interplay of environmental and social factors. Existing interventions remain only partially effective, constrained by limited coverage, high implementation costs, and misalignment with local mosquito behavior. Ongoing transmission is further sustained by unfavorable environmental conditions, human behavioral patterns, and high population mobility.</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This study offers valuable insights into the barriers and opportunities for malaria elimination in Maputo Province. Stakeholders underscore the importance of multisectoral action, calling for the integration of malaria control with agriculture, infrastructure, and education policies. These findings will guide the development of targeted, more effective strategies to strengthen malaria control efforts in Mozambique.</w:t>
      </w:r>
    </w:p>
    <w:p w14:paraId="0B611C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25-A-2343-ASTMH</w:t>
      </w:r>
    </w:p>
    <w:p w14:paraId="278BCB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390502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Genetic diversity and natural selection analysis of Jingmen tick virus from ticks sampled in select regions of Kenya</w:t>
      </w:r>
    </w:p>
    <w:p w14:paraId="102C9C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Jingmen tick virus (JMTV), an emerging segmented RNA virus classified as an ungrouped flavivirus, poses a growing public health concern, globally. Known for its association with febrile illnesses and wide host range, JMTV has been detected in Rhipicephalus, Hyalomma, and Amblyomma ticks collected from cattle, goats, sheep, camels, and chickens in pastoral regions of Kenya, including Baringo, Mandera, Malindi, Lamu, Mombasa, Wajir, Isiolo, and West Pokot. Using viral metagenomics, this study analyzed ticks (n=1547, 72 pools) to characterize JMTV's phylogenetic diversity and evolution. Results showed 53% (38/72) pools were virus-positive, with JMTV in 87% (33/38). Phylogenetic analysis identified distinct Kenyan variants, with Malindi and Wajir sequences forming a unique clade, indicating localized evolutionary pressures. Neutrality tests showed overall non-neutral evolution, with Tajima’s D values: segment1: 4.6614; segment2: 2.3885; segment3: 0.72229; segment4: 2.1779. Positive selection analysis using MEME, FUBAR, and BUSTED confirmed selection at codon site 290 in segment 1 and site 30 in segment 4. Additionally, 15 sites in segment 1, 2 in segment 2, 5 in segment 3, and 1 in segment 4 showed selection in at least two tests. GARD recombination analysis identified 9 breakpoints in segment 1, 4 in segment 2 (2 confirmed by RAT), 5 in segment 3 (1 confirmed by RAT), and 1 in segment 4. These findings suggest that Kenyan JMTV variants are potentially undergoing evolution driven by episodic positive selection. Host diversity, phylogenetic patterns, genetic diversity and possible recombination events underscore the JMTV zoonotic potential and its capacity for regional spread; emphasize the need for enhanced vector surveillance. Investigating temporal and ecological drivers, such as seasonal tick activity and livestock movement, will clarify transmission dynamics. This study provides actionable insights for improving diagnostic tools, integrating JMTV surveillance into existing health systems, and advancing outbreak preparedness. Strengthening tick-borne virus surveillance in Kenya will mitigate emerging pathogen risks.</w:t>
      </w:r>
    </w:p>
    <w:p w14:paraId="1A6C0E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25-A-2345-ASTMH</w:t>
      </w:r>
    </w:p>
    <w:p w14:paraId="3E833A8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4B6A46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Seasonal differences in the prevalence of intestinal parasites in pediatric patients seen at the Sacre Coeur Pediatric Center in Guinea-Conakry</w:t>
      </w:r>
    </w:p>
    <w:p w14:paraId="47238D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Background - Intestinal parasites remain a leading cause of pediatric morbidity and mortality worldwide. The highest rates of infection occur in children in resource-limited settings. However, a paucity of pediatric data from these areas renders true prevalence unknown. The primary objective of this study was to determine the point prevalence of intestinal parasites in pediatric patients with a high pre-test probability of parasitic infection seen at the Sacre Coeur Pediatric Center in Guinea-Conakry, West Africa over two periods: June - August 2024 (rainy season) and November 2024 - February 2025 (dry season). Materials and Methods—The laboratory used direct microscopy to examine stool for parasites and a lateral flow device (Operon, Inc., Spain) to detect the three most common intestinal protozoa reported in the region: </w:t>
      </w:r>
      <w:r w:rsidRPr="00FE5D1C">
        <w:rPr>
          <w:rFonts w:ascii="Calibri" w:eastAsia="Times New Roman" w:hAnsi="Calibri" w:cs="Calibri"/>
          <w:i/>
          <w:iCs/>
          <w:color w:val="000000"/>
          <w:kern w:val="0"/>
          <w:sz w:val="22"/>
          <w:szCs w:val="22"/>
          <w14:ligatures w14:val="none"/>
        </w:rPr>
        <w:t>Cryptosporidium</w:t>
      </w:r>
      <w:r w:rsidRPr="00FE5D1C">
        <w:rPr>
          <w:rFonts w:ascii="Calibri" w:eastAsia="Times New Roman" w:hAnsi="Calibri" w:cs="Calibri"/>
          <w:color w:val="000000"/>
          <w:kern w:val="0"/>
          <w:sz w:val="22"/>
          <w:szCs w:val="22"/>
          <w14:ligatures w14:val="none"/>
        </w:rPr>
        <w:t> spp., </w:t>
      </w:r>
      <w:r w:rsidRPr="00FE5D1C">
        <w:rPr>
          <w:rFonts w:ascii="Calibri" w:eastAsia="Times New Roman" w:hAnsi="Calibri" w:cs="Calibri"/>
          <w:i/>
          <w:iCs/>
          <w:color w:val="000000"/>
          <w:kern w:val="0"/>
          <w:sz w:val="22"/>
          <w:szCs w:val="22"/>
          <w14:ligatures w14:val="none"/>
        </w:rPr>
        <w:t>E. histolytica, and</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G. lamblia/duodenalis</w:t>
      </w:r>
      <w:r w:rsidRPr="00FE5D1C">
        <w:rPr>
          <w:rFonts w:ascii="Calibri" w:eastAsia="Times New Roman" w:hAnsi="Calibri" w:cs="Calibri"/>
          <w:color w:val="000000"/>
          <w:kern w:val="0"/>
          <w:sz w:val="22"/>
          <w:szCs w:val="22"/>
          <w14:ligatures w14:val="none"/>
        </w:rPr>
        <w:t>. Chi-squared analysis was used to evaluate differences in prevalence, p&lt; 0.05 was defined as significant. Results - 507 microscopic samples and 403 lateral flow assays were examined in the rainy and dry seasons combined. Microscopy yielded consistently low levels of </w:t>
      </w:r>
      <w:r w:rsidRPr="00FE5D1C">
        <w:rPr>
          <w:rFonts w:ascii="Calibri" w:eastAsia="Times New Roman" w:hAnsi="Calibri" w:cs="Calibri"/>
          <w:i/>
          <w:iCs/>
          <w:color w:val="000000"/>
          <w:kern w:val="0"/>
          <w:sz w:val="22"/>
          <w:szCs w:val="22"/>
          <w14:ligatures w14:val="none"/>
        </w:rPr>
        <w:t>S. mansoni </w:t>
      </w:r>
      <w:r w:rsidRPr="00FE5D1C">
        <w:rPr>
          <w:rFonts w:ascii="Calibri" w:eastAsia="Times New Roman" w:hAnsi="Calibri" w:cs="Calibri"/>
          <w:color w:val="000000"/>
          <w:kern w:val="0"/>
          <w:sz w:val="22"/>
          <w:szCs w:val="22"/>
          <w14:ligatures w14:val="none"/>
        </w:rPr>
        <w:t>(4-7%), hookworms (0.7-1%)</w:t>
      </w:r>
      <w:r w:rsidRPr="00FE5D1C">
        <w:rPr>
          <w:rFonts w:ascii="Calibri" w:eastAsia="Times New Roman" w:hAnsi="Calibri" w:cs="Calibri"/>
          <w:i/>
          <w:iCs/>
          <w:color w:val="000000"/>
          <w:kern w:val="0"/>
          <w:sz w:val="22"/>
          <w:szCs w:val="22"/>
          <w14:ligatures w14:val="none"/>
        </w:rPr>
        <w:t>, and Ascaris </w:t>
      </w:r>
      <w:r w:rsidRPr="00FE5D1C">
        <w:rPr>
          <w:rFonts w:ascii="Calibri" w:eastAsia="Times New Roman" w:hAnsi="Calibri" w:cs="Calibri"/>
          <w:color w:val="000000"/>
          <w:kern w:val="0"/>
          <w:sz w:val="22"/>
          <w:szCs w:val="22"/>
          <w14:ligatures w14:val="none"/>
        </w:rPr>
        <w:t>spp. (1-4%) during both seasons. However, the prevalence of </w:t>
      </w:r>
      <w:r w:rsidRPr="00FE5D1C">
        <w:rPr>
          <w:rFonts w:ascii="Calibri" w:eastAsia="Times New Roman" w:hAnsi="Calibri" w:cs="Calibri"/>
          <w:i/>
          <w:iCs/>
          <w:color w:val="000000"/>
          <w:kern w:val="0"/>
          <w:sz w:val="22"/>
          <w:szCs w:val="22"/>
          <w14:ligatures w14:val="none"/>
        </w:rPr>
        <w:t>A. lumbricoides</w:t>
      </w:r>
      <w:r w:rsidRPr="00FE5D1C">
        <w:rPr>
          <w:rFonts w:ascii="Calibri" w:eastAsia="Times New Roman" w:hAnsi="Calibri" w:cs="Calibri"/>
          <w:color w:val="000000"/>
          <w:kern w:val="0"/>
          <w:sz w:val="22"/>
          <w:szCs w:val="22"/>
          <w14:ligatures w14:val="none"/>
        </w:rPr>
        <w:t> was higher during the dry season (p = 0.04). The incidence of intestinal protozoa in the (rainy:dry) seasons was the following: </w:t>
      </w:r>
      <w:r w:rsidRPr="00FE5D1C">
        <w:rPr>
          <w:rFonts w:ascii="Calibri" w:eastAsia="Times New Roman" w:hAnsi="Calibri" w:cs="Calibri"/>
          <w:i/>
          <w:iCs/>
          <w:color w:val="000000"/>
          <w:kern w:val="0"/>
          <w:sz w:val="22"/>
          <w:szCs w:val="22"/>
          <w14:ligatures w14:val="none"/>
        </w:rPr>
        <w:t>G.lamblia </w:t>
      </w:r>
      <w:r w:rsidRPr="00FE5D1C">
        <w:rPr>
          <w:rFonts w:ascii="Calibri" w:eastAsia="Times New Roman" w:hAnsi="Calibri" w:cs="Calibri"/>
          <w:color w:val="000000"/>
          <w:kern w:val="0"/>
          <w:sz w:val="22"/>
          <w:szCs w:val="22"/>
          <w14:ligatures w14:val="none"/>
        </w:rPr>
        <w:t>(28.7%:14.1%),</w:t>
      </w:r>
      <w:r w:rsidRPr="00FE5D1C">
        <w:rPr>
          <w:rFonts w:ascii="Calibri" w:eastAsia="Times New Roman" w:hAnsi="Calibri" w:cs="Calibri"/>
          <w:i/>
          <w:iCs/>
          <w:color w:val="000000"/>
          <w:kern w:val="0"/>
          <w:sz w:val="22"/>
          <w:szCs w:val="22"/>
          <w14:ligatures w14:val="none"/>
        </w:rPr>
        <w:t> E. histolytica </w:t>
      </w:r>
      <w:r w:rsidRPr="00FE5D1C">
        <w:rPr>
          <w:rFonts w:ascii="Calibri" w:eastAsia="Times New Roman" w:hAnsi="Calibri" w:cs="Calibri"/>
          <w:color w:val="000000"/>
          <w:kern w:val="0"/>
          <w:sz w:val="22"/>
          <w:szCs w:val="22"/>
          <w14:ligatures w14:val="none"/>
        </w:rPr>
        <w:t>(10.2%:1.5%), and</w:t>
      </w:r>
      <w:r w:rsidRPr="00FE5D1C">
        <w:rPr>
          <w:rFonts w:ascii="Calibri" w:eastAsia="Times New Roman" w:hAnsi="Calibri" w:cs="Calibri"/>
          <w:i/>
          <w:iCs/>
          <w:color w:val="000000"/>
          <w:kern w:val="0"/>
          <w:sz w:val="22"/>
          <w:szCs w:val="22"/>
          <w14:ligatures w14:val="none"/>
        </w:rPr>
        <w:t> C. parvum </w:t>
      </w:r>
      <w:r w:rsidRPr="00FE5D1C">
        <w:rPr>
          <w:rFonts w:ascii="Calibri" w:eastAsia="Times New Roman" w:hAnsi="Calibri" w:cs="Calibri"/>
          <w:color w:val="000000"/>
          <w:kern w:val="0"/>
          <w:sz w:val="22"/>
          <w:szCs w:val="22"/>
          <w14:ligatures w14:val="none"/>
        </w:rPr>
        <w:t xml:space="preserve">(14.6%:3.0%). The prevalence of all protozoa were greater during the rainy season (p &lt; 0.001). Eight percent of these samples had multiple protozoa present. Conclusion - Results from this study indicate a significant burden of parasitic infections among pediatric patients presenting at the Sacre Coeur Pediatric Center in Guinea, West Africa. The prevalence of some of these infections appears to vary depending on the </w:t>
      </w:r>
      <w:r w:rsidRPr="00FE5D1C">
        <w:rPr>
          <w:rFonts w:ascii="Calibri" w:eastAsia="Times New Roman" w:hAnsi="Calibri" w:cs="Calibri"/>
          <w:color w:val="000000"/>
          <w:kern w:val="0"/>
          <w:sz w:val="22"/>
          <w:szCs w:val="22"/>
          <w14:ligatures w14:val="none"/>
        </w:rPr>
        <w:lastRenderedPageBreak/>
        <w:t>season. These results will help inform the clinical care of patients in this setting, aiming to improve the health of this region’s children and reduce preventable deaths.</w:t>
      </w:r>
    </w:p>
    <w:p w14:paraId="39EB4A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25-A-2346-ASTMH</w:t>
      </w:r>
    </w:p>
    <w:p w14:paraId="129498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69B084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Unmasking an Underreported Epidemic: Seroprevalence and Seasonal Trends of Dengue Virus in Nigeria</w:t>
      </w:r>
    </w:p>
    <w:p w14:paraId="33CA84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virus (DENV) is an emerging global health threat. In Nigeria, the epidemiology remains poorly understood due to underreporting, misdiagnosis, and inadequate surveillance. This study aims to assess the seroprevalence and seasonal trends of dengue virus in Nigeria. Following PRISMA guidelines, we systematically searched PubMed, Web of Science, EMBASE, Scopus, Google Scholar, and Index Medicus for Africa for studies on DENV seroprevalence in Nigeria between 2014 and 2024. Eligible studies reporting IgM/IgG seroprevalence, NS1, viral RNA and neutralizing antibody prevalence were included. Meta-analysis was performed using STATA version 9. Heterogeneity across studies was assessed using the I² statistic, and where appropriate, a random-effects model was applied to account for variability between studies. Subgroup analyses were performed based on geographic region, age group, and diagnostic method. A total of 9153 participants from 33 studies across Nigeria were included in the systematic review. The pooled seroprevalence of DENV in Nigeria was 23.7%, with IgM prevalence at 32% and IgG at 22.1%. Dengue exposure was significantly highest in participants aged 31-40 years (36%). Dengue is widely distributed across regions of Nigeria with the northwest highest 664 (36.5%), followed by southwest 366 (31%), southeast 131 (22.4%), northeast 282 (20.2%), Northcentral 630 (18.7%), while the least was South-south 95 (11.7%). Risk factors associated with seropositivity included proximity to refuse dumpsites, open water storage, occupation, and malaria co-infection. Seasonal analysis revealed transmission throughout the year with peak transmission during the rainy season (June-September), coinciding with increased vector breeding. DENV-2 was the predominant serotype, but all serotypes have been reported across the zones in Nigeria. In conclusion, Dengue virus is hyperendemic in Nigeria, yet remains grossly underrecognized within the health system. The study underscores the urgent need for routine dengue surveillance, improved diagnostics, and integrated vector control strategies to mitigate transmission.</w:t>
      </w:r>
    </w:p>
    <w:p w14:paraId="7B5BC5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25-A-2347-ASTMH</w:t>
      </w:r>
    </w:p>
    <w:p w14:paraId="0AB1F4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Therapeutics and Antiviral Drugs</w:t>
      </w:r>
    </w:p>
    <w:p w14:paraId="6803E0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Antiviral and immunomodulatory activity of Imiquimod against Zika virus infection </w:t>
      </w:r>
      <w:r w:rsidRPr="00FE5D1C">
        <w:rPr>
          <w:rFonts w:ascii="Calibri" w:eastAsia="Times New Roman" w:hAnsi="Calibri" w:cs="Calibri"/>
          <w:i/>
          <w:iCs/>
          <w:color w:val="000000"/>
          <w:kern w:val="0"/>
          <w:sz w:val="22"/>
          <w:szCs w:val="22"/>
          <w14:ligatures w14:val="none"/>
        </w:rPr>
        <w:t>in vitro</w:t>
      </w:r>
    </w:p>
    <w:p w14:paraId="77BDA2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Zika virus (ZIKV), primarily transmitted by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mosquitoes, is associated with severe neurological disorders, particularly in fetuses and newborns, including microcephaly and Guillain-Barré syndrome. Despite a recent increase in outbreaks, there are still no approved vaccines or specific antiviral therapies available for treating ZIKV infections. Given their ability to induce innate and adaptive immune responses, Toll-like receptor (TLR) ligands have been explored as potential antiviral therapeutic agents. The aim of this study was to evaluate the antiviral activity of TLR ligands against Zika virus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xml:space="preserve">. The cytotoxicity of the compounds was evaluated in RPE-1 (human retinal pigment epithelial-1) and A549 (human lung carcinoma) cells using the MTT assay. Antiviral activity was assessed through viral yield inhibition assays. Expression of ZIKV envelope (E) protein was analyzed by indirect immunofluorescence, and cytokine concentrations were measured by ELISA assays. We observed a significant reduction in viral titers exclusively in Imiquimod (IMQ) treated A549 cells infected with the ZIKV-Arg strain, while other TLR ligands evaluated showed no effect. In A549 and RPE-1 cells, this reduction in viral titers was concentration-dependent, in the absence of toxicity. IMQ did not demonstrate virucidal activity. Furthermore, pretreatment, adsorption, and internalization assays showed that IMQ inhibited replication only when administered post-infection. Consistently, ZIKV E protein expression was significantly reduced in A549 cells treated with IMQ at both 24 and 48 hours post-infection compared to untreated controls. Furthermore, considering that we previously </w:t>
      </w:r>
      <w:r w:rsidRPr="00FE5D1C">
        <w:rPr>
          <w:rFonts w:ascii="Calibri" w:eastAsia="Times New Roman" w:hAnsi="Calibri" w:cs="Calibri"/>
          <w:color w:val="000000"/>
          <w:kern w:val="0"/>
          <w:sz w:val="22"/>
          <w:szCs w:val="22"/>
          <w14:ligatures w14:val="none"/>
        </w:rPr>
        <w:lastRenderedPageBreak/>
        <w:t>characterized the anti-RSV activity of IMQ through the activation of the PKA signaling pathway and the anti-SARS-CoV-2 activity through the MAPK pathway, we decided to evaluate these pathways. We observed that the antiviral activity of IMQ against ZIKV was not attenuated by a PKA inhibitor (H89) or a MAPK inhibitor (U0126). In conclusion, IMQ exhibits antiviral activity against ZIKV, possibly independently of the PKA and MAPK signaling pathways.</w:t>
      </w:r>
    </w:p>
    <w:p w14:paraId="4113DB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25-A-2348-ASTMH</w:t>
      </w:r>
    </w:p>
    <w:p w14:paraId="31C9DA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27CC66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Virus Elicits Differential Host Immune Responses During Natural Tick-Mediated Transmission</w:t>
      </w:r>
    </w:p>
    <w:p w14:paraId="677F68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virus (POWV) is a neuroinvasive, tick-borne orthoflavivirus that circulates in the northeastern United States and parts of Canada. It is primarily transmitted to humans by </w:t>
      </w:r>
      <w:r w:rsidRPr="00FE5D1C">
        <w:rPr>
          <w:rFonts w:ascii="Calibri" w:eastAsia="Times New Roman" w:hAnsi="Calibri" w:cs="Calibri"/>
          <w:i/>
          <w:iCs/>
          <w:color w:val="000000"/>
          <w:kern w:val="0"/>
          <w:sz w:val="22"/>
          <w:szCs w:val="22"/>
          <w14:ligatures w14:val="none"/>
        </w:rPr>
        <w:t>Ixodes scapularis </w:t>
      </w:r>
      <w:r w:rsidRPr="00FE5D1C">
        <w:rPr>
          <w:rFonts w:ascii="Calibri" w:eastAsia="Times New Roman" w:hAnsi="Calibri" w:cs="Calibri"/>
          <w:color w:val="000000"/>
          <w:kern w:val="0"/>
          <w:sz w:val="22"/>
          <w:szCs w:val="22"/>
          <w14:ligatures w14:val="none"/>
        </w:rPr>
        <w:t>ticks at the skin interface during blood feeding. Three major pillars characterize arboviral transmission: host, virus, and vector. The intersection of these pillars is crucial for understanding transmission and, consequently, human disease. To assess these pillars in a meaningful way, we aimed to investigate natural POWV transmission to a host through </w:t>
      </w:r>
      <w:r w:rsidRPr="00FE5D1C">
        <w:rPr>
          <w:rFonts w:ascii="Calibri" w:eastAsia="Times New Roman" w:hAnsi="Calibri" w:cs="Calibri"/>
          <w:i/>
          <w:iCs/>
          <w:color w:val="000000"/>
          <w:kern w:val="0"/>
          <w:sz w:val="22"/>
          <w:szCs w:val="22"/>
          <w14:ligatures w14:val="none"/>
        </w:rPr>
        <w:t>Ixodes scapularis </w:t>
      </w:r>
      <w:r w:rsidRPr="00FE5D1C">
        <w:rPr>
          <w:rFonts w:ascii="Calibri" w:eastAsia="Times New Roman" w:hAnsi="Calibri" w:cs="Calibri"/>
          <w:color w:val="000000"/>
          <w:kern w:val="0"/>
          <w:sz w:val="22"/>
          <w:szCs w:val="22"/>
          <w14:ligatures w14:val="none"/>
        </w:rPr>
        <w:t>feeding. Recently, we described the influential factors of POWV transmission at the bite site at a transcriptomic level using RNA-seq. We found that an inflammatory response is favored during the transmission of POWV to the host, compared to non- pathogen feedings. Additionally, during transmission the host can produce microRNA (miRNA) that act as a way to control mRNA translation. We performed miRNA-seq on bitten mouse skin and were able to identify upregulated miRNAs during POWV infection. To evaluate their role in infection, we synthesized miRNA inhibitors and transfected cells, followed by a POWV infection, to assess their role in viral replication. Lastly, we assessed the role of tick salivary factors in POWV infection. Then, we sequenced the salivary glands transcripts of POWV- infected </w:t>
      </w:r>
      <w:r w:rsidRPr="00FE5D1C">
        <w:rPr>
          <w:rFonts w:ascii="Calibri" w:eastAsia="Times New Roman" w:hAnsi="Calibri" w:cs="Calibri"/>
          <w:i/>
          <w:iCs/>
          <w:color w:val="000000"/>
          <w:kern w:val="0"/>
          <w:sz w:val="22"/>
          <w:szCs w:val="22"/>
          <w14:ligatures w14:val="none"/>
        </w:rPr>
        <w:t>Ixodes scapularis </w:t>
      </w:r>
      <w:r w:rsidRPr="00FE5D1C">
        <w:rPr>
          <w:rFonts w:ascii="Calibri" w:eastAsia="Times New Roman" w:hAnsi="Calibri" w:cs="Calibri"/>
          <w:color w:val="000000"/>
          <w:kern w:val="0"/>
          <w:sz w:val="22"/>
          <w:szCs w:val="22"/>
          <w14:ligatures w14:val="none"/>
        </w:rPr>
        <w:t>adults used in the above-described study and generated a list of differentially expressed genes for analysis. After selecting genes associated with transmission, we developed a pipeline to knock down target genes in the vector through dsRNA injection. We then assessed the transmission of POWV from these dsRNA- treated ticks into mice. Through a combinatorial analysis of each pillar of arboviral disease, we have expanded our current understanding of the determinants of POWV transmission. Our next steps aim to evaluate the bioactivity of the identified molecules from </w:t>
      </w:r>
      <w:r w:rsidRPr="00FE5D1C">
        <w:rPr>
          <w:rFonts w:ascii="Calibri" w:eastAsia="Times New Roman" w:hAnsi="Calibri" w:cs="Calibri"/>
          <w:i/>
          <w:iCs/>
          <w:color w:val="000000"/>
          <w:kern w:val="0"/>
          <w:sz w:val="22"/>
          <w:szCs w:val="22"/>
          <w14:ligatures w14:val="none"/>
        </w:rPr>
        <w:t>Ixodes scapularis </w:t>
      </w:r>
      <w:r w:rsidRPr="00FE5D1C">
        <w:rPr>
          <w:rFonts w:ascii="Calibri" w:eastAsia="Times New Roman" w:hAnsi="Calibri" w:cs="Calibri"/>
          <w:color w:val="000000"/>
          <w:kern w:val="0"/>
          <w:sz w:val="22"/>
          <w:szCs w:val="22"/>
          <w14:ligatures w14:val="none"/>
        </w:rPr>
        <w:t>saliva at a mechanistic level to explore their role in pathogen transmission and vector-borne disease and apply these approaches to major vector-borne pathogens of human health concern.</w:t>
      </w:r>
    </w:p>
    <w:p w14:paraId="1DE1A6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25-A-2349-ASTMH</w:t>
      </w:r>
    </w:p>
    <w:p w14:paraId="74B1CB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Evolution and Genomic Epidemiology</w:t>
      </w:r>
    </w:p>
    <w:p w14:paraId="63D1C5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Characterization of Circulating Viral Isolates of Powassan Virus Lineage II</w:t>
      </w:r>
    </w:p>
    <w:p w14:paraId="01979E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Virus Lineage II, also called Deer Tick Virus (DTV), is an encephalitic orthoflavivirus transmitted by </w:t>
      </w:r>
      <w:r w:rsidRPr="00FE5D1C">
        <w:rPr>
          <w:rFonts w:ascii="Calibri" w:eastAsia="Times New Roman" w:hAnsi="Calibri" w:cs="Calibri"/>
          <w:i/>
          <w:iCs/>
          <w:color w:val="000000"/>
          <w:kern w:val="0"/>
          <w:sz w:val="22"/>
          <w:szCs w:val="22"/>
          <w14:ligatures w14:val="none"/>
        </w:rPr>
        <w:t>Ixodes scapularis</w:t>
      </w:r>
      <w:r w:rsidRPr="00FE5D1C">
        <w:rPr>
          <w:rFonts w:ascii="Calibri" w:eastAsia="Times New Roman" w:hAnsi="Calibri" w:cs="Calibri"/>
          <w:color w:val="000000"/>
          <w:kern w:val="0"/>
          <w:sz w:val="22"/>
          <w:szCs w:val="22"/>
          <w14:ligatures w14:val="none"/>
        </w:rPr>
        <w:t> ticks. In patients who get the neuroinvasive disease, DTV has a mortality rate of 15% and leads to neurologic sequelae in 50% of survivors. These sequelae can include recurrent headaches, muscle wasting, and paralysis. Most of our understanding of DTV comes from research done using the prototypical laboratory strain that was isolated in the late 1990s from Wisconsin. Currently circulating strains provide an opportunity to study viral evolution and to ensure studies investigating DTV pathogenesis and disease mechanisms reflect what is occurring in clinical cases. To gain a better understanding of epidemiologically relevant DTV in the Northeastern US, 99 human-encountered ticks that tested positive for DTV were collected through the Upstate Tick Testing Program from 2019-2024. As of 2025, 26 virus-positive ticks were homogenized, and the resulting tick-homogenates were isolated via intra-cranial inoculation and subsequent culture in BHK and Vero cells to mimic the isolation of the prototypical strain. Genome sequencing was performed and genetic variations between circulating strains and the prototypical laboratory strain were analyzed in the context of geographic, temporal, and coinfection data. For 15 key isolates, viral kinetics were investigated </w:t>
      </w:r>
      <w:r w:rsidRPr="00FE5D1C">
        <w:rPr>
          <w:rFonts w:ascii="Calibri" w:eastAsia="Times New Roman" w:hAnsi="Calibri" w:cs="Calibri"/>
          <w:i/>
          <w:iCs/>
          <w:color w:val="000000"/>
          <w:kern w:val="0"/>
          <w:sz w:val="22"/>
          <w:szCs w:val="22"/>
          <w14:ligatures w14:val="none"/>
        </w:rPr>
        <w:t>in vitro </w:t>
      </w:r>
      <w:r w:rsidRPr="00FE5D1C">
        <w:rPr>
          <w:rFonts w:ascii="Calibri" w:eastAsia="Times New Roman" w:hAnsi="Calibri" w:cs="Calibri"/>
          <w:color w:val="000000"/>
          <w:kern w:val="0"/>
          <w:sz w:val="22"/>
          <w:szCs w:val="22"/>
          <w14:ligatures w14:val="none"/>
        </w:rPr>
        <w:t>using mammalian and tick-cell lines. To understand changes in early infection course in the skin between isolates, an </w:t>
      </w:r>
      <w:r w:rsidRPr="00FE5D1C">
        <w:rPr>
          <w:rFonts w:ascii="Calibri" w:eastAsia="Times New Roman" w:hAnsi="Calibri" w:cs="Calibri"/>
          <w:i/>
          <w:iCs/>
          <w:color w:val="000000"/>
          <w:kern w:val="0"/>
          <w:sz w:val="22"/>
          <w:szCs w:val="22"/>
          <w14:ligatures w14:val="none"/>
        </w:rPr>
        <w:t>ex vivo </w:t>
      </w:r>
      <w:r w:rsidRPr="00FE5D1C">
        <w:rPr>
          <w:rFonts w:ascii="Calibri" w:eastAsia="Times New Roman" w:hAnsi="Calibri" w:cs="Calibri"/>
          <w:color w:val="000000"/>
          <w:kern w:val="0"/>
          <w:sz w:val="22"/>
          <w:szCs w:val="22"/>
          <w14:ligatures w14:val="none"/>
        </w:rPr>
        <w:t xml:space="preserve">human </w:t>
      </w:r>
      <w:r w:rsidRPr="00FE5D1C">
        <w:rPr>
          <w:rFonts w:ascii="Calibri" w:eastAsia="Times New Roman" w:hAnsi="Calibri" w:cs="Calibri"/>
          <w:color w:val="000000"/>
          <w:kern w:val="0"/>
          <w:sz w:val="22"/>
          <w:szCs w:val="22"/>
          <w14:ligatures w14:val="none"/>
        </w:rPr>
        <w:lastRenderedPageBreak/>
        <w:t>skin model was infected with the isolates.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alterations in </w:t>
      </w:r>
      <w:r w:rsidRPr="00FE5D1C">
        <w:rPr>
          <w:rFonts w:ascii="Calibri" w:eastAsia="Times New Roman" w:hAnsi="Calibri" w:cs="Calibri"/>
          <w:i/>
          <w:iCs/>
          <w:color w:val="000000"/>
          <w:kern w:val="0"/>
          <w:sz w:val="22"/>
          <w:szCs w:val="22"/>
          <w14:ligatures w14:val="none"/>
        </w:rPr>
        <w:t>I. scapularis </w:t>
      </w:r>
      <w:r w:rsidRPr="00FE5D1C">
        <w:rPr>
          <w:rFonts w:ascii="Calibri" w:eastAsia="Times New Roman" w:hAnsi="Calibri" w:cs="Calibri"/>
          <w:color w:val="000000"/>
          <w:kern w:val="0"/>
          <w:sz w:val="22"/>
          <w:szCs w:val="22"/>
          <w14:ligatures w14:val="none"/>
        </w:rPr>
        <w:t>acquisition and transmission of virus were studied to better understand alterations in vector dynamics. Finally, using an </w:t>
      </w:r>
      <w:r w:rsidRPr="00FE5D1C">
        <w:rPr>
          <w:rFonts w:ascii="Calibri" w:eastAsia="Times New Roman" w:hAnsi="Calibri" w:cs="Calibri"/>
          <w:i/>
          <w:iCs/>
          <w:color w:val="000000"/>
          <w:kern w:val="0"/>
          <w:sz w:val="22"/>
          <w:szCs w:val="22"/>
          <w14:ligatures w14:val="none"/>
        </w:rPr>
        <w:t>in vivo </w:t>
      </w:r>
      <w:r w:rsidRPr="00FE5D1C">
        <w:rPr>
          <w:rFonts w:ascii="Calibri" w:eastAsia="Times New Roman" w:hAnsi="Calibri" w:cs="Calibri"/>
          <w:color w:val="000000"/>
          <w:kern w:val="0"/>
          <w:sz w:val="22"/>
          <w:szCs w:val="22"/>
          <w14:ligatures w14:val="none"/>
        </w:rPr>
        <w:t>mouse model, we investigated the clinical course of disease, viral replication, and viral tropism in a subset of the isolates to better understand alterations in disease pathogenesis. Our preliminary analysis indicates these isolates are phenotypically and genotypically distinct from the laboratory strain. In addition, we have identified diverse viral isolates with distinct characteristics and pathogenesis.</w:t>
      </w:r>
    </w:p>
    <w:p w14:paraId="309D46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25-A-2350-ASTMH</w:t>
      </w:r>
    </w:p>
    <w:p w14:paraId="1CAA32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485792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Risk factors for West Nile virus associated mortality, 2013-2024: a large retrospective cohort from the United States</w:t>
      </w:r>
    </w:p>
    <w:p w14:paraId="62A917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West Nile virus (WNV) causes more than 80% of all mosquito-borne infections annually in the United States (U.S). While many WNV infections cause mild disease, also known as West Nile fever (WNF), some infections can cause neuroinvasive disease (WNND) and death. To prevent severe WNV disease and mortality, we need to better understand which populations are at greatest risk. Therefore, the goal of our study was to assess risk factors for WNV mortality using electronic medical record (EMR) data from a large national network. We conducted a retrospective cohort analysis using TriNetX Research Network, a federated real-world data and analytics platform containing data from healthcare organizations (HCOs) across the United States. We analyzed de-identified and aggregated data from adult patients who had an ICD-10 diagnosis consistent with WNV infection from 2013-2024. We evaluated demographics, comorbidities, and medications associated with mortality using bivariate analysis and multivariable Cox proportional hazard models. From 2013-2024, there were 3,064 adults diagnosed with WNV infection from 65 HCOs in the TriNetX Research Network. Of these patients, 1,328 were diagnosed with WNF and 1,206 had WNND. The overall all-cause mortality ratio was 392/3064 (13%), and 129/392 (33%) of deaths occurred within 30 days of WNV diagnosis. Risk factors significantly associated with both acute and long-term mortality included WNND (aHR 2.0, 95% CI 1.5-2.5), age (1.04, 1.03-1.05), non-ischemic heart disease (1.7, 1.3-2.3), chronic kidney disease (CKD) (2.0, 1.45-2.7), and cerebrovascular disease (1.4, 1.04-1.9). Using one of the largest retrospective cohorts of patients with WNV infection from across the United States, we identified several risk factors for mortality after WNV infection. Our findings support prior evidence that WNND, older age, and CKD are associated with greater mortality, and also that non-ischemic heart disease and cerebrovascular disease are potential risk factors. These findings can help identify groups for which efforts at WNV prevention, early detection, and supportive care could be particularly impactful.</w:t>
      </w:r>
    </w:p>
    <w:p w14:paraId="0BF3FC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25-A-2351-ASTMH</w:t>
      </w:r>
    </w:p>
    <w:p w14:paraId="2A2891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716018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Cerebrospinal fluid Tau association with prolonged coma and neurological deficit at discharge in Malawian children with Cerebral Malaria</w:t>
      </w:r>
    </w:p>
    <w:p w14:paraId="0E85BF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Cerebral malaria (CM) is a severe complication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infection, associated with high mortality (20%) and long-term neurologic sequelae (25%). CM brain histopathology includes neuronal injury and microhemorrhages and high brain volume predicts mortality. Elevated tau protein is a biomarker of neuronal injury in a variety of diseases. We tested the association of CSF tau level with brain volume scores, time to coma recovery, and neurologic outcome in Malawian children with CM.</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We analyzed CSF tau levels in 81 pediatric CM survivors using Luminex xMAP and scored brain volume using magnetic resonance imaging (MRI) (0.35-T Signa Ovation Excite MRI scanner and 64 mT Swoop portable MRI). We determined if CSF tau levels were associated with coma clearance time, neurologic outcomes and brain volume scores. Brain volume was measured (1-8 scale, 3 is normal) on admission MRI.</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xml:space="preserve"> Median cerebral spinal fluid (CSF) tau levels in CM survivors was 356 pg/ml (IQR: 196-625). Tau protein levels correlated with coma duration (Spearman r = 0.46: p &lt;0.0001) and neurological deficit at discharge (Mann Whitney p= 0.02). CSF tau levels were significantly </w:t>
      </w:r>
      <w:r w:rsidRPr="00FE5D1C">
        <w:rPr>
          <w:rFonts w:ascii="Calibri" w:eastAsia="Times New Roman" w:hAnsi="Calibri" w:cs="Calibri"/>
          <w:color w:val="000000"/>
          <w:kern w:val="0"/>
          <w:sz w:val="22"/>
          <w:szCs w:val="22"/>
          <w14:ligatures w14:val="none"/>
        </w:rPr>
        <w:lastRenderedPageBreak/>
        <w:t>higher in children with coma lasting &gt;48 hours (p = 0.002) and &gt;72 hours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0.0001). CSF tau levels did not correlate with brain volume (Spearman r =0.07: p-value = 0.51).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CSF tau may serve as a biomarker of neuronal injury in CM and could inform the need for neurological rehabilitation for some children. We will also present associations between CSF tau levels and outcomes in non-survivors, to expand the analysis of tau and increased brain volume. Identifying the mechanisms underlying elevated tau in CM could inform targeted therapeutic strategies aimed at improving survival and long-term neurologic outcomes.</w:t>
      </w:r>
    </w:p>
    <w:p w14:paraId="3C1227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25-A-2352-ASTMH</w:t>
      </w:r>
    </w:p>
    <w:p w14:paraId="1F93FA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Other Bacterial Infections</w:t>
      </w:r>
    </w:p>
    <w:p w14:paraId="0B0B92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Performance of eight serum cytokine/chemokine biomarkers in discriminating between active and latent tuberculosis infection in Ghana</w:t>
      </w:r>
    </w:p>
    <w:p w14:paraId="55FB5F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existing Interferon γ release assay (IGRA) tests for TB infection, lacks utility in discriminating between active TB (ATB) and latent TB infection (LTBI). This study evaluated the potential of eight serum cytokines/chemokines in differentiating LTBI from ATB and as a surrogate marker for TB treatment response. We quantified and compared the plasma levels of pro-inflammatory cytokines (TNF-a, IFN-y, IL-12p70, IL-17A, Granzyme B) and anti-inflammatory cytokines (IL-10, IL-6, IL-4) among LTBI, ATB, and healthy controls using the Human Magnetic Luminex™ 200 system. Serum cytokine/chemokine levels were also assessed at four timepoints before and during TB treatment. Among ATB cases, there were twice as many males (69%) as females (30%), with infectivity spanning a wide age range. IFN-y, IL-6, IL-10, IL-4, and IL-17A levels were higher in LTBI compared to ATB. ATB was associated with a 21-fold increase in IL-12p70 levels compared to LTBI (p &lt; 0.05). A significant increase in IL-12p70 levels was observed from baseline up to six months of treatment completion. The predictive potential of IL-6, IL-10, IFN-y, IL-4, IL-17A, and IL-12p70 to differentiate between ATB and LTBI using AUROC was 98.3%, 100%, 96.9%, and 100%, respectively. These findings confirm reports from other studies in different settings that LTBI and ATB express differential cytokine profiles that can be exploited as diagnostic biomarkers. Of note, the quantitative estimation of IL-12p70 may serve as a valuable marker for monitoring disease progression and treatment success in tuberculosis.</w:t>
      </w:r>
    </w:p>
    <w:p w14:paraId="278C21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25-A-2354-ASTMH</w:t>
      </w:r>
    </w:p>
    <w:p w14:paraId="45E8175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73D548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Advancing global access to UK-driven research and innovation through global access policies in UK academic funding and research institutions</w:t>
      </w:r>
    </w:p>
    <w:p w14:paraId="584322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UK is a global research and development (R&amp;D) leader, producing more academic publications than the US or China, ranking 4th for R&amp;D expenditure among G7 countries, and 5th per capital for patents applications in 2020. In 2022, 29% of UK R&amp;D expenditure came from public and philanthropic sources. In 2023, this amounted to £17.4B UK Govt net expenditure on R&amp;D. Although much of early-stage UK academic research is publicly or philanthropically funded, the late-stage development and onward translation of these outputs into globally accessible products often stalls due to the private sector’s focus on outsized returns on investment. Access to innovative health interventions therefore remains a critical challenge for countries worldwide, regardless of their level of development. Many UK innovations, particularly in pharmaceuticals and biotechnology, do not reach low and middle-income countries (LMICs) due to commercial interests prioritizing high-income markets. For UK-driven R&amp;D to ensure broader and equitable societal benefit in the UK and worldwide, UK academic research funders and institutions can adopt GAPs. A global access policy (GAP), also known as an "equitable access policy" or "equitable access strategy”, is an institutional guideline set by a research or funding body to ensure global and equitable access to publicly or philanthropically funded research outputs and innovations, aligning with open science principles &amp; advancing UN SDG 3 targets on Universal Health Coverage and Access to Medicines. This project will explore how GAPs can improve the affordability and accessibility of UK-driven research &amp; innovation in the UK and globally. Using interviews with key stakeholders, and </w:t>
      </w:r>
      <w:r w:rsidRPr="00FE5D1C">
        <w:rPr>
          <w:rFonts w:ascii="Calibri" w:eastAsia="Times New Roman" w:hAnsi="Calibri" w:cs="Calibri"/>
          <w:color w:val="000000"/>
          <w:kern w:val="0"/>
          <w:sz w:val="22"/>
          <w:szCs w:val="22"/>
          <w14:ligatures w14:val="none"/>
        </w:rPr>
        <w:lastRenderedPageBreak/>
        <w:t>rapid literature reviews, the project aims to create case studies and actionable strategies for deploying UK R&amp;D outputs globally, bridging access gaps, &amp; enhancing economic and societal benefit.</w:t>
      </w:r>
    </w:p>
    <w:p w14:paraId="228552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25-A-2355-ASTMH</w:t>
      </w:r>
    </w:p>
    <w:p w14:paraId="6FBED2F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Cestodes (including taeniasis and cysticercosis, echinococcosis/hydatid disease, and others)</w:t>
      </w:r>
    </w:p>
    <w:p w14:paraId="06B0DC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Extracellular vesicles of </w:t>
      </w:r>
      <w:r w:rsidRPr="00FE5D1C">
        <w:rPr>
          <w:rFonts w:ascii="Calibri" w:eastAsia="Times New Roman" w:hAnsi="Calibri" w:cs="Calibri"/>
          <w:b/>
          <w:bCs/>
          <w:i/>
          <w:iCs/>
          <w:color w:val="000000"/>
          <w:kern w:val="0"/>
          <w:sz w:val="22"/>
          <w:szCs w:val="22"/>
          <w14:ligatures w14:val="none"/>
        </w:rPr>
        <w:t>Taenia solium</w:t>
      </w:r>
      <w:r w:rsidRPr="00FE5D1C">
        <w:rPr>
          <w:rFonts w:ascii="Calibri" w:eastAsia="Times New Roman" w:hAnsi="Calibri" w:cs="Calibri"/>
          <w:b/>
          <w:bCs/>
          <w:color w:val="000000"/>
          <w:kern w:val="0"/>
          <w:sz w:val="22"/>
          <w:szCs w:val="22"/>
          <w14:ligatures w14:val="none"/>
        </w:rPr>
        <w:t> suppresses reactive oxygen species production in neutrophils and regulate IP6K1 and pAKT activity</w:t>
      </w:r>
    </w:p>
    <w:p w14:paraId="4A1165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excretory-secretory proteome is essential for immunological escape strategies of many pathogens, including cestode parasites like </w:t>
      </w:r>
      <w:r w:rsidRPr="00FE5D1C">
        <w:rPr>
          <w:rFonts w:ascii="Calibri" w:eastAsia="Times New Roman" w:hAnsi="Calibri" w:cs="Calibri"/>
          <w:i/>
          <w:iCs/>
          <w:color w:val="000000"/>
          <w:kern w:val="0"/>
          <w:sz w:val="22"/>
          <w:szCs w:val="22"/>
          <w14:ligatures w14:val="none"/>
        </w:rPr>
        <w:t>Taenia solium</w:t>
      </w:r>
      <w:r w:rsidRPr="00FE5D1C">
        <w:rPr>
          <w:rFonts w:ascii="Calibri" w:eastAsia="Times New Roman" w:hAnsi="Calibri" w:cs="Calibri"/>
          <w:color w:val="000000"/>
          <w:kern w:val="0"/>
          <w:sz w:val="22"/>
          <w:szCs w:val="22"/>
          <w14:ligatures w14:val="none"/>
        </w:rPr>
        <w:t>, as well as for intercellular communication over the course of disease. Neurocysticercosis (NCC), caused by </w:t>
      </w:r>
      <w:r w:rsidRPr="00FE5D1C">
        <w:rPr>
          <w:rFonts w:ascii="Calibri" w:eastAsia="Times New Roman" w:hAnsi="Calibri" w:cs="Calibri"/>
          <w:i/>
          <w:iCs/>
          <w:color w:val="000000"/>
          <w:kern w:val="0"/>
          <w:sz w:val="22"/>
          <w:szCs w:val="22"/>
          <w14:ligatures w14:val="none"/>
        </w:rPr>
        <w:t>T. solium</w:t>
      </w:r>
      <w:r w:rsidRPr="00FE5D1C">
        <w:rPr>
          <w:rFonts w:ascii="Calibri" w:eastAsia="Times New Roman" w:hAnsi="Calibri" w:cs="Calibri"/>
          <w:color w:val="000000"/>
          <w:kern w:val="0"/>
          <w:sz w:val="22"/>
          <w:szCs w:val="22"/>
          <w14:ligatures w14:val="none"/>
        </w:rPr>
        <w:t> cysticerci, accounts for 30% of acquired epilepsy cases in endemic regions. Extracellular vesicles (EVs) secreted from the </w:t>
      </w:r>
      <w:r w:rsidRPr="00FE5D1C">
        <w:rPr>
          <w:rFonts w:ascii="Calibri" w:eastAsia="Times New Roman" w:hAnsi="Calibri" w:cs="Calibri"/>
          <w:i/>
          <w:iCs/>
          <w:color w:val="000000"/>
          <w:kern w:val="0"/>
          <w:sz w:val="22"/>
          <w:szCs w:val="22"/>
          <w14:ligatures w14:val="none"/>
        </w:rPr>
        <w:t>T. solium</w:t>
      </w:r>
      <w:r w:rsidRPr="00FE5D1C">
        <w:rPr>
          <w:rFonts w:ascii="Calibri" w:eastAsia="Times New Roman" w:hAnsi="Calibri" w:cs="Calibri"/>
          <w:color w:val="000000"/>
          <w:kern w:val="0"/>
          <w:sz w:val="22"/>
          <w:szCs w:val="22"/>
          <w14:ligatures w14:val="none"/>
        </w:rPr>
        <w:t> have been reported to attenuate AKT/mTOR signaling pathway in macrophages, thereby modulating host immune responses. Similarly, neutrophils being the first-line defenders of the innate immune system utilize reactive oxygen species in regulating cellular signaling cascades and contributes to NCC immunopathogenesis. However, the role of EVs and neutrophils during NCC remains poorly understood. We isolated </w:t>
      </w:r>
      <w:r w:rsidRPr="00FE5D1C">
        <w:rPr>
          <w:rFonts w:ascii="Calibri" w:eastAsia="Times New Roman" w:hAnsi="Calibri" w:cs="Calibri"/>
          <w:i/>
          <w:iCs/>
          <w:color w:val="000000"/>
          <w:kern w:val="0"/>
          <w:sz w:val="22"/>
          <w:szCs w:val="22"/>
          <w14:ligatures w14:val="none"/>
        </w:rPr>
        <w:t>T. solium</w:t>
      </w:r>
      <w:r w:rsidRPr="00FE5D1C">
        <w:rPr>
          <w:rFonts w:ascii="Calibri" w:eastAsia="Times New Roman" w:hAnsi="Calibri" w:cs="Calibri"/>
          <w:color w:val="000000"/>
          <w:kern w:val="0"/>
          <w:sz w:val="22"/>
          <w:szCs w:val="22"/>
          <w14:ligatures w14:val="none"/>
        </w:rPr>
        <w:t> cyst derived EVs following MISEV guidelines and treated differentiated HL-60 cells. The mRNA expression of genes was quantified via QRT-PCR, while ROS production was assessed using flow cytometry. Immunoblotting was also performed to analyse the expression of different cellular markers in dHL-60 cells as well as primary human neutrophils, isolated from healthy volunteers. We observed a significant increase in the relative mRNA expression of inositol hexakisphosphate kinase 1 (InsP6K1), which is one of the three mammalian inositol hexakisphosphate kinases. EVs effectively suppressed the tBHP induced ROS production. Moreover, neutrophils exhibited elevated levels of IP6K1 and a reduction in fMLP-induced phosphorylation of AKT (pAKT). These findings suggested that the </w:t>
      </w:r>
      <w:r w:rsidRPr="00FE5D1C">
        <w:rPr>
          <w:rFonts w:ascii="Calibri" w:eastAsia="Times New Roman" w:hAnsi="Calibri" w:cs="Calibri"/>
          <w:i/>
          <w:iCs/>
          <w:color w:val="000000"/>
          <w:kern w:val="0"/>
          <w:sz w:val="22"/>
          <w:szCs w:val="22"/>
          <w14:ligatures w14:val="none"/>
        </w:rPr>
        <w:t>T. solium</w:t>
      </w:r>
      <w:r w:rsidRPr="00FE5D1C">
        <w:rPr>
          <w:rFonts w:ascii="Calibri" w:eastAsia="Times New Roman" w:hAnsi="Calibri" w:cs="Calibri"/>
          <w:color w:val="000000"/>
          <w:kern w:val="0"/>
          <w:sz w:val="22"/>
          <w:szCs w:val="22"/>
          <w14:ligatures w14:val="none"/>
        </w:rPr>
        <w:t> cyst derived EVs modulate neutrophil function by suppressing the ROS production, upregulating IP6K1 and downregulating induced phosphorylated AKT levels in neutrophils, which may lead to the inhibition of the innate immune cells and potentially contributing to immune evasion during NCC. Further investigations are required to elucidate the effect of reduced AKT activity on other neutrophil’s cellular activity including cell survival, apoptosis and cytokines secretions during the NCC.</w:t>
      </w:r>
    </w:p>
    <w:p w14:paraId="185F74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25-A-2357-ASTMH</w:t>
      </w:r>
    </w:p>
    <w:p w14:paraId="20F205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7FCEE553" w14:textId="52585614"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False-positive malaria rapid diagnostic tests among children under 5 in Uganda</w:t>
      </w:r>
    </w:p>
    <w:p w14:paraId="3F409A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Malaria rapid diagnostic tests (mRDTs) detect antigens produced by the parasite, which can remain in the bloodstream even after treatment, leading to false-positive results. False-negative mRDTs are well-described, but less is known about the prevalence and consequences of false-positive results.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We estimated the prevalence of false-positive mRDTs using data from the 2018-19 Uganda Malaria Indicator Survey. Children aged &lt;5 years with valid paired mRDT and microscopy (reference test) results were included. We define a false-positive result as mRDT(+)/microscopy(-). We estimated the prevalence of false-positive mRDTs among microscopy(-) children using survey weights. We fit bivariate generalized linear models to estimate the prevalence difference (PD) of false-positive mRDTs for pre-specified covariates. Then, we constructed cross-validated weighted lasso regression models to determine which variables best predict false-positive mRDT status among children with recent fever by estimating area under the curve (AUC).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The estimated prevalence of false-positive mRDTs was 10.7% (849/6786) and was strongly correlated with region transmission intensity (r=0.90). Prevalence was higher among children with recent fever (PD: 0.17; 95% CI: 0.14, 0.21), recent antimalarial use (0.15; 0.07, 0.22), and comorbid anemia (0.08; 0.06, 0.10). Prevalence was lower among those with recent antibiotic use (-0.18; -0.23, -0.13). Household factors, including urban residence, smaller household size, and electricity were associated with lower prevalence. A model with clinical and environmental variables better predicted false-positive mRDT (AUC: 0.79) than the environmental-only (0.68) and clinical-only models (0.71). </w:t>
      </w:r>
      <w:r w:rsidRPr="00FE5D1C">
        <w:rPr>
          <w:rFonts w:ascii="Calibri" w:eastAsia="Times New Roman" w:hAnsi="Calibri" w:cs="Calibri"/>
          <w:b/>
          <w:bCs/>
          <w:color w:val="000000"/>
          <w:kern w:val="0"/>
          <w:sz w:val="22"/>
          <w:szCs w:val="22"/>
          <w14:ligatures w14:val="none"/>
        </w:rPr>
        <w:t>Discussion:</w:t>
      </w:r>
      <w:r w:rsidRPr="00FE5D1C">
        <w:rPr>
          <w:rFonts w:ascii="Calibri" w:eastAsia="Times New Roman" w:hAnsi="Calibri" w:cs="Calibri"/>
          <w:color w:val="000000"/>
          <w:kern w:val="0"/>
          <w:sz w:val="22"/>
          <w:szCs w:val="22"/>
          <w14:ligatures w14:val="none"/>
        </w:rPr>
        <w:t xml:space="preserve"> False-positive mRDTs are prevalent among children &lt;5 </w:t>
      </w:r>
      <w:r w:rsidRPr="00FE5D1C">
        <w:rPr>
          <w:rFonts w:ascii="Calibri" w:eastAsia="Times New Roman" w:hAnsi="Calibri" w:cs="Calibri"/>
          <w:color w:val="000000"/>
          <w:kern w:val="0"/>
          <w:sz w:val="22"/>
          <w:szCs w:val="22"/>
          <w14:ligatures w14:val="none"/>
        </w:rPr>
        <w:lastRenderedPageBreak/>
        <w:t>years in Uganda and lead to overestimates of community-level malaria prevalence. Demographic, clinical, and environmental variables were important predictors of false-positive mRDT results. False-positive mRDTs may contribute to unnecessary antimalarial use and consequently antimicrobial resistance.</w:t>
      </w:r>
    </w:p>
    <w:p w14:paraId="2C6CBD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25-A-2358-ASTMH</w:t>
      </w:r>
    </w:p>
    <w:p w14:paraId="62C06A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0AC171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Comparative Analysis of Dengue Fever Awareness and Prevention Practices Among Parents in Rural and Urban Pakistan</w:t>
      </w:r>
    </w:p>
    <w:p w14:paraId="3A20E2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Abstract:</w:t>
      </w:r>
      <w:r w:rsidRPr="00FE5D1C">
        <w:rPr>
          <w:rFonts w:ascii="Calibri" w:eastAsia="Times New Roman" w:hAnsi="Calibri" w:cs="Calibri"/>
          <w:color w:val="000000"/>
          <w:kern w:val="0"/>
          <w:sz w:val="22"/>
          <w:szCs w:val="22"/>
          <w:u w:val="single"/>
          <w14:ligatures w14:val="none"/>
        </w:rPr>
        <w:t>Objective:</w:t>
      </w:r>
      <w:r w:rsidRPr="00FE5D1C">
        <w:rPr>
          <w:rFonts w:ascii="Calibri" w:eastAsia="Times New Roman" w:hAnsi="Calibri" w:cs="Calibri"/>
          <w:color w:val="000000"/>
          <w:kern w:val="0"/>
          <w:sz w:val="22"/>
          <w:szCs w:val="22"/>
          <w14:ligatures w14:val="none"/>
        </w:rPr>
        <w:t> To compare the knowledge, attitude and prevention practices for dengue fever among parents of rural and urban areas of Pakistan. </w:t>
      </w:r>
      <w:r w:rsidRPr="00FE5D1C">
        <w:rPr>
          <w:rFonts w:ascii="Calibri" w:eastAsia="Times New Roman" w:hAnsi="Calibri" w:cs="Calibri"/>
          <w:color w:val="000000"/>
          <w:kern w:val="0"/>
          <w:sz w:val="22"/>
          <w:szCs w:val="22"/>
          <w:u w:val="single"/>
          <w14:ligatures w14:val="none"/>
        </w:rPr>
        <w:t>Method:</w:t>
      </w:r>
      <w:r w:rsidRPr="00FE5D1C">
        <w:rPr>
          <w:rFonts w:ascii="Calibri" w:eastAsia="Times New Roman" w:hAnsi="Calibri" w:cs="Calibri"/>
          <w:color w:val="000000"/>
          <w:kern w:val="0"/>
          <w:sz w:val="22"/>
          <w:szCs w:val="22"/>
          <w14:ligatures w14:val="none"/>
        </w:rPr>
        <w:t> A cross-sectional study was conducted involving 700 parents from a community who visited a nearby outpatient department (OPD). A well-trained female interviewer administered a pretested questionnaire and recorded responses using Google Forms. The results were analyzed by the Google forms itself.</w:t>
      </w:r>
      <w:r w:rsidRPr="00FE5D1C">
        <w:rPr>
          <w:rFonts w:ascii="Calibri" w:eastAsia="Times New Roman" w:hAnsi="Calibri" w:cs="Calibri"/>
          <w:color w:val="000000"/>
          <w:kern w:val="0"/>
          <w:sz w:val="22"/>
          <w:szCs w:val="22"/>
          <w:u w:val="single"/>
          <w14:ligatures w14:val="none"/>
        </w:rPr>
        <w:t>Results:</w:t>
      </w:r>
      <w:r w:rsidRPr="00FE5D1C">
        <w:rPr>
          <w:rFonts w:ascii="Calibri" w:eastAsia="Times New Roman" w:hAnsi="Calibri" w:cs="Calibri"/>
          <w:color w:val="000000"/>
          <w:kern w:val="0"/>
          <w:sz w:val="22"/>
          <w:szCs w:val="22"/>
          <w14:ligatures w14:val="none"/>
        </w:rPr>
        <w:t> Among the 700 respondents, 360 (51%) were from urban areas and 340 (48%) from rural areas. A significant majority, 620 participants (88%), reported awareness of dengue fever, with both urban and rural respondents equally informed. The primary source of information for urban participants was TV or the internet, cited by 250 (69%), compared to only 100 (29%) in rural areas. When asked about the cause of dengue, both urban (300 participants, 83%) and rural (280 participants, 82%) correctly identified it as a virus transmitted by mosquitoes. Awareness of symptoms was also high, with urban participants recognizing them at a rate of 280 (77%) and rural participants at 260 (76%). Though only 110 participants reported having a child infected with dengue, there was a notable difference between urban (35, 31%) and rural (75, 68%) respondents. Regarding preventive measures, awareness was high for using insecticides (300 urban, 230 rural), while the use of bed nets was noted by 250 urban (69%) and 100 rural (29%). </w:t>
      </w:r>
      <w:r w:rsidRPr="00FE5D1C">
        <w:rPr>
          <w:rFonts w:ascii="Calibri" w:eastAsia="Times New Roman" w:hAnsi="Calibri" w:cs="Calibri"/>
          <w:color w:val="000000"/>
          <w:kern w:val="0"/>
          <w:sz w:val="22"/>
          <w:szCs w:val="22"/>
          <w:u w:val="single"/>
          <w14:ligatures w14:val="none"/>
        </w:rPr>
        <w:t>Conclusion:</w:t>
      </w:r>
      <w:r w:rsidRPr="00FE5D1C">
        <w:rPr>
          <w:rFonts w:ascii="Calibri" w:eastAsia="Times New Roman" w:hAnsi="Calibri" w:cs="Calibri"/>
          <w:color w:val="000000"/>
          <w:kern w:val="0"/>
          <w:sz w:val="22"/>
          <w:szCs w:val="22"/>
          <w14:ligatures w14:val="none"/>
        </w:rPr>
        <w:t> The study concludes that while there is a strong understanding of dengue fever among parents in both urban and rural areas, disparities in information sources and higher reported infection rates in rural areas highlight the need for targeted educational interventions.</w:t>
      </w:r>
      <w:r w:rsidRPr="00FE5D1C">
        <w:rPr>
          <w:rFonts w:ascii="Calibri" w:eastAsia="Times New Roman" w:hAnsi="Calibri" w:cs="Calibri"/>
          <w:color w:val="000000"/>
          <w:kern w:val="0"/>
          <w:sz w:val="22"/>
          <w:szCs w:val="22"/>
          <w:u w:val="single"/>
          <w14:ligatures w14:val="none"/>
        </w:rPr>
        <w:t>Recommendation:</w:t>
      </w:r>
      <w:r w:rsidRPr="00FE5D1C">
        <w:rPr>
          <w:rFonts w:ascii="Calibri" w:eastAsia="Times New Roman" w:hAnsi="Calibri" w:cs="Calibri"/>
          <w:color w:val="000000"/>
          <w:kern w:val="0"/>
          <w:sz w:val="22"/>
          <w:szCs w:val="22"/>
          <w14:ligatures w14:val="none"/>
        </w:rPr>
        <w:t> There should be proper awareness surveys for the spread of knowledge and prevention of dengue fever. There should also be regular spray of insecticides in the area.</w:t>
      </w:r>
    </w:p>
    <w:p w14:paraId="1A9E706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25-A-2359-ASTMH</w:t>
      </w:r>
    </w:p>
    <w:p w14:paraId="4B4B6E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27DBC04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Antiplasmodium Compounds Identified via Machine Learning Tools: Synthesis, Biological Evaluations and Resistance Profiling</w:t>
      </w:r>
    </w:p>
    <w:p w14:paraId="346B52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ever-increasing drug resistance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parasites underlies the need for new antimalarial drugs. In this study, we conducted principal component analysis (PCA) mapping to map compounds from the ChemDiv 300 000 Representative Compounds Library. Compounds with enhanced probability of β-hematin formation inhibition activity were docked to the β-hematin crystal structure using AutoDock Vina. A support vector machine (SVM) model was used to predict parasite activity, and a diverse subset of these hit compounds was tested using detergent mediated β-hematin formation inhibition and whole-cell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assays. Front-runner compounds were tested for their ability to inhibit hemozoin formation in a cellular fractionation assay.</w:t>
      </w:r>
      <w:r w:rsidRPr="00FE5D1C">
        <w:rPr>
          <w:rFonts w:ascii="Calibri" w:eastAsia="Times New Roman" w:hAnsi="Calibri" w:cs="Calibri"/>
          <w:color w:val="000000"/>
          <w:kern w:val="0"/>
          <w:sz w:val="22"/>
          <w:szCs w:val="22"/>
          <w:vertAlign w:val="superscript"/>
          <w14:ligatures w14:val="none"/>
        </w:rPr>
        <w:t> </w:t>
      </w:r>
      <w:r w:rsidRPr="00FE5D1C">
        <w:rPr>
          <w:rFonts w:ascii="Calibri" w:eastAsia="Times New Roman" w:hAnsi="Calibri" w:cs="Calibri"/>
          <w:color w:val="000000"/>
          <w:kern w:val="0"/>
          <w:sz w:val="22"/>
          <w:szCs w:val="22"/>
          <w14:ligatures w14:val="none"/>
        </w:rPr>
        <w:t>This combination of easily accessible, user-friendly, high throughput machine learning techniques successfully identified three compounds that possessed potent sub-micromolar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xml:space="preserve"> growth inhibition activity with novel chemotypes in the context of malaria. Two of these compounds inhibited the formation of hemozoin within the parasite. The third hit compound, with an unknown mechanism of action, was selected for prioritization. In the absence of a reported synthetic procedure, we developed a six-step synthetic route to obtain the compound in high yield. This route was further applied to the synthesis of six analogues, allowing for a preliminary structure activity relationship (SAR) analysis of this class as well as the determination of solubility and cytotoxicity. Resistance selections with the two most potent analogues resulted in the generation of </w:t>
      </w:r>
      <w:r w:rsidRPr="00FE5D1C">
        <w:rPr>
          <w:rFonts w:ascii="Calibri" w:eastAsia="Times New Roman" w:hAnsi="Calibri" w:cs="Calibri"/>
          <w:color w:val="000000"/>
          <w:kern w:val="0"/>
          <w:sz w:val="22"/>
          <w:szCs w:val="22"/>
          <w14:ligatures w14:val="none"/>
        </w:rPr>
        <w:lastRenderedPageBreak/>
        <w:t>resistant mutant clonal lines. Whole genome sequencing assisted in elucidating the mechanism of resistance and possible mechanism of action for the hit compound.</w:t>
      </w:r>
    </w:p>
    <w:p w14:paraId="144BF73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25-A-2361-ASTMH</w:t>
      </w:r>
    </w:p>
    <w:p w14:paraId="4157F8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66D433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Metagenomic analysis of the gut microbiome of children with respiratory infections</w:t>
      </w:r>
    </w:p>
    <w:p w14:paraId="75CFB1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intestinal and respiratory microbiota differ in composition, but their anatomical structure and function are similar. In fact, the germs in the intestines might be the reservoir for respiratory infections. This study looked at the gut microbiome linked to respiratory infections in children. We looked at stool samples from five children diagnosed with respiratory infections in Bandiagara. The most common types of bacteria in stool samples were Streptococcus salivarius subsp. salivarius (18%), Romboutsia timonensis (15%), and Gemmiger formicilis (12%). Among children with respiratory infection, Streptococcus timonensis was detected in 98% (290/296), Klebsiella pneumoniae subsp. ozaenae was identified in 15% (45/296), and Klebsiella pneumoniae subsp. pneumoniae was identified in 3% (9/296). Furthermore, Klebsiella quasipneumoniae subsp. quasipneumoniae was identified in 84% (250/296) of the subjects, Streptococcus anginosus subsp. whileyi was identified in 91% (270/296), and Streptococcus lutetiensis was identified in 91% (270/296) of the subjects. Among children identified as positive for Streptococcus timonensis, there was one case of angina, two cases of acute respiratory infection, one case of bronchitis, one case of acute bronchitis, and one case of rhinitis. In contrast, among children who were positive for Klebsiella pneumoniae subsp. ozaenae, only a single case of angina was documented. Among children with Klebsiella pneumoniae subsp. pneumoniae, there was one case of angina and one case of acute bronchitis. Children positive to Streptococcus anginosus subsp. whileyi, two cases of acute respiratory infection, one case of bronchitis, one case of acute bronchitis, and one case of rhinitis were observed. The results indicated one case of angina, two cases of acute respiratory infection, one case of bronchitis, one case of acute bronchitis, and one case of rhinitis in children positive for Streptococcus lutetiensis. In conclusion, these bacteria have been identified as prevalent components of the digestive microbiome in children and have been linked to respiratory infections.</w:t>
      </w:r>
    </w:p>
    <w:p w14:paraId="3BD61E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25-A-2363-ASTMH</w:t>
      </w:r>
    </w:p>
    <w:p w14:paraId="205C08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05C31D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PRONet Duo insecticide-treated net incorporated with chlorfenapyr and bifenthrin is superior to Interceptor® G2 nets against pyrethroid-resistant Anopheles gambiae sensu lato: a randomized experimental hut trial in Côte d’Ivoire and Tanzania using non-inferiority desig</w:t>
      </w:r>
    </w:p>
    <w:p w14:paraId="295AB5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widespread development of pyrethroid-resistant Anopheles populations, has reduced the efficacy of pyrethroid insecticide-treated nets (ITNs), hindering malaria control efforts. This study tested PRONet Duo, a new ITN with two active ingredients-bifenthrin and chlorfenapyr. The efficacy of PRONet Duo was compared to Interceptor® G2, an alpha-cypermethrin and chlorfenapyr ITN with proven efficacy in malaria reduction. The study was conducted in two identical 9x9 Latin square experimental hut trials against wild free-flying Anopheles gambiae sensu lato in M’Bé, Côte d’Ivoire, and Lupiro, Tanzania using 18 experimental huts over 108 nights. The primary endpoint was the proportion of 72-hour mosquito mortality (M72) and the secondary endpoint was the proportion of mosquito blood-feeding. Data were analyzed using mixed-effect linear regression with a 7% margin of non-inferiority. Data were classified as non-inferior using delta and superior using the line of no difference. PRONet Duo demonstrated a non-inferior and superior mosquito mortality compared to Interceptor® G2 in both study sites. In Côte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 PRONet Duo ITNs are </w:t>
      </w:r>
      <w:r w:rsidRPr="00FE5D1C">
        <w:rPr>
          <w:rFonts w:ascii="Calibri" w:eastAsia="Times New Roman" w:hAnsi="Calibri" w:cs="Calibri"/>
          <w:color w:val="000000"/>
          <w:kern w:val="0"/>
          <w:sz w:val="22"/>
          <w:szCs w:val="22"/>
          <w14:ligatures w14:val="none"/>
        </w:rPr>
        <w:lastRenderedPageBreak/>
        <w:t>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w:t>
      </w:r>
    </w:p>
    <w:p w14:paraId="17EE4D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25-A-2364-ASTMH</w:t>
      </w:r>
    </w:p>
    <w:p w14:paraId="2C2483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0FD130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Relationship between Pregnancy Intentions and Maternal, Newborn and Child Health Behaviors in 18 sub-Saharan African Countries</w:t>
      </w:r>
    </w:p>
    <w:p w14:paraId="673AA5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This study explores the relationship between pregnancy intentions and maternal, newborn and child health (MNCH) behaviors. Secondary data analysis of recent (2018-2023), cross-sectional Demographic and Health Surveys from 18 sub-Saharan African countries. Survey respondents were women aged 15-49 years old with a child less than a year old who responded to survey questions about their pregnancy intentions for that child (N= 39,936). Logistic regressions and meta-analysis using fixed effects explored the relationship between pregnancy intentions and MNCH behaviors across study countries adjusting for sociodemographic and contextual variables. Pregnancy intentions were defined as i) intended versus unintended. MNCH behaviors included i) early ANC, ii) 4+ ANC contacts (ANC4+), iii) 3+ doses of intermittent preventive treatment of malaria in pregnancy (IPTp3+), iv) receipt of tetanus toxoid and v) immediate breastfeeding. Overall, 24% of women did not want their index pregnancy (ranging from 11% in Burkina Faso to 48% in Gabon). Unintended pregnancies were associated with reduced odds of early ANC (aOR: 0.69, 95% CI: 0.66, 0.73), IPTp3+ (aOR: 0.85; 95% CI: 0.80, 0.90), receiving tetanus toxoid (AOR: 0.75; 95% CI: 0.69, 0.81), and immediate breastfeeding (AOR: 0.83; 95% CI: 0.80, 0.86). Study findings corroborate the role of reproductive health agency and pregnancy preparedness in optimizing maternal, newborn and child health outcomes. Integration of reproductive health services, malaria service delivery, and social and behavior change interventions can help to improve pregnancy outcomes.</w:t>
      </w:r>
    </w:p>
    <w:p w14:paraId="4FDF8D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25-A-2366-ASTMH</w:t>
      </w:r>
    </w:p>
    <w:p w14:paraId="4E3CE0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109073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Adult </w:t>
      </w:r>
      <w:r w:rsidRPr="00FE5D1C">
        <w:rPr>
          <w:rFonts w:ascii="Calibri" w:eastAsia="Times New Roman" w:hAnsi="Calibri" w:cs="Calibri"/>
          <w:b/>
          <w:bCs/>
          <w:i/>
          <w:iCs/>
          <w:color w:val="000000"/>
          <w:kern w:val="0"/>
          <w:sz w:val="22"/>
          <w:szCs w:val="22"/>
          <w14:ligatures w14:val="none"/>
        </w:rPr>
        <w:t>Anopheles funestus</w:t>
      </w:r>
      <w:r w:rsidRPr="00FE5D1C">
        <w:rPr>
          <w:rFonts w:ascii="Calibri" w:eastAsia="Times New Roman" w:hAnsi="Calibri" w:cs="Calibri"/>
          <w:b/>
          <w:bCs/>
          <w:color w:val="000000"/>
          <w:kern w:val="0"/>
          <w:sz w:val="22"/>
          <w:szCs w:val="22"/>
          <w14:ligatures w14:val="none"/>
        </w:rPr>
        <w:t> from different geographical locations express variable mating responses to identical cage environments in captivity</w:t>
      </w:r>
    </w:p>
    <w:p w14:paraId="10ADA4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Establishing and maintaining</w:t>
      </w:r>
      <w:r w:rsidRPr="00FE5D1C">
        <w:rPr>
          <w:rFonts w:ascii="Calibri" w:eastAsia="Times New Roman" w:hAnsi="Calibri" w:cs="Calibri"/>
          <w:i/>
          <w:iCs/>
          <w:color w:val="000000"/>
          <w:kern w:val="0"/>
          <w:sz w:val="22"/>
          <w:szCs w:val="22"/>
          <w14:ligatures w14:val="none"/>
        </w:rPr>
        <w:t> Anopheles funestus</w:t>
      </w:r>
      <w:r w:rsidRPr="00FE5D1C">
        <w:rPr>
          <w:rFonts w:ascii="Calibri" w:eastAsia="Times New Roman" w:hAnsi="Calibri" w:cs="Calibri"/>
          <w:color w:val="000000"/>
          <w:kern w:val="0"/>
          <w:sz w:val="22"/>
          <w:szCs w:val="22"/>
          <w14:ligatures w14:val="none"/>
        </w:rPr>
        <w:t> colonies in captivity has proven challengingand has been attributed to low mating success. This is a major bottleneck for the establishmentlocal</w:t>
      </w:r>
      <w:r w:rsidRPr="00FE5D1C">
        <w:rPr>
          <w:rFonts w:ascii="Calibri" w:eastAsia="Times New Roman" w:hAnsi="Calibri" w:cs="Calibri"/>
          <w:i/>
          <w:iCs/>
          <w:color w:val="000000"/>
          <w:kern w:val="0"/>
          <w:sz w:val="22"/>
          <w:szCs w:val="22"/>
          <w14:ligatures w14:val="none"/>
        </w:rPr>
        <w:t> An. funestus</w:t>
      </w:r>
      <w:r w:rsidRPr="00FE5D1C">
        <w:rPr>
          <w:rFonts w:ascii="Calibri" w:eastAsia="Times New Roman" w:hAnsi="Calibri" w:cs="Calibri"/>
          <w:color w:val="000000"/>
          <w:kern w:val="0"/>
          <w:sz w:val="22"/>
          <w:szCs w:val="22"/>
          <w14:ligatures w14:val="none"/>
        </w:rPr>
        <w:t> colonies. This study evaluated the impact of cage conditions on the matingsuccess of two</w:t>
      </w:r>
      <w:r w:rsidRPr="00FE5D1C">
        <w:rPr>
          <w:rFonts w:ascii="Calibri" w:eastAsia="Times New Roman" w:hAnsi="Calibri" w:cs="Calibri"/>
          <w:i/>
          <w:iCs/>
          <w:color w:val="000000"/>
          <w:kern w:val="0"/>
          <w:sz w:val="22"/>
          <w:szCs w:val="22"/>
          <w14:ligatures w14:val="none"/>
        </w:rPr>
        <w:t> An. funestus</w:t>
      </w:r>
      <w:r w:rsidRPr="00FE5D1C">
        <w:rPr>
          <w:rFonts w:ascii="Calibri" w:eastAsia="Times New Roman" w:hAnsi="Calibri" w:cs="Calibri"/>
          <w:color w:val="000000"/>
          <w:kern w:val="0"/>
          <w:sz w:val="22"/>
          <w:szCs w:val="22"/>
          <w14:ligatures w14:val="none"/>
        </w:rPr>
        <w:t> strains from different geographic localities, Angola (FANG) andMozambique (FUMOZ). The visual environment inside adult mosquito-rearing cages wasmanipulated by two methods. The first was through covering the mosquito-rearing cages witha black opaque cloth to create artificial horizons during the scoto- and the photo phase. Thesecond was by placing a contrasting black visual swarming marker at different positions withinthe mosquito-rearing cage. Overall, the mating success rates of the</w:t>
      </w:r>
      <w:r w:rsidRPr="00FE5D1C">
        <w:rPr>
          <w:rFonts w:ascii="Calibri" w:eastAsia="Times New Roman" w:hAnsi="Calibri" w:cs="Calibri"/>
          <w:i/>
          <w:iCs/>
          <w:color w:val="000000"/>
          <w:kern w:val="0"/>
          <w:sz w:val="22"/>
          <w:szCs w:val="22"/>
          <w14:ligatures w14:val="none"/>
        </w:rPr>
        <w:t> An. funestus</w:t>
      </w:r>
      <w:r w:rsidRPr="00FE5D1C">
        <w:rPr>
          <w:rFonts w:ascii="Calibri" w:eastAsia="Times New Roman" w:hAnsi="Calibri" w:cs="Calibri"/>
          <w:color w:val="000000"/>
          <w:kern w:val="0"/>
          <w:sz w:val="22"/>
          <w:szCs w:val="22"/>
          <w14:ligatures w14:val="none"/>
        </w:rPr>
        <w:t> from Angola(FANG) was higher compared to the same species from Mozambique (FUMOZ) both underartificial horizons (OR = 2.2, 95% CI: [1.83, 2.64]) and visual swarming markers (OR = 3.37,95% CI: [2.53, 4.49]). Manipulating adult cages by covering them with black opaque cloth andplacing a contrasting marker in the cage increased mating success for FANG (χ</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 27.6, p &lt;0.001), and FUMOZ (χ</w:t>
      </w:r>
      <w:r w:rsidRPr="00FE5D1C">
        <w:rPr>
          <w:rFonts w:ascii="Calibri" w:eastAsia="Times New Roman" w:hAnsi="Calibri" w:cs="Calibri"/>
          <w:color w:val="000000"/>
          <w:kern w:val="0"/>
          <w:sz w:val="22"/>
          <w:szCs w:val="22"/>
          <w:vertAlign w:val="superscript"/>
          <w14:ligatures w14:val="none"/>
        </w:rPr>
        <w:t>2</w:t>
      </w:r>
      <w:r w:rsidRPr="00FE5D1C">
        <w:rPr>
          <w:rFonts w:ascii="Calibri" w:eastAsia="Times New Roman" w:hAnsi="Calibri" w:cs="Calibri"/>
          <w:color w:val="000000"/>
          <w:kern w:val="0"/>
          <w:sz w:val="22"/>
          <w:szCs w:val="22"/>
          <w14:ligatures w14:val="none"/>
        </w:rPr>
        <w:t> = 27.6, p &lt; 0.001)</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However,</w:t>
      </w:r>
      <w:r w:rsidRPr="00FE5D1C">
        <w:rPr>
          <w:rFonts w:ascii="Calibri" w:eastAsia="Times New Roman" w:hAnsi="Calibri" w:cs="Calibri"/>
          <w:i/>
          <w:iCs/>
          <w:color w:val="000000"/>
          <w:kern w:val="0"/>
          <w:sz w:val="22"/>
          <w:szCs w:val="22"/>
          <w14:ligatures w14:val="none"/>
        </w:rPr>
        <w:t> An. funestus</w:t>
      </w:r>
      <w:r w:rsidRPr="00FE5D1C">
        <w:rPr>
          <w:rFonts w:ascii="Calibri" w:eastAsia="Times New Roman" w:hAnsi="Calibri" w:cs="Calibri"/>
          <w:color w:val="000000"/>
          <w:kern w:val="0"/>
          <w:sz w:val="22"/>
          <w:szCs w:val="22"/>
          <w14:ligatures w14:val="none"/>
        </w:rPr>
        <w:t> strains from differentgeographical localities were affected differently by the same adult holding conditions. For the</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from Mozambique, covering the top half of the adult holding cage with blackopaque cloth increased mating success by odds of 1.70 (95% CI: [1.18, 2.46]) and placing acontrasting marker on the base of the adult holding cage by odds of 1.98 (95% CI: [1.38, 2.85]).But, the</w:t>
      </w:r>
      <w:r w:rsidRPr="00FE5D1C">
        <w:rPr>
          <w:rFonts w:ascii="Calibri" w:eastAsia="Times New Roman" w:hAnsi="Calibri" w:cs="Calibri"/>
          <w:i/>
          <w:iCs/>
          <w:color w:val="000000"/>
          <w:kern w:val="0"/>
          <w:sz w:val="22"/>
          <w:szCs w:val="22"/>
          <w14:ligatures w14:val="none"/>
        </w:rPr>
        <w:t> An. funestus</w:t>
      </w:r>
      <w:r w:rsidRPr="00FE5D1C">
        <w:rPr>
          <w:rFonts w:ascii="Calibri" w:eastAsia="Times New Roman" w:hAnsi="Calibri" w:cs="Calibri"/>
          <w:color w:val="000000"/>
          <w:kern w:val="0"/>
          <w:sz w:val="22"/>
          <w:szCs w:val="22"/>
          <w14:ligatures w14:val="none"/>
        </w:rPr>
        <w:t xml:space="preserve"> from Angola, FANG, showed an increased mating success at the odds of2.06 (95% CI: [1.40, 3.02]) when the side of the adult holding </w:t>
      </w:r>
      <w:r w:rsidRPr="00FE5D1C">
        <w:rPr>
          <w:rFonts w:ascii="Calibri" w:eastAsia="Times New Roman" w:hAnsi="Calibri" w:cs="Calibri"/>
          <w:color w:val="000000"/>
          <w:kern w:val="0"/>
          <w:sz w:val="22"/>
          <w:szCs w:val="22"/>
          <w14:ligatures w14:val="none"/>
        </w:rPr>
        <w:lastRenderedPageBreak/>
        <w:t>cage was covered.</w:t>
      </w:r>
      <w:r w:rsidRPr="00FE5D1C">
        <w:rPr>
          <w:rFonts w:ascii="Calibri" w:eastAsia="Times New Roman" w:hAnsi="Calibri" w:cs="Calibri"/>
          <w:i/>
          <w:iCs/>
          <w:color w:val="000000"/>
          <w:kern w:val="0"/>
          <w:sz w:val="22"/>
          <w:szCs w:val="22"/>
          <w14:ligatures w14:val="none"/>
        </w:rPr>
        <w:t> Anophelesfunestus</w:t>
      </w:r>
      <w:r w:rsidRPr="00FE5D1C">
        <w:rPr>
          <w:rFonts w:ascii="Calibri" w:eastAsia="Times New Roman" w:hAnsi="Calibri" w:cs="Calibri"/>
          <w:color w:val="000000"/>
          <w:kern w:val="0"/>
          <w:sz w:val="22"/>
          <w:szCs w:val="22"/>
          <w14:ligatures w14:val="none"/>
        </w:rPr>
        <w:t> colonisation initiatives should consider customisation of the visual environments ofadult mosquito cages in attempts to colonize and maintain local populations.</w:t>
      </w:r>
    </w:p>
    <w:p w14:paraId="7093E4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25-A-2370-ASTMH</w:t>
      </w:r>
    </w:p>
    <w:p w14:paraId="74A596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F83B682" w14:textId="21EB30E2"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Period prevalence and risk factors of respiratory tract infections in the 3 months following medically-attended-diarrhea (MAD) in children aged 6-35 months enrolled in the Enterics for Global Health (EFGH) </w:t>
      </w:r>
      <w:r w:rsidRPr="00FE5D1C">
        <w:rPr>
          <w:rFonts w:ascii="Calibri" w:eastAsia="Times New Roman" w:hAnsi="Calibri" w:cs="Calibri"/>
          <w:b/>
          <w:bCs/>
          <w:i/>
          <w:iCs/>
          <w:color w:val="000000"/>
          <w:kern w:val="0"/>
          <w:sz w:val="22"/>
          <w:szCs w:val="22"/>
          <w14:ligatures w14:val="none"/>
        </w:rPr>
        <w:t>shigella</w:t>
      </w:r>
      <w:r w:rsidRPr="00FE5D1C">
        <w:rPr>
          <w:rFonts w:ascii="Calibri" w:eastAsia="Times New Roman" w:hAnsi="Calibri" w:cs="Calibri"/>
          <w:b/>
          <w:bCs/>
          <w:color w:val="000000"/>
          <w:kern w:val="0"/>
          <w:sz w:val="22"/>
          <w:szCs w:val="22"/>
          <w14:ligatures w14:val="none"/>
        </w:rPr>
        <w:t> surveillance study in seven countries</w:t>
      </w:r>
    </w:p>
    <w:p w14:paraId="4AFD45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tract infections (RTI) are a leading cause of morbidity and mortality in children.</w:t>
      </w:r>
      <w:r w:rsidRPr="00FE5D1C">
        <w:rPr>
          <w:rFonts w:ascii="Calibri" w:eastAsia="Times New Roman" w:hAnsi="Calibri" w:cs="Calibri"/>
          <w:color w:val="000000"/>
          <w:kern w:val="0"/>
          <w:sz w:val="22"/>
          <w:szCs w:val="22"/>
          <w:vertAlign w:val="superscript"/>
          <w14:ligatures w14:val="none"/>
        </w:rPr>
        <w:t>1</w:t>
      </w:r>
      <w:r w:rsidRPr="00FE5D1C">
        <w:rPr>
          <w:rFonts w:ascii="Calibri" w:eastAsia="Times New Roman" w:hAnsi="Calibri" w:cs="Calibri"/>
          <w:color w:val="000000"/>
          <w:kern w:val="0"/>
          <w:sz w:val="22"/>
          <w:szCs w:val="22"/>
          <w14:ligatures w14:val="none"/>
        </w:rPr>
        <w:t> Diarrheal illness and malnutrition are identified as separate risk factors for RTI in children under 5.</w:t>
      </w:r>
      <w:r w:rsidRPr="00FE5D1C">
        <w:rPr>
          <w:rFonts w:ascii="Calibri" w:eastAsia="Times New Roman" w:hAnsi="Calibri" w:cs="Calibri"/>
          <w:color w:val="000000"/>
          <w:kern w:val="0"/>
          <w:sz w:val="22"/>
          <w:szCs w:val="22"/>
          <w:vertAlign w:val="superscript"/>
          <w14:ligatures w14:val="none"/>
        </w:rPr>
        <w:t>2,3</w:t>
      </w:r>
      <w:r w:rsidRPr="00FE5D1C">
        <w:rPr>
          <w:rFonts w:ascii="Calibri" w:eastAsia="Times New Roman" w:hAnsi="Calibri" w:cs="Calibri"/>
          <w:color w:val="000000"/>
          <w:kern w:val="0"/>
          <w:sz w:val="22"/>
          <w:szCs w:val="22"/>
          <w14:ligatures w14:val="none"/>
        </w:rPr>
        <w:t> During diarrhea convalescence, RTI likely impact children’s ability to fully recover &amp; targeted interventions could avert the risks. This abstract presents the period prevalence &amp; risk factors of RTI occurring within a three-month period following MAD in kids aged 6-35 months. We used a cohort study design</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with facility-based enrolment of MAD in 6-35- month-olds in 7 EFGH country sites (Bangladesh, Kenya, Malawi, Mali, Pakistan, Peru and The Gambia) during a 24-month period from 2022 to 2024. Kids aged 6-35 months presenting with acute diarrhea at EFGH recruitment sites were screened based on caregiver consent and willingness to stay in the area for 4 months. Data collection through REDCap by clinical and anthropometric assessments and caregiver interviews at enrolment, 4 weeks, and 3 months, and at unscheduled visits. Period prevalence was calculated, and risk factors analyzed by binomial distribution and Poisson regression. Of 9,477 kids aged 6-35 months with MAD enrolled in EFGH study, 9,114 (96.2%) included in the analysis. Nearly half (48.5%) experienced RTI, with cough as the most common symptom (20.6%), showing wide variation across sites. Pneumonia was diagnosed most frequently in Malawi (22.8%). During the 3-month follow-up, 3.6% of kids had at least one episode of pneumonia, with site rates ranging from 0.3% to 13.9%. Kids aged 12-35 months had the highest pneumonia rate (4.3%). Pneumonia was more common in children lacking age-appropriate (4.0%) or pneumococcal (4.8%) vaccination. RTI were frequently observed in the 3 months after MAD in Malawi, Pakistan, and The Gambia, with age-related patterns varying by country. 12-23-month-olds were more likely to develop pneumonia compared to younger kids, while pneumococcal vaccination is linked to a reduced risk. Implementing targeted interventions, like ensuring pneumococcal vaccination for kids presenting with diarrhea, could help lower RTI incidence</w:t>
      </w:r>
    </w:p>
    <w:p w14:paraId="714F34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25-A-2371-ASTMH</w:t>
      </w:r>
    </w:p>
    <w:p w14:paraId="069479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090066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Long-term immune responses to a novel member of the Plasmodium vivax erythrocyte binding-like proteins (EBP2) in people living in the Amazon rainforest</w:t>
      </w:r>
    </w:p>
    <w:p w14:paraId="6F6969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There are currently no vaccines against malaria caused by Plasmodium vivax, the species responsible for most cases of malaria outside Africa. The leading P. vivax blood-stage vaccine candidate, the DBL domain of the Duffy binding protein (DBPII), has limitations, including high genetic polymorphism and strain-specific immunity. In this context, a second P. vivax Erythrocyte Binding Protein (EBP2) has been investigated, whose DBL domain is much less polymorphic than DBPII. Here, we took advantage of a 15-year follow-up study among P. vivax-exposed Amazonian individuals to compare the immune responses to EBP2 and DBPII. The study design involved 10 cross-sectional surveys at periods of high and low malaria transmission, with antigen-specific antibodies detected by ELISA assays and cellular responses assessed by flow cytometry (subsets of B/T cells). Taken together, the results demonstrated that the frequency and persistence of anti-EBP2 IgG antibodies were significantly higher than those of anti-DBPII IgG across all cross-sectional surveys. Unlike anti-DBPII antibodies, which fluctuated according to malaria transmission levels, anti-EBP2 responses remained stable over time. Antibody survival analysis revealed that 50% of DBPII-responders lost their antibodies within 72 months, whereas 50% of the EBP2 responders lost it by 180 months. Preliminary data on antigen-specific cellular responses indicated elevated frequencies of atypical B cells for both proteins. The sustained anti-EBP2 antibody levels </w:t>
      </w:r>
      <w:r w:rsidRPr="00FE5D1C">
        <w:rPr>
          <w:rFonts w:ascii="Calibri" w:eastAsia="Times New Roman" w:hAnsi="Calibri" w:cs="Calibri"/>
          <w:color w:val="000000"/>
          <w:kern w:val="0"/>
          <w:sz w:val="22"/>
          <w:szCs w:val="22"/>
          <w14:ligatures w14:val="none"/>
        </w:rPr>
        <w:lastRenderedPageBreak/>
        <w:t>reinforce the relevance of EBP2 in naturally acquired immunity, underscoring its potential as a key antigen to compose a multi-target vaccine against P. vivax.</w:t>
      </w:r>
    </w:p>
    <w:p w14:paraId="65BB31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25-A-2372-ASTMH</w:t>
      </w:r>
    </w:p>
    <w:p w14:paraId="59558F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426CEC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REMOVED FROM PROGRAM 7264 WASH Interventions in Schools (WINs) for the control of Soil Transmitted helminths in Primary schools in Orlu Imo State Nigeria</w:t>
      </w:r>
    </w:p>
    <w:p w14:paraId="67B797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impact of Water, Sanitation and Hygiene intervention in schools (WINs) in the control of Soil Transmitted Helminthes (STH) was assessed in 15 primary schools randomly selected and categorized as Urban, suburban and rural schools in Orlu Imo State Nigeria. Two schools per location were evaluated for the WINs project while the others served as control. The survey of water and sanitation facilities in each school was done using the WHO protocol. WINS hygiene behavior change approach using the Three Star Approach was used and assessed after six months to evaluate the impact of hygiene behavior change in the control of STH in 6 out of 15 primary schools studied. Informed consents were duly obtained. The prevalence and intensity of STH was assessed pre and post WINs evaluation in all the study sites. Questionnaires, interviews and direct observational techniques were used to collect data on WINs hygiene behavior approach in the target schools. A total of 750 pupils participated in this study. The intestinal helminth parasites identified in this study pre WINs / post WINs evaluation were: Hookworm (41.8% / 28.8%), </w:t>
      </w:r>
      <w:r w:rsidRPr="00FE5D1C">
        <w:rPr>
          <w:rFonts w:ascii="Calibri" w:eastAsia="Times New Roman" w:hAnsi="Calibri" w:cs="Calibri"/>
          <w:i/>
          <w:iCs/>
          <w:color w:val="000000"/>
          <w:kern w:val="0"/>
          <w:sz w:val="22"/>
          <w:szCs w:val="22"/>
          <w14:ligatures w14:val="none"/>
        </w:rPr>
        <w:t>Ascaris lumbricoides</w:t>
      </w:r>
      <w:r w:rsidRPr="00FE5D1C">
        <w:rPr>
          <w:rFonts w:ascii="Calibri" w:eastAsia="Times New Roman" w:hAnsi="Calibri" w:cs="Calibri"/>
          <w:color w:val="000000"/>
          <w:kern w:val="0"/>
          <w:sz w:val="22"/>
          <w:szCs w:val="22"/>
          <w14:ligatures w14:val="none"/>
        </w:rPr>
        <w:t> (39.1% / 20.2%), </w:t>
      </w:r>
      <w:r w:rsidRPr="00FE5D1C">
        <w:rPr>
          <w:rFonts w:ascii="Calibri" w:eastAsia="Times New Roman" w:hAnsi="Calibri" w:cs="Calibri"/>
          <w:i/>
          <w:iCs/>
          <w:color w:val="000000"/>
          <w:kern w:val="0"/>
          <w:sz w:val="22"/>
          <w:szCs w:val="22"/>
          <w14:ligatures w14:val="none"/>
        </w:rPr>
        <w:t>Trichuris trichuria</w:t>
      </w:r>
      <w:r w:rsidRPr="00FE5D1C">
        <w:rPr>
          <w:rFonts w:ascii="Calibri" w:eastAsia="Times New Roman" w:hAnsi="Calibri" w:cs="Calibri"/>
          <w:color w:val="000000"/>
          <w:kern w:val="0"/>
          <w:sz w:val="22"/>
          <w:szCs w:val="22"/>
          <w14:ligatures w14:val="none"/>
        </w:rPr>
        <w:t> (9.2% / 8.95) respectively. According to the location of the schools, the pre/post WINS prevalence of these soil transmitted helminths were Urban schools: Hookworm (46.4% / 30.4%), </w:t>
      </w:r>
      <w:r w:rsidRPr="00FE5D1C">
        <w:rPr>
          <w:rFonts w:ascii="Calibri" w:eastAsia="Times New Roman" w:hAnsi="Calibri" w:cs="Calibri"/>
          <w:i/>
          <w:iCs/>
          <w:color w:val="000000"/>
          <w:kern w:val="0"/>
          <w:sz w:val="22"/>
          <w:szCs w:val="22"/>
          <w14:ligatures w14:val="none"/>
        </w:rPr>
        <w:t>A. lumbricoides</w:t>
      </w:r>
      <w:r w:rsidRPr="00FE5D1C">
        <w:rPr>
          <w:rFonts w:ascii="Calibri" w:eastAsia="Times New Roman" w:hAnsi="Calibri" w:cs="Calibri"/>
          <w:color w:val="000000"/>
          <w:kern w:val="0"/>
          <w:sz w:val="22"/>
          <w:szCs w:val="22"/>
          <w14:ligatures w14:val="none"/>
        </w:rPr>
        <w:t> (35.7% / 19.6%) and </w:t>
      </w:r>
      <w:r w:rsidRPr="00FE5D1C">
        <w:rPr>
          <w:rFonts w:ascii="Calibri" w:eastAsia="Times New Roman" w:hAnsi="Calibri" w:cs="Calibri"/>
          <w:i/>
          <w:iCs/>
          <w:color w:val="000000"/>
          <w:kern w:val="0"/>
          <w:sz w:val="22"/>
          <w:szCs w:val="22"/>
          <w14:ligatures w14:val="none"/>
        </w:rPr>
        <w:t>T. trichuria</w:t>
      </w:r>
      <w:r w:rsidRPr="00FE5D1C">
        <w:rPr>
          <w:rFonts w:ascii="Calibri" w:eastAsia="Times New Roman" w:hAnsi="Calibri" w:cs="Calibri"/>
          <w:color w:val="000000"/>
          <w:kern w:val="0"/>
          <w:sz w:val="22"/>
          <w:szCs w:val="22"/>
          <w14:ligatures w14:val="none"/>
        </w:rPr>
        <w:t> (8.0% / 6.5%). For the suburban schools; Hookworm (39.7% / 28.9%), </w:t>
      </w:r>
      <w:r w:rsidRPr="00FE5D1C">
        <w:rPr>
          <w:rFonts w:ascii="Calibri" w:eastAsia="Times New Roman" w:hAnsi="Calibri" w:cs="Calibri"/>
          <w:i/>
          <w:iCs/>
          <w:color w:val="000000"/>
          <w:kern w:val="0"/>
          <w:sz w:val="22"/>
          <w:szCs w:val="22"/>
          <w14:ligatures w14:val="none"/>
        </w:rPr>
        <w:t>A. lumbricoides</w:t>
      </w:r>
      <w:r w:rsidRPr="00FE5D1C">
        <w:rPr>
          <w:rFonts w:ascii="Calibri" w:eastAsia="Times New Roman" w:hAnsi="Calibri" w:cs="Calibri"/>
          <w:color w:val="000000"/>
          <w:kern w:val="0"/>
          <w:sz w:val="22"/>
          <w:szCs w:val="22"/>
          <w14:ligatures w14:val="none"/>
        </w:rPr>
        <w:t> (38.8% / 17.8%), and </w:t>
      </w:r>
      <w:r w:rsidRPr="00FE5D1C">
        <w:rPr>
          <w:rFonts w:ascii="Calibri" w:eastAsia="Times New Roman" w:hAnsi="Calibri" w:cs="Calibri"/>
          <w:i/>
          <w:iCs/>
          <w:color w:val="000000"/>
          <w:kern w:val="0"/>
          <w:sz w:val="22"/>
          <w:szCs w:val="22"/>
          <w14:ligatures w14:val="none"/>
        </w:rPr>
        <w:t>T. trichuria</w:t>
      </w:r>
      <w:r w:rsidRPr="00FE5D1C">
        <w:rPr>
          <w:rFonts w:ascii="Calibri" w:eastAsia="Times New Roman" w:hAnsi="Calibri" w:cs="Calibri"/>
          <w:color w:val="000000"/>
          <w:kern w:val="0"/>
          <w:sz w:val="22"/>
          <w:szCs w:val="22"/>
          <w14:ligatures w14:val="none"/>
        </w:rPr>
        <w:t> (9.5% / 6.7%) and rural schools; Hookworm (40.4% / 38.8%), </w:t>
      </w:r>
      <w:r w:rsidRPr="00FE5D1C">
        <w:rPr>
          <w:rFonts w:ascii="Calibri" w:eastAsia="Times New Roman" w:hAnsi="Calibri" w:cs="Calibri"/>
          <w:i/>
          <w:iCs/>
          <w:color w:val="000000"/>
          <w:kern w:val="0"/>
          <w:sz w:val="22"/>
          <w:szCs w:val="22"/>
          <w14:ligatures w14:val="none"/>
        </w:rPr>
        <w:t>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lumbricoides</w:t>
      </w:r>
      <w:r w:rsidRPr="00FE5D1C">
        <w:rPr>
          <w:rFonts w:ascii="Calibri" w:eastAsia="Times New Roman" w:hAnsi="Calibri" w:cs="Calibri"/>
          <w:color w:val="000000"/>
          <w:kern w:val="0"/>
          <w:sz w:val="22"/>
          <w:szCs w:val="22"/>
          <w14:ligatures w14:val="none"/>
        </w:rPr>
        <w:t> (41.6% / 23.5%), </w:t>
      </w:r>
      <w:r w:rsidRPr="00FE5D1C">
        <w:rPr>
          <w:rFonts w:ascii="Calibri" w:eastAsia="Times New Roman" w:hAnsi="Calibri" w:cs="Calibri"/>
          <w:i/>
          <w:iCs/>
          <w:color w:val="000000"/>
          <w:kern w:val="0"/>
          <w:sz w:val="22"/>
          <w:szCs w:val="22"/>
          <w14:ligatures w14:val="none"/>
        </w:rPr>
        <w:t>T. trichuria</w:t>
      </w:r>
      <w:r w:rsidRPr="00FE5D1C">
        <w:rPr>
          <w:rFonts w:ascii="Calibri" w:eastAsia="Times New Roman" w:hAnsi="Calibri" w:cs="Calibri"/>
          <w:color w:val="000000"/>
          <w:kern w:val="0"/>
          <w:sz w:val="22"/>
          <w:szCs w:val="22"/>
          <w14:ligatures w14:val="none"/>
        </w:rPr>
        <w:t> (9.6% / 14.1%). Overall, the impact of the WINs on the prevalence of the STH in the schools showed significant reductions using simplified z-test for proportions α= 0.05 and at a stricter α = 0.01 and 0.001 respectively, only the schools in the urban and suburban areas showed significant reductions. Data from WINs hygiene approach had all the schools used rated zero stars at the onset of the project but 4/6 (66.7%) progressed to one star six months after. The findings from the WINs water, sanitation and hygiene approach are discussed.</w:t>
      </w:r>
    </w:p>
    <w:p w14:paraId="094370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25-A-2373-ASTMH</w:t>
      </w:r>
    </w:p>
    <w:p w14:paraId="7B2E0A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Therapeutics and Antiviral Drugs</w:t>
      </w:r>
    </w:p>
    <w:p w14:paraId="305396F3" w14:textId="56BF0BFE"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Highly genetically diverse variants of Hepatitis C virus still predominate in Cameroon but with low frequency of mutations :associated to resistance of NS5B polymerase targeted antivirals</w:t>
      </w:r>
    </w:p>
    <w:p w14:paraId="11D2B2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Background: Hepatitis C is of low endemicity (&lt; than 2%) in the general population in Cameroon, with Genotypes 1, 2 and 4 frequently identified. In 2016, direct-acting antiviral agents (DAAs) were included in the treatment guidelines for hepatitis C in Cameroon. The aim of this study was to investigate HCV variability and frequency of NS5B naturally occurring polymorphisms and transmitted resistance-associated substitutions (RASs) in DAA-naïve individuals. Methods: From 240 HCV-infected, DAA-naïve individuals, the NS5B region of 92 samples were sequenced, genotyped by phylogeny using MEGA 11.0.13 software and analyzed for mutations conferring resistance to polymerase inhibitors using Geno2Pheno HCV 0.92 and BioEdit version 7.2.5. Results: thirty two Genotype 1 (34.8 %), 37 Genotype 2 (40.2 %), 22 Genotype 4 (23.9 %) and 1 Genotype 5 (1.1 %), and 13 subtypes (1e, 1g, 1h, 1j, 1l, 2j, 2r, 4a, 4f, 4l, 4p, 4t and 5a) were identified. Thirty four Genotype 2 sequences clustered together without any reference sequences and therefore could not be subtyped. The NS5B S282T RAS was not detected in any sample. However, the polymorphisms of undescribed and unreported resistance-associated impact in amino acid positions 316 and 321 were identified: C316H in eight (8.7%; 8/92) samples of Genotype 2, C316N in seventeen (18.5%; 17/92) samples of Genotype 1, and V321I in six (6.5%; 6/92) samples of Genotype 2, and a double mutant (C316H/V321I) in four (4.3%; 4/92) samples of Genotype 2. Comparison of genotypes obtained by a commercial PCR kit versus Sanger sequencing and phylogeny of </w:t>
      </w:r>
      <w:r w:rsidRPr="00FE5D1C">
        <w:rPr>
          <w:rFonts w:ascii="Calibri" w:eastAsia="Times New Roman" w:hAnsi="Calibri" w:cs="Calibri"/>
          <w:color w:val="000000"/>
          <w:kern w:val="0"/>
          <w:sz w:val="22"/>
          <w:szCs w:val="22"/>
          <w14:ligatures w14:val="none"/>
        </w:rPr>
        <w:lastRenderedPageBreak/>
        <w:t>the NS5B region, showed a discrepancy of 30%. Conclusion:</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Genotype 5 was identified for the first time in Cameroon. The frequency of V321I and C316H/N mutations with unknown impact on NS5B polymerase inhibitors is increasing in Cameroon.</w:t>
      </w:r>
    </w:p>
    <w:p w14:paraId="5B17E5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25-A-2374-ASTMH</w:t>
      </w:r>
    </w:p>
    <w:p w14:paraId="3ECB13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Genomics, Proteomics and Metabolomics, Molecular Therapeutic Targets (Including Leishmania and Trypanosomes)</w:t>
      </w:r>
    </w:p>
    <w:p w14:paraId="0FAB4C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Uncovering the Likely Association of an Endobiont Virus in </w:t>
      </w:r>
      <w:r w:rsidRPr="00FE5D1C">
        <w:rPr>
          <w:rFonts w:ascii="Calibri" w:eastAsia="Times New Roman" w:hAnsi="Calibri" w:cs="Calibri"/>
          <w:b/>
          <w:bCs/>
          <w:i/>
          <w:iCs/>
          <w:color w:val="000000"/>
          <w:kern w:val="0"/>
          <w:sz w:val="22"/>
          <w:szCs w:val="22"/>
          <w14:ligatures w14:val="none"/>
        </w:rPr>
        <w:t>Leishmania donovani</w:t>
      </w:r>
      <w:r w:rsidRPr="00FE5D1C">
        <w:rPr>
          <w:rFonts w:ascii="Calibri" w:eastAsia="Times New Roman" w:hAnsi="Calibri" w:cs="Calibri"/>
          <w:b/>
          <w:bCs/>
          <w:color w:val="000000"/>
          <w:kern w:val="0"/>
          <w:sz w:val="22"/>
          <w:szCs w:val="22"/>
          <w14:ligatures w14:val="none"/>
        </w:rPr>
        <w:t> Infection through Proteomic Analysis of Cutaneous Leishmaniasis</w:t>
      </w:r>
    </w:p>
    <w:p w14:paraId="398FDE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 RNA viruses (LRVs) have emerged as important factors in leishmaniasis. Studies have linked their presence to increased disease severity, immune evasion, treatment resistance, and parasite persistence. These viruses, belonging to the family </w:t>
      </w:r>
      <w:r w:rsidRPr="00FE5D1C">
        <w:rPr>
          <w:rFonts w:ascii="Calibri" w:eastAsia="Times New Roman" w:hAnsi="Calibri" w:cs="Calibri"/>
          <w:i/>
          <w:iCs/>
          <w:color w:val="000000"/>
          <w:kern w:val="0"/>
          <w:sz w:val="22"/>
          <w:szCs w:val="22"/>
          <w14:ligatures w14:val="none"/>
        </w:rPr>
        <w:t>Totiviridae</w:t>
      </w:r>
      <w:r w:rsidRPr="00FE5D1C">
        <w:rPr>
          <w:rFonts w:ascii="Calibri" w:eastAsia="Times New Roman" w:hAnsi="Calibri" w:cs="Calibri"/>
          <w:color w:val="000000"/>
          <w:kern w:val="0"/>
          <w:sz w:val="22"/>
          <w:szCs w:val="22"/>
          <w14:ligatures w14:val="none"/>
        </w:rPr>
        <w:t>, are characterized by their double-stranded RNA genomes and have been described in association with the </w:t>
      </w:r>
      <w:r w:rsidRPr="00FE5D1C">
        <w:rPr>
          <w:rFonts w:ascii="Calibri" w:eastAsia="Times New Roman" w:hAnsi="Calibri" w:cs="Calibri"/>
          <w:i/>
          <w:iCs/>
          <w:color w:val="000000"/>
          <w:kern w:val="0"/>
          <w:sz w:val="22"/>
          <w:szCs w:val="22"/>
          <w14:ligatures w14:val="none"/>
        </w:rPr>
        <w:t>Leishmania Viannia</w:t>
      </w:r>
      <w:r w:rsidRPr="00FE5D1C">
        <w:rPr>
          <w:rFonts w:ascii="Calibri" w:eastAsia="Times New Roman" w:hAnsi="Calibri" w:cs="Calibri"/>
          <w:color w:val="000000"/>
          <w:kern w:val="0"/>
          <w:sz w:val="22"/>
          <w:szCs w:val="22"/>
          <w14:ligatures w14:val="none"/>
        </w:rPr>
        <w:t> subgroup. A similar virus has also been reported in a single isolate of </w:t>
      </w:r>
      <w:r w:rsidRPr="00FE5D1C">
        <w:rPr>
          <w:rFonts w:ascii="Calibri" w:eastAsia="Times New Roman" w:hAnsi="Calibri" w:cs="Calibri"/>
          <w:i/>
          <w:iCs/>
          <w:color w:val="000000"/>
          <w:kern w:val="0"/>
          <w:sz w:val="22"/>
          <w:szCs w:val="22"/>
          <w14:ligatures w14:val="none"/>
        </w:rPr>
        <w:t>Leishmania major</w:t>
      </w:r>
      <w:r w:rsidRPr="00FE5D1C">
        <w:rPr>
          <w:rFonts w:ascii="Calibri" w:eastAsia="Times New Roman" w:hAnsi="Calibri" w:cs="Calibri"/>
          <w:color w:val="000000"/>
          <w:kern w:val="0"/>
          <w:sz w:val="22"/>
          <w:szCs w:val="22"/>
          <w14:ligatures w14:val="none"/>
        </w:rPr>
        <w:t>. While the presence of an endobiont virus in </w:t>
      </w:r>
      <w:r w:rsidRPr="00FE5D1C">
        <w:rPr>
          <w:rFonts w:ascii="Calibri" w:eastAsia="Times New Roman" w:hAnsi="Calibri" w:cs="Calibri"/>
          <w:i/>
          <w:iCs/>
          <w:color w:val="000000"/>
          <w:kern w:val="0"/>
          <w:sz w:val="22"/>
          <w:szCs w:val="22"/>
          <w14:ligatures w14:val="none"/>
        </w:rPr>
        <w:t>Leishmania donovani</w:t>
      </w:r>
      <w:r w:rsidRPr="00FE5D1C">
        <w:rPr>
          <w:rFonts w:ascii="Calibri" w:eastAsia="Times New Roman" w:hAnsi="Calibri" w:cs="Calibri"/>
          <w:color w:val="000000"/>
          <w:kern w:val="0"/>
          <w:sz w:val="22"/>
          <w:szCs w:val="22"/>
          <w14:ligatures w14:val="none"/>
        </w:rPr>
        <w:t> is yet to be demonstrated, no systematic studies have investigated its existence in this species. This study describes a potential association of an endobiont virus in </w:t>
      </w:r>
      <w:r w:rsidRPr="00FE5D1C">
        <w:rPr>
          <w:rFonts w:ascii="Calibri" w:eastAsia="Times New Roman" w:hAnsi="Calibri" w:cs="Calibri"/>
          <w:i/>
          <w:iCs/>
          <w:color w:val="000000"/>
          <w:kern w:val="0"/>
          <w:sz w:val="22"/>
          <w:szCs w:val="22"/>
          <w14:ligatures w14:val="none"/>
        </w:rPr>
        <w:t>Leishmania donovani</w:t>
      </w:r>
      <w:r w:rsidRPr="00FE5D1C">
        <w:rPr>
          <w:rFonts w:ascii="Calibri" w:eastAsia="Times New Roman" w:hAnsi="Calibri" w:cs="Calibri"/>
          <w:color w:val="000000"/>
          <w:kern w:val="0"/>
          <w:sz w:val="22"/>
          <w:szCs w:val="22"/>
          <w14:ligatures w14:val="none"/>
        </w:rPr>
        <w:t> isolates in Sri Lanka through proteomic profiling of leishmaniasis lesion tissue. Lesion biopsies (3-4 mm in diameter) were obtained from the active edge of CL lesions before treatment. The diagnosis was confirmed using light microscopy of Giemsa-stained tissue impression smears, and the causative species was identified by molecular methods. Control specimens were obtained from patients undergoing minor surgeries unrelated to leishmaniasis. Eight patient and eight control skin samples were processed for proteomic profiling by mass spectrometry, and protein-protein interactions were analyzed using the STRING database (Version 10.5). Pathway analysis was performed using the Reactome pathway portal (Version 3.2). This study revealed the upregulation of several proteins associated with viral gene expression and the assembly of viral components at the budding site. These findings strongly suggest the presence of an endobiont virus associated with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with the potential influence on pathogenesis of the disease. Further studies are needed to confirm this hypothesis and explore its role in leishmaniasis. This discovery opens new avenues for studying the interaction between </w:t>
      </w:r>
      <w:r w:rsidRPr="00FE5D1C">
        <w:rPr>
          <w:rFonts w:ascii="Calibri" w:eastAsia="Times New Roman" w:hAnsi="Calibri" w:cs="Calibri"/>
          <w:i/>
          <w:iCs/>
          <w:color w:val="000000"/>
          <w:kern w:val="0"/>
          <w:sz w:val="22"/>
          <w:szCs w:val="22"/>
          <w14:ligatures w14:val="none"/>
        </w:rPr>
        <w:t>L. donovani</w:t>
      </w:r>
      <w:r w:rsidRPr="00FE5D1C">
        <w:rPr>
          <w:rFonts w:ascii="Calibri" w:eastAsia="Times New Roman" w:hAnsi="Calibri" w:cs="Calibri"/>
          <w:color w:val="000000"/>
          <w:kern w:val="0"/>
          <w:sz w:val="22"/>
          <w:szCs w:val="22"/>
          <w14:ligatures w14:val="none"/>
        </w:rPr>
        <w:t> and viral agents, which could lead to novel therapeutic strategies.</w:t>
      </w:r>
    </w:p>
    <w:p w14:paraId="5F5556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25-A-2375-ASTMH</w:t>
      </w:r>
    </w:p>
    <w:p w14:paraId="67DA3D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Other</w:t>
      </w:r>
    </w:p>
    <w:p w14:paraId="3A64DB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Elevated serum creatinine as a predictor of mortality among scrub typhus patients admitted to a tertiary care hospital in Nepal</w:t>
      </w:r>
    </w:p>
    <w:p w14:paraId="4A5373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Scrub typhus infection manifests as a mild febrile illness to severe complications like acute kidney injury (AKI), acute respiratory distress syndrome (ARDS), hepatitis, and multiple organ dysfunction syndrome (MODS). Studies have shown association between elevated serum creatinine at admission and mortality among scrub typhus patients, however data from Nepal remain limited. This study aimed to find if elevated serum creatinine level at the time of hospital admission predicts mortality in patients with scrub typhus. We conducted a retrospective cross-sectional study at Patan Hospital, Lalitpur. Patients &gt;16 years who presented with acute undifferentiated febrile illness and tested positive for Scrub typhus were enrolled in our study. We analyzed demographic data, laboratory parameters, and outcome of the patients. Serum creatinine &gt;1.5 mg/dL was considered as elevated. A total of 101 patients with confirmed scrub typhus were admitted to Patan Hospital between January 2022 and December 2024. Elevated serum creatinine levels (&gt;1.5 mg/dL) at presentation were observed in 7.9% of patients. The overall in-hospital mortality rate was 5%. Intensive Care Unit (ICU) admission was required in 15 patients (14.9%). Oxygen supplementation was required in 33 patients (32.7%), and inotropic support was required in 11 patients (10.9%). The odds ratio (OR) for mortality in patients with elevated serum creatinine was 92.00 (95% Confidence Interval [CI]: 8.27 - 1023.44) with a p-value of 0.001. Raised serum creatinine at admission had a sensitivity of 80% and specificity of 95.8% for predicting mortality among </w:t>
      </w:r>
      <w:r w:rsidRPr="00FE5D1C">
        <w:rPr>
          <w:rFonts w:ascii="Calibri" w:eastAsia="Times New Roman" w:hAnsi="Calibri" w:cs="Calibri"/>
          <w:color w:val="000000"/>
          <w:kern w:val="0"/>
          <w:sz w:val="22"/>
          <w:szCs w:val="22"/>
          <w14:ligatures w14:val="none"/>
        </w:rPr>
        <w:lastRenderedPageBreak/>
        <w:t>patients with scrub typhus. The area under curve (AUC) was 0.97 (95% CI: 0.94-1.00). Elevated serum creatinine at admission was found to be a strong predictor of mortality in scrub typhus patients. Initial evaluation of serum creatinine for scrub typhus during admission might help reduce mortality via timely intervention.</w:t>
      </w:r>
    </w:p>
    <w:p w14:paraId="7E7CCA6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25-A-2376-ASTMH</w:t>
      </w:r>
    </w:p>
    <w:p w14:paraId="146F11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040D29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Deploying Molecular Malaria Field Testing to Rural Africa: A LAMP-Based Approach for Detecting Low-Density Asymptomatic Infections</w:t>
      </w:r>
    </w:p>
    <w:p w14:paraId="080846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Detecting asymptomatic individuals with low parasite densities represents a key challenge to advancing malaria elimination in Africa. A Loop-Mediated Isothermal Amplification (LAMP)-based assay, initially developed for viral detection, was adapted for malaria diagnosis in resource-limited settings. This cold-chain-free test utilises a streamlined sample preparation method and a lyophilized colorimetric LAMP assay to amplify pan-Plasmodium and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DNA. An operator can process 12 samples in less than 45 minutes using a portable, battery-powered device. This study evaluated the test’s performance in both laboratory and field settings, as well as the feasibility and acceptability of its deployment at the most peripheral levels. In the lab phase, analytical sensitivity was assessed using serial dilutions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culture; diagnostic accuracy was tested on 722 finger-prick blood samples from The Gambia and Burkina Faso (76 from febrile and 646 from asymptomatic individuals). In the field phase, the test was deployed in peripheral health facilities and at the community level in rural Burkina Faso to screen asymptomatic individuals. Diagnostic accuracy in both phases was compared with HRP2-based RDTs and microscopy, using varATS qPCR on DBS as the gold standard, with whole blood PCR added in phase two as a more sensitive reference. In the lab, the test showed a detection limit of 3.4 parasites/μL, with 96.4% sensitivity (95% CI: 92.8-98.6) and 96.8% specificity (95% CI: 94.9-98.1) compared to DBS-qPCR. It identified 94.9% of asymptomatic infections, outperforming microscopy (70%) and RDTs (49.6%). In the field, 457 out of 602 individuals tested positive with the new assay (prevalence: 75.9%), compared to only 221 (36.7%) with RDT and 252 (41.9%) with microscopy. DBS- and whole blood PCR results are pending. Qualitative findings confirmed, under certain conditions, the feasibility and acceptability of deploying the molecular test at the most peripheral health system levels, including community-based sites. These findings highlight the test’s potential to support malaria elimination strategies in Africa.</w:t>
      </w:r>
    </w:p>
    <w:p w14:paraId="407CF8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25-A-2377-ASTMH</w:t>
      </w:r>
    </w:p>
    <w:p w14:paraId="154B61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07F3A6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Distribution of members of the Simulium damnosum s.l. in Rwanda and the risk of local transmission of onchocerciasis</w:t>
      </w:r>
    </w:p>
    <w:p w14:paraId="294F07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Rwanda was considered a non-endemic country for onchocerciasis following the 1998 Rapid Epidemiological Mapping of Onchocerciasis (REMO) results; although a few individuals tested at the time. However, with the shift in global strategy from control to transmission elimination, a re-evaluation is essential to identify potential foci of local transmission Hence, this study sought to assess the possibility of the breeding of competent onchocerciasis vectors are breeding in Rwanda and provide baseline data for vector surveillance and elimination efforts. From August to September 2023 and June to December 2024, fast-flowing rivers across Rwanda were surveyed during both rainy and dry seasons. Aquatic stages of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spp. were collected from submerged vegetation and rocks, preserved in Carnoy’s solution, and geo-referenced.Test collections were also made for adult blackflies. Samples collected were morphologically identified in the lab and larvae of the </w:t>
      </w:r>
      <w:r w:rsidRPr="00FE5D1C">
        <w:rPr>
          <w:rFonts w:ascii="Calibri" w:eastAsia="Times New Roman" w:hAnsi="Calibri" w:cs="Calibri"/>
          <w:i/>
          <w:iCs/>
          <w:color w:val="000000"/>
          <w:kern w:val="0"/>
          <w:sz w:val="22"/>
          <w:szCs w:val="22"/>
          <w14:ligatures w14:val="none"/>
        </w:rPr>
        <w:t>S. damnosum</w:t>
      </w:r>
      <w:r w:rsidRPr="00FE5D1C">
        <w:rPr>
          <w:rFonts w:ascii="Calibri" w:eastAsia="Times New Roman" w:hAnsi="Calibri" w:cs="Calibri"/>
          <w:color w:val="000000"/>
          <w:kern w:val="0"/>
          <w:sz w:val="22"/>
          <w:szCs w:val="22"/>
          <w14:ligatures w14:val="none"/>
        </w:rPr>
        <w:t> complex were identified to sibling species by cytotaxonomy. A total of 600 rivers were prospected at 709 sites. There was high prevalence of breeding of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species in fast flowing rivers in the country, dominated by </w:t>
      </w:r>
      <w:r w:rsidRPr="00FE5D1C">
        <w:rPr>
          <w:rFonts w:ascii="Calibri" w:eastAsia="Times New Roman" w:hAnsi="Calibri" w:cs="Calibri"/>
          <w:i/>
          <w:iCs/>
          <w:color w:val="000000"/>
          <w:kern w:val="0"/>
          <w:sz w:val="22"/>
          <w:szCs w:val="22"/>
          <w14:ligatures w14:val="none"/>
        </w:rPr>
        <w:t>Simulium hargreavesi</w:t>
      </w:r>
      <w:r w:rsidRPr="00FE5D1C">
        <w:rPr>
          <w:rFonts w:ascii="Calibri" w:eastAsia="Times New Roman" w:hAnsi="Calibri" w:cs="Calibri"/>
          <w:color w:val="000000"/>
          <w:kern w:val="0"/>
          <w:sz w:val="22"/>
          <w:szCs w:val="22"/>
          <w14:ligatures w14:val="none"/>
        </w:rPr>
        <w:t>. Larvae of </w:t>
      </w:r>
      <w:r w:rsidRPr="00FE5D1C">
        <w:rPr>
          <w:rFonts w:ascii="Calibri" w:eastAsia="Times New Roman" w:hAnsi="Calibri" w:cs="Calibri"/>
          <w:i/>
          <w:iCs/>
          <w:color w:val="000000"/>
          <w:kern w:val="0"/>
          <w:sz w:val="22"/>
          <w:szCs w:val="22"/>
          <w14:ligatures w14:val="none"/>
        </w:rPr>
        <w:t>Simulium damnosum </w:t>
      </w:r>
      <w:r w:rsidRPr="00FE5D1C">
        <w:rPr>
          <w:rFonts w:ascii="Calibri" w:eastAsia="Times New Roman" w:hAnsi="Calibri" w:cs="Calibri"/>
          <w:color w:val="000000"/>
          <w:kern w:val="0"/>
          <w:sz w:val="22"/>
          <w:szCs w:val="22"/>
          <w14:ligatures w14:val="none"/>
        </w:rPr>
        <w:t>s.l.,</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the primary vectors of </w:t>
      </w:r>
      <w:r w:rsidRPr="00FE5D1C">
        <w:rPr>
          <w:rFonts w:ascii="Calibri" w:eastAsia="Times New Roman" w:hAnsi="Calibri" w:cs="Calibri"/>
          <w:i/>
          <w:iCs/>
          <w:color w:val="000000"/>
          <w:kern w:val="0"/>
          <w:sz w:val="22"/>
          <w:szCs w:val="22"/>
          <w14:ligatures w14:val="none"/>
        </w:rPr>
        <w:t>Onchocerc</w:t>
      </w:r>
      <w:r w:rsidRPr="00FE5D1C">
        <w:rPr>
          <w:rFonts w:ascii="Calibri" w:eastAsia="Times New Roman" w:hAnsi="Calibri" w:cs="Calibri"/>
          <w:color w:val="000000"/>
          <w:kern w:val="0"/>
          <w:sz w:val="22"/>
          <w:szCs w:val="22"/>
          <w14:ligatures w14:val="none"/>
        </w:rPr>
        <w:t>a</w:t>
      </w:r>
      <w:r w:rsidRPr="00FE5D1C">
        <w:rPr>
          <w:rFonts w:ascii="Calibri" w:eastAsia="Times New Roman" w:hAnsi="Calibri" w:cs="Calibri"/>
          <w:i/>
          <w:iCs/>
          <w:color w:val="000000"/>
          <w:kern w:val="0"/>
          <w:sz w:val="22"/>
          <w:szCs w:val="22"/>
          <w14:ligatures w14:val="none"/>
        </w:rPr>
        <w:t> volvulus,</w:t>
      </w:r>
      <w:r w:rsidRPr="00FE5D1C">
        <w:rPr>
          <w:rFonts w:ascii="Calibri" w:eastAsia="Times New Roman" w:hAnsi="Calibri" w:cs="Calibri"/>
          <w:color w:val="000000"/>
          <w:kern w:val="0"/>
          <w:sz w:val="22"/>
          <w:szCs w:val="22"/>
          <w14:ligatures w14:val="none"/>
        </w:rPr>
        <w:t> were found</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 xml:space="preserve">in 12 sites in the Western, Northern and Eastern provinces, at altitudes below 1,200 m, with exception for the Northern province where larvae were found at altitude </w:t>
      </w:r>
      <w:r w:rsidRPr="00FE5D1C">
        <w:rPr>
          <w:rFonts w:ascii="Calibri" w:eastAsia="Times New Roman" w:hAnsi="Calibri" w:cs="Calibri"/>
          <w:color w:val="000000"/>
          <w:kern w:val="0"/>
          <w:sz w:val="22"/>
          <w:szCs w:val="22"/>
          <w14:ligatures w14:val="none"/>
        </w:rPr>
        <w:lastRenderedPageBreak/>
        <w:t>of 1483m. The predominant cytospecies was </w:t>
      </w:r>
      <w:r w:rsidRPr="00FE5D1C">
        <w:rPr>
          <w:rFonts w:ascii="Calibri" w:eastAsia="Times New Roman" w:hAnsi="Calibri" w:cs="Calibri"/>
          <w:i/>
          <w:iCs/>
          <w:color w:val="000000"/>
          <w:kern w:val="0"/>
          <w:sz w:val="22"/>
          <w:szCs w:val="22"/>
          <w14:ligatures w14:val="none"/>
        </w:rPr>
        <w:t>S. kilibanum</w:t>
      </w:r>
      <w:r w:rsidRPr="00FE5D1C">
        <w:rPr>
          <w:rFonts w:ascii="Calibri" w:eastAsia="Times New Roman" w:hAnsi="Calibri" w:cs="Calibri"/>
          <w:color w:val="000000"/>
          <w:kern w:val="0"/>
          <w:sz w:val="22"/>
          <w:szCs w:val="22"/>
          <w14:ligatures w14:val="none"/>
        </w:rPr>
        <w:t>. Adult blackflies were collected at 5 sites. This study provides the first entomological evidence of breeding of anthropophilic vectors of onchocerciasis in Rwanda, suggesting potential for local transmission. These findings highlight the urgent need for targeted epidemiological investigations and inclusion of Rwanda in regional onchocerciasis elimination mapping and intervention strategies.</w:t>
      </w:r>
    </w:p>
    <w:p w14:paraId="57EC31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25-A-2378-ASTMH</w:t>
      </w:r>
    </w:p>
    <w:p w14:paraId="1B44FA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4041C5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Elucidating the function of astacin metalloproteinases during skin penetration in the soil-transmitted nematode </w:t>
      </w:r>
      <w:r w:rsidRPr="00FE5D1C">
        <w:rPr>
          <w:rFonts w:ascii="Calibri" w:eastAsia="Times New Roman" w:hAnsi="Calibri" w:cs="Calibri"/>
          <w:b/>
          <w:bCs/>
          <w:i/>
          <w:iCs/>
          <w:color w:val="000000"/>
          <w:kern w:val="0"/>
          <w:sz w:val="22"/>
          <w:szCs w:val="22"/>
          <w14:ligatures w14:val="none"/>
        </w:rPr>
        <w:t>Strongyloides stercoralis</w:t>
      </w:r>
    </w:p>
    <w:p w14:paraId="362FFAC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Strongyloides stercoralis </w:t>
      </w:r>
      <w:r w:rsidRPr="00FE5D1C">
        <w:rPr>
          <w:rFonts w:ascii="Calibri" w:eastAsia="Times New Roman" w:hAnsi="Calibri" w:cs="Calibri"/>
          <w:color w:val="000000"/>
          <w:kern w:val="0"/>
          <w:sz w:val="22"/>
          <w:szCs w:val="22"/>
          <w14:ligatures w14:val="none"/>
        </w:rPr>
        <w:t>is a skin-penetrating nematode that infects over 610 million individuals worldwide and is responsible for chronic, debilitating conditions. Infection occurs when infective third-stage larvae (iL3s) locate and burrow into host skin. The molecular mechanisms by which the iL3s penetrate through host skin are not well understood. Astacins, a large family of zinc metalloproteinases, are abundant in </w:t>
      </w:r>
      <w:r w:rsidRPr="00FE5D1C">
        <w:rPr>
          <w:rFonts w:ascii="Calibri" w:eastAsia="Times New Roman" w:hAnsi="Calibri" w:cs="Calibri"/>
          <w:i/>
          <w:iCs/>
          <w:color w:val="000000"/>
          <w:kern w:val="0"/>
          <w:sz w:val="22"/>
          <w:szCs w:val="22"/>
          <w14:ligatures w14:val="none"/>
        </w:rPr>
        <w:t>S. stercoralis </w:t>
      </w:r>
      <w:r w:rsidRPr="00FE5D1C">
        <w:rPr>
          <w:rFonts w:ascii="Calibri" w:eastAsia="Times New Roman" w:hAnsi="Calibri" w:cs="Calibri"/>
          <w:color w:val="000000"/>
          <w:kern w:val="0"/>
          <w:sz w:val="22"/>
          <w:szCs w:val="22"/>
          <w14:ligatures w14:val="none"/>
        </w:rPr>
        <w:t>iL3 excretory-secretory product (ESP) and have been suggested to be involved in skin penetration. However, a direct functional role for </w:t>
      </w:r>
      <w:r w:rsidRPr="00FE5D1C">
        <w:rPr>
          <w:rFonts w:ascii="Calibri" w:eastAsia="Times New Roman" w:hAnsi="Calibri" w:cs="Calibri"/>
          <w:i/>
          <w:iCs/>
          <w:color w:val="000000"/>
          <w:kern w:val="0"/>
          <w:sz w:val="22"/>
          <w:szCs w:val="22"/>
          <w14:ligatures w14:val="none"/>
        </w:rPr>
        <w:t>S. stercoralis </w:t>
      </w:r>
      <w:r w:rsidRPr="00FE5D1C">
        <w:rPr>
          <w:rFonts w:ascii="Calibri" w:eastAsia="Times New Roman" w:hAnsi="Calibri" w:cs="Calibri"/>
          <w:color w:val="000000"/>
          <w:kern w:val="0"/>
          <w:sz w:val="22"/>
          <w:szCs w:val="22"/>
          <w14:ligatures w14:val="none"/>
        </w:rPr>
        <w:t>astacin genes has yet to be elucidated. We conducted a bioinformatic search for astacin genes that are highly upregulated in the iL3 stage based on publicly available RNA-seq data. We then generated reporter constructs for several of these astacin genes to analyze their spatiotemporal expression patterns. Astacin gene expression was localized to the pharyngeal cells, while secreted protein was found throughout the pharynx and at the back of the buccal cavity (mouth). To elucidate the function of astacin genes during skin penetration, we generated stable lines of homozygous knockout </w:t>
      </w:r>
      <w:r w:rsidRPr="00FE5D1C">
        <w:rPr>
          <w:rFonts w:ascii="Calibri" w:eastAsia="Times New Roman" w:hAnsi="Calibri" w:cs="Calibri"/>
          <w:i/>
          <w:iCs/>
          <w:color w:val="000000"/>
          <w:kern w:val="0"/>
          <w:sz w:val="22"/>
          <w:szCs w:val="22"/>
          <w14:ligatures w14:val="none"/>
        </w:rPr>
        <w:t>S. stercoralis </w:t>
      </w:r>
      <w:r w:rsidRPr="00FE5D1C">
        <w:rPr>
          <w:rFonts w:ascii="Calibri" w:eastAsia="Times New Roman" w:hAnsi="Calibri" w:cs="Calibri"/>
          <w:color w:val="000000"/>
          <w:kern w:val="0"/>
          <w:sz w:val="22"/>
          <w:szCs w:val="22"/>
          <w14:ligatures w14:val="none"/>
        </w:rPr>
        <w:t>using CRISPR/Cas9-mediated mutagenesis. We focused on a cluster of eight astacin genes (comprising a ~15 kb genomic region), designated the 42E cluster, because their consecutive positioning in the genome allowed us to simultaneously disrupt all eight genes. Successful deletion of the 42E cluster was confirmed by PCR genotyping. </w:t>
      </w:r>
      <w:r w:rsidRPr="00FE5D1C">
        <w:rPr>
          <w:rFonts w:ascii="Calibri" w:eastAsia="Times New Roman" w:hAnsi="Calibri" w:cs="Calibri"/>
          <w:i/>
          <w:iCs/>
          <w:color w:val="000000"/>
          <w:kern w:val="0"/>
          <w:sz w:val="22"/>
          <w:szCs w:val="22"/>
          <w14:ligatures w14:val="none"/>
        </w:rPr>
        <w:t>Ex vivo </w:t>
      </w:r>
      <w:r w:rsidRPr="00FE5D1C">
        <w:rPr>
          <w:rFonts w:ascii="Calibri" w:eastAsia="Times New Roman" w:hAnsi="Calibri" w:cs="Calibri"/>
          <w:color w:val="000000"/>
          <w:kern w:val="0"/>
          <w:sz w:val="22"/>
          <w:szCs w:val="22"/>
          <w14:ligatures w14:val="none"/>
        </w:rPr>
        <w:t>skin-penetration assays revealed that mutant iL3s had an impaired ability to penetrate skin. Many of the mutant iL3s failed to complete skin penetration, and those that did showed a significant delay in the time of penetration. Our results identify a set of astacin genes that are involved in skin penetration. We are now using a similar approach to characterize additional astacin genes. Elucidating the role of astacins during helminth infections can provide novel avenues for the development of targeted prophylactics.</w:t>
      </w:r>
    </w:p>
    <w:p w14:paraId="69B473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25-A-2380-ASTMH</w:t>
      </w:r>
    </w:p>
    <w:p w14:paraId="4AB9C2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536D1F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Nanopore Sequencing of </w:t>
      </w:r>
      <w:r w:rsidRPr="00FE5D1C">
        <w:rPr>
          <w:rFonts w:ascii="Calibri" w:eastAsia="Times New Roman" w:hAnsi="Calibri" w:cs="Calibri"/>
          <w:b/>
          <w:bCs/>
          <w:i/>
          <w:iCs/>
          <w:color w:val="000000"/>
          <w:kern w:val="0"/>
          <w:sz w:val="22"/>
          <w:szCs w:val="22"/>
          <w14:ligatures w14:val="none"/>
        </w:rPr>
        <w:t>P. falciparum</w:t>
      </w:r>
      <w:r w:rsidRPr="00FE5D1C">
        <w:rPr>
          <w:rFonts w:ascii="Calibri" w:eastAsia="Times New Roman" w:hAnsi="Calibri" w:cs="Calibri"/>
          <w:b/>
          <w:bCs/>
          <w:color w:val="000000"/>
          <w:kern w:val="0"/>
          <w:sz w:val="22"/>
          <w:szCs w:val="22"/>
          <w14:ligatures w14:val="none"/>
        </w:rPr>
        <w:t> Invasion Ligands and their Corresponding Human Receptors Identify Signatures Associated with Malaria Susceptibility</w:t>
      </w:r>
    </w:p>
    <w:p w14:paraId="1C5725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invades the human erythrocytes using alternative receptor-ligand pathways which initiates the clinical signs of malaria. These interactions may have led to certain evolutionary modifications in the genes encoding the human receptors and parasite ligands, which may have affected the incidence and clinical outcomes of malaria. However, variations in parasite ligands and their receptors in the same individuals have received less attention even though such studies may be useful in drugs and vaccines development, refinement of control strategies and provide a better understanding to the pathogenesis of the disease. To investigate this, a paired study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invasion ligands and receptors from the same individual was carried out in The Gambia. Whole blood was collected from 23 severe and 165 mild malaria-positive people from The Gambia and genomic DNA was extracted for amplicon generation and sequencing of 4 human receptors: glycophorin (GP) A, GPB, GPC, and complement receptor (CR) 1 and 12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xml:space="preserve"> genes: EBA175, EBA181, EBA140, Clag2, Clag8, Rh4, Rh5, merozoite surface protein (MSP)1, MSP6, Duffy binding-like MSP (DBLMSP), erythrocyte binding-ligand (EBL) 1, and surface-associated interspersed protein (SURFIN) 4.2 using the Oxford Nanopore approach. After quality-check, the data was aligned to the reference genomes (GRCh38 and PlasmoDB v.9.0 3D7) followed by other </w:t>
      </w:r>
      <w:r w:rsidRPr="00FE5D1C">
        <w:rPr>
          <w:rFonts w:ascii="Calibri" w:eastAsia="Times New Roman" w:hAnsi="Calibri" w:cs="Calibri"/>
          <w:color w:val="000000"/>
          <w:kern w:val="0"/>
          <w:sz w:val="22"/>
          <w:szCs w:val="22"/>
          <w14:ligatures w14:val="none"/>
        </w:rPr>
        <w:lastRenderedPageBreak/>
        <w:t>bioinformatic analysis. While no population structure was observed between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from different sites, the human population showed subtle structure with individuals from the Upper River Region clustering together. Also, higher levels of within-host complexity of infection across site and high inter-SNP linkage disequilibrium (LD) were observed in the DBLMSP and SURFIN4.2 genes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and the human glycophorin B, C, and CR1 gene. Analysis of the distribution of variants in severe versus mild cases identified several SNPs in the CR1 receptor and a single SNP in SURFIN4.2 gene associated with malaria susceptibility. Hence, specific host-parasite allelic combinations may determine the infection and severity of malaria.</w:t>
      </w:r>
    </w:p>
    <w:p w14:paraId="5635D1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25-A-2381-ASTMH</w:t>
      </w:r>
    </w:p>
    <w:p w14:paraId="69AC0F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08ECE3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Decentralized genomic surveillance: Real-time Multiplex Amplicon Sequencing of Senegalese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clinical isolates</w:t>
      </w:r>
    </w:p>
    <w:p w14:paraId="02D9BF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challenge, particularly in Sub-Saharan Africa where timely surveillance data are critical for effective control strategies. Genomic surveillance systems are becoming essential for guiding public health decision-making. This project evaluates the feasibility, sensitivity, and accuracy of multiplex amplicon sequencing for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 real-time field conditions using the MAD4HatTeR panel designed to simultaneously characterize species and genetic diversity, targets highly diverse microhaplotypes and detect markers for drug resistance and diagnostic escape in a single multiplexed PCR reaction. Samples were collected from patients in Kédougou, Senegal, diagnosed with symptomatic malaria. A total of 85 samples were processed in real-time in 2023 and 91 samples from 2024. The extracted parasites DNAs were amplified using a field-deployable Bento Lab thermal cycler and library preparation was undertaken on-site using the MAD4HatTeR protocol with Paragon Genomics reagents. Libraries were sequenced in Dakar on a NextSeq_550 and the resulting data was processed using the MAD4HatTeR custom bioinformatic pipeline. Overall, our findings illustrate high depth and coverage across range of parasitemia (0.05%-9.38%) sequenced both for field and lab strains. A WHO validated artemisinin partial resistance marker, k13 M476I, was found in a one sample as a minor allele (4.06% variant allele frequency, VAF). Furthermore, this data shown (A578V) at 97.21% VAF and (A578S) 3.06% of VAF in K13 with two others samples. The quintuple mutation haplotype associated with sulfadoxine-pyrimethamine resistance (pfdhfr N51I, C59R, S108N; pfdhps A437G, K540E) was found in 3 samples from 2023 and 4 from 2024. Our data demonstrate that multiplexed amplicon sequencing is feasible and accurate for sequencing multiple genes of interest in a single reaction of 188/202 samples in the population. This illustrates its significant potential and represents a promising tool for real-time genomic surveillance in resource-limited settings to inform malaria policy decisions.</w:t>
      </w:r>
    </w:p>
    <w:p w14:paraId="768B84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25-A-2382-ASTMH</w:t>
      </w:r>
    </w:p>
    <w:p w14:paraId="617716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30B352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Assessing Powassan, Heartland, and Bourbon virus distribution in New York State utilizing hunter harvested white-tailed deer seroprevalence and detection of RNA in questing ticks and ticks collected from deer at time of harvest</w:t>
      </w:r>
    </w:p>
    <w:p w14:paraId="6A830E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(POWV), Heartland (HRTV) and Bourbon (BRBV) viruses are emergent/re-emergent tick-borne viruses associated with human disease. POWV is composed of two lineages, lineage I (prototype) and lineage II (deer tick virus, DTV). Both lineages are genetically and antigenically similar, and both are capable of causing human disease. Each lineage has a distinct transmission cycle with DTV being more ubiquitous due to its vector association, </w:t>
      </w:r>
      <w:r w:rsidRPr="00FE5D1C">
        <w:rPr>
          <w:rFonts w:ascii="Calibri" w:eastAsia="Times New Roman" w:hAnsi="Calibri" w:cs="Calibri"/>
          <w:i/>
          <w:iCs/>
          <w:color w:val="000000"/>
          <w:kern w:val="0"/>
          <w:sz w:val="22"/>
          <w:szCs w:val="22"/>
          <w14:ligatures w14:val="none"/>
        </w:rPr>
        <w:t>Ixodes scapularis</w:t>
      </w:r>
      <w:r w:rsidRPr="00FE5D1C">
        <w:rPr>
          <w:rFonts w:ascii="Calibri" w:eastAsia="Times New Roman" w:hAnsi="Calibri" w:cs="Calibri"/>
          <w:color w:val="000000"/>
          <w:kern w:val="0"/>
          <w:sz w:val="22"/>
          <w:szCs w:val="22"/>
          <w14:ligatures w14:val="none"/>
        </w:rPr>
        <w:t>. Human incidence of Powassan encephalitis has increased in the United States (US), particularly in New York State (NYS). Since 2000, there have been 60 cases of Powassan disease in NYS compared to 10 cases in the previous 40 years. HRTV and BRBV, vectored by </w:t>
      </w:r>
      <w:r w:rsidRPr="00FE5D1C">
        <w:rPr>
          <w:rFonts w:ascii="Calibri" w:eastAsia="Times New Roman" w:hAnsi="Calibri" w:cs="Calibri"/>
          <w:i/>
          <w:iCs/>
          <w:color w:val="000000"/>
          <w:kern w:val="0"/>
          <w:sz w:val="22"/>
          <w:szCs w:val="22"/>
          <w14:ligatures w14:val="none"/>
        </w:rPr>
        <w:t>Amblyomma americanum</w:t>
      </w:r>
      <w:r w:rsidRPr="00FE5D1C">
        <w:rPr>
          <w:rFonts w:ascii="Calibri" w:eastAsia="Times New Roman" w:hAnsi="Calibri" w:cs="Calibri"/>
          <w:color w:val="000000"/>
          <w:kern w:val="0"/>
          <w:sz w:val="22"/>
          <w:szCs w:val="22"/>
          <w14:ligatures w14:val="none"/>
        </w:rPr>
        <w:t xml:space="preserve">, were originally isolated in the Midwest US but have since been isolated in NYS in 2018 and 2019, respectively. To assess the geographic distribution of POWV, HRTV, and BRBV in NYS, we determined the seroprevalence of each virus utilizing hunter-harvested </w:t>
      </w:r>
      <w:r w:rsidRPr="00FE5D1C">
        <w:rPr>
          <w:rFonts w:ascii="Calibri" w:eastAsia="Times New Roman" w:hAnsi="Calibri" w:cs="Calibri"/>
          <w:color w:val="000000"/>
          <w:kern w:val="0"/>
          <w:sz w:val="22"/>
          <w:szCs w:val="22"/>
          <w14:ligatures w14:val="none"/>
        </w:rPr>
        <w:lastRenderedPageBreak/>
        <w:t>deer, assessed current infection status in ticks collected from these deer, and in questing ticks collected as part of routine surveillance. Serologic results indicated POWV presence throughout NYS. Seropositive rates were highest in areas with the highest measured </w:t>
      </w:r>
      <w:r w:rsidRPr="00FE5D1C">
        <w:rPr>
          <w:rFonts w:ascii="Calibri" w:eastAsia="Times New Roman" w:hAnsi="Calibri" w:cs="Calibri"/>
          <w:i/>
          <w:iCs/>
          <w:color w:val="000000"/>
          <w:kern w:val="0"/>
          <w:sz w:val="22"/>
          <w:szCs w:val="22"/>
          <w14:ligatures w14:val="none"/>
        </w:rPr>
        <w:t>I. scapularis </w:t>
      </w:r>
      <w:r w:rsidRPr="00FE5D1C">
        <w:rPr>
          <w:rFonts w:ascii="Calibri" w:eastAsia="Times New Roman" w:hAnsi="Calibri" w:cs="Calibri"/>
          <w:color w:val="000000"/>
          <w:kern w:val="0"/>
          <w:sz w:val="22"/>
          <w:szCs w:val="22"/>
          <w14:ligatures w14:val="none"/>
        </w:rPr>
        <w:t>abundance including the lower Hudson Valley (90%), upper Hudson Valley (86%) and on Long Island (80%). Antibody rates in northern (40%), central (37%) and western (30%) NYS were lower. DTV was frequently isolated from ticks collected from several deer at the time of harvest. HRTV (12%) and BRBV (65%) seroprevalence was most consistent on Long Island, though low rates were observed in other regions. HRTV was isolated from a pool (n=4) of male </w:t>
      </w:r>
      <w:r w:rsidRPr="00FE5D1C">
        <w:rPr>
          <w:rFonts w:ascii="Calibri" w:eastAsia="Times New Roman" w:hAnsi="Calibri" w:cs="Calibri"/>
          <w:i/>
          <w:iCs/>
          <w:color w:val="000000"/>
          <w:kern w:val="0"/>
          <w:sz w:val="22"/>
          <w:szCs w:val="22"/>
          <w14:ligatures w14:val="none"/>
        </w:rPr>
        <w:t>A. americanum </w:t>
      </w:r>
      <w:r w:rsidRPr="00FE5D1C">
        <w:rPr>
          <w:rFonts w:ascii="Calibri" w:eastAsia="Times New Roman" w:hAnsi="Calibri" w:cs="Calibri"/>
          <w:color w:val="000000"/>
          <w:kern w:val="0"/>
          <w:sz w:val="22"/>
          <w:szCs w:val="22"/>
          <w14:ligatures w14:val="none"/>
        </w:rPr>
        <w:t>collected from a deer in Suffolk County, Long Island and BRBV was not isolated from any ticks collected from hunter-harvested deer. Prevalence rates of POWV, HRTV, and BRBV in questing ticks varied by site and year. Results of this study emphasize a need for further investigation to determine risk of human exposure through serosurveys and to demarcate the geographic range of POWV, HRTV, BRBV transmission across the distribution of tick vectors</w:t>
      </w:r>
      <w:r w:rsidRPr="00FE5D1C">
        <w:rPr>
          <w:rFonts w:ascii="Calibri" w:eastAsia="Times New Roman" w:hAnsi="Calibri" w:cs="Calibri"/>
          <w:i/>
          <w:iCs/>
          <w:color w:val="000000"/>
          <w:kern w:val="0"/>
          <w:sz w:val="22"/>
          <w:szCs w:val="22"/>
          <w14:ligatures w14:val="none"/>
        </w:rPr>
        <w:t>.</w:t>
      </w:r>
    </w:p>
    <w:p w14:paraId="40D98B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25-A-2383-ASTMH</w:t>
      </w:r>
    </w:p>
    <w:p w14:paraId="74CE7B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Transmission Biology</w:t>
      </w:r>
    </w:p>
    <w:p w14:paraId="3075F8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Characterizing the role of viral genotype and tick population in Powassan-tick interactions</w:t>
      </w:r>
    </w:p>
    <w:p w14:paraId="38D14E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Powassan virus (POWV) is a tick-borne flavivirus capable of causing encephalitic disease. Historically, human infections were reported irregularly, but cases have increased in frequency and range within the Northeast and Upper Midwestern United States. POWV is divided into two lineages, lineage I and II (Deer tick virus [DTV]), which share ~84% nucleotide identity, and are maintained through separate enzootic transmission cycles. DTV is primarily vectored by </w:t>
      </w:r>
      <w:r w:rsidRPr="00FE5D1C">
        <w:rPr>
          <w:rFonts w:ascii="Calibri" w:eastAsia="Times New Roman" w:hAnsi="Calibri" w:cs="Calibri"/>
          <w:i/>
          <w:iCs/>
          <w:color w:val="000000"/>
          <w:kern w:val="0"/>
          <w:sz w:val="22"/>
          <w:szCs w:val="22"/>
          <w14:ligatures w14:val="none"/>
        </w:rPr>
        <w:t>Ixodes scapularis</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where up to 5% of ticks isolated in parts of New York, Connecticut, Wisconsin, and Minnesota test positive. Because of this, POWV is considered an emerging public health threat. POWV is believed to be maintained in strict transmission foci, infrequently migrating between different geographic regions. Due to this focal nature, transmissibility may be influenced by the specific pairing of tick and virus genotype. This is similar to tick-borne encephalitis virus (TBEV), which is divided into three closely related subtypes endemic in distinct foci in Europe and Asia. Previous studies have shown that strain-specific differences in TBEV subtypes are linked to differences in virulence. We hypothesize that POWV circulating within enzootic transmission foci in the Northeast and Midwest are subject to distinct selective and stochastic pressures, driving genetic diversification and phenotypic variability. We have begun to test this hypothesis by assessing population-specific differences in infection and replication using genetically and geographically distinct DTV isolates and field-derived </w:t>
      </w:r>
      <w:r w:rsidRPr="00FE5D1C">
        <w:rPr>
          <w:rFonts w:ascii="Calibri" w:eastAsia="Times New Roman" w:hAnsi="Calibri" w:cs="Calibri"/>
          <w:i/>
          <w:iCs/>
          <w:color w:val="000000"/>
          <w:kern w:val="0"/>
          <w:sz w:val="22"/>
          <w:szCs w:val="22"/>
          <w14:ligatures w14:val="none"/>
        </w:rPr>
        <w:t>Ix. scapularis </w:t>
      </w:r>
      <w:r w:rsidRPr="00FE5D1C">
        <w:rPr>
          <w:rFonts w:ascii="Calibri" w:eastAsia="Times New Roman" w:hAnsi="Calibri" w:cs="Calibri"/>
          <w:color w:val="000000"/>
          <w:kern w:val="0"/>
          <w:sz w:val="22"/>
          <w:szCs w:val="22"/>
          <w14:ligatures w14:val="none"/>
        </w:rPr>
        <w:t>from areas within New York and Minnesota. A panel of genetically unique, low-passage DTV isolates were found to have significant differences in </w:t>
      </w:r>
      <w:r w:rsidRPr="00FE5D1C">
        <w:rPr>
          <w:rFonts w:ascii="Calibri" w:eastAsia="Times New Roman" w:hAnsi="Calibri" w:cs="Calibri"/>
          <w:i/>
          <w:iCs/>
          <w:color w:val="000000"/>
          <w:kern w:val="0"/>
          <w:sz w:val="22"/>
          <w:szCs w:val="22"/>
          <w14:ligatures w14:val="none"/>
        </w:rPr>
        <w:t>in vitro </w:t>
      </w:r>
      <w:r w:rsidRPr="00FE5D1C">
        <w:rPr>
          <w:rFonts w:ascii="Calibri" w:eastAsia="Times New Roman" w:hAnsi="Calibri" w:cs="Calibri"/>
          <w:color w:val="000000"/>
          <w:kern w:val="0"/>
          <w:sz w:val="22"/>
          <w:szCs w:val="22"/>
          <w14:ligatures w14:val="none"/>
        </w:rPr>
        <w:t>replicative fitness in a mammalian cell line. Additionally, results in </w:t>
      </w:r>
      <w:r w:rsidRPr="00FE5D1C">
        <w:rPr>
          <w:rFonts w:ascii="Calibri" w:eastAsia="Times New Roman" w:hAnsi="Calibri" w:cs="Calibri"/>
          <w:i/>
          <w:iCs/>
          <w:color w:val="000000"/>
          <w:kern w:val="0"/>
          <w:sz w:val="22"/>
          <w:szCs w:val="22"/>
          <w14:ligatures w14:val="none"/>
        </w:rPr>
        <w:t>Ix. scapularis </w:t>
      </w:r>
      <w:r w:rsidRPr="00FE5D1C">
        <w:rPr>
          <w:rFonts w:ascii="Calibri" w:eastAsia="Times New Roman" w:hAnsi="Calibri" w:cs="Calibri"/>
          <w:color w:val="000000"/>
          <w:kern w:val="0"/>
          <w:sz w:val="22"/>
          <w:szCs w:val="22"/>
          <w14:ligatures w14:val="none"/>
        </w:rPr>
        <w:t>suggest differences in viral replication and infection are influenced by both population and viral strain. Further results from these studies will clarify how genotype-by-genotype interactions could give rise to phenotypic variants of POWV that differ in competence and virulence.</w:t>
      </w:r>
    </w:p>
    <w:p w14:paraId="50AD113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25-A-2384-ASTMH</w:t>
      </w:r>
    </w:p>
    <w:p w14:paraId="1A7A04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55FB6D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Estimating the global burden of scrub typhus</w:t>
      </w:r>
    </w:p>
    <w:p w14:paraId="29AC3E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Scrub typhus, a neglected vector-borne disease, causes substantial morbidity and mortality. It has emerged as a significant public health concern, expanding beyond its traditional endemic region—the "tsutsugamushi triangle" in the Asia-Pacific. Despite its widespread distribution, there are currently no quantitative estimates of the global burden of scrub typhus. To address this gap, we developed the first comprehensive modelling framework to estimate the global burden of scrub typhus, integrating age-specific seroprevalence, environmental suitability, healthcare access, and socioeconomic indicators. We derived the force of infection (FoI) from 44 age-stratified seroprevalence datasets under multiple diagnostic scenarios, establishing robust seroprevalence-FoI relationships. Using a Bayesian spatial statistical modelling framework, we extrapolated FoI and seroprevalence globally, distinguishing data </w:t>
      </w:r>
      <w:r w:rsidRPr="00FE5D1C">
        <w:rPr>
          <w:rFonts w:ascii="Calibri" w:eastAsia="Times New Roman" w:hAnsi="Calibri" w:cs="Calibri"/>
          <w:color w:val="000000"/>
          <w:kern w:val="0"/>
          <w:sz w:val="22"/>
          <w:szCs w:val="22"/>
          <w14:ligatures w14:val="none"/>
        </w:rPr>
        <w:lastRenderedPageBreak/>
        <w:t>from healthy individuals and febrile patients from 255 published sources. Covariates included Health Development Index, under-five mortality, healthcare access, agricultural employment, environmental suitability, and Orientia-positive rodent/chigger records. Infections were estimated by applying spatially resolved FoI to populations in environmentally suitable areas. Clinical cases and deaths were further derived by incorporating fever rates, healthcare-seeking behaviours, and mortality data. Mean FoI in countries with confirmed cases was estimated at 5.5/1,000 persons/year. Mapped high-seroprevalence and FoI regions were identified in Thailand, Malaysia, China, and India. Globally, we estimate 0.98 million symptomatic infections (95% CI: 0.55-2.02), leading to 0.69 million clinical cases (95% CI: 0.39-1.4) and 34,389 deaths annually (95% CI: 19,661-68,466). These findings represent the first unified global burden estimate of scrub typhus and provide critical evidence to guide enhanced surveillance, targeted interventions, and strategic resource allocation.</w:t>
      </w:r>
    </w:p>
    <w:p w14:paraId="4FDBF4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25-A-2385-ASTMH</w:t>
      </w:r>
    </w:p>
    <w:p w14:paraId="44401D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6AB214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Innovations in mobile data capture for multi-country implementation of a longitudinal malaria chemoprevention study in Cameroon and Cote d’Ivoire</w:t>
      </w:r>
    </w:p>
    <w:p w14:paraId="4CBFDB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Plus Project conducted an impact evaluation to assess the effectiveness of perennial malaria chemoprevention (PMC) when integrated into the Essential Programme on Immunization (EPI) in Cameroon and Côte d’Ivoire. Our study data included a census of over 25000 households, including over 17000 children under three in four districts. We captured malaria and anemia cases, EPI and PMC receipt if they visited one of 54 randomly selected health facilities, as well as longitudinal follow-up of over 3500 children every three months for 18 months. Data collection at this scale presented considerable logistical and technical challenges. Specifically, identifying children at repeated EPI visits over 20 months and locating children for follow-up in the community. To overcome these challenges, we developed and deployed a suite of innovative mobile data capture solutions using Open Data Kit (ODK). We will present two case studies to illustrate these innovations: 1) the novel use of an ODK “entity” to enable real-time validation and correction of EPI and PMC data and 2) a multi-faceted strategy to accurately find and identify children for follow-up. A dynamic ODK “entity” database linked to multiple forms was pre-populated with the census data of over 17,000 children and each child was a assigned a unique label comprised of their name, village and date of birth. Data collectors were able to search by these child identifiers to find the correct child and collect data. Concurrently, previously entered data could be verified and corrected if needed. Our community follow-up strategy included unique QR codes for each child and household to ensure data linkage across survey rounds, summaries in every form to confirm the codes, a dynamic offline map to locate households, and a form to search for a child’s code based on a combination of identification information. These innovations demonstrate the critical role of digital tools in achieving high-quality, reliable data in low-income settings at the population level. By enabling better accuracy and integration, these tools strengthen equitable global health research collaboration.</w:t>
      </w:r>
    </w:p>
    <w:p w14:paraId="774D03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25-A-2386-ASTMH</w:t>
      </w:r>
    </w:p>
    <w:p w14:paraId="607BAB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036284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Association of distance to health center on antimicrobial resistance: a secondary analysis of the MORDOR cohort</w:t>
      </w:r>
    </w:p>
    <w:p w14:paraId="758355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Antimicrobial resistance (AMR) is a threat to global public health, with countries in West Africa carrying a disproportionately high burden of morbidity and mortality associated with AMR. Community characteristics such as distance needed to travel to the nearest health center may impact the amount of antibiotics received and result in differences in AMR burden. This analysis uses data from communities participating in the MORDOR study in Niger to evaluate the association of distance to health center and other community characteristics on AMR. MORDOR delivered biannual azithromycin or placebo at a 1:1 ratio to children 1-59 months living in participating communities for 5 years. At 4½ years, 150 </w:t>
      </w:r>
      <w:r w:rsidRPr="00FE5D1C">
        <w:rPr>
          <w:rFonts w:ascii="Calibri" w:eastAsia="Times New Roman" w:hAnsi="Calibri" w:cs="Calibri"/>
          <w:color w:val="000000"/>
          <w:kern w:val="0"/>
          <w:sz w:val="22"/>
          <w:szCs w:val="22"/>
          <w14:ligatures w14:val="none"/>
        </w:rPr>
        <w:lastRenderedPageBreak/>
        <w:t>communities participated in sample collection, and rectal samples were taken from up to 40 randomly selected children per community. Outcomes for this analysis include the community-level, normalized read number of genetic determinants of resistance correlated with each class of antibiotics. We were primarily concerned with AMR to beta-lactams, as these are the most distributed out of CSIs in this setting. The analysis used DESeq2 to compare the community-level relative abundance of individual microbial taxa at the genus and species level of the classes included for each one-kilometer increase in the distance to health centers. A sensitivity analysis including an interaction term for treatment arm and distance to CSI was also included. There was a significant decrease in relative abundance in the beta-lactam class with each kilometer increase in distance to health center: 0.97-fold change per km (95% CI 0.96 - 0.98,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-value &lt;0.001). Other classes with significant associations include trimethoprim with a 0.97-fold (95% CI 0.96 - 0.99,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-value 0.01) decrease and metronidazole with a 0.96-fold (95% CI 0.93 - 0.98,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-value 0.01) decrease. There was no significant interaction between treatment arm and distance to CSI for any AMR outcome. Children residing in communities living closer to health centers have an increased risk of AMR in this area of rural Niger.</w:t>
      </w:r>
    </w:p>
    <w:p w14:paraId="4A7533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25-A-2387-ASTMH</w:t>
      </w:r>
    </w:p>
    <w:p w14:paraId="0D4486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18EA57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Climate Change shifting Arboviruses Disease Burden to Overtake Malaria in Kenya.</w:t>
      </w:r>
    </w:p>
    <w:p w14:paraId="712489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Background: Climate change is a global threat to human health. Vector-borne diseases are the greatest causes of human suffering associated with climate variability. According to the World Health Organization, about one-sixth of the diseases and disability suffered globally are linked to these diseases. Kenya is dealing with multiple effects and impacts related to climate change. Even though Malaria is a long-standing public health problem, burden of arboviruses such as dengue virus are under-recognized. Temperature or precipitation favors the survival rates of Anopheles and Aedes aegypti mosquitos, transmitting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and dengue virus respectively. Determining the disease burden shift is vital for public health preparedness in Kenya. The co-existence of both vectors leads to co-infections resulting to increased morbidity. We conducted a three-month, cohort study with a sample size of 380 children presenting with acute febrile illness at level; 2, 3 and 4 public health facilities in western Kenya, adversely affected by severe flooding and droughts. The overall proportion of </w:t>
      </w:r>
      <w:r w:rsidRPr="00FE5D1C">
        <w:rPr>
          <w:rFonts w:ascii="Calibri" w:eastAsia="Times New Roman" w:hAnsi="Calibri" w:cs="Calibri"/>
          <w:i/>
          <w:iCs/>
          <w:color w:val="000000"/>
          <w:kern w:val="0"/>
          <w:sz w:val="22"/>
          <w:szCs w:val="22"/>
          <w14:ligatures w14:val="none"/>
        </w:rPr>
        <w:t>P.falciparum, Dengue fever</w:t>
      </w:r>
      <w:r w:rsidRPr="00FE5D1C">
        <w:rPr>
          <w:rFonts w:ascii="Calibri" w:eastAsia="Times New Roman" w:hAnsi="Calibri" w:cs="Calibri"/>
          <w:color w:val="000000"/>
          <w:kern w:val="0"/>
          <w:sz w:val="22"/>
          <w:szCs w:val="22"/>
          <w14:ligatures w14:val="none"/>
        </w:rPr>
        <w:t> and co-infection were; 21.4%, 8.9% and 7.5% respectively. P.falciparum prevalence is high in Busia (23.4%) than Kisumu(19.4). Kisumu County is leading on dengue fever prevalence (12.6%) compared to Busia( 5.3%). The time of mosquito bite is a significant predictor of </w:t>
      </w:r>
      <w:r w:rsidRPr="00FE5D1C">
        <w:rPr>
          <w:rFonts w:ascii="Calibri" w:eastAsia="Times New Roman" w:hAnsi="Calibri" w:cs="Calibri"/>
          <w:i/>
          <w:iCs/>
          <w:color w:val="000000"/>
          <w:kern w:val="0"/>
          <w:sz w:val="22"/>
          <w:szCs w:val="22"/>
          <w14:ligatures w14:val="none"/>
        </w:rPr>
        <w:t>P. falcipurum </w:t>
      </w:r>
      <w:r w:rsidRPr="00FE5D1C">
        <w:rPr>
          <w:rFonts w:ascii="Calibri" w:eastAsia="Times New Roman" w:hAnsi="Calibri" w:cs="Calibri"/>
          <w:color w:val="000000"/>
          <w:kern w:val="0"/>
          <w:sz w:val="22"/>
          <w:szCs w:val="22"/>
          <w14:ligatures w14:val="none"/>
        </w:rPr>
        <w:t>and dengue virus infection (p = 0.003). Day and night mosquito bites 2.13 times (OR =2.13, 95% CI: 1.29, 3.54) higher risk of infection. Due to the existence of the preferred climate, vector fecundity of both </w:t>
      </w:r>
      <w:r w:rsidRPr="00FE5D1C">
        <w:rPr>
          <w:rFonts w:ascii="Calibri" w:eastAsia="Times New Roman" w:hAnsi="Calibri" w:cs="Calibri"/>
          <w:i/>
          <w:iCs/>
          <w:color w:val="000000"/>
          <w:kern w:val="0"/>
          <w:sz w:val="22"/>
          <w:szCs w:val="22"/>
          <w14:ligatures w14:val="none"/>
        </w:rPr>
        <w:t>Aedes aegypti,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are enhanced. Arboviruses are emerging in areas where they were previously unknown. While malaria eradication efforts remain crucial, the increasing circulation of dengue infected Aedes mosquitoes due to the ‘24-hour mosquito bite’ begs for the preparedness of public health facilities and an enhanced surveillance for the potential arboviral disease burden overtaking malaria in Kenya.</w:t>
      </w:r>
    </w:p>
    <w:p w14:paraId="21BED3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25-A-2388-ASTMH</w:t>
      </w:r>
    </w:p>
    <w:p w14:paraId="30CD3B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4C7DAC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Predicting Mosquito Age and Survival Under Variable Environmental Conditions: Insights from Infrared Spectroscopy and Machine Learning</w:t>
      </w:r>
    </w:p>
    <w:p w14:paraId="0C5FE9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Accurate age-grading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is critical for effective vector surveillance and malaria control strategies, given that a mosquito’s age influences biting rates, survival, and ability to transmit diseases. Environmental factors such as temperature, humidity, and insecticide exposure can significantly alter mosquito physiology, underscoring the need to investigate aging patterns under conditions that mimic natural climatic variability.This study combines infrared spectroscopy and machine learning (IR-ML) to predict the chronological and biological age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xml:space="preserve"> mosquitoes </w:t>
      </w:r>
      <w:r w:rsidRPr="00FE5D1C">
        <w:rPr>
          <w:rFonts w:ascii="Calibri" w:eastAsia="Times New Roman" w:hAnsi="Calibri" w:cs="Calibri"/>
          <w:color w:val="000000"/>
          <w:kern w:val="0"/>
          <w:sz w:val="22"/>
          <w:szCs w:val="22"/>
          <w14:ligatures w14:val="none"/>
        </w:rPr>
        <w:lastRenderedPageBreak/>
        <w:t>reared under a range of environmental conditions. Mosquitoes were exposed to varying temperatures and humidities (low to high), larval nutrition levels, exposure to insecticides, and availability of sugar or blood to simulate the natural environment. Infrared spectroscopy was used to analyze the biochemical composition of mosquito cuticles, generating a dataset for training machine learning models to predict mosquito age and life expectancy. Preliminary findings indicates that the IR-ML models predict chronological age with high accuracy for younger mosquitoes (83%) and moderate accuracy for older ones (65%), while achieving 84% accuracy in life expectancy predictions across extreme categories. Infrared spectroscopy identified age-specific chemical signatures influenced by environmental conditions. Notably, insecticide exposure was found to accelerate biological aging, whereas temperature and humidity exerted a more pronounced effect on aging in unexposed mosquitoes. These findings provide new insights into the biochemical basis of mosquito aging and survival under variable environmental conditions. This research demonstrates the potential of IR-ML technology to improve large-scale mosquito age prediction and vector surveillance. By simulating natural climatic variability, this work provides a framework for understanding mosquito biology and optimizing malaria control strategies in the context of changing environmental conditions.</w:t>
      </w:r>
    </w:p>
    <w:p w14:paraId="569442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25-A-2389-ASTMH</w:t>
      </w:r>
    </w:p>
    <w:p w14:paraId="10CFB7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0BB9C7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Prevalence and risk factors of glucose-6-phosphate dehydrogenase deficiency among a </w:t>
      </w:r>
      <w:r w:rsidRPr="00FE5D1C">
        <w:rPr>
          <w:rFonts w:ascii="Calibri" w:eastAsia="Times New Roman" w:hAnsi="Calibri" w:cs="Calibri"/>
          <w:b/>
          <w:bCs/>
          <w:i/>
          <w:iCs/>
          <w:color w:val="000000"/>
          <w:kern w:val="0"/>
          <w:sz w:val="22"/>
          <w:szCs w:val="22"/>
          <w14:ligatures w14:val="none"/>
        </w:rPr>
        <w:t>Plasmodium vivax</w:t>
      </w:r>
      <w:r w:rsidRPr="00FE5D1C">
        <w:rPr>
          <w:rFonts w:ascii="Calibri" w:eastAsia="Times New Roman" w:hAnsi="Calibri" w:cs="Calibri"/>
          <w:b/>
          <w:bCs/>
          <w:color w:val="000000"/>
          <w:kern w:val="0"/>
          <w:sz w:val="22"/>
          <w:szCs w:val="22"/>
          <w14:ligatures w14:val="none"/>
        </w:rPr>
        <w:t> malaria endemic setting in Peru</w:t>
      </w:r>
    </w:p>
    <w:p w14:paraId="713577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Similar to many other countries approaching malaria elimination, the major challenge for Peru is persistence of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malaria, which resists standard interventions due to its ability to establish dormancy as a hypnozoite. Focal mass drug administration with tafenoquine eliminates hypnozoites but is contraindicated in individuals with the glucose-6-phosphate dehydrogenase (G6PD) deficiency, an X-linked metabolic condition. There are no data regarding the epidemiology of G6PD deficiency in Peru. Our objective was to estimate its prevalence and explore its associations with potential demographic and epidemiological risk factors. A baseline house-to-house survey was conducted in 30 communities participating in a cluster-randomized control trial that compares focal mass drug administration with standard care. Demographic, clinical, and epidemiologic data were collected and quantitative G6PD testing was conducted using the SD Biosensor rapid test. G6PD activity was classified as deficient (≤4.0 IU/g), intermediate (4.1-6.0 IU/g), or normal (≥6.1 IU/g). For analysis, participants were grouped as either deficient or intermediate/normal. Associations between G6PD status and exposures including sex, ethnicity, occupation, and district were assessed using logistic regression models. Among the total 4,602 participants, 17 (0.4%) were classified as deficient, with 9 (0.4%%) and 27 (1.2%) males having deficient and intermediate status, respectively, and 8 (0.3%) and 23 (1.0%) females having deficient and intermediate status, respectively. Of the 3,043 participants of mestizo descent, 8 (0.3%) and 29 (1.0%) were deficient or intermediate status, respectively, while none of the 22 native Amazonian participants were. None of the included exposures had associations with G6PD status. In an adjusted model among male participants of mestizo descent occupation and district were not associated with G6PD status. G6PD deficiency is rare in this setting in Peru and focal mass drug administration using tafenoquine is anticipated to be safe.</w:t>
      </w:r>
    </w:p>
    <w:p w14:paraId="2B27DA8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25-A-2390-ASTMH</w:t>
      </w:r>
    </w:p>
    <w:p w14:paraId="32F7F1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6CE9F7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Systematic Comparison of Widely Used Clustering Algorithms for Identifying Near-Clonal Malaria Parasites from 101-Barcoding SNPs</w:t>
      </w:r>
    </w:p>
    <w:p w14:paraId="66D9D5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the Greater Mekong Subregion (GMS), the GenRe-Mekong project, in collaboration with national malaria control programs (NMCPs), utilizes the spotMalaria genotyping platform to characterize circulating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xml:space="preserve"> parasites. This platform produces genotypes for 101 barcoding SNPs and 42 loci associated with antimalarial drug resistance. A key application of this data is to identify </w:t>
      </w:r>
      <w:r w:rsidRPr="00FE5D1C">
        <w:rPr>
          <w:rFonts w:ascii="Calibri" w:eastAsia="Times New Roman" w:hAnsi="Calibri" w:cs="Calibri"/>
          <w:color w:val="000000"/>
          <w:kern w:val="0"/>
          <w:sz w:val="22"/>
          <w:szCs w:val="22"/>
          <w14:ligatures w14:val="none"/>
        </w:rPr>
        <w:lastRenderedPageBreak/>
        <w:t>clusters of genetically related parasites, enabling the tracking of drug-resistant lineages. Cluster identification involves three main steps: (1) generating a pairwise genetic distance matrix, (2) constructing a graph from this matrix, and (3) applying a community detection (CD) algorithm to group similar parasites. The Louvain algorithm is commonly used for this purpose; however, it has been shown to sometimes detect poorly connected communities. To address this limitation, we systematically compared the performance of several widely used unsupervised clustering algorithms to identify those best suited to the low-diversity context of the GMS. Our results showed that hierarchical clustering (HC) methods and the Leiden CD algorithm outperformed others based on average within-cluster genetic distances and silhouette scores—a metric ranging from -1 to 1 that assesses clustering quality. Agglomerative HC with mean linkage achieved the highest silhouette score of 0.93, matched by the Leiden algorithm. While the Louvain algorithm yielded a lower silhouette score of 0.82, it still reliably identified major clusters in the region. Overall, our findings suggest that while HC and Leiden algorithms offer superior clustering performance, the Louvain algorithm remains a valid and effective tool for detecting key parasite clusters in the GMS.</w:t>
      </w:r>
    </w:p>
    <w:p w14:paraId="4DEFFA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25-A-2391-ASTMH</w:t>
      </w:r>
    </w:p>
    <w:p w14:paraId="0A74617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2DCAC18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 investigation of INE963 for the single dose treatment of uncomplicated Plasmodium falciparum malaria</w:t>
      </w:r>
    </w:p>
    <w:p w14:paraId="5670437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INE963 is a novel antimalarial compound. Preclinical data and a prolonged half-life and favorable safety profile in human studies suggest it has potential as a combination partner for the single-dose treatment of uncomplicated malaria. This is the first clinical trial administering INE963 to malaria patients. The PLATINUM study (A multi-part, multi-center </w:t>
      </w:r>
      <w:r w:rsidRPr="00FE5D1C">
        <w:rPr>
          <w:rFonts w:ascii="Calibri" w:eastAsia="Times New Roman" w:hAnsi="Calibri" w:cs="Calibri"/>
          <w:color w:val="000000"/>
          <w:kern w:val="0"/>
          <w:sz w:val="22"/>
          <w:szCs w:val="22"/>
          <w:u w:val="single"/>
          <w14:ligatures w14:val="none"/>
        </w:rPr>
        <w:t>PLAT</w:t>
      </w:r>
      <w:r w:rsidRPr="00FE5D1C">
        <w:rPr>
          <w:rFonts w:ascii="Calibri" w:eastAsia="Times New Roman" w:hAnsi="Calibri" w:cs="Calibri"/>
          <w:color w:val="000000"/>
          <w:kern w:val="0"/>
          <w:sz w:val="22"/>
          <w:szCs w:val="22"/>
          <w14:ligatures w14:val="none"/>
        </w:rPr>
        <w:t>form study to assess the efficacy, safety, tolerability and pharmacokinetics of anti-malarial agents administered as monotherapy and/or combination therapy </w:t>
      </w:r>
      <w:r w:rsidRPr="00FE5D1C">
        <w:rPr>
          <w:rFonts w:ascii="Calibri" w:eastAsia="Times New Roman" w:hAnsi="Calibri" w:cs="Calibri"/>
          <w:color w:val="000000"/>
          <w:kern w:val="0"/>
          <w:sz w:val="22"/>
          <w:szCs w:val="22"/>
          <w:u w:val="single"/>
          <w14:ligatures w14:val="none"/>
        </w:rPr>
        <w:t>IN</w:t>
      </w:r>
      <w:r w:rsidRPr="00FE5D1C">
        <w:rPr>
          <w:rFonts w:ascii="Calibri" w:eastAsia="Times New Roman" w:hAnsi="Calibri" w:cs="Calibri"/>
          <w:color w:val="000000"/>
          <w:kern w:val="0"/>
          <w:sz w:val="22"/>
          <w:szCs w:val="22"/>
          <w14:ligatures w14:val="none"/>
        </w:rPr>
        <w:t> patients with </w:t>
      </w:r>
      <w:r w:rsidRPr="00FE5D1C">
        <w:rPr>
          <w:rFonts w:ascii="Calibri" w:eastAsia="Times New Roman" w:hAnsi="Calibri" w:cs="Calibri"/>
          <w:color w:val="000000"/>
          <w:kern w:val="0"/>
          <w:sz w:val="22"/>
          <w:szCs w:val="22"/>
          <w:u w:val="single"/>
          <w14:ligatures w14:val="none"/>
        </w:rPr>
        <w:t>U</w:t>
      </w:r>
      <w:r w:rsidRPr="00FE5D1C">
        <w:rPr>
          <w:rFonts w:ascii="Calibri" w:eastAsia="Times New Roman" w:hAnsi="Calibri" w:cs="Calibri"/>
          <w:color w:val="000000"/>
          <w:kern w:val="0"/>
          <w:sz w:val="22"/>
          <w:szCs w:val="22"/>
          <w14:ligatures w14:val="none"/>
        </w:rPr>
        <w:t>ncomplicated Plasmodium falciparum </w:t>
      </w:r>
      <w:r w:rsidRPr="00FE5D1C">
        <w:rPr>
          <w:rFonts w:ascii="Calibri" w:eastAsia="Times New Roman" w:hAnsi="Calibri" w:cs="Calibri"/>
          <w:color w:val="000000"/>
          <w:kern w:val="0"/>
          <w:sz w:val="22"/>
          <w:szCs w:val="22"/>
          <w:u w:val="single"/>
          <w14:ligatures w14:val="none"/>
        </w:rPr>
        <w:t>M</w:t>
      </w:r>
      <w:r w:rsidRPr="00FE5D1C">
        <w:rPr>
          <w:rFonts w:ascii="Calibri" w:eastAsia="Times New Roman" w:hAnsi="Calibri" w:cs="Calibri"/>
          <w:color w:val="000000"/>
          <w:kern w:val="0"/>
          <w:sz w:val="22"/>
          <w:szCs w:val="22"/>
          <w14:ligatures w14:val="none"/>
        </w:rPr>
        <w:t>alaria) is designed to allow the investigation of different drugs as monotherapy and in combination for their potential to achieve single dose cure with the aim of improving compliance. Current standard care involves three-day dosage regimens with artemisinin-based combination therapies (ACT). In one part of the study, participants aged 18 years or older with uncomplicated malaria were enrolled in Burkina Faso, Ivory Coast, Gabon, Ghana, Kenya, and Uganda and treated with one of four single doses of INE963 (150 mg, 300 mg, 450 mg, and 600 mg), with a minimum of 10 patients per dose group. The primary endpoint for this part was to assess the parasite clearance time (PCT) of single oral doses of INE963. Coartem</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 artemether-lumefantrine) was administered to all patients at Day 29 and was used as rescue therapy in cases where parasites were not cleared within 7 days or were detected again within 29 days. Secondary endpoints included PCR-corrected adequate clinical and parasitological response (ACPR) on Day 29, safety assessments (adverse events, vital signs, ECG findings, laboratory evaluations), and pharmacokinetic parameters such as Cmax, Tmax, AUC0-t, AUClast, AUCinf, T1/2, Cl/F, and V/F. Patients stayed in clinical units for three days to ensure medical care, clinical monitoring and sample collection followed by outpatient visits through the end of the study visit on Day 29. Recruitment has concluded, and data analysis is ongoing. The results will be disclosed at the conference and should support further investigations in younger patients.</w:t>
      </w:r>
    </w:p>
    <w:p w14:paraId="2BD844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25-A-2392-ASTMH</w:t>
      </w:r>
    </w:p>
    <w:p w14:paraId="22CCC0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23F399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 infantum transmission dynamics to sand flies within important reservoirs in Brazil</w:t>
      </w:r>
    </w:p>
    <w:p w14:paraId="534D7E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Leishmania infantum</w:t>
      </w:r>
      <w:r w:rsidRPr="00FE5D1C">
        <w:rPr>
          <w:rFonts w:ascii="Calibri" w:eastAsia="Times New Roman" w:hAnsi="Calibri" w:cs="Calibri"/>
          <w:color w:val="000000"/>
          <w:kern w:val="0"/>
          <w:sz w:val="22"/>
          <w:szCs w:val="22"/>
          <w14:ligatures w14:val="none"/>
        </w:rPr>
        <w:t> transmission to mammals occurs mainly via sandflies. However, vertical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transmission was demonstrated to occur in dogs and people in locations with no apparent competent vectors. The aims of this study were to determine sandfly frequency of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infection and the main blood meal sources. This assessment also evaluated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xml:space="preserve"> vertically infected dogs as </w:t>
      </w:r>
      <w:r w:rsidRPr="00FE5D1C">
        <w:rPr>
          <w:rFonts w:ascii="Calibri" w:eastAsia="Times New Roman" w:hAnsi="Calibri" w:cs="Calibri"/>
          <w:color w:val="000000"/>
          <w:kern w:val="0"/>
          <w:sz w:val="22"/>
          <w:szCs w:val="22"/>
          <w14:ligatures w14:val="none"/>
        </w:rPr>
        <w:lastRenderedPageBreak/>
        <w:t>a reservoir in an endemic area of Brazil. Insects were collected using CDC light traps in (1) households with a recent history of human VL, (2) close neighbors of human VL case households, and (3) households with no recent history of human VL. To evaluate canine vertical transmission, 8 pups born to naturally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-infected bitches were maintained in a kennel protected by insecticide-impregnated screens. Most of the pups presented no or few VL signs. Eight community dogs served as endemic controls and were polysymptomatic. Xenodiagnosis was used to determine infectiousness of these pups and</w:t>
      </w:r>
      <w:r w:rsidRPr="00FE5D1C">
        <w:rPr>
          <w:rFonts w:ascii="Calibri" w:eastAsia="Times New Roman" w:hAnsi="Calibri" w:cs="Calibri"/>
          <w:i/>
          <w:iCs/>
          <w:color w:val="000000"/>
          <w:kern w:val="0"/>
          <w:sz w:val="22"/>
          <w:szCs w:val="22"/>
          <w14:ligatures w14:val="none"/>
        </w:rPr>
        <w:t> L. infantum</w:t>
      </w:r>
      <w:r w:rsidRPr="00FE5D1C">
        <w:rPr>
          <w:rFonts w:ascii="Calibri" w:eastAsia="Times New Roman" w:hAnsi="Calibri" w:cs="Calibri"/>
          <w:color w:val="000000"/>
          <w:kern w:val="0"/>
          <w:sz w:val="22"/>
          <w:szCs w:val="22"/>
          <w14:ligatures w14:val="none"/>
        </w:rPr>
        <w:t> infection was determined by sandfly gut culture and qPCR using kDNA as a target. Sandflies captured in households with recent history of human VL or VL endemic neighbors were, respectively, 3.73 (95% CI 1.64-8.48; p= 4.92e-04) or 6.38 (95% CI 3.37-12.09; p= 4.62e-10) times more likely to carry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DNA compared to sandflies captured in houses with no history of VL. Dogs were the most common blood sources for sandflies captured in both areas. Six out of 8 (75%) pups from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positive bitches were infectious to sandflies through xenodiagnosis. The rate of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transmission to the pups was lower (23.8%) than the rate to community dogs (79.1%), however, sandflies fed better on the pups compared to community dogs (p=0.0033). These findings highlight the importance of using topical insecticides on dogs, especially in the vicinity of human VL cases, particularly as dogs with few or no symptoms readily transmit </w:t>
      </w:r>
      <w:r w:rsidRPr="00FE5D1C">
        <w:rPr>
          <w:rFonts w:ascii="Calibri" w:eastAsia="Times New Roman" w:hAnsi="Calibri" w:cs="Calibri"/>
          <w:i/>
          <w:iCs/>
          <w:color w:val="000000"/>
          <w:kern w:val="0"/>
          <w:sz w:val="22"/>
          <w:szCs w:val="22"/>
          <w14:ligatures w14:val="none"/>
        </w:rPr>
        <w:t>L. infantum</w:t>
      </w:r>
      <w:r w:rsidRPr="00FE5D1C">
        <w:rPr>
          <w:rFonts w:ascii="Calibri" w:eastAsia="Times New Roman" w:hAnsi="Calibri" w:cs="Calibri"/>
          <w:color w:val="000000"/>
          <w:kern w:val="0"/>
          <w:sz w:val="22"/>
          <w:szCs w:val="22"/>
          <w14:ligatures w14:val="none"/>
        </w:rPr>
        <w:t>. Finally, dog neutering should be considered in design of VL control strategies.</w:t>
      </w:r>
    </w:p>
    <w:p w14:paraId="5EF74E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25-A-2394-ASTMH</w:t>
      </w:r>
    </w:p>
    <w:p w14:paraId="5090FB3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50331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silico modelling of a CRISPR-cas9/gene drive system for Wolbachia cif targeting Anopheles gambiae s.s. female reproduction, malaria main vector in Burkina Faso</w:t>
      </w:r>
    </w:p>
    <w:p w14:paraId="468323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Burkina Faso, like the rest of Sub-Saharan Africa, continues to suffer heavy consequences from malaria due to the limitations of current control methods. The use of Wolbachia is a very promising alternative method in the fight against malaria. However, Wolbachia appears to be unstable in Anopheles. New strategies are therefore needed to adapt the use of this bacterium in malaria control. Considering the dare mentionned, this study was carried out at the Institut de Recherche en Sciences de la Santé (IRSS) in Bobo Dioulasso. The aim of our study was to design in silico a CRISPR-cas9/gene drive system for Wolbachia cif targeting female reproduction in the An. gambiae mosquito. Thus, we used BLAST software to characterize cif in wAnga using a local alignment system. In addition, using malariaGen data, we analyzed the genetic variability of AgHPX6 in An. gambiae s.s populations on jupiter notebook. In addition, a CRISPR-Cas9 target site was identified on the AgHPX6 gene using CHOPCHOP. In order to spread Wolbachia cif in An. gambiae, the VectorBase database and benchling platform were used to design a CRISPR Cas9/gene drive editing system for these genes. This work showed that the wAnga strain lacks the cif genes. A total of 931 variants were identified in the AgHPX6 gene. The overall nucleotide diversity of the gene was low (0.0042), with a negative Tadjima's D test. The potential CRISPR Cas9 target site identified is located on exon 4 of the AgHPX6 gene at positions 38 747890 and 38 747 912 on chromosome 2R. The CRISPR-Cas9/cif gene drive system developed is designed in a recombination plasmid measuring 20634 bp. This carries a 16784 bp insert, flanked by ~ 1kb homology arms. These results will be helpful in the design of gene drive replacement studies exploiting the AgHPX6 gene. They will also help refine an experimental study of the Wolbachia CRISPR-Cas9 cif system in the context of malaria vector control.</w:t>
      </w:r>
    </w:p>
    <w:p w14:paraId="2FF30B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25-A-2395-ASTMH</w:t>
      </w:r>
    </w:p>
    <w:p w14:paraId="1A16A7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723628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IDENTIFYING KEY BREEDING HABITATS OF MALARIA VECTORS TO INFORM LARVAL SOURCE MANAGEMENT IN PERI-URBAN GASABO DISTRICT, KIGALI, RWANDA</w:t>
      </w:r>
    </w:p>
    <w:p w14:paraId="22B740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Malaria transmission continues in Rwanda despite the scale-up of insecticide-based interventions, mainly due to insecticide resistance and the increasing outdoor biting behavior of Anopheles mosquitoes. Understanding the ecology of mosquito larval habitats is crucial for implementing targeted </w:t>
      </w:r>
      <w:r w:rsidRPr="00FE5D1C">
        <w:rPr>
          <w:rFonts w:ascii="Calibri" w:eastAsia="Times New Roman" w:hAnsi="Calibri" w:cs="Calibri"/>
          <w:color w:val="000000"/>
          <w:kern w:val="0"/>
          <w:sz w:val="22"/>
          <w:szCs w:val="22"/>
          <w14:ligatures w14:val="none"/>
        </w:rPr>
        <w:lastRenderedPageBreak/>
        <w:t>larval source management (LSM). This study aimed to identify and characterize the breeding habitats of Anopheles mosquitoes, the vectors of malaria, and to determine key environmental predictors of Anopheles larval abundance in two sites of Gasabo District, a peri-urban area of Kigali City, Rwanda.A cross-sectional survey was carried out across five marshland blocks during both dry and rainy seasons. Using the standard larval dipping technique, data were collected from 102 geo-referenced sampling points, with in situ or laboratory measurement of physicochemical water parameters. Collected larvae were reared to adulthood for morphological and molecular identification. Descriptive and non-parametric statistics were computed using SPSS v25, while a Tweedie Generalized Linear Model (GLM) and a Generalized Additive Model (GAM) were fitted in R v4.3.3 to examine predictors of Anopheles late instar (L3 and L4) abundance and density.A total of 100 habitats were positive for Anopheles larvae, with rice paddies and stagnant agricultural water pools being the most productive across both seasons. An. arabiensis (82%) was the dominant sibling species, followed by An. gambiae s.s. (18%). Larval and pupal densities varied across habitat types and seasons, with higher abundance during the rainy season. Significant predictors of larval density were water temperature (p = 0.020) and habitat stability (p = 0.006), while small and temporary habitats showed a negative but non-significant association.Seasonality, habitat size and stability, and water temperature were key determinants of Anopheles larval abundance. Persistent habitats like rice paddies and irrigated fields should be prioritized for larval source management including drone-based larviciding as part of integrated vector management in urban and peri-urban malaria-endemic areas.</w:t>
      </w:r>
    </w:p>
    <w:p w14:paraId="6B3C76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25-A-2396-ASTMH</w:t>
      </w:r>
    </w:p>
    <w:p w14:paraId="098971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78E12A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Assessment of Cytophone, a non-invasive malaria diagnostic, in adults with undifferentiated fever and school-age children with uncomplicated malaria in Dandé, Burkina Faso</w:t>
      </w:r>
    </w:p>
    <w:p w14:paraId="711668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Diagnosis of malaria is typically conducted by microscopy or rapid diagnostic tests (RDTs) which require a blood sample and lack sufficient sensitivity. Cytophone is a non-invasive diagnostic for malaria which employs photoacoustic flow cytometry (PAFC) to detect hemozoin within circulating infected red blood cells using a near-infrared laser and an array of ultrasound transducers. Hemozoin is a biocrystal formed by all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species causing human malaria as a byproduct of the essential process of hemoglobin breakdown, making it an appealing diagnostic target. Due to Cytophone’s ability to surveille large volumes of blood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the device has the potential to be highly sensitive, with a preliminary limit of detection of 5 parasites/mL in a murine model</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a 2020 study, the 1</w:t>
      </w:r>
      <w:r w:rsidRPr="00FE5D1C">
        <w:rPr>
          <w:rFonts w:ascii="Calibri" w:eastAsia="Times New Roman" w:hAnsi="Calibri" w:cs="Calibri"/>
          <w:color w:val="000000"/>
          <w:kern w:val="0"/>
          <w:sz w:val="22"/>
          <w:szCs w:val="22"/>
          <w:vertAlign w:val="superscript"/>
          <w14:ligatures w14:val="none"/>
        </w:rPr>
        <w:t>st</w:t>
      </w:r>
      <w:r w:rsidRPr="00FE5D1C">
        <w:rPr>
          <w:rFonts w:ascii="Calibri" w:eastAsia="Times New Roman" w:hAnsi="Calibri" w:cs="Calibri"/>
          <w:color w:val="000000"/>
          <w:kern w:val="0"/>
          <w:sz w:val="22"/>
          <w:szCs w:val="22"/>
          <w14:ligatures w14:val="none"/>
        </w:rPr>
        <w:t>-generation Cytophone prototype’s diagnostic performance was statistically comparable to microscopy and RDTs in adults with uncomplicated malaria. A 2</w:t>
      </w:r>
      <w:r w:rsidRPr="00FE5D1C">
        <w:rPr>
          <w:rFonts w:ascii="Calibri" w:eastAsia="Times New Roman" w:hAnsi="Calibri" w:cs="Calibri"/>
          <w:color w:val="000000"/>
          <w:kern w:val="0"/>
          <w:sz w:val="22"/>
          <w:szCs w:val="22"/>
          <w:vertAlign w:val="superscript"/>
          <w14:ligatures w14:val="none"/>
        </w:rPr>
        <w:t>nd</w:t>
      </w:r>
      <w:r w:rsidRPr="00FE5D1C">
        <w:rPr>
          <w:rFonts w:ascii="Calibri" w:eastAsia="Times New Roman" w:hAnsi="Calibri" w:cs="Calibri"/>
          <w:color w:val="000000"/>
          <w:kern w:val="0"/>
          <w:sz w:val="22"/>
          <w:szCs w:val="22"/>
          <w14:ligatures w14:val="none"/>
        </w:rPr>
        <w:t>-generation prototype was developed to include a more advanced laser, transducer array, and recording system. In early 2025, our team tested this prototype in 80 adults with undifferentiated febrile illness and 20 school-age (5-17 years old) children with uncomplicated malaria in Dandé, Burkina Faso. This was the first study to test this technology in children. A survey was included to gather information from participants regarding the acceptability of PAFC testing. Participants were evaluated using 2 different Cytophone setups: a device with a flexible diagnostic probe paired with a single laser and a device with a fixed probe and 2 lasers. A blood sample was taken from each participant and was tested for malaria by microscopy, RDT, nested PCR, and qPCR. The diagnostic performance of Cytophone both between the 2 testing setups and in comparison to each conventional diagnostic method will be presented. Our study will provide essential information regarding the specificity of Cytophone amongst non-malaria causes of fever, the feasibility of its implementation in younger individuals, and the broader potential of Cytophone as a novel non-invasive tool to enhance malaria surveillance and control efforts.</w:t>
      </w:r>
    </w:p>
    <w:p w14:paraId="03B1BA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25-A-2397-ASTMH</w:t>
      </w:r>
    </w:p>
    <w:p w14:paraId="545A042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1C5E26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Mosquitocidal properties of Isoxazoline derivatives against </w:t>
      </w:r>
      <w:r w:rsidRPr="00FE5D1C">
        <w:rPr>
          <w:rFonts w:ascii="Calibri" w:eastAsia="Times New Roman" w:hAnsi="Calibri" w:cs="Calibri"/>
          <w:b/>
          <w:bCs/>
          <w:i/>
          <w:iCs/>
          <w:color w:val="000000"/>
          <w:kern w:val="0"/>
          <w:sz w:val="22"/>
          <w:szCs w:val="22"/>
          <w14:ligatures w14:val="none"/>
        </w:rPr>
        <w:t>Anopheline </w:t>
      </w:r>
      <w:r w:rsidRPr="00FE5D1C">
        <w:rPr>
          <w:rFonts w:ascii="Calibri" w:eastAsia="Times New Roman" w:hAnsi="Calibri" w:cs="Calibri"/>
          <w:b/>
          <w:bCs/>
          <w:color w:val="000000"/>
          <w:kern w:val="0"/>
          <w:sz w:val="22"/>
          <w:szCs w:val="22"/>
          <w14:ligatures w14:val="none"/>
        </w:rPr>
        <w:t>and</w:t>
      </w:r>
      <w:r w:rsidRPr="00FE5D1C">
        <w:rPr>
          <w:rFonts w:ascii="Calibri" w:eastAsia="Times New Roman" w:hAnsi="Calibri" w:cs="Calibri"/>
          <w:b/>
          <w:bCs/>
          <w:i/>
          <w:iCs/>
          <w:color w:val="000000"/>
          <w:kern w:val="0"/>
          <w:sz w:val="22"/>
          <w:szCs w:val="22"/>
          <w14:ligatures w14:val="none"/>
        </w:rPr>
        <w:t> Aedes</w:t>
      </w:r>
      <w:r w:rsidRPr="00FE5D1C">
        <w:rPr>
          <w:rFonts w:ascii="Calibri" w:eastAsia="Times New Roman" w:hAnsi="Calibri" w:cs="Calibri"/>
          <w:b/>
          <w:bCs/>
          <w:color w:val="000000"/>
          <w:kern w:val="0"/>
          <w:sz w:val="22"/>
          <w:szCs w:val="22"/>
          <w14:ligatures w14:val="none"/>
        </w:rPr>
        <w:t> species</w:t>
      </w:r>
    </w:p>
    <w:p w14:paraId="62F90B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Since 2015, after the success of long-lasting insecticidal nets and indoor residual sprays for reducing the burden of malaria, the management of mosquitoes resistant to current insecticides is becoming challenging. A promising new strategy is drug-based vector control making vector host blood toxic to mosquitoes when administrated. Isoxazoline derivatives, widely used for ectoparasite control in companion animals, are targeting as systemic insecticides. Here, we evaluated the mosquitocidal activity of afoxolaner, fluralaner and lotilaner, three isoxazoline derivatives, against </w:t>
      </w:r>
      <w:r w:rsidRPr="00FE5D1C">
        <w:rPr>
          <w:rFonts w:ascii="Calibri" w:eastAsia="Times New Roman" w:hAnsi="Calibri" w:cs="Calibri"/>
          <w:i/>
          <w:iCs/>
          <w:color w:val="000000"/>
          <w:kern w:val="0"/>
          <w:sz w:val="22"/>
          <w:szCs w:val="22"/>
          <w14:ligatures w14:val="none"/>
        </w:rPr>
        <w:t>Anopheles gambiae s.s., Anopheles coluzzii, Aedes aegypti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Anopheles funestus</w:t>
      </w:r>
      <w:r w:rsidRPr="00FE5D1C">
        <w:rPr>
          <w:rFonts w:ascii="Calibri" w:eastAsia="Times New Roman" w:hAnsi="Calibri" w:cs="Calibri"/>
          <w:color w:val="000000"/>
          <w:kern w:val="0"/>
          <w:sz w:val="22"/>
          <w:szCs w:val="22"/>
          <w14:ligatures w14:val="none"/>
        </w:rPr>
        <w:t> using the membrane feeding assay. The effect of antibiotic treatment and different carbohydrates in artificial nectar meals on isoxazoline activity was also investigated.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values were calculated by applying a four-parameter logistic regression model using a least squares method to find the best fit using the GraphPad Prism 5.0 and CDD Vault software packages. All isoxazolines tested showed rapid killing with little differences in susceptibility between different species and genera of mosquitoes. The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values [95% CI] of the isooxazoline derivatives at 72h post-feeding were ranged from 23 (14-31) nM (fluralaner # </w:t>
      </w:r>
      <w:r w:rsidRPr="00FE5D1C">
        <w:rPr>
          <w:rFonts w:ascii="Calibri" w:eastAsia="Times New Roman" w:hAnsi="Calibri" w:cs="Calibri"/>
          <w:i/>
          <w:iCs/>
          <w:color w:val="000000"/>
          <w:kern w:val="0"/>
          <w:sz w:val="22"/>
          <w:szCs w:val="22"/>
          <w14:ligatures w14:val="none"/>
        </w:rPr>
        <w:t>A. gambiae</w:t>
      </w:r>
      <w:r w:rsidRPr="00FE5D1C">
        <w:rPr>
          <w:rFonts w:ascii="Calibri" w:eastAsia="Times New Roman" w:hAnsi="Calibri" w:cs="Calibri"/>
          <w:color w:val="000000"/>
          <w:kern w:val="0"/>
          <w:sz w:val="22"/>
          <w:szCs w:val="22"/>
          <w14:ligatures w14:val="none"/>
        </w:rPr>
        <w:t>) to 346 (233-459) nM (lotilaner # </w:t>
      </w:r>
      <w:r w:rsidRPr="00FE5D1C">
        <w:rPr>
          <w:rFonts w:ascii="Calibri" w:eastAsia="Times New Roman" w:hAnsi="Calibri" w:cs="Calibri"/>
          <w:i/>
          <w:iCs/>
          <w:color w:val="000000"/>
          <w:kern w:val="0"/>
          <w:sz w:val="22"/>
          <w:szCs w:val="22"/>
          <w14:ligatures w14:val="none"/>
        </w:rPr>
        <w:t>A. aegypti</w:t>
      </w:r>
      <w:r w:rsidRPr="00FE5D1C">
        <w:rPr>
          <w:rFonts w:ascii="Calibri" w:eastAsia="Times New Roman" w:hAnsi="Calibri" w:cs="Calibri"/>
          <w:color w:val="000000"/>
          <w:kern w:val="0"/>
          <w:sz w:val="22"/>
          <w:szCs w:val="22"/>
          <w14:ligatures w14:val="none"/>
        </w:rPr>
        <w:t>). Fluralaner showed the most potent mosquitocidal effects with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values ranging from 44 to 87 nM against all species when mortality was assessed at 24h post-feeding. The IC</w:t>
      </w:r>
      <w:r w:rsidRPr="00FE5D1C">
        <w:rPr>
          <w:rFonts w:ascii="Calibri" w:eastAsia="Times New Roman" w:hAnsi="Calibri" w:cs="Calibri"/>
          <w:color w:val="000000"/>
          <w:kern w:val="0"/>
          <w:sz w:val="22"/>
          <w:szCs w:val="22"/>
          <w:vertAlign w:val="subscript"/>
          <w14:ligatures w14:val="none"/>
        </w:rPr>
        <w:t>50</w:t>
      </w:r>
      <w:r w:rsidRPr="00FE5D1C">
        <w:rPr>
          <w:rFonts w:ascii="Calibri" w:eastAsia="Times New Roman" w:hAnsi="Calibri" w:cs="Calibri"/>
          <w:color w:val="000000"/>
          <w:kern w:val="0"/>
          <w:sz w:val="22"/>
          <w:szCs w:val="22"/>
          <w14:ligatures w14:val="none"/>
        </w:rPr>
        <w:t> values [95% CI] of afoxolaner in the antibiotic treated vs untreated mosquitoes were not different at 24 h (treated = 0.109 µM [0.037-0.275], untreated = 0.095 µM [0.043-0.195]). The data did not show effects of sugar feeding on isoxazoline activity. Data indicate potent and rapid mosquitocidal effects of isoxazolines that are not impacted by mosquito feeding behavior or microbiome dynamics. Moreover, compounds are potent against </w:t>
      </w:r>
      <w:r w:rsidRPr="00FE5D1C">
        <w:rPr>
          <w:rFonts w:ascii="Calibri" w:eastAsia="Times New Roman" w:hAnsi="Calibri" w:cs="Calibri"/>
          <w:i/>
          <w:iCs/>
          <w:color w:val="000000"/>
          <w:kern w:val="0"/>
          <w:sz w:val="22"/>
          <w:szCs w:val="22"/>
          <w14:ligatures w14:val="none"/>
        </w:rPr>
        <w:t>Amopheles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two major mosquito species in Sub-Saharan Africa.</w:t>
      </w:r>
    </w:p>
    <w:p w14:paraId="073AC3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25-A-2398-ASTMH</w:t>
      </w:r>
    </w:p>
    <w:p w14:paraId="7471BB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4A2207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Challenges in Malaria: Experience of West Bengal; India</w:t>
      </w:r>
    </w:p>
    <w:p w14:paraId="169671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elimination in India by 2030 aligns with WHO goals and the Sustainable Development Goals (SDGs). India has made significant progress, with a 79% decline in malaria cases and 57% drop in deaths in 2022 compared to 2017, as per WHO’s World Malaria Report 2024. However, to achieve elimination certification by 2027, all states and UTs must report zero indigenous cases for three consecutive years. West Bengal, in eastern India, has made notable strides by reducing its Annual Parasite Incidence (API) below 1 per 1,000 population, placing it in Category I under the National Strategic Plan (NSP) 2022. Yet, reaching Category 0 (malaria-free with zero indigenous cases) remains a challenge. Climate change plays a key role in sustaining malaria transmission, especially in previously non-endemic, high-altitude areas. Rising temperatures (20–25°C) and high humidity (76–80%) in these regions increase vector density. Entomological surveillance shows higher-than-expected adult vector density even from February to April. In Alipurduar district, the PMHD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vector exceeds 20 in April at temperatures of 26–31°C and 84% humidity. Urbanization adds challenges—water tanks, construction sites, and open reservoirs support mixed breeding of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Aedes </w:t>
      </w:r>
      <w:r w:rsidRPr="00FE5D1C">
        <w:rPr>
          <w:rFonts w:ascii="Calibri" w:eastAsia="Times New Roman" w:hAnsi="Calibri" w:cs="Calibri"/>
          <w:color w:val="000000"/>
          <w:kern w:val="0"/>
          <w:sz w:val="22"/>
          <w:szCs w:val="22"/>
          <w14:ligatures w14:val="none"/>
        </w:rPr>
        <w:t>mosquitoes. Slow forest streams support breeding of efficient vectors like </w:t>
      </w:r>
      <w:r w:rsidRPr="00FE5D1C">
        <w:rPr>
          <w:rFonts w:ascii="Calibri" w:eastAsia="Times New Roman" w:hAnsi="Calibri" w:cs="Calibri"/>
          <w:i/>
          <w:iCs/>
          <w:color w:val="000000"/>
          <w:kern w:val="0"/>
          <w:sz w:val="22"/>
          <w:szCs w:val="22"/>
          <w14:ligatures w14:val="none"/>
        </w:rPr>
        <w:t>An. fluviatilis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minimus</w:t>
      </w:r>
      <w:r w:rsidRPr="00FE5D1C">
        <w:rPr>
          <w:rFonts w:ascii="Calibri" w:eastAsia="Times New Roman" w:hAnsi="Calibri" w:cs="Calibri"/>
          <w:color w:val="000000"/>
          <w:kern w:val="0"/>
          <w:sz w:val="22"/>
          <w:szCs w:val="22"/>
          <w14:ligatures w14:val="none"/>
        </w:rPr>
        <w:t>, making larval source management difficult. The presence of potential vectors like </w:t>
      </w:r>
      <w:r w:rsidRPr="00FE5D1C">
        <w:rPr>
          <w:rFonts w:ascii="Calibri" w:eastAsia="Times New Roman" w:hAnsi="Calibri" w:cs="Calibri"/>
          <w:i/>
          <w:iCs/>
          <w:color w:val="000000"/>
          <w:kern w:val="0"/>
          <w:sz w:val="22"/>
          <w:szCs w:val="22"/>
          <w14:ligatures w14:val="none"/>
        </w:rPr>
        <w:t>An. pseudowillmori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 sawadwongporni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maculatus</w:t>
      </w:r>
      <w:r w:rsidRPr="00FE5D1C">
        <w:rPr>
          <w:rFonts w:ascii="Calibri" w:eastAsia="Times New Roman" w:hAnsi="Calibri" w:cs="Calibri"/>
          <w:color w:val="000000"/>
          <w:kern w:val="0"/>
          <w:sz w:val="22"/>
          <w:szCs w:val="22"/>
          <w14:ligatures w14:val="none"/>
        </w:rPr>
        <w:t> in Alipurduar is a growing public health concern. Limitation of LLIN (Long Lasting Impregnated Net) for controlling or preventing outdoor transmission has broader issues beyond local transmission prevailing in West Bengal. Introduction of new tools and technology and formulating policy on flexibility with implementing agencies up to district level is challenging due to capacity constraints, data analysis and approved financial norms. Regular entomological surveillance alongwith epidemiological analysis are essential. Early detection, rapid treatment, and effective surveillance are vital to stop the disease from spreading.</w:t>
      </w:r>
    </w:p>
    <w:p w14:paraId="24875F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25-A-2400-ASTMH</w:t>
      </w:r>
    </w:p>
    <w:p w14:paraId="785E77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5B2744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Co-occurrence of </w:t>
      </w:r>
      <w:r w:rsidRPr="00FE5D1C">
        <w:rPr>
          <w:rFonts w:ascii="Calibri" w:eastAsia="Times New Roman" w:hAnsi="Calibri" w:cs="Calibri"/>
          <w:b/>
          <w:bCs/>
          <w:i/>
          <w:iCs/>
          <w:color w:val="000000"/>
          <w:kern w:val="0"/>
          <w:sz w:val="22"/>
          <w:szCs w:val="22"/>
          <w14:ligatures w14:val="none"/>
        </w:rPr>
        <w:t>kdr </w:t>
      </w:r>
      <w:r w:rsidRPr="00FE5D1C">
        <w:rPr>
          <w:rFonts w:ascii="Calibri" w:eastAsia="Times New Roman" w:hAnsi="Calibri" w:cs="Calibri"/>
          <w:b/>
          <w:bCs/>
          <w:color w:val="000000"/>
          <w:kern w:val="0"/>
          <w:sz w:val="22"/>
          <w:szCs w:val="22"/>
          <w14:ligatures w14:val="none"/>
        </w:rPr>
        <w:t>mutations V410L, V1016I, and F1534C in the </w:t>
      </w:r>
      <w:r w:rsidRPr="00FE5D1C">
        <w:rPr>
          <w:rFonts w:ascii="Calibri" w:eastAsia="Times New Roman" w:hAnsi="Calibri" w:cs="Calibri"/>
          <w:b/>
          <w:bCs/>
          <w:i/>
          <w:iCs/>
          <w:color w:val="000000"/>
          <w:kern w:val="0"/>
          <w:sz w:val="22"/>
          <w:szCs w:val="22"/>
          <w14:ligatures w14:val="none"/>
        </w:rPr>
        <w:t>Aedes aegypti</w:t>
      </w:r>
      <w:r w:rsidRPr="00FE5D1C">
        <w:rPr>
          <w:rFonts w:ascii="Calibri" w:eastAsia="Times New Roman" w:hAnsi="Calibri" w:cs="Calibri"/>
          <w:b/>
          <w:bCs/>
          <w:color w:val="000000"/>
          <w:kern w:val="0"/>
          <w:sz w:val="22"/>
          <w:szCs w:val="22"/>
          <w14:ligatures w14:val="none"/>
        </w:rPr>
        <w:t> population of two dengue-endemic cities of Costa Rica</w:t>
      </w:r>
    </w:p>
    <w:p w14:paraId="0C8259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Costa Rica, dengue is the most important vector-borne disease. Although source reduction is the main control method for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chemical control is often used during outbreaks or when vector abundance is high. Knockdown resistance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to pyrethroids is primarily associated with mutations in the voltage-gated sodium channel (VGSC) gene. Although pyrethroids have been used to control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in Costa Rica for two decades, information on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mutations is limited. The aim of this study was to detect </w:t>
      </w:r>
      <w:r w:rsidRPr="00FE5D1C">
        <w:rPr>
          <w:rFonts w:ascii="Calibri" w:eastAsia="Times New Roman" w:hAnsi="Calibri" w:cs="Calibri"/>
          <w:i/>
          <w:iCs/>
          <w:color w:val="000000"/>
          <w:kern w:val="0"/>
          <w:sz w:val="22"/>
          <w:szCs w:val="22"/>
          <w14:ligatures w14:val="none"/>
        </w:rPr>
        <w:t>kdr </w:t>
      </w:r>
      <w:r w:rsidRPr="00FE5D1C">
        <w:rPr>
          <w:rFonts w:ascii="Calibri" w:eastAsia="Times New Roman" w:hAnsi="Calibri" w:cs="Calibri"/>
          <w:color w:val="000000"/>
          <w:kern w:val="0"/>
          <w:sz w:val="22"/>
          <w:szCs w:val="22"/>
          <w14:ligatures w14:val="none"/>
        </w:rPr>
        <w:t>mutations V410L, V1016I, and F1534C in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of Barranca (BAR) and Jacó (JAC), two dengue-endemic cities of Costa Rica. Laboratory colonies were established, and regions IS6, IIS6, and IIIS6 of the VGSC gene were sequenced for 29 selected females (BAR=15; JAC=13) known to be resistant or susceptible to pyrethroids (permethrin, deltamethrin, cypermethrin) by CDC bottle bioassays. An additional 10 females were randomly selected from BAR and evaluated by allele-specific (V410L) and multiplex (V1016I and F1534C) PCRs. All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mutations were detected in BAR and JAC. For mutations V410L and V1016I, wild-type and mutant alleles were detected at both cities. For the F1534C mutation, only the mutant allele (genotype CC) was found in BAR, while wild-type and mutant alleles were present in JAC (genotypes FF, FC, CC). In BAR, six genotype combinations were detected (frequency): LL/II/CC (0.04); VL/II/CC (0.08); LL/VI/CC (0.12); VL/VI/CC (0.28); VL/VV/CC (0.04); VV/VV/CC (0.44). In JAC, five combinations were detected (frequency): LL/II/CC (0.38); VL/II/CC (0.23); VL/VI/CC (0.23); VL/VI/FC (0.08); VV/VV/FC (0.08). The presence of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genotypes in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from both sites agreed with the pyrethroid resistance results from bioassays. This is the first report of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mutation V410L in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of Costa Rica. The high frequency of mutant alleles in the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populations studied should alert the national vector control program to continue monitoring </w:t>
      </w:r>
      <w:r w:rsidRPr="00FE5D1C">
        <w:rPr>
          <w:rFonts w:ascii="Calibri" w:eastAsia="Times New Roman" w:hAnsi="Calibri" w:cs="Calibri"/>
          <w:i/>
          <w:iCs/>
          <w:color w:val="000000"/>
          <w:kern w:val="0"/>
          <w:sz w:val="22"/>
          <w:szCs w:val="22"/>
          <w14:ligatures w14:val="none"/>
        </w:rPr>
        <w:t>kdr </w:t>
      </w:r>
      <w:r w:rsidRPr="00FE5D1C">
        <w:rPr>
          <w:rFonts w:ascii="Calibri" w:eastAsia="Times New Roman" w:hAnsi="Calibri" w:cs="Calibri"/>
          <w:color w:val="000000"/>
          <w:kern w:val="0"/>
          <w:sz w:val="22"/>
          <w:szCs w:val="22"/>
          <w14:ligatures w14:val="none"/>
        </w:rPr>
        <w:t>mutations in these and other areas where pyrethroids are applied repeatedly, especially since this may boost the existing enzymatic resistance that has been reported in Costa Rica.</w:t>
      </w:r>
    </w:p>
    <w:p w14:paraId="7FB8BC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25-A-2401-ASTMH</w:t>
      </w:r>
    </w:p>
    <w:p w14:paraId="6D24D1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(Clinical)</w:t>
      </w:r>
    </w:p>
    <w:p w14:paraId="387947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Baseline assessment of ivermectin acceptability prior to the rollout of moxidectin mass drug administration for onchocerciasis control in Twifo Atti-Morkwa, Ghana</w:t>
      </w:r>
    </w:p>
    <w:p w14:paraId="1FC7FD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Onchocerciasis remains a public health challenge in parts of Ghana despite over two decades of mass drug administration (MDA) with ivermectin. Moxidectin, a newly approved regimen, demonstrates longer suppression of microfilariae compared to the standard treatment and holds promise for accelerating elimination efforts. This study, conducted in the Twifo Atti-Morkwa District, Ghana, evaluates the acceptability of ivermectin to establish a baseline for the rollout of moxidectin. Mixed methods research included cross-sectional surveys, in-depth interviews (IDI), and focus group discussions (FGD). Baseline data were collected in September 2024, six weeks after the ivermectin MDA. The cross-sectional survey included 399 individuals with a median age of 43 years (range: 14–100), with more women than men (women; n=236, 59%). There were 30 IDIs with community members and 4 FGDs: 3 groups with community drug distributors (CDD) and 1 group with health care workers. Acceptability of ivermectin was assessed using a 9-item metric, with a median participant score of 29 (range: 9-36). Factors positively associated with higher acceptability scores included previous MDA participation (adj coeff = 2.38; P=0.006), perception of importance of MDA for the community (adj coeff = 1.52; P=0.034), and willingness to take medication even when asymptomatic (adj coeff = 1.72; P=0.008). Overall, 9% of individuals self-reported never having heard of onchocerciasis, 10% self-reported never having taken the pills for onchocerciasis, and 49% stated they were concerned for side effects personally.  Proposed strategies to improve MDA participation in the 2025 moxidectin MDA rollout included role-play training for CDDs, targeted messaging campaigns, and addressing concerns regarding side effects. The findings from this study highlight the importance of community engagement and tailored interventions to enhance MDA acceptability and coverage. Study results informed the rollout of moxidectin in January 2025. Study outcomes will contribute to the broader goal of onchocerciasis elimination.</w:t>
      </w:r>
    </w:p>
    <w:p w14:paraId="566714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25-A-2402-ASTMH</w:t>
      </w:r>
    </w:p>
    <w:p w14:paraId="4B9879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Diagnosis and New Detection Tools (Including Leishmania and Trypanosomes)</w:t>
      </w:r>
    </w:p>
    <w:p w14:paraId="337C7F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Species-specific direct detection of Leishmania using a Cas12-based diagnostic assay</w:t>
      </w:r>
    </w:p>
    <w:p w14:paraId="4A2A90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Leishmaniasis is a neglected tropical disease caused by over 20 different protozoal species, with mucocutaneous, cutaneous, and visceral manifestations. Accurate species-level identification is essential for effective treatment and prognostication, as well as disease mapping. Traditional microscopy lacks sensitivity and species specificity, whereas PCR, the gold standard for diagnosis of many infectious diseases, typically requires laboratory processing that slows time to results and relies on long unique stretches of DNA (&gt;200 nucleotides) to obtain species-specific determination. Here we report our progress in developing a CRISPR Cas12-based assay for directly detecting Leishmania species by targeting high copy number kDNA. CRISPR-based diagnostics are an emerging alternative to PCR that offer the potential for point-of-care testing and require much shorter unique stretches of DNA (~20 nucleotides), giving more options for speciation. In our leishmaniasis assay, we use Cas12 to detect DNA in vitro with the help of a guide RNA and a reporter molecule that fluoresces upon cleavage by activated Cas12.</w:t>
      </w:r>
      <w:r w:rsidRPr="00FE5D1C">
        <w:rPr>
          <w:rFonts w:ascii="Calibri" w:eastAsia="Times New Roman" w:hAnsi="Calibri" w:cs="Calibri"/>
          <w:color w:val="000000"/>
          <w:kern w:val="0"/>
          <w:sz w:val="22"/>
          <w:szCs w:val="22"/>
          <w14:ligatures w14:val="none"/>
        </w:rPr>
        <w:br/>
        <w:t>Using a computational pipeline we adapted for Cas12 guide identification, we have identified a set of 32 kDNA guide candidates for L. (Viannia) and 25 candidates for L. amazonensis that would enable speciation. We are in the process of identifying guides for L. donovani and L. major. We tested five L. (Viannia) guides and successfully detected both synthetic DNA and extracted L. (Viannia) DNA. We next plan to test this system on extracted Leishmania DNA spiked into patient blood samples, with plans to integrate this assay into a portable diagnostic platform suitable for low-resource settings, such as the NTDscope we developed for filarial parasite detection. With a portable Cas12-based assay, we aim to accelerate leishmaniasis management and parasite control efforts by enabling rapid, accurate, and accessible species-level diagnosis.</w:t>
      </w:r>
    </w:p>
    <w:p w14:paraId="5DF04E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25-A-2403-ASTMH</w:t>
      </w:r>
    </w:p>
    <w:p w14:paraId="67001F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0AC16D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Private Sector Case Management in Nigeria: Findings from the 2024 ACTwatch Lite Survey</w:t>
      </w:r>
    </w:p>
    <w:p w14:paraId="39A266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 </w:t>
      </w:r>
      <w:r w:rsidRPr="00FE5D1C">
        <w:rPr>
          <w:rFonts w:ascii="Calibri" w:eastAsia="Times New Roman" w:hAnsi="Calibri" w:cs="Calibri"/>
          <w:color w:val="000000"/>
          <w:kern w:val="0"/>
          <w:sz w:val="22"/>
          <w:szCs w:val="22"/>
          <w14:ligatures w14:val="none"/>
        </w:rPr>
        <w:t>The private sector plays a critical role in malaria case management in Nigeria, with over half of care-seeking occurring outside the public system. However, routine surveillance and planning efforts have limited visibility into this domain. The 2024 ACTwatch Lite study addresses this gap, providing comprehensive evidence from Kano, Lagos, and Abia states to inform private sector case management strategies. </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A cross-sectional survey was conducted from July to September 2024 across 3,186 private sector outlets and 71 wholesalers. Using census-based cluster sampling, structured interviews and product audits were conducted to evaluate the availability, price, and market share of antimalarials and malaria rapid diagnostic tests (mRDTs), as well as provider behavior and business practices. </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In all three states, Patent and Proprietary Medicine Vendors (PPMVs) were the most common outlet type with antimalarials in stock (Abia: 94%, Kano: 84%, Lagos: 56%), followed by pharmacies (Abia: 2%, Kano: 9%, Lagos: 32%). On the day of the survey, ACT availability was high -- 99% in Abia, 85% in Kano, and 88% in Lagos. Market share of antimalarials varied by region; however, artemether lumefantrine held the largest market share in all states (Abia: 82%, Kano: 59%, Lagos: 76%). Injectable artemether represented 17% of the market in Kano, but 1% elsewhere. mRDTs were scarce in Abia (1%) and Lagos (4%), contrasting with Kano (29%). In Lagos and Abia, mRDTs were priced on par with or higher than ACTs, potentially discouraging use. Limited regulatory oversight and provider training were evident, especially among informal retailers, and case reporting to national systems remained minimal (2-6%). </w:t>
      </w:r>
      <w:r w:rsidRPr="00FE5D1C">
        <w:rPr>
          <w:rFonts w:ascii="Calibri" w:eastAsia="Times New Roman" w:hAnsi="Calibri" w:cs="Calibri"/>
          <w:b/>
          <w:bCs/>
          <w:color w:val="000000"/>
          <w:kern w:val="0"/>
          <w:sz w:val="22"/>
          <w:szCs w:val="22"/>
          <w14:ligatures w14:val="none"/>
        </w:rPr>
        <w:t>Conclusions: </w:t>
      </w:r>
      <w:r w:rsidRPr="00FE5D1C">
        <w:rPr>
          <w:rFonts w:ascii="Calibri" w:eastAsia="Times New Roman" w:hAnsi="Calibri" w:cs="Calibri"/>
          <w:color w:val="000000"/>
          <w:kern w:val="0"/>
          <w:sz w:val="22"/>
          <w:szCs w:val="22"/>
          <w14:ligatures w14:val="none"/>
        </w:rPr>
        <w:t>The study highlights both progress and gaps in malaria case management in Nigeria’s private sector. Findings highlight the need to strengthen private sector reporting, expand access to affordable diagnostics, and strengthen demand for testing through targeted social and behavior change efforts.</w:t>
      </w:r>
    </w:p>
    <w:p w14:paraId="2630E0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25-A-2404-ASTMH</w:t>
      </w:r>
    </w:p>
    <w:p w14:paraId="3C33A6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2491A6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Tissue-Specific Enhancement of siRNA Immunity Blocks Arbovirus Transmission by </w:t>
      </w:r>
      <w:r w:rsidRPr="00FE5D1C">
        <w:rPr>
          <w:rFonts w:ascii="Calibri" w:eastAsia="Times New Roman" w:hAnsi="Calibri" w:cs="Calibri"/>
          <w:i/>
          <w:iCs/>
          <w:color w:val="000000"/>
          <w:kern w:val="0"/>
          <w:sz w:val="22"/>
          <w:szCs w:val="22"/>
          <w14:ligatures w14:val="none"/>
        </w:rPr>
        <w:t>Aedes aegypti</w:t>
      </w:r>
    </w:p>
    <w:p w14:paraId="029F6D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is a primary vector of dengue (DENV), Zika (ZIKV), and chikungunya (CHIKV) viruses, which pose major global health and economic burdens. Traditional control strategies are increasingly ineffective due to insecticide resistance, urbanization and transport, and the limited availability of vaccines. Genetic approaches, such as enhancing mosquito antiviral immunity, offer promising alternatives. The small interfering RNA (siRNA) pathway is the primary antiviral defense in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where Dicer 2 (Dcr2) processes viral double-stranded RNA into siRNAs that guide Argonaute 2 (Ago2) in the RNA-induced silencing complex (RISC) to degrade viral RNA. However, the tissue-specific efficacy of this pathway remains unclear. Here, we investigate antiviral immunity across mosquito tissues, revealing that salivary glands and midguts exhibit weaker siRNA-mediated defenses and higher susceptibility to arboviral infections than carcasses. Overexpression of </w:t>
      </w:r>
      <w:r w:rsidRPr="00FE5D1C">
        <w:rPr>
          <w:rFonts w:ascii="Calibri" w:eastAsia="Times New Roman" w:hAnsi="Calibri" w:cs="Calibri"/>
          <w:i/>
          <w:iCs/>
          <w:color w:val="000000"/>
          <w:kern w:val="0"/>
          <w:sz w:val="22"/>
          <w:szCs w:val="22"/>
          <w14:ligatures w14:val="none"/>
        </w:rPr>
        <w:t>Dcr2</w:t>
      </w:r>
      <w:r w:rsidRPr="00FE5D1C">
        <w:rPr>
          <w:rFonts w:ascii="Calibri" w:eastAsia="Times New Roman" w:hAnsi="Calibri" w:cs="Calibri"/>
          <w:color w:val="000000"/>
          <w:kern w:val="0"/>
          <w:sz w:val="22"/>
          <w:szCs w:val="22"/>
          <w14:ligatures w14:val="none"/>
        </w:rPr>
        <w:t> in salivary glands or midguts significantly reduced arbovirus replication, whereas </w:t>
      </w:r>
      <w:r w:rsidRPr="00FE5D1C">
        <w:rPr>
          <w:rFonts w:ascii="Calibri" w:eastAsia="Times New Roman" w:hAnsi="Calibri" w:cs="Calibri"/>
          <w:i/>
          <w:iCs/>
          <w:color w:val="000000"/>
          <w:kern w:val="0"/>
          <w:sz w:val="22"/>
          <w:szCs w:val="22"/>
          <w14:ligatures w14:val="none"/>
        </w:rPr>
        <w:t>Dcr2</w:t>
      </w:r>
      <w:r w:rsidRPr="00FE5D1C">
        <w:rPr>
          <w:rFonts w:ascii="Calibri" w:eastAsia="Times New Roman" w:hAnsi="Calibri" w:cs="Calibri"/>
          <w:color w:val="000000"/>
          <w:kern w:val="0"/>
          <w:sz w:val="22"/>
          <w:szCs w:val="22"/>
          <w14:ligatures w14:val="none"/>
        </w:rPr>
        <w:t> overexpression in fat bodies only modestly suppressed DENV2 and had no significant effect on Mayaro virus (MAYV). Notably, simultaneous </w:t>
      </w:r>
      <w:r w:rsidRPr="00FE5D1C">
        <w:rPr>
          <w:rFonts w:ascii="Calibri" w:eastAsia="Times New Roman" w:hAnsi="Calibri" w:cs="Calibri"/>
          <w:i/>
          <w:iCs/>
          <w:color w:val="000000"/>
          <w:kern w:val="0"/>
          <w:sz w:val="22"/>
          <w:szCs w:val="22"/>
          <w14:ligatures w14:val="none"/>
        </w:rPr>
        <w:t>Dcr2</w:t>
      </w:r>
      <w:r w:rsidRPr="00FE5D1C">
        <w:rPr>
          <w:rFonts w:ascii="Calibri" w:eastAsia="Times New Roman" w:hAnsi="Calibri" w:cs="Calibri"/>
          <w:color w:val="000000"/>
          <w:kern w:val="0"/>
          <w:sz w:val="22"/>
          <w:szCs w:val="22"/>
          <w14:ligatures w14:val="none"/>
        </w:rPr>
        <w:t> overexpression in midguts and salivary glands or co-overexpression of </w:t>
      </w:r>
      <w:r w:rsidRPr="00FE5D1C">
        <w:rPr>
          <w:rFonts w:ascii="Calibri" w:eastAsia="Times New Roman" w:hAnsi="Calibri" w:cs="Calibri"/>
          <w:i/>
          <w:iCs/>
          <w:color w:val="000000"/>
          <w:kern w:val="0"/>
          <w:sz w:val="22"/>
          <w:szCs w:val="22"/>
          <w14:ligatures w14:val="none"/>
        </w:rPr>
        <w:t>Dcr2</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Ago2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R2D2</w:t>
      </w:r>
      <w:r w:rsidRPr="00FE5D1C">
        <w:rPr>
          <w:rFonts w:ascii="Calibri" w:eastAsia="Times New Roman" w:hAnsi="Calibri" w:cs="Calibri"/>
          <w:color w:val="000000"/>
          <w:kern w:val="0"/>
          <w:sz w:val="22"/>
          <w:szCs w:val="22"/>
          <w14:ligatures w14:val="none"/>
        </w:rPr>
        <w:t> in midguts significantly enhanced antiviral activity, effectively blocking the transmission of multiple arboviruses. These findings highlight the tissue-specific dynamics of mosquito antiviral immunity and suggest that enhancing salivary glands and midguts-specific antiviral immunity could provide a novel strategy for disrupting arbovirus transmission, offering a potential avenue for genetic control of mosquito-borne diseases.</w:t>
      </w:r>
    </w:p>
    <w:p w14:paraId="39255C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25-A-2406-ASTMH</w:t>
      </w:r>
    </w:p>
    <w:p w14:paraId="694C7A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361634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Navigating Family Decision-Making in the Context of Post-Mortem Sample Collection for Child Mortality Surveillance in Karachi, Pakistan</w:t>
      </w:r>
    </w:p>
    <w:p w14:paraId="0CF4FC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Collecting post-mortem samples from deceased children is a key component of pediatric mortality surveillance. However, approaching parents for consent can be complicated by decision-making dynamics, especially in families where multiple members play deciding roles. In Pakistan, the CHAMPS project seeks to understand causes of child mortality by collecting minimally invasive tissue samples (MITS) from deceased children. When parents are approached for consent, they are often in the middle of funeral and burial preparations and surrounded by family members, complicating decision-making. There is limited data on the nuances of how families decide whether to consent; understanding which family members drive the decision to consent is strategically relevant to the approach process. Using thematic analysis, we analyzed data from 394 approaches to assess which family members drove the consent decision. We found that fathers were most likely to refuse study participation (28%), followed by uncles (8%), grandmothers (8%), and grandfathers (8%). In many cases, the decision to refuse was made by multiple family members (27%), most frequently a combination of male family members (n=24). Similarly, most decisions to consent to sample collection were made by fathers (25%), uncles (14%), and grandfathers (13%). Common reasons for refusal across all family members were concern that sample collection causes pain to the deceased child and that the time for collection would delay burial. Understanding the context-specific nuances of decision making for CHAMPS mortality surveillance allows us to adapt our consent process to better address the concerns of family members driving the decision.</w:t>
      </w:r>
    </w:p>
    <w:p w14:paraId="2D8DA4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25-A-2407-ASTMH</w:t>
      </w:r>
    </w:p>
    <w:p w14:paraId="2DFA27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70CFC6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Integrating Multi-Omics Approaches to Uncover Markers of Malaria Disease Severity: The O Blood Group Variant rs8176719 as a Key Genetic Driver</w:t>
      </w:r>
    </w:p>
    <w:p w14:paraId="6E0782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Monocytes play a key role in the immune response to malaria by facilitating parasite clearance through phagocytosis, antigen presentation, and cytokine production. However,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can induce changes associated with immune cell tolerance, with subsequent impact on disease severity. In this study, we integrated three datasets to identify dysregulated genes in monocytes and pinpoint potential causal drivers of severe malaria pathogenesis. We first identified monocyte-specific differentially expressed (DE) genes using publicly available single-cell RNA sequencing data from peripheral blood mononuclear cells (PBMCs) of six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-infected patients at inclusion and 28 days post-treatment, analyzed with the Seurat package in R. Transcriptional changes were compared with protein-level data from 5k SomaScan assays of 135 clinical samples. We then performed colocalization analysis between MalariaGEN GWAS summary statistics and monocyte eQTLs from the BLUEPRINT study, narrowed to genes from our DE list. The Coloc R package was used, with colocalization defined by a posterior probability (PP) &gt; 0.7. Our findings indicate that malaria enhances the proliferation of immunosuppressive monocytes, evidenced by the downregulation of proinflammatory cytokines (IL1-β, CCL3L1, IL1, TNF, CCL3, CCL4) and upregulation of phagocytosis markers (S100A8, S100A9, FCGR1A/B, TLR) with a log2FC &gt;2 and </w:t>
      </w:r>
      <w:r w:rsidRPr="00FE5D1C">
        <w:rPr>
          <w:rFonts w:ascii="Calibri" w:eastAsia="Times New Roman" w:hAnsi="Calibri" w:cs="Calibri"/>
          <w:i/>
          <w:iCs/>
          <w:color w:val="000000"/>
          <w:kern w:val="0"/>
          <w:sz w:val="22"/>
          <w:szCs w:val="22"/>
          <w14:ligatures w14:val="none"/>
        </w:rPr>
        <w:t>p-value</w:t>
      </w:r>
      <w:r w:rsidRPr="00FE5D1C">
        <w:rPr>
          <w:rFonts w:ascii="Calibri" w:eastAsia="Times New Roman" w:hAnsi="Calibri" w:cs="Calibri"/>
          <w:color w:val="000000"/>
          <w:kern w:val="0"/>
          <w:sz w:val="22"/>
          <w:szCs w:val="22"/>
          <w14:ligatures w14:val="none"/>
        </w:rPr>
        <w:t> &lt;10</w:t>
      </w:r>
      <w:r w:rsidRPr="00FE5D1C">
        <w:rPr>
          <w:rFonts w:ascii="Calibri" w:eastAsia="Times New Roman" w:hAnsi="Calibri" w:cs="Calibri"/>
          <w:color w:val="000000"/>
          <w:kern w:val="0"/>
          <w:sz w:val="22"/>
          <w:szCs w:val="22"/>
          <w:vertAlign w:val="superscript"/>
          <w14:ligatures w14:val="none"/>
        </w:rPr>
        <w:t>-5</w:t>
      </w:r>
      <w:r w:rsidRPr="00FE5D1C">
        <w:rPr>
          <w:rFonts w:ascii="Calibri" w:eastAsia="Times New Roman" w:hAnsi="Calibri" w:cs="Calibri"/>
          <w:color w:val="000000"/>
          <w:kern w:val="0"/>
          <w:sz w:val="22"/>
          <w:szCs w:val="22"/>
          <w14:ligatures w14:val="none"/>
        </w:rPr>
        <w:t> for each marker. Enrichment analysis showed that cellular response to interleukin-1, chemokine and cytokine activities were suppressed, while complement component C1 complex was activated. Only 6% of DE genes were confirmed at the protein level, but genes involved in cytokine production remained downregulated. Among the 43 colocalized SNPs affecting gene expression and malaria severity, the O blood group variant rs8176719 (PP = 1, </w:t>
      </w:r>
      <w:r w:rsidRPr="00FE5D1C">
        <w:rPr>
          <w:rFonts w:ascii="Calibri" w:eastAsia="Times New Roman" w:hAnsi="Calibri" w:cs="Calibri"/>
          <w:i/>
          <w:iCs/>
          <w:color w:val="000000"/>
          <w:kern w:val="0"/>
          <w:sz w:val="22"/>
          <w:szCs w:val="22"/>
          <w14:ligatures w14:val="none"/>
        </w:rPr>
        <w:t>p-value</w:t>
      </w:r>
      <w:r w:rsidRPr="00FE5D1C">
        <w:rPr>
          <w:rFonts w:ascii="Calibri" w:eastAsia="Times New Roman" w:hAnsi="Calibri" w:cs="Calibri"/>
          <w:color w:val="000000"/>
          <w:kern w:val="0"/>
          <w:sz w:val="22"/>
          <w:szCs w:val="22"/>
          <w14:ligatures w14:val="none"/>
        </w:rPr>
        <w:t> = 1.62e-19) emerged as a promising genetic marker for further investigation. This study demonstrates the potential of a multi-omics approach to identify key genetic markers and therapeutic targets for malaria and potentially other infectious diseases.</w:t>
      </w:r>
    </w:p>
    <w:p w14:paraId="312AD8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25-A-2408-ASTMH</w:t>
      </w:r>
    </w:p>
    <w:p w14:paraId="53B96B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0B4D94F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Dynamics Of Igm And Igg Antibody Responses Against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Antigens In Naturally Infected Neotropical Primates In Brazil</w:t>
      </w:r>
    </w:p>
    <w:p w14:paraId="3A5892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Zoonotic transmission of malaria challenges disease control and elimination. In the Brazilian Atlantic Forest, </w:t>
      </w:r>
      <w:r w:rsidRPr="00FE5D1C">
        <w:rPr>
          <w:rFonts w:ascii="Calibri" w:eastAsia="Times New Roman" w:hAnsi="Calibri" w:cs="Calibri"/>
          <w:i/>
          <w:iCs/>
          <w:color w:val="000000"/>
          <w:kern w:val="0"/>
          <w:sz w:val="22"/>
          <w:szCs w:val="22"/>
          <w14:ligatures w14:val="none"/>
        </w:rPr>
        <w:t>Plasmodium simium</w:t>
      </w:r>
      <w:r w:rsidRPr="00FE5D1C">
        <w:rPr>
          <w:rFonts w:ascii="Calibri" w:eastAsia="Times New Roman" w:hAnsi="Calibri" w:cs="Calibri"/>
          <w:color w:val="000000"/>
          <w:kern w:val="0"/>
          <w:sz w:val="22"/>
          <w:szCs w:val="22"/>
          <w14:ligatures w14:val="none"/>
        </w:rPr>
        <w:t> infects neotropical primates (NP) and, eventually, also human which enters in the forest. The similarity between</w:t>
      </w:r>
      <w:r w:rsidRPr="00FE5D1C">
        <w:rPr>
          <w:rFonts w:ascii="Calibri" w:eastAsia="Times New Roman" w:hAnsi="Calibri" w:cs="Calibri"/>
          <w:i/>
          <w:iCs/>
          <w:color w:val="000000"/>
          <w:kern w:val="0"/>
          <w:sz w:val="22"/>
          <w:szCs w:val="22"/>
          <w14:ligatures w14:val="none"/>
        </w:rPr>
        <w:t> P. simium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provides an opportunity to study the immune response in naturally infected NP as a model for human malaria. This study evaluated the dynamics of IgM and IgG antibodies against circumsporozoite protein (CSP) peptides and blood-stage proteins (AMA-1, EBP-2 and DBPII) from different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in NP at two time points. For this, samples from 28 NP collected in 2015 and 2017 from free-living individuals in Joinville/SC (n=6), in 2011 and 2019 from captive individuals from the Rio de Janeiro Primate Center (CPRJ) in Guapimirim/RJ (n=9) and from captive individuals at the Indaial Biological Research Center (CEPESBI) in Indaial/SC (n=13) were analyzed by ELISA. In Indaial, the small number of responding animals at baseline showed an increase in IgM reactivity against CSP and a decrease against blood-stage proteins, over an 8-year interval. In addition, IgG reactivity against CSP and against blood-stage proteins also decreased. In the same interval, in Guapimirim/RJ, there was an increase in IgM reactivity against CSP and against blood-stage proteins. IgG reactivity against CSP also increased, but little IgG reactivity against blood-stage proteins was observed. In Joinville/SC, the vast majority of animals tested showed strong reactivity of both IgM and IgG against all proteins, with little variation between time periods (shorter interval). The data presented here suggest a large variation in malaria epidemiological conditions in each region, with emphasis on Joinville, which showed greater reactivity as a reflection of the high rates of animals positive for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spp infection. These results confirm the intense circulation of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species among NP, reinforcing the need for epidemiological surveillance in the Atlantic Forest regions.</w:t>
      </w:r>
    </w:p>
    <w:p w14:paraId="72EB0A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25-A-2410-ASTMH</w:t>
      </w:r>
    </w:p>
    <w:p w14:paraId="3DF8FD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Global Health - Security/Emerging Infection Preparedness, Surveillance and Response(s)</w:t>
      </w:r>
    </w:p>
    <w:p w14:paraId="140FE9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Etiology of infectious diarrhea in Madagascar: findings from the community-based surveillance system from 2019 to 2024</w:t>
      </w:r>
    </w:p>
    <w:p w14:paraId="418786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u w:val="single"/>
          <w14:ligatures w14:val="none"/>
        </w:rPr>
        <w:t>Background:</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Diarrhea remains the highest cause of morbidity and mortality among children under five-year-old in Asia and Africa. Systematic collection and analysis of data on the etiologies of diarrhea are needed to prioritize interventions. Our work describes the first laboratory-based diarrhea surveillance conducted in children under five years, contributing to enrich data on diarrheal etiology in community settings in Madagascar. </w:t>
      </w:r>
      <w:r w:rsidRPr="00FE5D1C">
        <w:rPr>
          <w:rFonts w:ascii="Calibri" w:eastAsia="Times New Roman" w:hAnsi="Calibri" w:cs="Calibri"/>
          <w:b/>
          <w:bCs/>
          <w:color w:val="000000"/>
          <w:kern w:val="0"/>
          <w:sz w:val="22"/>
          <w:szCs w:val="22"/>
          <w:u w:val="single"/>
          <w14:ligatures w14:val="none"/>
        </w:rPr>
        <w:t>Methods: </w:t>
      </w:r>
      <w:r w:rsidRPr="00FE5D1C">
        <w:rPr>
          <w:rFonts w:ascii="Calibri" w:eastAsia="Times New Roman" w:hAnsi="Calibri" w:cs="Calibri"/>
          <w:color w:val="000000"/>
          <w:kern w:val="0"/>
          <w:sz w:val="22"/>
          <w:szCs w:val="22"/>
          <w14:ligatures w14:val="none"/>
        </w:rPr>
        <w:t>A pediatric diarrhea surveillance network has been carried out gradually from 2019 to 2024 on 31 sentinel surveillance sites. Five children under five-year-old with diarrhea or presenting ≥3 loose stools in a 24-h period were enrolled weekly. Stool specimens were collected and analyzed by quantitative PCR for a panel of etiological agents consisting of 4 viruses, 4 bacteria and 3 protozoa. Their prevalence and the seasonal patterns of diarrhea were determined. </w:t>
      </w:r>
      <w:r w:rsidRPr="00FE5D1C">
        <w:rPr>
          <w:rFonts w:ascii="Calibri" w:eastAsia="Times New Roman" w:hAnsi="Calibri" w:cs="Calibri"/>
          <w:b/>
          <w:bCs/>
          <w:color w:val="000000"/>
          <w:kern w:val="0"/>
          <w:sz w:val="22"/>
          <w:szCs w:val="22"/>
          <w:u w:val="single"/>
          <w14:ligatures w14:val="none"/>
        </w:rPr>
        <w:t>Results: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From 2019 to 2024, the system captured 3548 diarrhea cases. The median age of children was 1,3-years old and 80.5% of the stools were tested positive for at least one pathogen. Among positives, 53.7% were infected with viruses, 66.1% with bacteria, 11.6% with parasites and 47.5% had co-infections. Enteropathogenic </w:t>
      </w:r>
      <w:r w:rsidRPr="00FE5D1C">
        <w:rPr>
          <w:rFonts w:ascii="Calibri" w:eastAsia="Times New Roman" w:hAnsi="Calibri" w:cs="Calibri"/>
          <w:i/>
          <w:iCs/>
          <w:color w:val="000000"/>
          <w:kern w:val="0"/>
          <w:sz w:val="22"/>
          <w:szCs w:val="22"/>
          <w14:ligatures w14:val="none"/>
        </w:rPr>
        <w:t>Escherichia coli </w:t>
      </w:r>
      <w:r w:rsidRPr="00FE5D1C">
        <w:rPr>
          <w:rFonts w:ascii="Calibri" w:eastAsia="Times New Roman" w:hAnsi="Calibri" w:cs="Calibri"/>
          <w:color w:val="000000"/>
          <w:kern w:val="0"/>
          <w:sz w:val="22"/>
          <w:szCs w:val="22"/>
          <w14:ligatures w14:val="none"/>
        </w:rPr>
        <w:t>(ETEC, EPEC, EAEC) were the prevalent bacteria detected in 41.8% of the stools followed by </w:t>
      </w:r>
      <w:r w:rsidRPr="00FE5D1C">
        <w:rPr>
          <w:rFonts w:ascii="Calibri" w:eastAsia="Times New Roman" w:hAnsi="Calibri" w:cs="Calibri"/>
          <w:i/>
          <w:iCs/>
          <w:color w:val="000000"/>
          <w:kern w:val="0"/>
          <w:sz w:val="22"/>
          <w:szCs w:val="22"/>
          <w14:ligatures w14:val="none"/>
        </w:rPr>
        <w:t>Shigella </w:t>
      </w:r>
      <w:r w:rsidRPr="00FE5D1C">
        <w:rPr>
          <w:rFonts w:ascii="Calibri" w:eastAsia="Times New Roman" w:hAnsi="Calibri" w:cs="Calibri"/>
          <w:color w:val="000000"/>
          <w:kern w:val="0"/>
          <w:sz w:val="22"/>
          <w:szCs w:val="22"/>
          <w14:ligatures w14:val="none"/>
        </w:rPr>
        <w:t>spp. in 16.8%, </w:t>
      </w:r>
      <w:r w:rsidRPr="00FE5D1C">
        <w:rPr>
          <w:rFonts w:ascii="Calibri" w:eastAsia="Times New Roman" w:hAnsi="Calibri" w:cs="Calibri"/>
          <w:i/>
          <w:iCs/>
          <w:color w:val="000000"/>
          <w:kern w:val="0"/>
          <w:sz w:val="22"/>
          <w:szCs w:val="22"/>
          <w14:ligatures w14:val="none"/>
        </w:rPr>
        <w:t>Campylobacter </w:t>
      </w:r>
      <w:r w:rsidRPr="00FE5D1C">
        <w:rPr>
          <w:rFonts w:ascii="Calibri" w:eastAsia="Times New Roman" w:hAnsi="Calibri" w:cs="Calibri"/>
          <w:color w:val="000000"/>
          <w:kern w:val="0"/>
          <w:sz w:val="22"/>
          <w:szCs w:val="22"/>
          <w14:ligatures w14:val="none"/>
        </w:rPr>
        <w:t>spp. in 11%. Moreover, Rotavirus was the prevalent virus detected in 24.2% of the stools, adenovirus in 7.4%, astrovirus in 6.4% and norovirus GII in 4.8%. Among parasites, </w:t>
      </w:r>
      <w:r w:rsidRPr="00FE5D1C">
        <w:rPr>
          <w:rFonts w:ascii="Calibri" w:eastAsia="Times New Roman" w:hAnsi="Calibri" w:cs="Calibri"/>
          <w:i/>
          <w:iCs/>
          <w:color w:val="000000"/>
          <w:kern w:val="0"/>
          <w:sz w:val="22"/>
          <w:szCs w:val="22"/>
          <w14:ligatures w14:val="none"/>
        </w:rPr>
        <w:t>Giardia intestinalis </w:t>
      </w:r>
      <w:r w:rsidRPr="00FE5D1C">
        <w:rPr>
          <w:rFonts w:ascii="Calibri" w:eastAsia="Times New Roman" w:hAnsi="Calibri" w:cs="Calibri"/>
          <w:color w:val="000000"/>
          <w:kern w:val="0"/>
          <w:sz w:val="22"/>
          <w:szCs w:val="22"/>
          <w14:ligatures w14:val="none"/>
        </w:rPr>
        <w:t>was prevalent in 6.8% of the stools whereas </w:t>
      </w:r>
      <w:r w:rsidRPr="00FE5D1C">
        <w:rPr>
          <w:rFonts w:ascii="Calibri" w:eastAsia="Times New Roman" w:hAnsi="Calibri" w:cs="Calibri"/>
          <w:i/>
          <w:iCs/>
          <w:color w:val="000000"/>
          <w:kern w:val="0"/>
          <w:sz w:val="22"/>
          <w:szCs w:val="22"/>
          <w14:ligatures w14:val="none"/>
        </w:rPr>
        <w:t>Cryptosporidium parvum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Entamoeba histolytica </w:t>
      </w:r>
      <w:r w:rsidRPr="00FE5D1C">
        <w:rPr>
          <w:rFonts w:ascii="Calibri" w:eastAsia="Times New Roman" w:hAnsi="Calibri" w:cs="Calibri"/>
          <w:color w:val="000000"/>
          <w:kern w:val="0"/>
          <w:sz w:val="22"/>
          <w:szCs w:val="22"/>
          <w14:ligatures w14:val="none"/>
        </w:rPr>
        <w:t>were infrequent. We observed a seasonal pattern of diarrheal diseases occurring during the hot-rainy season and the dry-cold season. </w:t>
      </w:r>
      <w:r w:rsidRPr="00FE5D1C">
        <w:rPr>
          <w:rFonts w:ascii="Calibri" w:eastAsia="Times New Roman" w:hAnsi="Calibri" w:cs="Calibri"/>
          <w:b/>
          <w:bCs/>
          <w:color w:val="000000"/>
          <w:kern w:val="0"/>
          <w:sz w:val="22"/>
          <w:szCs w:val="22"/>
          <w:u w:val="single"/>
          <w14:ligatures w14:val="none"/>
        </w:rPr>
        <w:t>Conclusions: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This work has, for the first time, described the etiologies causing diarrhea in children under five-year-old in Madagascar and a sketch of the seasonal circulation of these enteropathogens was also described. These data highlight the importance of strengthening laboratory capacity for rapid detection and for implementation of control and prevention.</w:t>
      </w:r>
    </w:p>
    <w:p w14:paraId="074954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25-A-2411-ASTMH</w:t>
      </w:r>
    </w:p>
    <w:p w14:paraId="23351F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48152D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Socio-ecological determinants of human Leishmaniasis in Brazil, Columbia, and Peru: poverty, dogs, and land use</w:t>
      </w:r>
    </w:p>
    <w:p w14:paraId="6F82E9C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Domestic dogs are well-established reservoirs of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infantum</w:t>
      </w:r>
      <w:r w:rsidRPr="00FE5D1C">
        <w:rPr>
          <w:rFonts w:ascii="Calibri" w:eastAsia="Times New Roman" w:hAnsi="Calibri" w:cs="Calibri"/>
          <w:color w:val="000000"/>
          <w:kern w:val="0"/>
          <w:sz w:val="22"/>
          <w:szCs w:val="22"/>
          <w14:ligatures w14:val="none"/>
        </w:rPr>
        <w:t>, the primary causative agent of Visceral Leishmaniasis (VL). However, their role as reservoirs for Cutaneous Leishmaniasis (CL) remains debated. Existing studies are often limited in scope, geographically constrained, and frequently unable to differentiate between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species in dogs, which hinders our understanding of their involvement in CL transmission. Large-scale analyses are further hampered by the absence of systematic efforts to census dog populations, particularly in South America.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braziliensis</w:t>
      </w:r>
      <w:r w:rsidRPr="00FE5D1C">
        <w:rPr>
          <w:rFonts w:ascii="Calibri" w:eastAsia="Times New Roman" w:hAnsi="Calibri" w:cs="Calibri"/>
          <w:color w:val="000000"/>
          <w:kern w:val="0"/>
          <w:sz w:val="22"/>
          <w:szCs w:val="22"/>
          <w14:ligatures w14:val="none"/>
        </w:rPr>
        <w:t>, the main causative agent of CL, is increasingly prevalent in urban environments—where dog populations tend to be highest. Understanding the relationships between land use change, socioeconomic factors, and dog ownership is therefore essential. We conducted a systematic review of both peer-reviewed and grey literature to compile data on human-to-dog ratios in municipalities across Brazil, Colombia, and Peru. Using census data related to population demographics, poverty, and infrastructure, along with geospatial data on urban land use and township connectivity, we trained machine learning models to predict human-to-dog ratios across these three countries. We then analyzed the effects of land use change—particularly deforestation, agricultural expansion, and urbanization—along with social determinants of health and our predicted human-to-dog ratios, on the incidence of human leishmaniasis across all 8,532 municipalities in our sample. In this presentation, we report our initial findings and outline future directions for this research.</w:t>
      </w:r>
    </w:p>
    <w:p w14:paraId="0C501F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25-A-2412-ASTMH</w:t>
      </w:r>
    </w:p>
    <w:p w14:paraId="78C933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59C7B9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Strategies to Improve Uptake of Four-Dose Malaria Vaccine</w:t>
      </w:r>
    </w:p>
    <w:p w14:paraId="5E2E58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Adding a four-dose vaccine to an already crowded routine immunization schedule presents challenges. This talk will share lessons from the 2019-2023 Malaria Vaccine Implementation Programme (MVIP) in Ghana, Kenya, and Malawi and highlight the experience of other countries that have since introduced the vaccines. Dr. Amponsa-Achiano will highlight Ghana’s experience in expanding use of four doses of malaria vaccine, discuss the country’s use of both licensed vaccines, and draw lessons from the country’s decision to align dose four with other vaccines given in the second year of a child's life that already had high uptake. The presentation will address barriers to uptake and discuss guidance, tools, and materials to tackle the complexity of the schedule and to track doses for individual children. With roughly 20 countries now providing malaria vaccines as part of their routine childhood immunization systems, the Ghana EPI Programme Manager will pull from the guidance, tools, and experience that now support malaria vaccine expansion in countries in sub-Saharan Africa.</w:t>
      </w:r>
    </w:p>
    <w:p w14:paraId="331012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25-A-2413-ASTMH</w:t>
      </w:r>
    </w:p>
    <w:p w14:paraId="0A9E99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017600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pilot study to determine the impact of direct oral anticoagulant treatment on the physiology of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mosquitoes</w:t>
      </w:r>
    </w:p>
    <w:p w14:paraId="26F3A5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Blood feeding is necessary for reproduction of anautogenous mosquitoes and provides an opportunity for pathogens to sustain transmission among hosts. Previously, host factors have been shown to alter the molecular and cellular environment of the mosquito, influencing their susceptibility to infection, host-seeking behaviors, and vectorial capacity. A recent study suggests that reingested mosquito salivary anticoagulants, namely apyrases, influence parasite transmission in anopheline vectors. However, the role of exogenous pharmacologically active substances in the development and infection of hematophagous arthropods remains unexplored. To evaluate the impact of bloodmeals containing active pharmaceuticals on mosquito physiology, we examined gene expression using whole mosquito abdomens by RNA-seq analysis among two groups of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mosquitoes at two time points (24 and 72 hours post blood feeding). Our experimental group included mosquitoes that were directly fed from a human receiving direct oral anticoagulant therapy for the management of coagulopathy. Control mosquitoes fed directly from a human who was not being prescribed any current medication. Our preliminary data revealed 69 differentially expressed genes (33 upregulated and 36 downregulated) between the treatment groups at 24 hours post blood feeding, while only three genes (two upregulated and one downregulated) were differentially expressed 72 hours after feeding. Although KEGG analysis did not find any differentially regulated biologic pathways, four of the downregulated genes in the treatment group at 24 hours post-feeding were associated with vitellogenin synthesis. In addition, 17 of the differentially expressed genes among comparisons at both time points have not been characterized. Eleven of the uncharacterized genes corresponded to long non-coding RNAs (lncRNAs) while the remaining six were identified as protein-coding segments. This emphasizes the modulatory effects of exogenous anticoagulation on mosquito physiology; thus, future experiments will focus on assessing their impact on host-seeking behavior and vectorial capacity.</w:t>
      </w:r>
    </w:p>
    <w:p w14:paraId="6C2FAF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25-A-2414-ASTMH</w:t>
      </w:r>
    </w:p>
    <w:p w14:paraId="7C7696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6C89FF6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Active surveillance of emerging zoonotic arboviruses in a rural area of southeast Brazil: integrating surveillance, health education, and citizen science.</w:t>
      </w:r>
    </w:p>
    <w:p w14:paraId="051820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Given Brazil's continental dimensions, arbovirus surveillance is challenging, especially for zoonotic arboviruses with cryptic circulation. Arboviruses represent a growing threat to animal and human health in Latin America, particularly in regions with intense human-animal-environment interfaces. In rural areas with socioeconomic vulnerability, arbovirus investigation is essential due to scarce epidemiological data, emergence potential driven by genetic plasticity, and the effects of climate change. This </w:t>
      </w:r>
      <w:r w:rsidRPr="00FE5D1C">
        <w:rPr>
          <w:rFonts w:ascii="Calibri" w:eastAsia="Times New Roman" w:hAnsi="Calibri" w:cs="Calibri"/>
          <w:color w:val="000000"/>
          <w:kern w:val="0"/>
          <w:sz w:val="22"/>
          <w:szCs w:val="22"/>
          <w14:ligatures w14:val="none"/>
        </w:rPr>
        <w:lastRenderedPageBreak/>
        <w:t>multidisciplinary study aimed to establish an active surveillance of zoonotic arboviruses by investigating equids, domestic birds, and vectors in a rural area of Viçosa, state of Minas Gerais, southeast Brazil. Additionally, we promoted awareness among rural producers about mosquito-borne viruses, provided free vaccination against equine encephalitis, and encouraged citizen science promoting the app Wildlife Health Information System (SISS-Geo) designed for early disease detection in animals. Since September 2023, samples from 148 equids, 89 domestic birds, and over 400 mosquitoes were collected from 27 properties. Sera were tested by plaque reduction neutralization test for Madariaga (MADV), West Nile, Ilheus, Western Equine Encephalitis and/or Saint Louis Encephalitis (SLEV) viruses. All these arboviruses circulate in bird-mosquito cycles and cause neurological disease in humans in Brazil. Mosquitoes are still being collected and will be tested soon. Preliminary results indicates natural exposure of equids and birds to both MADV and SLEV. Educational activities reached at least 50 people, raising awareness and promoting engagement of citizen science with SISS-Geo. Most residents were unaware of these viruses. Primary immunization for MADV was well accepted and consented for 50 equids. The detection of arbovirus exposure in domestic animals associated to the lack of knowledge of the rural community regarding the impact of arboviruses for animal and public health reinforces the importance of active surveillance and One Health strategies integrating veterinary, environmental, and public health actions.</w:t>
      </w:r>
    </w:p>
    <w:p w14:paraId="09B156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25-A-2415-ASTMH</w:t>
      </w:r>
    </w:p>
    <w:p w14:paraId="736105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HIV and Tropical Co-Infections</w:t>
      </w:r>
    </w:p>
    <w:p w14:paraId="6C28C1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Assessment of HIV Pre-Exposure Prophylaxis (PrEP) Service Delivery, Data Quality and Retention in Kisumu Central Sub-County, Kenya, August 2023</w:t>
      </w:r>
    </w:p>
    <w:p w14:paraId="7285A3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Pre-exposure prophylaxis (PrEP) is a key complement to HIV prevention strategies. However, its success depends not only on medication access but also on data quality and system performance. Facility type and system functionality influence data quality and retention, hence the study assessed PrEP service delivery, data quality and retention trends across health facilities in Kisumu Central Sub-County. Facilities were purposively sampled based on high PrEP workload, ensuring representation across facility levels. Client data from PrEP registers was extracted into Microsoft Excel. Data quality was assessed for completeness, timeliness and accuracy. Completeness was the proportion of expected fields filled; timeliness was based on monthly report submission to the sub-county by fifth day of the month and accuracy was assessed by cross-checking registers against summaries by a verification factor. System performance was evaluated through interviews with PrEP champion healthcare workers using Excel-based tool. Descriptive statistics summarized client characteristics and PrEP uptake and retention trends were analyzed from follow-up data. We abstracted 3,345 client records with 63.6% being female. The mean age was 30.1 (sd ± 9) years, 15-24 age group most represented in referral and health centers. Timeliness was 100%; completeness was 80%, with the referral facility being lowest at 71.9%. Data tools varied, with DiCEs lacking standard PrEP tools. The county hospital scored 2.95/3 on system evaluation, while the DiCE scored below 2.5. Retention declined to 20% and 5% by the twelfth month in the referral and county hospitals respectively. Although reporting timelines were adhered to, significant gaps in data quality and client retention were observed, especially in lower-tier facilities. We recommend harmonizing and standardizing PrEP tools across all sites. Tailored interventions to improve client retention, with a focus on age group 15-24, should be prioritized. Lastly, research to explore the underlying factors influencing PrEP uptake and adherence among this age group.</w:t>
      </w:r>
    </w:p>
    <w:p w14:paraId="0BED55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25-A-2416-ASTMH</w:t>
      </w:r>
    </w:p>
    <w:p w14:paraId="2AFF33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1B7576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Human-bat interactions and community-based surveillance capacities in Mount Elgon, Uganda</w:t>
      </w:r>
    </w:p>
    <w:p w14:paraId="04616E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Understanding of how humans interact with bats as well as surveillance systems within mountain areas would be crucial in defining the human-bat interface and protect human health. This study analyzed surveillance systems as well as human-bat interactions with Mt. Elgon Uganda. Key informant interviews as well as Focus Group Discussions were conducted using Semi structured interview questionnaires. Key </w:t>
      </w:r>
      <w:r w:rsidRPr="00FE5D1C">
        <w:rPr>
          <w:rFonts w:ascii="Calibri" w:eastAsia="Times New Roman" w:hAnsi="Calibri" w:cs="Calibri"/>
          <w:color w:val="000000"/>
          <w:kern w:val="0"/>
          <w:sz w:val="22"/>
          <w:szCs w:val="22"/>
          <w14:ligatures w14:val="none"/>
        </w:rPr>
        <w:lastRenderedPageBreak/>
        <w:t>informant interviews were done with local chiefs at village level documenting practices around caves and household level that would increase human-bat interactions. Focus Group Discussions were held with village health team members documenting their knowledge in case definitions of Ebola and Marburg, their reporting and documentation abilities as well as platforms for communication to the communities. Communities utilized caves as shelter during rainy days and as well used as shelter for themselves and their animals. They majorly did this during rainy seasons and some of them hunted bats for consumption and as a spot activity. The village health teams had less knowledge on the case definitions of the different bat-borne viruses and they had less capacities in using mobile phones for reporting. They also did not engage in any conservation-related activities that would support bat populations. Community engagement in hard-to-reach areas ought to be strengthened to enhance potential spillover events of bat borne viruses. This should target bat conservation as well as surveillance for bat-borne viruses.</w:t>
      </w:r>
    </w:p>
    <w:p w14:paraId="28D4E6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25-A-2417-ASTMH</w:t>
      </w:r>
    </w:p>
    <w:p w14:paraId="0AAB91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Babesiosis and Lyme Disease</w:t>
      </w:r>
    </w:p>
    <w:p w14:paraId="72EB44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Assessment of the feasibility and acceptability of different Lyme disease prevention and control strategies used in peri-urban settings in Ottawa, Canada: preliminary results</w:t>
      </w:r>
    </w:p>
    <w:p w14:paraId="46B3A8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Ontario has some of the highest rates of Lyme disease (LD) incidence in Canada due to the abundance of habitat that favours the survival and reproduction of ticks and wildlife species that carry the LD pathogen (</w:t>
      </w:r>
      <w:r w:rsidRPr="00FE5D1C">
        <w:rPr>
          <w:rFonts w:ascii="Calibri" w:eastAsia="Times New Roman" w:hAnsi="Calibri" w:cs="Calibri"/>
          <w:i/>
          <w:iCs/>
          <w:color w:val="000000"/>
          <w:kern w:val="0"/>
          <w:sz w:val="22"/>
          <w:szCs w:val="22"/>
          <w14:ligatures w14:val="none"/>
        </w:rPr>
        <w:t>Borrelia burgdorferi</w:t>
      </w:r>
      <w:r w:rsidRPr="00FE5D1C">
        <w:rPr>
          <w:rFonts w:ascii="Calibri" w:eastAsia="Times New Roman" w:hAnsi="Calibri" w:cs="Calibri"/>
          <w:color w:val="000000"/>
          <w:kern w:val="0"/>
          <w:sz w:val="22"/>
          <w:szCs w:val="22"/>
          <w14:ligatures w14:val="none"/>
        </w:rPr>
        <w:t>). The aim of this research is to understand the acceptability and feasibility of various tick control methods in the context of peri-urban settings in Ottawa, where LD is an emerging problem. This research uses an exploratory mixed methods design. We conducted 12 semi-structured key informant interviews with public health, land management officials, and community members to identify the most locally acceptable and feasible LD interventions. We used themes that emerged during the interviews to modify a survey to evaluate public acceptability and feasibility which applied a 9-point acceptability scale to this context. The survey also collected information on frequency of tick bites, uptake of LD prevention behaviors, and explanatory variables including demographic information, property type and characteristics, engagement with occupational or recreational outdoor activities. We distributed the survey to the Ottawa public in 2024, resulting in 1016 representative responses. 29% of respondents reported knowing someone with an LD diagnosis and 3% reported having received a diagnosis of LD at some point, 22% and 16% of respondents reported having at least one tick encounter or tick bite in the last year respectively, only 10% reported consistently using some sort of protection against ticks while outdoors. Landscape and personal protection strategies had the highest percent of respondents scoring “high acceptability” with mean scores of 25.2 and 29 respectively, and over 80% of responses scoring above 25 points. We found these themes to be consistent with our interviews. Wildlife host tick control strategies and chemical acaracide applications had the lowest percent of respondents with “low acceptability scores” (70% (mean score of 23.6) and 57% (mean score of 23.4) respectively). These findings will help to better inform policy on feasible and acceptable LD control practices according to our local population.</w:t>
      </w:r>
    </w:p>
    <w:p w14:paraId="7560A1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25-A-2418-ASTMH</w:t>
      </w:r>
    </w:p>
    <w:p w14:paraId="1724BA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770B49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Lessons from Clinical Trial Site Assessments in Lassa Fever-Endemic West Africa: Insights from the ARC-WA Project</w:t>
      </w:r>
    </w:p>
    <w:p w14:paraId="070EA7B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As part of CEPI’s Advancing Research Capacity in West Africa (ARC-WA) project, our team assessed clinical trial site readiness across Lassa fever-endemic countries to support GCP-compliant vaccine trials and broader epidemic preparedness. Led by MRCG at LSHTM and IVI, the assessments aimed to identify capacity gaps and opportunities for sustainable development of regional research infrastructure. Using a structured, multi-phase approach, we evaluated 35 sites in Nigeria, Liberia, Sierra Leone, Benin, and Guinea. Assessments covered infrastructure, laboratory systems, data management, regulatory </w:t>
      </w:r>
      <w:r w:rsidRPr="00FE5D1C">
        <w:rPr>
          <w:rFonts w:ascii="Calibri" w:eastAsia="Times New Roman" w:hAnsi="Calibri" w:cs="Calibri"/>
          <w:color w:val="000000"/>
          <w:kern w:val="0"/>
          <w:sz w:val="22"/>
          <w:szCs w:val="22"/>
          <w14:ligatures w14:val="none"/>
        </w:rPr>
        <w:lastRenderedPageBreak/>
        <w:t>compliance, community engagement, and emergency preparedness. Key strengths included strong community ties, large catchment areas, and growing interest in research participation. However, most sites lacked purpose-built clinical trial infrastructure, accredited labs, trained staff, and access to reliable epidemiological data. Security concerns, limited accessibility, and weak regulatory frameworks pose major challenges. Despite these gaps, opportunities exist: stored biological samples and initiatives like ENABLE can support seroprevalence studies, and many Ministries of Health show strong engagement. Coordinated investments, political commitment, cross-country collaboration, and long-term trial portfolios are urgently needed to transform trial readiness in the region.  </w:t>
      </w:r>
    </w:p>
    <w:p w14:paraId="5843C0C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25-A-2419-ASTMH</w:t>
      </w:r>
    </w:p>
    <w:p w14:paraId="3A48B6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127C8C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Efficacy of Neem-based Extracts as Biopesticides for Controlling Maize Weevils (</w:t>
      </w:r>
      <w:r w:rsidRPr="00FE5D1C">
        <w:rPr>
          <w:rFonts w:ascii="Calibri" w:eastAsia="Times New Roman" w:hAnsi="Calibri" w:cs="Calibri"/>
          <w:i/>
          <w:iCs/>
          <w:color w:val="000000"/>
          <w:kern w:val="0"/>
          <w:sz w:val="22"/>
          <w:szCs w:val="22"/>
          <w14:ligatures w14:val="none"/>
        </w:rPr>
        <w:t>Sitophilus zeamais</w:t>
      </w:r>
      <w:r w:rsidRPr="00FE5D1C">
        <w:rPr>
          <w:rFonts w:ascii="Calibri" w:eastAsia="Times New Roman" w:hAnsi="Calibri" w:cs="Calibri"/>
          <w:b/>
          <w:bCs/>
          <w:color w:val="000000"/>
          <w:kern w:val="0"/>
          <w:sz w:val="22"/>
          <w:szCs w:val="22"/>
          <w14:ligatures w14:val="none"/>
        </w:rPr>
        <w:t>)</w:t>
      </w:r>
    </w:p>
    <w:p w14:paraId="4F2ACA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Maize weevil (</w:t>
      </w:r>
      <w:r w:rsidRPr="00FE5D1C">
        <w:rPr>
          <w:rFonts w:ascii="Calibri" w:eastAsia="Times New Roman" w:hAnsi="Calibri" w:cs="Calibri"/>
          <w:i/>
          <w:iCs/>
          <w:color w:val="000000"/>
          <w:kern w:val="0"/>
          <w:sz w:val="22"/>
          <w:szCs w:val="22"/>
          <w14:ligatures w14:val="none"/>
        </w:rPr>
        <w:t>Sitophilus zeamais) </w:t>
      </w:r>
      <w:r w:rsidRPr="00FE5D1C">
        <w:rPr>
          <w:rFonts w:ascii="Calibri" w:eastAsia="Times New Roman" w:hAnsi="Calibri" w:cs="Calibri"/>
          <w:color w:val="000000"/>
          <w:kern w:val="0"/>
          <w:sz w:val="22"/>
          <w:szCs w:val="22"/>
          <w14:ligatures w14:val="none"/>
        </w:rPr>
        <w:t>is a destructive pest for maize (</w:t>
      </w:r>
      <w:r w:rsidRPr="00FE5D1C">
        <w:rPr>
          <w:rFonts w:ascii="Calibri" w:eastAsia="Times New Roman" w:hAnsi="Calibri" w:cs="Calibri"/>
          <w:i/>
          <w:iCs/>
          <w:color w:val="000000"/>
          <w:kern w:val="0"/>
          <w:sz w:val="22"/>
          <w:szCs w:val="22"/>
          <w14:ligatures w14:val="none"/>
        </w:rPr>
        <w:t>Zea mays</w:t>
      </w:r>
      <w:r w:rsidRPr="00FE5D1C">
        <w:rPr>
          <w:rFonts w:ascii="Calibri" w:eastAsia="Times New Roman" w:hAnsi="Calibri" w:cs="Calibri"/>
          <w:color w:val="000000"/>
          <w:kern w:val="0"/>
          <w:sz w:val="22"/>
          <w:szCs w:val="22"/>
          <w14:ligatures w14:val="none"/>
        </w:rPr>
        <w:t>) worldwide. The main method of controlling this pest has been the use of conventional chemical insecticides. However, the evolution of insecticide resistance in insect populations, the persistence of chemical residues on food products, and dangers of human exposure to these chemicals have led to significant limitations on their use. There is a need for an environmentally friendly, sustainable, and affordable means of pest control to replace these synthetic chemicals. We determined the efficacy of </w:t>
      </w:r>
      <w:r w:rsidRPr="00FE5D1C">
        <w:rPr>
          <w:rFonts w:ascii="Calibri" w:eastAsia="Times New Roman" w:hAnsi="Calibri" w:cs="Calibri"/>
          <w:i/>
          <w:iCs/>
          <w:color w:val="000000"/>
          <w:kern w:val="0"/>
          <w:sz w:val="22"/>
          <w:szCs w:val="22"/>
          <w14:ligatures w14:val="none"/>
        </w:rPr>
        <w:t>Azadirachta indica </w:t>
      </w:r>
      <w:r w:rsidRPr="00FE5D1C">
        <w:rPr>
          <w:rFonts w:ascii="Calibri" w:eastAsia="Times New Roman" w:hAnsi="Calibri" w:cs="Calibri"/>
          <w:color w:val="000000"/>
          <w:kern w:val="0"/>
          <w:sz w:val="22"/>
          <w:szCs w:val="22"/>
          <w14:ligatures w14:val="none"/>
        </w:rPr>
        <w:t>aqueous and ethanolic extracts in reducing the numbers of </w:t>
      </w:r>
      <w:r w:rsidRPr="00FE5D1C">
        <w:rPr>
          <w:rFonts w:ascii="Calibri" w:eastAsia="Times New Roman" w:hAnsi="Calibri" w:cs="Calibri"/>
          <w:i/>
          <w:iCs/>
          <w:color w:val="000000"/>
          <w:kern w:val="0"/>
          <w:sz w:val="22"/>
          <w:szCs w:val="22"/>
          <w14:ligatures w14:val="none"/>
        </w:rPr>
        <w:t>Sitophilus zeamais</w:t>
      </w:r>
      <w:r w:rsidRPr="00FE5D1C">
        <w:rPr>
          <w:rFonts w:ascii="Calibri" w:eastAsia="Times New Roman" w:hAnsi="Calibri" w:cs="Calibri"/>
          <w:color w:val="000000"/>
          <w:kern w:val="0"/>
          <w:sz w:val="22"/>
          <w:szCs w:val="22"/>
          <w14:ligatures w14:val="none"/>
        </w:rPr>
        <w:t> in infested stored maize. The pesticidal activity of different concentrations of the extracts: 333.3 g/L, 666.6 g/L, and 1000 g/L was estimated against </w:t>
      </w:r>
      <w:r w:rsidRPr="00FE5D1C">
        <w:rPr>
          <w:rFonts w:ascii="Calibri" w:eastAsia="Times New Roman" w:hAnsi="Calibri" w:cs="Calibri"/>
          <w:i/>
          <w:iCs/>
          <w:color w:val="000000"/>
          <w:kern w:val="0"/>
          <w:sz w:val="22"/>
          <w:szCs w:val="22"/>
          <w14:ligatures w14:val="none"/>
        </w:rPr>
        <w:t>Sitophilus zeamais</w:t>
      </w:r>
      <w:r w:rsidRPr="00FE5D1C">
        <w:rPr>
          <w:rFonts w:ascii="Calibri" w:eastAsia="Times New Roman" w:hAnsi="Calibri" w:cs="Calibri"/>
          <w:color w:val="000000"/>
          <w:kern w:val="0"/>
          <w:sz w:val="22"/>
          <w:szCs w:val="22"/>
          <w14:ligatures w14:val="none"/>
        </w:rPr>
        <w:t>. The negative control was without extract. The mortality rate of the weevils was observed after 24 h, 48 h, 72 h, 96 h, 120 h, 144 h, and 168 h consecutively. The study revealed that both aqueous and ethanolic extracts efficiently inhibited </w:t>
      </w:r>
      <w:r w:rsidRPr="00FE5D1C">
        <w:rPr>
          <w:rFonts w:ascii="Calibri" w:eastAsia="Times New Roman" w:hAnsi="Calibri" w:cs="Calibri"/>
          <w:i/>
          <w:iCs/>
          <w:color w:val="000000"/>
          <w:kern w:val="0"/>
          <w:sz w:val="22"/>
          <w:szCs w:val="22"/>
          <w14:ligatures w14:val="none"/>
        </w:rPr>
        <w:t>Sitophilus zeamais </w:t>
      </w:r>
      <w:r w:rsidRPr="00FE5D1C">
        <w:rPr>
          <w:rFonts w:ascii="Calibri" w:eastAsia="Times New Roman" w:hAnsi="Calibri" w:cs="Calibri"/>
          <w:color w:val="000000"/>
          <w:kern w:val="0"/>
          <w:sz w:val="22"/>
          <w:szCs w:val="22"/>
          <w14:ligatures w14:val="none"/>
        </w:rPr>
        <w:t>activity. The maximum rate of maize weevil mortality in both extracts was observed in the 1000 g/L concentration. However, the ethanolic extract was more effective than the aqueous extract. Our findings highlight the effectiveness of neem bark-based biopesticides in preserving maize in a safer manner that can successfully replace the synthetic chemical pesticides. Further research is needed to evaluate the long-term safety of neem residues on stored maize and their potential effects on human health.</w:t>
      </w:r>
    </w:p>
    <w:p w14:paraId="379A55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25-A-2420-ASTMH</w:t>
      </w:r>
    </w:p>
    <w:p w14:paraId="36BD72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1CD0C5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Efficacy of artemisinin-based combination therapies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on</w:t>
      </w:r>
      <w:r w:rsidRPr="00FE5D1C">
        <w:rPr>
          <w:rFonts w:ascii="Calibri" w:eastAsia="Times New Roman" w:hAnsi="Calibri" w:cs="Calibri"/>
          <w:i/>
          <w:iCs/>
          <w:color w:val="000000"/>
          <w:kern w:val="0"/>
          <w:sz w:val="22"/>
          <w:szCs w:val="22"/>
          <w14:ligatures w14:val="none"/>
        </w:rPr>
        <w:t> Plasmodium malariae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Plasmodium ovale</w:t>
      </w:r>
      <w:r w:rsidRPr="00FE5D1C">
        <w:rPr>
          <w:rFonts w:ascii="Calibri" w:eastAsia="Times New Roman" w:hAnsi="Calibri" w:cs="Calibri"/>
          <w:color w:val="000000"/>
          <w:kern w:val="0"/>
          <w:sz w:val="22"/>
          <w:szCs w:val="22"/>
          <w14:ligatures w14:val="none"/>
        </w:rPr>
        <w:t> infections in Mali</w:t>
      </w:r>
    </w:p>
    <w:p w14:paraId="10371F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Most cases of malaria are caused by</w:t>
      </w:r>
      <w:r w:rsidRPr="00FE5D1C">
        <w:rPr>
          <w:rFonts w:ascii="Calibri" w:eastAsia="Times New Roman" w:hAnsi="Calibri" w:cs="Calibri"/>
          <w:i/>
          <w:iCs/>
          <w:color w:val="000000"/>
          <w:kern w:val="0"/>
          <w:sz w:val="22"/>
          <w:szCs w:val="22"/>
          <w14:ligatures w14:val="none"/>
        </w:rPr>
        <w:t> Plasmodium falciparum</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Non-falciparum</w:t>
      </w:r>
      <w:r w:rsidRPr="00FE5D1C">
        <w:rPr>
          <w:rFonts w:ascii="Calibri" w:eastAsia="Times New Roman" w:hAnsi="Calibri" w:cs="Calibri"/>
          <w:color w:val="000000"/>
          <w:kern w:val="0"/>
          <w:sz w:val="22"/>
          <w:szCs w:val="22"/>
          <w14:ligatures w14:val="none"/>
        </w:rPr>
        <w:t>species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Plasmodium ovale</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Plasmodium malariae</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can</w:t>
      </w:r>
      <w:r w:rsidRPr="00FE5D1C">
        <w:rPr>
          <w:rFonts w:ascii="Calibri" w:eastAsia="Times New Roman" w:hAnsi="Calibri" w:cs="Calibri"/>
          <w:i/>
          <w:iCs/>
          <w:color w:val="000000"/>
          <w:kern w:val="0"/>
          <w:sz w:val="22"/>
          <w:szCs w:val="22"/>
          <w14:ligatures w14:val="none"/>
        </w:rPr>
        <w:t> also</w:t>
      </w:r>
      <w:r w:rsidRPr="00FE5D1C">
        <w:rPr>
          <w:rFonts w:ascii="Calibri" w:eastAsia="Times New Roman" w:hAnsi="Calibri" w:cs="Calibri"/>
          <w:color w:val="000000"/>
          <w:kern w:val="0"/>
          <w:sz w:val="22"/>
          <w:szCs w:val="22"/>
          <w14:ligatures w14:val="none"/>
        </w:rPr>
        <w:t> cause malariainfections. The strategies of therapy are focused on the</w:t>
      </w:r>
      <w:r w:rsidRPr="00FE5D1C">
        <w:rPr>
          <w:rFonts w:ascii="Calibri" w:eastAsia="Times New Roman" w:hAnsi="Calibri" w:cs="Calibri"/>
          <w:i/>
          <w:iCs/>
          <w:color w:val="000000"/>
          <w:kern w:val="0"/>
          <w:sz w:val="22"/>
          <w:szCs w:val="22"/>
          <w14:ligatures w14:val="none"/>
        </w:rPr>
        <w:t> P</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falciparum</w:t>
      </w:r>
      <w:r w:rsidRPr="00FE5D1C">
        <w:rPr>
          <w:rFonts w:ascii="Calibri" w:eastAsia="Times New Roman" w:hAnsi="Calibri" w:cs="Calibri"/>
          <w:color w:val="000000"/>
          <w:kern w:val="0"/>
          <w:sz w:val="22"/>
          <w:szCs w:val="22"/>
          <w14:ligatures w14:val="none"/>
        </w:rPr>
        <w:t> species and the efficacystudies of</w:t>
      </w:r>
      <w:r w:rsidRPr="00FE5D1C">
        <w:rPr>
          <w:rFonts w:ascii="Calibri" w:eastAsia="Times New Roman" w:hAnsi="Calibri" w:cs="Calibri"/>
          <w:i/>
          <w:iCs/>
          <w:color w:val="000000"/>
          <w:kern w:val="0"/>
          <w:sz w:val="22"/>
          <w:szCs w:val="22"/>
          <w14:ligatures w14:val="none"/>
        </w:rPr>
        <w:t> non-falciparum</w:t>
      </w:r>
      <w:r w:rsidRPr="00FE5D1C">
        <w:rPr>
          <w:rFonts w:ascii="Calibri" w:eastAsia="Times New Roman" w:hAnsi="Calibri" w:cs="Calibri"/>
          <w:color w:val="000000"/>
          <w:kern w:val="0"/>
          <w:sz w:val="22"/>
          <w:szCs w:val="22"/>
          <w14:ligatures w14:val="none"/>
        </w:rPr>
        <w:t> species; are underestimated</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The objective of this study was to evaluatethe efficacy of ACT on</w:t>
      </w:r>
      <w:r w:rsidRPr="00FE5D1C">
        <w:rPr>
          <w:rFonts w:ascii="Calibri" w:eastAsia="Times New Roman" w:hAnsi="Calibri" w:cs="Calibri"/>
          <w:i/>
          <w:iCs/>
          <w:color w:val="000000"/>
          <w:kern w:val="0"/>
          <w:sz w:val="22"/>
          <w:szCs w:val="22"/>
          <w14:ligatures w14:val="none"/>
        </w:rPr>
        <w:t> P. malariae</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P. ovale</w:t>
      </w:r>
      <w:r w:rsidRPr="00FE5D1C">
        <w:rPr>
          <w:rFonts w:ascii="Calibri" w:eastAsia="Times New Roman" w:hAnsi="Calibri" w:cs="Calibri"/>
          <w:color w:val="000000"/>
          <w:kern w:val="0"/>
          <w:sz w:val="22"/>
          <w:szCs w:val="22"/>
          <w14:ligatures w14:val="none"/>
        </w:rPr>
        <w:t> through clearance, using data from the WANECAM1network in Mali.The database of the WANECAM1 study was used to perform the analysis for thiswork. The 28-day WHO</w:t>
      </w:r>
      <w:r w:rsidRPr="00FE5D1C">
        <w:rPr>
          <w:rFonts w:ascii="Calibri" w:eastAsia="Times New Roman" w:hAnsi="Calibri" w:cs="Calibri"/>
          <w:i/>
          <w:iCs/>
          <w:color w:val="000000"/>
          <w:kern w:val="0"/>
          <w:sz w:val="22"/>
          <w:szCs w:val="22"/>
          <w14:ligatures w14:val="none"/>
        </w:rPr>
        <w:t> in vivo</w:t>
      </w:r>
      <w:r w:rsidRPr="00FE5D1C">
        <w:rPr>
          <w:rFonts w:ascii="Calibri" w:eastAsia="Times New Roman" w:hAnsi="Calibri" w:cs="Calibri"/>
          <w:color w:val="000000"/>
          <w:kern w:val="0"/>
          <w:sz w:val="22"/>
          <w:szCs w:val="22"/>
          <w14:ligatures w14:val="none"/>
        </w:rPr>
        <w:t> protocol was used for estimation of therapeutic responses. TheWWARN Parasite Clearance Estimator Software was used for the estimation of the parasiteclearance half-life. The classical parasite elimination time was estimated by taking the timerequired for zero parasites.Out of a total of 201 volunteers. The median parasite clearance half-life times were 4.79 h and4.74 h respectively for</w:t>
      </w:r>
      <w:r w:rsidRPr="00FE5D1C">
        <w:rPr>
          <w:rFonts w:ascii="Calibri" w:eastAsia="Times New Roman" w:hAnsi="Calibri" w:cs="Calibri"/>
          <w:i/>
          <w:iCs/>
          <w:color w:val="000000"/>
          <w:kern w:val="0"/>
          <w:sz w:val="22"/>
          <w:szCs w:val="22"/>
          <w14:ligatures w14:val="none"/>
        </w:rPr>
        <w:t> P. malariae</w:t>
      </w:r>
      <w:r w:rsidRPr="00FE5D1C">
        <w:rPr>
          <w:rFonts w:ascii="Calibri" w:eastAsia="Times New Roman" w:hAnsi="Calibri" w:cs="Calibri"/>
          <w:color w:val="000000"/>
          <w:kern w:val="0"/>
          <w:sz w:val="22"/>
          <w:szCs w:val="22"/>
          <w14:ligatures w14:val="none"/>
        </w:rPr>
        <w:t> and</w:t>
      </w:r>
      <w:r w:rsidRPr="00FE5D1C">
        <w:rPr>
          <w:rFonts w:ascii="Calibri" w:eastAsia="Times New Roman" w:hAnsi="Calibri" w:cs="Calibri"/>
          <w:i/>
          <w:iCs/>
          <w:color w:val="000000"/>
          <w:kern w:val="0"/>
          <w:sz w:val="22"/>
          <w:szCs w:val="22"/>
          <w14:ligatures w14:val="none"/>
        </w:rPr>
        <w:t> P. ovale</w:t>
      </w:r>
      <w:r w:rsidRPr="00FE5D1C">
        <w:rPr>
          <w:rFonts w:ascii="Calibri" w:eastAsia="Times New Roman" w:hAnsi="Calibri" w:cs="Calibri"/>
          <w:color w:val="000000"/>
          <w:kern w:val="0"/>
          <w:sz w:val="22"/>
          <w:szCs w:val="22"/>
          <w14:ligatures w14:val="none"/>
        </w:rPr>
        <w:t>. There was no significant difference between thehalf-life times of</w:t>
      </w:r>
      <w:r w:rsidRPr="00FE5D1C">
        <w:rPr>
          <w:rFonts w:ascii="Calibri" w:eastAsia="Times New Roman" w:hAnsi="Calibri" w:cs="Calibri"/>
          <w:i/>
          <w:iCs/>
          <w:color w:val="000000"/>
          <w:kern w:val="0"/>
          <w:sz w:val="22"/>
          <w:szCs w:val="22"/>
          <w14:ligatures w14:val="none"/>
        </w:rPr>
        <w:t> P. malariae</w:t>
      </w:r>
      <w:r w:rsidRPr="00FE5D1C">
        <w:rPr>
          <w:rFonts w:ascii="Calibri" w:eastAsia="Times New Roman" w:hAnsi="Calibri" w:cs="Calibri"/>
          <w:color w:val="000000"/>
          <w:kern w:val="0"/>
          <w:sz w:val="22"/>
          <w:szCs w:val="22"/>
          <w14:ligatures w14:val="none"/>
        </w:rPr>
        <w:t> and</w:t>
      </w:r>
      <w:r w:rsidRPr="00FE5D1C">
        <w:rPr>
          <w:rFonts w:ascii="Calibri" w:eastAsia="Times New Roman" w:hAnsi="Calibri" w:cs="Calibri"/>
          <w:i/>
          <w:iCs/>
          <w:color w:val="000000"/>
          <w:kern w:val="0"/>
          <w:sz w:val="22"/>
          <w:szCs w:val="22"/>
          <w14:ligatures w14:val="none"/>
        </w:rPr>
        <w:t> P. ovale</w:t>
      </w:r>
      <w:r w:rsidRPr="00FE5D1C">
        <w:rPr>
          <w:rFonts w:ascii="Calibri" w:eastAsia="Times New Roman" w:hAnsi="Calibri" w:cs="Calibri"/>
          <w:color w:val="000000"/>
          <w:kern w:val="0"/>
          <w:sz w:val="22"/>
          <w:szCs w:val="22"/>
          <w14:ligatures w14:val="none"/>
        </w:rPr>
        <w:t> species. The classical parasite clearance time was 24hand 36h. Adequate clinical and parasitological response (ACPR) were 99.32% and 98.18% for</w:t>
      </w:r>
      <w:r w:rsidRPr="00FE5D1C">
        <w:rPr>
          <w:rFonts w:ascii="Calibri" w:eastAsia="Times New Roman" w:hAnsi="Calibri" w:cs="Calibri"/>
          <w:i/>
          <w:iCs/>
          <w:color w:val="000000"/>
          <w:kern w:val="0"/>
          <w:sz w:val="22"/>
          <w:szCs w:val="22"/>
          <w14:ligatures w14:val="none"/>
        </w:rPr>
        <w:t> P.malariae</w:t>
      </w:r>
      <w:r w:rsidRPr="00FE5D1C">
        <w:rPr>
          <w:rFonts w:ascii="Calibri" w:eastAsia="Times New Roman" w:hAnsi="Calibri" w:cs="Calibri"/>
          <w:color w:val="000000"/>
          <w:kern w:val="0"/>
          <w:sz w:val="22"/>
          <w:szCs w:val="22"/>
          <w14:ligatures w14:val="none"/>
        </w:rPr>
        <w:t> and</w:t>
      </w:r>
      <w:r w:rsidRPr="00FE5D1C">
        <w:rPr>
          <w:rFonts w:ascii="Calibri" w:eastAsia="Times New Roman" w:hAnsi="Calibri" w:cs="Calibri"/>
          <w:i/>
          <w:iCs/>
          <w:color w:val="000000"/>
          <w:kern w:val="0"/>
          <w:sz w:val="22"/>
          <w:szCs w:val="22"/>
          <w14:ligatures w14:val="none"/>
        </w:rPr>
        <w:t> P. ovale</w:t>
      </w:r>
      <w:r w:rsidRPr="00FE5D1C">
        <w:rPr>
          <w:rFonts w:ascii="Calibri" w:eastAsia="Times New Roman" w:hAnsi="Calibri" w:cs="Calibri"/>
          <w:color w:val="000000"/>
          <w:kern w:val="0"/>
          <w:sz w:val="22"/>
          <w:szCs w:val="22"/>
          <w14:ligatures w14:val="none"/>
        </w:rPr>
        <w:t>, respectively, with a significant difference statistically (p &lt; 0.05).We conclude that the CTAs remain effective on</w:t>
      </w:r>
      <w:r w:rsidRPr="00FE5D1C">
        <w:rPr>
          <w:rFonts w:ascii="Calibri" w:eastAsia="Times New Roman" w:hAnsi="Calibri" w:cs="Calibri"/>
          <w:i/>
          <w:iCs/>
          <w:color w:val="000000"/>
          <w:kern w:val="0"/>
          <w:sz w:val="22"/>
          <w:szCs w:val="22"/>
          <w14:ligatures w14:val="none"/>
        </w:rPr>
        <w:t> P.malariae</w:t>
      </w:r>
      <w:r w:rsidRPr="00FE5D1C">
        <w:rPr>
          <w:rFonts w:ascii="Calibri" w:eastAsia="Times New Roman" w:hAnsi="Calibri" w:cs="Calibri"/>
          <w:color w:val="000000"/>
          <w:kern w:val="0"/>
          <w:sz w:val="22"/>
          <w:szCs w:val="22"/>
          <w14:ligatures w14:val="none"/>
        </w:rPr>
        <w:t> and</w:t>
      </w:r>
      <w:r w:rsidRPr="00FE5D1C">
        <w:rPr>
          <w:rFonts w:ascii="Calibri" w:eastAsia="Times New Roman" w:hAnsi="Calibri" w:cs="Calibri"/>
          <w:i/>
          <w:iCs/>
          <w:color w:val="000000"/>
          <w:kern w:val="0"/>
          <w:sz w:val="22"/>
          <w:szCs w:val="22"/>
          <w14:ligatures w14:val="none"/>
        </w:rPr>
        <w:t> P.ovale</w:t>
      </w:r>
      <w:r w:rsidRPr="00FE5D1C">
        <w:rPr>
          <w:rFonts w:ascii="Calibri" w:eastAsia="Times New Roman" w:hAnsi="Calibri" w:cs="Calibri"/>
          <w:color w:val="000000"/>
          <w:kern w:val="0"/>
          <w:sz w:val="22"/>
          <w:szCs w:val="22"/>
          <w14:ligatures w14:val="none"/>
        </w:rPr>
        <w:t> even if the parasiteclearance half-life time appears delayed.</w:t>
      </w:r>
    </w:p>
    <w:p w14:paraId="2DC5AE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25-A-2421-ASTMH</w:t>
      </w:r>
    </w:p>
    <w:p w14:paraId="13C8CD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Measures for Control and Elimination of Neglected Tropical Diseases (NTDs)</w:t>
      </w:r>
    </w:p>
    <w:p w14:paraId="198622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Three Years of Post-Treatment Surveillance After Stopping Mass Drug Administration for Onchocerciasis in Tukuyu, Tanzania, 2021-2024</w:t>
      </w:r>
    </w:p>
    <w:p w14:paraId="49E6C0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Mass drug administration (MDA) with ivermectin is the primary elimination strategy for onchocerciasis. MDA may be stopped if programs meet World Health Organization (WHO) entomological and seroprevalence (&lt;0.1%) criteria, the latter of which is challenging and may be lower than necessary. Since MDA was stopped in August 2021, a multi-year study to evaluate a serologic threshold of ≤2% for stopping MDA has been conducted in Tukuyu focus, Tanzania. In a baseline study, seroprevalence was 0.05% by RDT on eluted DBS, 1.2% by Ov16 AP ELISA in children 5-9 years old. Evaluation of blackflies did not find evidence of </w:t>
      </w:r>
      <w:r w:rsidRPr="00FE5D1C">
        <w:rPr>
          <w:rFonts w:ascii="Calibri" w:eastAsia="Times New Roman" w:hAnsi="Calibri" w:cs="Calibri"/>
          <w:i/>
          <w:iCs/>
          <w:color w:val="000000"/>
          <w:kern w:val="0"/>
          <w:sz w:val="22"/>
          <w:szCs w:val="22"/>
          <w14:ligatures w14:val="none"/>
        </w:rPr>
        <w:t>O. volvulus</w:t>
      </w:r>
      <w:r w:rsidRPr="00FE5D1C">
        <w:rPr>
          <w:rFonts w:ascii="Calibri" w:eastAsia="Times New Roman" w:hAnsi="Calibri" w:cs="Calibri"/>
          <w:color w:val="000000"/>
          <w:kern w:val="0"/>
          <w:sz w:val="22"/>
          <w:szCs w:val="22"/>
          <w14:ligatures w14:val="none"/>
        </w:rPr>
        <w:t> infection. In follow-up years, approximately 800 children ages 5-9 were randomly selected in 8 high risk purposively selected villages in 2022 and 2024, respectively. Blackflies were collected in eight catching points during the 5-month breeding season each year. Collected DBS was evaluated by Ov16 RDT and the new Ov16m ELISA. Blackflies were analyzed by qPCR assays for the O-150 and OvND5 genes. There was a delay between the first and second years of follow-up due to updates in diagnostic methods. In the first year of follow-up (2022), 809 children (53% female) were sampled, with a seroprevalence of 0.12% detected by RDT and Ov16m ELISA. In the second year of follow-up (2024), 806 children (47% female) were sampled, with a seroprevalence of 0.12% detected by RDT, while no positive cases were identified by Ov16m ELISA. Concurrent entomological assessments in 2021 analyzed 3,726 </w:t>
      </w:r>
      <w:r w:rsidRPr="00FE5D1C">
        <w:rPr>
          <w:rFonts w:ascii="Calibri" w:eastAsia="Times New Roman" w:hAnsi="Calibri" w:cs="Calibri"/>
          <w:i/>
          <w:iCs/>
          <w:color w:val="000000"/>
          <w:kern w:val="0"/>
          <w:sz w:val="22"/>
          <w:szCs w:val="22"/>
          <w14:ligatures w14:val="none"/>
        </w:rPr>
        <w:t>S. damnosum</w:t>
      </w:r>
      <w:r w:rsidRPr="00FE5D1C">
        <w:rPr>
          <w:rFonts w:ascii="Calibri" w:eastAsia="Times New Roman" w:hAnsi="Calibri" w:cs="Calibri"/>
          <w:color w:val="000000"/>
          <w:kern w:val="0"/>
          <w:sz w:val="22"/>
          <w:szCs w:val="22"/>
          <w14:ligatures w14:val="none"/>
        </w:rPr>
        <w:t> blackflies in 42 pools without evidence of </w:t>
      </w:r>
      <w:r w:rsidRPr="00FE5D1C">
        <w:rPr>
          <w:rFonts w:ascii="Calibri" w:eastAsia="Times New Roman" w:hAnsi="Calibri" w:cs="Calibri"/>
          <w:i/>
          <w:iCs/>
          <w:color w:val="000000"/>
          <w:kern w:val="0"/>
          <w:sz w:val="22"/>
          <w:szCs w:val="22"/>
          <w14:ligatures w14:val="none"/>
        </w:rPr>
        <w:t>O. Volvulus</w:t>
      </w:r>
      <w:r w:rsidRPr="00FE5D1C">
        <w:rPr>
          <w:rFonts w:ascii="Calibri" w:eastAsia="Times New Roman" w:hAnsi="Calibri" w:cs="Calibri"/>
          <w:color w:val="000000"/>
          <w:kern w:val="0"/>
          <w:sz w:val="22"/>
          <w:szCs w:val="22"/>
          <w14:ligatures w14:val="none"/>
        </w:rPr>
        <w:t> infection. In 2024, a total 11,947 </w:t>
      </w:r>
      <w:r w:rsidRPr="00FE5D1C">
        <w:rPr>
          <w:rFonts w:ascii="Calibri" w:eastAsia="Times New Roman" w:hAnsi="Calibri" w:cs="Calibri"/>
          <w:i/>
          <w:iCs/>
          <w:color w:val="000000"/>
          <w:kern w:val="0"/>
          <w:sz w:val="22"/>
          <w:szCs w:val="22"/>
          <w14:ligatures w14:val="none"/>
        </w:rPr>
        <w:t>S. damnosum</w:t>
      </w:r>
      <w:r w:rsidRPr="00FE5D1C">
        <w:rPr>
          <w:rFonts w:ascii="Calibri" w:eastAsia="Times New Roman" w:hAnsi="Calibri" w:cs="Calibri"/>
          <w:color w:val="000000"/>
          <w:kern w:val="0"/>
          <w:sz w:val="22"/>
          <w:szCs w:val="22"/>
          <w14:ligatures w14:val="none"/>
        </w:rPr>
        <w:t> blackflies were analyzed in 124 pools; qPCR and confirmatory genetic sequence analysis is pending. Given these positively reassuring serologic and entomologic results, Tukuyu focus has completed 3 years of post-treatment surveillance and is on track to meet current criteria as recommended by WHO. The study results provide additional evidence that it may be safe to stop MDA at a serologic threshold of ≤2%. A serologic and entomologic evaluation similar to the baseline study will be performed in 2025 as a final check for evidence of residual transmission.</w:t>
      </w:r>
    </w:p>
    <w:p w14:paraId="348032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25-A-2423-ASTMH</w:t>
      </w:r>
    </w:p>
    <w:p w14:paraId="351296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251D2E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 evaluation of the insecticide resistance patterns in </w:t>
      </w:r>
      <w:r w:rsidRPr="00FE5D1C">
        <w:rPr>
          <w:rFonts w:ascii="Calibri" w:eastAsia="Times New Roman" w:hAnsi="Calibri" w:cs="Calibri"/>
          <w:i/>
          <w:iCs/>
          <w:color w:val="000000"/>
          <w:kern w:val="0"/>
          <w:sz w:val="22"/>
          <w:szCs w:val="22"/>
          <w14:ligatures w14:val="none"/>
        </w:rPr>
        <w:t>Anopheles gambiae complex</w:t>
      </w:r>
      <w:r w:rsidRPr="00FE5D1C">
        <w:rPr>
          <w:rFonts w:ascii="Calibri" w:eastAsia="Times New Roman" w:hAnsi="Calibri" w:cs="Calibri"/>
          <w:color w:val="000000"/>
          <w:kern w:val="0"/>
          <w:sz w:val="22"/>
          <w:szCs w:val="22"/>
          <w14:ligatures w14:val="none"/>
        </w:rPr>
        <w:t> along the slopes of Mount Cameroon using whole genome sequencing</w:t>
      </w:r>
    </w:p>
    <w:p w14:paraId="6BA075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huge public health concern, especially in Sub-saharan African countries where 98% of the cases occur. Cameroon has recorded several cases and deaths across the years despite its efforts to combat the disease. The exacerbation could be attributed to the diversity of anophelines</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and their resistance to insecticides. For years, morphological identification and PCR techniques have been exploited for speciation of malaria vectors and the assessment of markers of insecticide resistance. With whole genome sequencing revolutionizing the biological science, we sought to evaluate the resistance profiles of </w:t>
      </w:r>
      <w:r w:rsidRPr="00FE5D1C">
        <w:rPr>
          <w:rFonts w:ascii="Calibri" w:eastAsia="Times New Roman" w:hAnsi="Calibri" w:cs="Calibri"/>
          <w:i/>
          <w:iCs/>
          <w:color w:val="000000"/>
          <w:kern w:val="0"/>
          <w:sz w:val="22"/>
          <w:szCs w:val="22"/>
          <w14:ligatures w14:val="none"/>
        </w:rPr>
        <w:t>Anopheles gambiae complex</w:t>
      </w:r>
      <w:r w:rsidRPr="00FE5D1C">
        <w:rPr>
          <w:rFonts w:ascii="Calibri" w:eastAsia="Times New Roman" w:hAnsi="Calibri" w:cs="Calibri"/>
          <w:color w:val="000000"/>
          <w:kern w:val="0"/>
          <w:sz w:val="22"/>
          <w:szCs w:val="22"/>
          <w14:ligatures w14:val="none"/>
        </w:rPr>
        <w:t> using whole genome sequenced data. Insecticide bioassay analysis was conducted on reared 4-5 days female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complex adults from communities along slopes of Mount Cameroon and concurrently collecting others by human landing catches. Estimations of the levels of insecticide target-site resistance were computed to assess the frequency of single nucleotide polymorphisms (SNPs) at known insecticide resistance genes (i.e., VGSC/para, ACE-1) for pyrethroids and carbamates. From a total of</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480</w:t>
      </w:r>
      <w:r w:rsidRPr="00FE5D1C">
        <w:rPr>
          <w:rFonts w:ascii="Calibri" w:eastAsia="Times New Roman" w:hAnsi="Calibri" w:cs="Calibri"/>
          <w:i/>
          <w:iCs/>
          <w:color w:val="000000"/>
          <w:kern w:val="0"/>
          <w:sz w:val="22"/>
          <w:szCs w:val="22"/>
          <w14:ligatures w14:val="none"/>
        </w:rPr>
        <w:t> Anopheles gambiae </w:t>
      </w:r>
      <w:r w:rsidRPr="00FE5D1C">
        <w:rPr>
          <w:rFonts w:ascii="Calibri" w:eastAsia="Times New Roman" w:hAnsi="Calibri" w:cs="Calibri"/>
          <w:color w:val="000000"/>
          <w:kern w:val="0"/>
          <w:sz w:val="22"/>
          <w:szCs w:val="22"/>
          <w14:ligatures w14:val="none"/>
        </w:rPr>
        <w:t>complex samples sequenced, only 276 passed all quality control test with 178 identified as </w:t>
      </w:r>
      <w:r w:rsidRPr="00FE5D1C">
        <w:rPr>
          <w:rFonts w:ascii="Calibri" w:eastAsia="Times New Roman" w:hAnsi="Calibri" w:cs="Calibri"/>
          <w:i/>
          <w:iCs/>
          <w:color w:val="000000"/>
          <w:kern w:val="0"/>
          <w:sz w:val="22"/>
          <w:szCs w:val="22"/>
          <w14:ligatures w14:val="none"/>
        </w:rPr>
        <w:t>Anopheles gambiae s.s</w:t>
      </w:r>
      <w:r w:rsidRPr="00FE5D1C">
        <w:rPr>
          <w:rFonts w:ascii="Calibri" w:eastAsia="Times New Roman" w:hAnsi="Calibri" w:cs="Calibri"/>
          <w:color w:val="000000"/>
          <w:kern w:val="0"/>
          <w:sz w:val="22"/>
          <w:szCs w:val="22"/>
          <w14:ligatures w14:val="none"/>
        </w:rPr>
        <w:t>, 93 as </w:t>
      </w:r>
      <w:r w:rsidRPr="00FE5D1C">
        <w:rPr>
          <w:rFonts w:ascii="Calibri" w:eastAsia="Times New Roman" w:hAnsi="Calibri" w:cs="Calibri"/>
          <w:i/>
          <w:iCs/>
          <w:color w:val="000000"/>
          <w:kern w:val="0"/>
          <w:sz w:val="22"/>
          <w:szCs w:val="22"/>
          <w14:ligatures w14:val="none"/>
        </w:rPr>
        <w:t>Anopheles coluzzii</w:t>
      </w:r>
      <w:r w:rsidRPr="00FE5D1C">
        <w:rPr>
          <w:rFonts w:ascii="Calibri" w:eastAsia="Times New Roman" w:hAnsi="Calibri" w:cs="Calibri"/>
          <w:color w:val="000000"/>
          <w:kern w:val="0"/>
          <w:sz w:val="22"/>
          <w:szCs w:val="22"/>
          <w14:ligatures w14:val="none"/>
        </w:rPr>
        <w:t> and 4 as </w:t>
      </w:r>
      <w:r w:rsidRPr="00FE5D1C">
        <w:rPr>
          <w:rFonts w:ascii="Calibri" w:eastAsia="Times New Roman" w:hAnsi="Calibri" w:cs="Calibri"/>
          <w:i/>
          <w:iCs/>
          <w:color w:val="000000"/>
          <w:kern w:val="0"/>
          <w:sz w:val="22"/>
          <w:szCs w:val="22"/>
          <w14:ligatures w14:val="none"/>
        </w:rPr>
        <w:t>Anopheles melas</w:t>
      </w:r>
      <w:r w:rsidRPr="00FE5D1C">
        <w:rPr>
          <w:rFonts w:ascii="Calibri" w:eastAsia="Times New Roman" w:hAnsi="Calibri" w:cs="Calibri"/>
          <w:color w:val="000000"/>
          <w:kern w:val="0"/>
          <w:sz w:val="22"/>
          <w:szCs w:val="22"/>
          <w14:ligatures w14:val="none"/>
        </w:rPr>
        <w:t>. Across all cohorts, L995F (kdr-West) was near fixation levels in all cohorts while L995S (kdr-East) was absent in all </w:t>
      </w:r>
      <w:r w:rsidRPr="00FE5D1C">
        <w:rPr>
          <w:rFonts w:ascii="Calibri" w:eastAsia="Times New Roman" w:hAnsi="Calibri" w:cs="Calibri"/>
          <w:i/>
          <w:iCs/>
          <w:color w:val="000000"/>
          <w:kern w:val="0"/>
          <w:sz w:val="22"/>
          <w:szCs w:val="22"/>
          <w14:ligatures w14:val="none"/>
        </w:rPr>
        <w:t>coluzzii</w:t>
      </w:r>
      <w:r w:rsidRPr="00FE5D1C">
        <w:rPr>
          <w:rFonts w:ascii="Calibri" w:eastAsia="Times New Roman" w:hAnsi="Calibri" w:cs="Calibri"/>
          <w:color w:val="000000"/>
          <w:kern w:val="0"/>
          <w:sz w:val="22"/>
          <w:szCs w:val="22"/>
          <w14:ligatures w14:val="none"/>
        </w:rPr>
        <w:t> cohorts but present at low frequency in all </w:t>
      </w:r>
      <w:r w:rsidRPr="00FE5D1C">
        <w:rPr>
          <w:rFonts w:ascii="Calibri" w:eastAsia="Times New Roman" w:hAnsi="Calibri" w:cs="Calibri"/>
          <w:i/>
          <w:iCs/>
          <w:color w:val="000000"/>
          <w:kern w:val="0"/>
          <w:sz w:val="22"/>
          <w:szCs w:val="22"/>
          <w14:ligatures w14:val="none"/>
        </w:rPr>
        <w:t>gambiae s.s.</w:t>
      </w:r>
      <w:r w:rsidRPr="00FE5D1C">
        <w:rPr>
          <w:rFonts w:ascii="Calibri" w:eastAsia="Times New Roman" w:hAnsi="Calibri" w:cs="Calibri"/>
          <w:color w:val="000000"/>
          <w:kern w:val="0"/>
          <w:sz w:val="22"/>
          <w:szCs w:val="22"/>
          <w14:ligatures w14:val="none"/>
        </w:rPr>
        <w:t> cohorts. G280S mutation was completely absent in all </w:t>
      </w:r>
      <w:r w:rsidRPr="00FE5D1C">
        <w:rPr>
          <w:rFonts w:ascii="Calibri" w:eastAsia="Times New Roman" w:hAnsi="Calibri" w:cs="Calibri"/>
          <w:i/>
          <w:iCs/>
          <w:color w:val="000000"/>
          <w:kern w:val="0"/>
          <w:sz w:val="22"/>
          <w:szCs w:val="22"/>
          <w14:ligatures w14:val="none"/>
        </w:rPr>
        <w:t>coluzzii</w:t>
      </w:r>
      <w:r w:rsidRPr="00FE5D1C">
        <w:rPr>
          <w:rFonts w:ascii="Calibri" w:eastAsia="Times New Roman" w:hAnsi="Calibri" w:cs="Calibri"/>
          <w:color w:val="000000"/>
          <w:kern w:val="0"/>
          <w:sz w:val="22"/>
          <w:szCs w:val="22"/>
          <w14:ligatures w14:val="none"/>
        </w:rPr>
        <w:t> cohorts and present at intermediate frequencies in all </w:t>
      </w:r>
      <w:r w:rsidRPr="00FE5D1C">
        <w:rPr>
          <w:rFonts w:ascii="Calibri" w:eastAsia="Times New Roman" w:hAnsi="Calibri" w:cs="Calibri"/>
          <w:i/>
          <w:iCs/>
          <w:color w:val="000000"/>
          <w:kern w:val="0"/>
          <w:sz w:val="22"/>
          <w:szCs w:val="22"/>
          <w14:ligatures w14:val="none"/>
        </w:rPr>
        <w:t>gambiae s.s.</w:t>
      </w:r>
      <w:r w:rsidRPr="00FE5D1C">
        <w:rPr>
          <w:rFonts w:ascii="Calibri" w:eastAsia="Times New Roman" w:hAnsi="Calibri" w:cs="Calibri"/>
          <w:color w:val="000000"/>
          <w:kern w:val="0"/>
          <w:sz w:val="22"/>
          <w:szCs w:val="22"/>
          <w14:ligatures w14:val="none"/>
        </w:rPr>
        <w:t> cohorts. Based on the outcomes of these investigations, there is clear evidence that </w:t>
      </w:r>
      <w:r w:rsidRPr="00FE5D1C">
        <w:rPr>
          <w:rFonts w:ascii="Calibri" w:eastAsia="Times New Roman" w:hAnsi="Calibri" w:cs="Calibri"/>
          <w:i/>
          <w:iCs/>
          <w:color w:val="000000"/>
          <w:kern w:val="0"/>
          <w:sz w:val="22"/>
          <w:szCs w:val="22"/>
          <w14:ligatures w14:val="none"/>
        </w:rPr>
        <w:t>Anopheles coluzzii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Anopheles gambiae </w:t>
      </w:r>
      <w:r w:rsidRPr="00FE5D1C">
        <w:rPr>
          <w:rFonts w:ascii="Calibri" w:eastAsia="Times New Roman" w:hAnsi="Calibri" w:cs="Calibri"/>
          <w:color w:val="000000"/>
          <w:kern w:val="0"/>
          <w:sz w:val="22"/>
          <w:szCs w:val="22"/>
          <w14:ligatures w14:val="none"/>
        </w:rPr>
        <w:t>co-exist as major vectors around the slopes of mount Cameroon. Also, </w:t>
      </w:r>
      <w:r w:rsidRPr="00FE5D1C">
        <w:rPr>
          <w:rFonts w:ascii="Calibri" w:eastAsia="Times New Roman" w:hAnsi="Calibri" w:cs="Calibri"/>
          <w:i/>
          <w:iCs/>
          <w:color w:val="000000"/>
          <w:kern w:val="0"/>
          <w:sz w:val="22"/>
          <w:szCs w:val="22"/>
          <w14:ligatures w14:val="none"/>
        </w:rPr>
        <w:t>Anopheles coluzzii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along the slopes of Mount Cameroon exhibited considerably high level of resistance to pyrethroid and carbamate insecticide. Hence, further better intervention strategies are required to curb the disease.</w:t>
      </w:r>
    </w:p>
    <w:p w14:paraId="05B674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25-A-2424-ASTMH</w:t>
      </w:r>
    </w:p>
    <w:p w14:paraId="43A2D5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58E8BF72" w14:textId="7A3BEA7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Severity of Dengue viral infection based on clinical and hematological parameters among Pakistani Patients</w:t>
      </w:r>
    </w:p>
    <w:p w14:paraId="74055E1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recent decades, the global burden of dengue viral infections has increased dramatically due to lack of specific treatment and vaccines. Early diagnosis is crucial in proper medical management of dengue patients to avoid any further complication. current study aims is to assess the severity of patients infected with Dengue viral infections based on clinical and hematological examination. A cross sectional prospective, hospital-based study was carried out among febrile patients in the teaching hospital of, Pakistan. Blood samples were tested from dengue presumed cases for dengue specific IgM, IgG antibody, and NS1 antigen. Clinical findings were noted to assess the patient severity and hematological parameters tests were done. During the study period, a total of 130 confirmed dengue patients were included in the study. The most clinical feature noted in non severe patients were fever107 (100%), headache 56 (52.3%), Nausea (55.1%), vomiting 51 (47.7%) and tenderness 28 (26.1%). Severe dengue patients experience mucosal bleeding 10 (71.4%), fluid accumulation 08 (57.1%), shock 05 (35.7%) and gastrointestinal bleeding 04 (28.6%). There was a significant difference in the pattern of platelets, leukocytes count and hematocrit in the three clinical groups (p value &lt;0.001). Severe dengue patient showed marked thrombocytopenia with mean platelets count (49.96 ×109/L). In dengue infection, clinical presentation, as well as hematological markers are the most important guide to diagnosis, prognosis and therapy of dengue. Thrombocytopenia, leukopenia, and raised hematocrit are significant hematological parameters in the current study. Fluid accumulation, shock, bleeding, severe thrombocytopenia, low WBC count and raised hematocrit indicate severe form of dengue infection.</w:t>
      </w:r>
    </w:p>
    <w:p w14:paraId="0CF784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25-A-2426-ASTMH</w:t>
      </w:r>
    </w:p>
    <w:p w14:paraId="0EB079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23371E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Mapping antimalarial drug resistance markers in Plasmodium falciparum isolates across Benin</w:t>
      </w:r>
    </w:p>
    <w:p w14:paraId="14A989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Perennial malaria chemoprevention (PMC) was recommended by WHO's 2022 guidlines to protect children resident in areas of moderate to high malaria transmission. PMC with sulfadoxine-pyrimethamine (SP) is being implemented and evaluated by the Plus Project in Benin, Cameroon, Cote d’Ivoire and Mozambique. SP resistance, which is attributable to a combination of multiple mutations in the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and the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genes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is however a concern and have been shown to compromise the period of protective efficacy of the PMC strategy. In order to explore the diversity of </w:t>
      </w:r>
      <w:r w:rsidRPr="00FE5D1C">
        <w:rPr>
          <w:rFonts w:ascii="Calibri" w:eastAsia="Times New Roman" w:hAnsi="Calibri" w:cs="Calibri"/>
          <w:i/>
          <w:iCs/>
          <w:color w:val="000000"/>
          <w:kern w:val="0"/>
          <w:sz w:val="22"/>
          <w:szCs w:val="22"/>
          <w14:ligatures w14:val="none"/>
        </w:rPr>
        <w:t>Pfdhfr/Pfdhps</w:t>
      </w:r>
      <w:r w:rsidRPr="00FE5D1C">
        <w:rPr>
          <w:rFonts w:ascii="Calibri" w:eastAsia="Times New Roman" w:hAnsi="Calibri" w:cs="Calibri"/>
          <w:color w:val="000000"/>
          <w:kern w:val="0"/>
          <w:sz w:val="22"/>
          <w:szCs w:val="22"/>
          <w14:ligatures w14:val="none"/>
        </w:rPr>
        <w:t> haplotypes, but as well, to map other markers of antimalarial resistance across Benin, a cross-sectional study was conducted in the 12 administrative departments of Benin in 2023. Health facilities were selected for each department, and finger-prick blood samples were collected from 150 confirmed malaria patients (by RDT or microscopy). Targeted sequencing using Illumina was performed to explore single nucleotide polymorphisms in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Pfdhps, </w:t>
      </w:r>
      <w:r w:rsidRPr="00FE5D1C">
        <w:rPr>
          <w:rFonts w:ascii="Calibri" w:eastAsia="Times New Roman" w:hAnsi="Calibri" w:cs="Calibri"/>
          <w:color w:val="000000"/>
          <w:kern w:val="0"/>
          <w:sz w:val="22"/>
          <w:szCs w:val="22"/>
          <w14:ligatures w14:val="none"/>
        </w:rPr>
        <w:t>as well as in</w:t>
      </w:r>
      <w:r w:rsidRPr="00FE5D1C">
        <w:rPr>
          <w:rFonts w:ascii="Calibri" w:eastAsia="Times New Roman" w:hAnsi="Calibri" w:cs="Calibri"/>
          <w:i/>
          <w:iCs/>
          <w:color w:val="000000"/>
          <w:kern w:val="0"/>
          <w:sz w:val="22"/>
          <w:szCs w:val="22"/>
          <w14:ligatures w14:val="none"/>
        </w:rPr>
        <w:t> the Plasmodium falciparum </w:t>
      </w:r>
      <w:r w:rsidRPr="00FE5D1C">
        <w:rPr>
          <w:rFonts w:ascii="Calibri" w:eastAsia="Times New Roman" w:hAnsi="Calibri" w:cs="Calibri"/>
          <w:color w:val="000000"/>
          <w:kern w:val="0"/>
          <w:sz w:val="22"/>
          <w:szCs w:val="22"/>
          <w14:ligatures w14:val="none"/>
        </w:rPr>
        <w:t>genes </w:t>
      </w:r>
      <w:r w:rsidRPr="00FE5D1C">
        <w:rPr>
          <w:rFonts w:ascii="Calibri" w:eastAsia="Times New Roman" w:hAnsi="Calibri" w:cs="Calibri"/>
          <w:i/>
          <w:iCs/>
          <w:color w:val="000000"/>
          <w:kern w:val="0"/>
          <w:sz w:val="22"/>
          <w:szCs w:val="22"/>
          <w14:ligatures w14:val="none"/>
        </w:rPr>
        <w:t>Pfk13, Pfcrt </w:t>
      </w:r>
      <w:r w:rsidRPr="00FE5D1C">
        <w:rPr>
          <w:rFonts w:ascii="Calibri" w:eastAsia="Times New Roman" w:hAnsi="Calibri" w:cs="Calibri"/>
          <w:color w:val="000000"/>
          <w:kern w:val="0"/>
          <w:sz w:val="22"/>
          <w:szCs w:val="22"/>
          <w14:ligatures w14:val="none"/>
        </w:rPr>
        <w:t>and</w:t>
      </w:r>
      <w:r w:rsidRPr="00FE5D1C">
        <w:rPr>
          <w:rFonts w:ascii="Calibri" w:eastAsia="Times New Roman" w:hAnsi="Calibri" w:cs="Calibri"/>
          <w:i/>
          <w:iCs/>
          <w:color w:val="000000"/>
          <w:kern w:val="0"/>
          <w:sz w:val="22"/>
          <w:szCs w:val="22"/>
          <w14:ligatures w14:val="none"/>
        </w:rPr>
        <w:t> Pfmdr1</w:t>
      </w:r>
      <w:r w:rsidRPr="00FE5D1C">
        <w:rPr>
          <w:rFonts w:ascii="Calibri" w:eastAsia="Times New Roman" w:hAnsi="Calibri" w:cs="Calibri"/>
          <w:color w:val="000000"/>
          <w:kern w:val="0"/>
          <w:sz w:val="22"/>
          <w:szCs w:val="22"/>
          <w14:ligatures w14:val="none"/>
        </w:rPr>
        <w:t>. A total of 1,206 samples were collected and tested. In the </w:t>
      </w:r>
      <w:r w:rsidRPr="00FE5D1C">
        <w:rPr>
          <w:rFonts w:ascii="Calibri" w:eastAsia="Times New Roman" w:hAnsi="Calibri" w:cs="Calibri"/>
          <w:i/>
          <w:iCs/>
          <w:color w:val="000000"/>
          <w:kern w:val="0"/>
          <w:sz w:val="22"/>
          <w:szCs w:val="22"/>
          <w14:ligatures w14:val="none"/>
        </w:rPr>
        <w:t>Pfdhfr</w:t>
      </w:r>
      <w:r w:rsidRPr="00FE5D1C">
        <w:rPr>
          <w:rFonts w:ascii="Calibri" w:eastAsia="Times New Roman" w:hAnsi="Calibri" w:cs="Calibri"/>
          <w:color w:val="000000"/>
          <w:kern w:val="0"/>
          <w:sz w:val="22"/>
          <w:szCs w:val="22"/>
          <w14:ligatures w14:val="none"/>
        </w:rPr>
        <w:t> gene, the triple mutant IRNI was highly Common (&gt; 90%) in all sites. Of the known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haplotypes, a high frequency of the single mutant 437G haplotype was observed across the country (&gt; 80%). The emerging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haplotype VAGKGS (including mutations in 431V, 437G, 581G and 613S) was observed in particular in southern Benin. The </w:t>
      </w:r>
      <w:r w:rsidRPr="00FE5D1C">
        <w:rPr>
          <w:rFonts w:ascii="Calibri" w:eastAsia="Times New Roman" w:hAnsi="Calibri" w:cs="Calibri"/>
          <w:i/>
          <w:iCs/>
          <w:color w:val="000000"/>
          <w:kern w:val="0"/>
          <w:sz w:val="22"/>
          <w:szCs w:val="22"/>
          <w14:ligatures w14:val="none"/>
        </w:rPr>
        <w:t>Pfmdr</w:t>
      </w:r>
      <w:r w:rsidRPr="00FE5D1C">
        <w:rPr>
          <w:rFonts w:ascii="Calibri" w:eastAsia="Times New Roman" w:hAnsi="Calibri" w:cs="Calibri"/>
          <w:color w:val="000000"/>
          <w:kern w:val="0"/>
          <w:sz w:val="22"/>
          <w:szCs w:val="22"/>
          <w14:ligatures w14:val="none"/>
        </w:rPr>
        <w:t> haplotypes NFD and NYD were prevalent throughout, with NFD being the most common (&gt; 50%). The </w:t>
      </w:r>
      <w:r w:rsidRPr="00FE5D1C">
        <w:rPr>
          <w:rFonts w:ascii="Calibri" w:eastAsia="Times New Roman" w:hAnsi="Calibri" w:cs="Calibri"/>
          <w:i/>
          <w:iCs/>
          <w:color w:val="000000"/>
          <w:kern w:val="0"/>
          <w:sz w:val="22"/>
          <w:szCs w:val="22"/>
          <w14:ligatures w14:val="none"/>
        </w:rPr>
        <w:t>Pfcrt</w:t>
      </w:r>
      <w:r w:rsidRPr="00FE5D1C">
        <w:rPr>
          <w:rFonts w:ascii="Calibri" w:eastAsia="Times New Roman" w:hAnsi="Calibri" w:cs="Calibri"/>
          <w:color w:val="000000"/>
          <w:kern w:val="0"/>
          <w:sz w:val="22"/>
          <w:szCs w:val="22"/>
          <w14:ligatures w14:val="none"/>
        </w:rPr>
        <w:t> CVIET mutant haplotype was more frequent in the departments south of Collines (49%) than in departments to the north (5%). No WHO candidate or validated mutations at </w:t>
      </w:r>
      <w:r w:rsidRPr="00FE5D1C">
        <w:rPr>
          <w:rFonts w:ascii="Calibri" w:eastAsia="Times New Roman" w:hAnsi="Calibri" w:cs="Calibri"/>
          <w:i/>
          <w:iCs/>
          <w:color w:val="000000"/>
          <w:kern w:val="0"/>
          <w:sz w:val="22"/>
          <w:szCs w:val="22"/>
          <w14:ligatures w14:val="none"/>
        </w:rPr>
        <w:t>Pfk13</w:t>
      </w:r>
      <w:r w:rsidRPr="00FE5D1C">
        <w:rPr>
          <w:rFonts w:ascii="Calibri" w:eastAsia="Times New Roman" w:hAnsi="Calibri" w:cs="Calibri"/>
          <w:color w:val="000000"/>
          <w:kern w:val="0"/>
          <w:sz w:val="22"/>
          <w:szCs w:val="22"/>
          <w14:ligatures w14:val="none"/>
        </w:rPr>
        <w:t> were identified. Our study has updated and highlights the emergence of the </w:t>
      </w:r>
      <w:r w:rsidRPr="00FE5D1C">
        <w:rPr>
          <w:rFonts w:ascii="Calibri" w:eastAsia="Times New Roman" w:hAnsi="Calibri" w:cs="Calibri"/>
          <w:i/>
          <w:iCs/>
          <w:color w:val="000000"/>
          <w:kern w:val="0"/>
          <w:sz w:val="22"/>
          <w:szCs w:val="22"/>
          <w14:ligatures w14:val="none"/>
        </w:rPr>
        <w:t>Pfdhps</w:t>
      </w:r>
      <w:r w:rsidRPr="00FE5D1C">
        <w:rPr>
          <w:rFonts w:ascii="Calibri" w:eastAsia="Times New Roman" w:hAnsi="Calibri" w:cs="Calibri"/>
          <w:color w:val="000000"/>
          <w:kern w:val="0"/>
          <w:sz w:val="22"/>
          <w:szCs w:val="22"/>
          <w14:ligatures w14:val="none"/>
        </w:rPr>
        <w:t> 431V, which may challenge the efficacy of SP-PMC. It highlights the necessity for routine monitoring of molecular markers of antimalarial drug resistance as part of national surveillance, and it will inform the implementation and sub-national stratification of PMC and to prevent pediatric malaria.</w:t>
      </w:r>
    </w:p>
    <w:p w14:paraId="46FC22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25-A-2428-ASTMH</w:t>
      </w:r>
    </w:p>
    <w:p w14:paraId="51C078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5FEEB5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Weather variables as predictors of cryptosporidium-attributed acute diarrhea amongst children in LMICs</w:t>
      </w:r>
    </w:p>
    <w:p w14:paraId="63B92B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Diarrheal diseases remain a leading cause of death among pediatric populations in low- and middle-income countries (LMICs). In resource-limited settings, the absence of reliable laboratory testing makes etiological diagnosis challenging. Several clinical prediction models have been developed to distinguish between viral and bacterial causes. However, there has been limited focus on parasitic diarrheal diseases—particularly those caused by </w:t>
      </w:r>
      <w:r w:rsidRPr="00FE5D1C">
        <w:rPr>
          <w:rFonts w:ascii="Calibri" w:eastAsia="Times New Roman" w:hAnsi="Calibri" w:cs="Calibri"/>
          <w:i/>
          <w:iCs/>
          <w:color w:val="000000"/>
          <w:kern w:val="0"/>
          <w:sz w:val="22"/>
          <w:szCs w:val="22"/>
          <w14:ligatures w14:val="none"/>
        </w:rPr>
        <w:t>Cryptosporidium</w:t>
      </w:r>
      <w:r w:rsidRPr="00FE5D1C">
        <w:rPr>
          <w:rFonts w:ascii="Calibri" w:eastAsia="Times New Roman" w:hAnsi="Calibri" w:cs="Calibri"/>
          <w:color w:val="000000"/>
          <w:kern w:val="0"/>
          <w:sz w:val="22"/>
          <w:szCs w:val="22"/>
          <w14:ligatures w14:val="none"/>
        </w:rPr>
        <w:t>, a waterborne zoonotic pathogen. In this study, we aimed first to identify the key predictors of </w:t>
      </w:r>
      <w:r w:rsidRPr="00FE5D1C">
        <w:rPr>
          <w:rFonts w:ascii="Calibri" w:eastAsia="Times New Roman" w:hAnsi="Calibri" w:cs="Calibri"/>
          <w:i/>
          <w:iCs/>
          <w:color w:val="000000"/>
          <w:kern w:val="0"/>
          <w:sz w:val="22"/>
          <w:szCs w:val="22"/>
          <w14:ligatures w14:val="none"/>
        </w:rPr>
        <w:t>Cryptosporidium</w:t>
      </w:r>
      <w:r w:rsidRPr="00FE5D1C">
        <w:rPr>
          <w:rFonts w:ascii="Calibri" w:eastAsia="Times New Roman" w:hAnsi="Calibri" w:cs="Calibri"/>
          <w:color w:val="000000"/>
          <w:kern w:val="0"/>
          <w:sz w:val="22"/>
          <w:szCs w:val="22"/>
          <w14:ligatures w14:val="none"/>
        </w:rPr>
        <w:t>-attributed diarrhea in children under five living in LMICs. We used clinical and demographic data from the Global Enteric Multicenter Study (GEMS), a multicenter case-control study, and integrated site-specific weather data from the NOAA database. We applied a random forest algorithm to identify top predictors and trained both a random forest classification model and a logistic regression model to develop a clinical prediction for cryptosporidia-attributed diarrhea. Our model showed good performances with an AUC of 0.77 using the top 5 predictors and of 0.81 using the top 10. To ensure generalizability, we validated our findings externally using the Vaccine Impact on Diarrhea in Africa (VIDA) dataset. Among the top patient intrinsic predictors were age, absence of fever, and nutritional status. Notably, environmental variables—specifically precipitation and temperature—were also ranked among the top five predictors. These findings demonstrate the importance of exploring patient-extrinsic factors such as rainfall and temperature in the development of clinical prediction models. Our findings also align with known associations between environmental events and Cryptosporidium</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transmission. In conclusion, we show that environmental predictors are top predictors in identifying cryptosporidial infections among LMIC children with acute diarrhea. This supports the idea that testing and treatment strategies for </w:t>
      </w:r>
      <w:r w:rsidRPr="00FE5D1C">
        <w:rPr>
          <w:rFonts w:ascii="Calibri" w:eastAsia="Times New Roman" w:hAnsi="Calibri" w:cs="Calibri"/>
          <w:i/>
          <w:iCs/>
          <w:color w:val="000000"/>
          <w:kern w:val="0"/>
          <w:sz w:val="22"/>
          <w:szCs w:val="22"/>
          <w14:ligatures w14:val="none"/>
        </w:rPr>
        <w:t>Cryptosporidium</w:t>
      </w:r>
      <w:r w:rsidRPr="00FE5D1C">
        <w:rPr>
          <w:rFonts w:ascii="Calibri" w:eastAsia="Times New Roman" w:hAnsi="Calibri" w:cs="Calibri"/>
          <w:color w:val="000000"/>
          <w:kern w:val="0"/>
          <w:sz w:val="22"/>
          <w:szCs w:val="22"/>
          <w14:ligatures w14:val="none"/>
        </w:rPr>
        <w:t> could be significantly improved by the addition of recent weather patterns to decision algorithms.</w:t>
      </w:r>
    </w:p>
    <w:p w14:paraId="51C1498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25-A-2429-ASTMH</w:t>
      </w:r>
    </w:p>
    <w:p w14:paraId="7F2EA9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3C2829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Developing a Coordinated Response Plan for Highly Pathogenic Avian Influenza (H5N1) in Galveston County, Texas</w:t>
      </w:r>
    </w:p>
    <w:p w14:paraId="6BDB42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Highly pathogenic avian influenza (HPAI), particularly H5N1, poses a significant threat to avian, mammalian, and human populations. With increasing reports of wild bird infections and transmission from sick birds to humans, the need for a structured avian flu response plan has become a priority in Galveston County. This project develops and implements a coordinated response to avian influenza through enhanced surveillance, public health messaging, and interagency collaboration. Galveston County's unique position along the central flyway for migratory birds makes it a vital site for avian flu monitoring. Recent cases in humans, livestock, and wild animals in the U.S. underscore the importance of proactive measures. Our project involves collaboration between public health officials, infectious disease specialists, environmental scientists, and emergency management personnel to establish a framework for surveillance and response. Key activities include: (1) development of public health messaging for community awareness; (2) a sampling plan for wild birds, including provision of sampling kits and county-wide protocols; (3) enhanced community and hospital surveillance for H5N1 cases; (4) implementation of a reporting and tracking system for exposed humans and test results; and (5) multidisciplinary coordination efforts. We emphasize clear response protocols for handling sick and dead birds, including safe sample collection and testing, the importance of interagency coordination, and the value of proactive public health messaging. Challenges include the operationalization of large-scale testing and the development of efficient data tracking systems across species. Next steps involve finalizing the sampling and testing protocols, integrating public health messaging into community outreach efforts, and expanding collaborations with local stakeholders. Establishing triggers for </w:t>
      </w:r>
      <w:r w:rsidRPr="00FE5D1C">
        <w:rPr>
          <w:rFonts w:ascii="Calibri" w:eastAsia="Times New Roman" w:hAnsi="Calibri" w:cs="Calibri"/>
          <w:color w:val="000000"/>
          <w:kern w:val="0"/>
          <w:sz w:val="22"/>
          <w:szCs w:val="22"/>
          <w14:ligatures w14:val="none"/>
        </w:rPr>
        <w:lastRenderedPageBreak/>
        <w:t>response escalation and streamlining communication channels will be critical for an effective H5N1 response in Galveston County.</w:t>
      </w:r>
    </w:p>
    <w:p w14:paraId="559BB6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25-A-2430-ASTMH</w:t>
      </w:r>
    </w:p>
    <w:p w14:paraId="51C5AEE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27D31F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From High Transmission to Near Elimination: Malaria Trends in Nyamisati, Tanzania (1986-2024)</w:t>
      </w:r>
    </w:p>
    <w:p w14:paraId="697C51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a Public Health Concern. Longitudinal Epidemiological Studies are Crucial for Informing Efforts to Control and Eliminate Malaria. This Study Aimed to Describe the Epidemiology of Malaria and its Impact on Anaemia over Time in Nyamisati, a Village in the Rufiji River Delta on the Coast of Tanzania. The Study Included Children and Adults Participating in Eleven Cross-Sectional Surveys from 1986 to 2024. Microscopy, mRDT and Multiplex Real-Time PCR were Used to Screen for Malaria Parasites. Haemoglobin Concentrations were Measured in All Samples to Determine the Prevalence of Anaemia. Parasite Prevalence Declined over the Years. In All Ages Parasite Prevalence Measured by Microscopy and Real-Time PCR Dropped from 68.7% (95% CI, 64.5–72.7%) and 69.7% (95% CI, 62.8–75.8%) in 1986, to 0.7% (95% CI, 0.2–2.0%) and 3.5% (95% CI, 2.1–5.7%) in 2024, Respectively. Parasite Prevalence Among Children Aged 2-10 Years by Microscopy (the Age Group and Method Defining Transmission Intensity) Declined from 90.0% in 1986 to 1.6% in 2024. In the Early Surveys, the Proportion of Individuals with Any Level of Anaemia Was Highest in 1995 at 67.1% (95% CI 62.1–71.8%). The Prevalence of Anaemia Declined to 37.9% (95% CI, 33.8–42.2%) in 2016 with the Most Significant Drop in Severe and Moderate Anaemia. The Prevalence of Anaemia Remained at About 45% from 2018 through 2024. The Proportion of Individuals with Anaemia Was Higher Among PCR Parasite-Positive than in PCR-Negative Individuals in All Cross-Sectional Surveys Except in 2018. We Observed Substantial Reduction in Malaria Transmission Over 38 Years. Severe and Moderate Anaemia Decreased Significantly with Declining Malaria Transmission from 1986 To 2016. Thereafter, No Significant Change in the Overall Prevalence of Anaemia Was Observed Despite Further Reduction in Parasite Prevalence. Anaemia Was Associated with Parasite Carriage. It is Vital to Understand the Reasons for the Decline of Malaria Transmission to Very Low Levels and Persisting Anaemia, but also the Consequences and Risks of the Significant Reduction in Malaria Transmission in an Area that Previously had Very High Transmission.</w:t>
      </w:r>
    </w:p>
    <w:p w14:paraId="616131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25-A-2432-ASTMH</w:t>
      </w:r>
    </w:p>
    <w:p w14:paraId="68A820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14F5AA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Perinatal Chagas disease in El Salvador: Updated evidence for inclusion of </w:t>
      </w:r>
      <w:r w:rsidRPr="00FE5D1C">
        <w:rPr>
          <w:rFonts w:ascii="Calibri" w:eastAsia="Times New Roman" w:hAnsi="Calibri" w:cs="Calibri"/>
          <w:b/>
          <w:bCs/>
          <w:i/>
          <w:iCs/>
          <w:color w:val="000000"/>
          <w:kern w:val="0"/>
          <w:sz w:val="22"/>
          <w:szCs w:val="22"/>
          <w14:ligatures w14:val="none"/>
        </w:rPr>
        <w:t>T. cruzi</w:t>
      </w:r>
      <w:r w:rsidRPr="00FE5D1C">
        <w:rPr>
          <w:rFonts w:ascii="Calibri" w:eastAsia="Times New Roman" w:hAnsi="Calibri" w:cs="Calibri"/>
          <w:b/>
          <w:bCs/>
          <w:color w:val="000000"/>
          <w:kern w:val="0"/>
          <w:sz w:val="22"/>
          <w:szCs w:val="22"/>
          <w14:ligatures w14:val="none"/>
        </w:rPr>
        <w:t> in routine prenatal care infectious disease screening</w:t>
      </w:r>
    </w:p>
    <w:p w14:paraId="2F9D8B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Abstract </w:t>
      </w:r>
      <w:r w:rsidRPr="00FE5D1C">
        <w:rPr>
          <w:rFonts w:ascii="Calibri" w:eastAsia="Times New Roman" w:hAnsi="Calibri" w:cs="Calibri"/>
          <w:b/>
          <w:bCs/>
          <w:color w:val="000000"/>
          <w:kern w:val="0"/>
          <w:sz w:val="22"/>
          <w:szCs w:val="22"/>
          <w14:ligatures w14:val="none"/>
        </w:rPr>
        <w:t>Perinatal Chagas disease in El Salvador: Updated evidence for inclusion of </w:t>
      </w:r>
      <w:r w:rsidRPr="00FE5D1C">
        <w:rPr>
          <w:rFonts w:ascii="Calibri" w:eastAsia="Times New Roman" w:hAnsi="Calibri" w:cs="Calibri"/>
          <w:b/>
          <w:bCs/>
          <w:i/>
          <w:iCs/>
          <w:color w:val="000000"/>
          <w:kern w:val="0"/>
          <w:sz w:val="22"/>
          <w:szCs w:val="22"/>
          <w14:ligatures w14:val="none"/>
        </w:rPr>
        <w:t>T. cruzi</w:t>
      </w:r>
      <w:r w:rsidRPr="00FE5D1C">
        <w:rPr>
          <w:rFonts w:ascii="Calibri" w:eastAsia="Times New Roman" w:hAnsi="Calibri" w:cs="Calibri"/>
          <w:b/>
          <w:bCs/>
          <w:color w:val="000000"/>
          <w:kern w:val="0"/>
          <w:sz w:val="22"/>
          <w:szCs w:val="22"/>
          <w14:ligatures w14:val="none"/>
        </w:rPr>
        <w:t> in routine prenatal care infectious disease screening</w:t>
      </w:r>
      <w:r w:rsidRPr="00FE5D1C">
        <w:rPr>
          <w:rFonts w:ascii="Calibri" w:eastAsia="Times New Roman" w:hAnsi="Calibri" w:cs="Calibri"/>
          <w:color w:val="000000"/>
          <w:kern w:val="0"/>
          <w:sz w:val="22"/>
          <w:szCs w:val="22"/>
          <w14:ligatures w14:val="none"/>
        </w:rPr>
        <w:t>Marvin Stanley Rodríguez Aquino, M.S., M.K. Lynn, Ph.D, Pamela Michelle Cornejo Rivas BSc. Carlos Alberto Buendía Rivas, M.S., Lídia Gual González, Ph. D, Amaury Morales Landrove, M.D., Alexandra Manoella Portillo de Juarez, M.D., Roberto Aguila Cerón, MD, Diana García López, M.D., Melissa S. Nolan, Ph.D.,Congenital transmission of Chagas disease has become an important source of globally prevalent cases, accounting for nearly 25% of all infections. Despite the Pan American Health Organization’s enhanced focus on eliminating mother-to-child transmission, many endemic countries still lack prenatal screening policies and investigations of infection during pregnancy. El Salvador is a Central American country with a historically high case burden, yet only one confirmed case of congenital infection has been identified. Our previous pilot study screened 198 pregnant women for </w:t>
      </w:r>
      <w:r w:rsidRPr="00FE5D1C">
        <w:rPr>
          <w:rFonts w:ascii="Calibri" w:eastAsia="Times New Roman" w:hAnsi="Calibri" w:cs="Calibri"/>
          <w:i/>
          <w:iCs/>
          <w:color w:val="000000"/>
          <w:kern w:val="0"/>
          <w:sz w:val="22"/>
          <w:szCs w:val="22"/>
          <w14:ligatures w14:val="none"/>
        </w:rPr>
        <w:t>T. cruzi</w:t>
      </w:r>
      <w:r w:rsidRPr="00FE5D1C">
        <w:rPr>
          <w:rFonts w:ascii="Calibri" w:eastAsia="Times New Roman" w:hAnsi="Calibri" w:cs="Calibri"/>
          <w:color w:val="000000"/>
          <w:kern w:val="0"/>
          <w:sz w:val="22"/>
          <w:szCs w:val="22"/>
          <w14:ligatures w14:val="none"/>
        </w:rPr>
        <w:t xml:space="preserve"> in western El Salvador, finding 3.5 % seropositivity. Here we present updated results of this work, where an additional &gt;530 pregnant women were screened, along with infants and family members of seropositive and indeterminate index cases. Preliminary findings of both project phases identified 4.0% seropositive and 2.8% indeterminate cases. Among 8 women with completed follow-up, we identified 16% (5/32) seropositive family members. Infant and family test </w:t>
      </w:r>
      <w:r w:rsidRPr="00FE5D1C">
        <w:rPr>
          <w:rFonts w:ascii="Calibri" w:eastAsia="Times New Roman" w:hAnsi="Calibri" w:cs="Calibri"/>
          <w:color w:val="000000"/>
          <w:kern w:val="0"/>
          <w:sz w:val="22"/>
          <w:szCs w:val="22"/>
          <w14:ligatures w14:val="none"/>
        </w:rPr>
        <w:lastRenderedPageBreak/>
        <w:t>results for the 37 additional phase II index cases are currently in process and will be completed by June 2025.The combined results of this joint project between researchers and the Ministry of Health, suggests incorporating Chagas disease into national guidelines for prenatal care testing in El Salvador is warranted. This study further demonstrates that expanding routine follow-up to family members of index cases could prove a useful strategy to streamline case identification, treatment, and overall Chagas disease elimination efforts.</w:t>
      </w:r>
    </w:p>
    <w:p w14:paraId="4A05BB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25-A-2433-ASTMH</w:t>
      </w:r>
    </w:p>
    <w:p w14:paraId="59029CE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54497C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Impact of early life malaria chemoprevention on immunogenicity of pneumococcal vaccination in childhood</w:t>
      </w:r>
    </w:p>
    <w:p w14:paraId="222C5C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exposure in early life may influence immune responses to childhood vaccines, potentially altering vaccine immunogenicity. While intermittent preventive treatment in childhood (IPTc) reduces malaria burden, its impact on immune responses to vaccines such as the pneumococcal conjugate vaccine (PCV-10; given at 6, 10, and 14 weeks in Uganda) remains unclear. Despite PCV-10 introduction, Uganda continues to experience a high pneumococcal disease burden, with pneumonia accounting for 22% of hospital admissions and a case fatality ratio of 0.24% among children under five. This study was conducted among infants from Busia district, Uganda enrolled in the MIC-DroP trial (NCT04978272), a randomized controlled study evaluating monthly IPTc with dihydroartemisinin-piperaquine (DP). In this trial, 924 infants were randomized to receive either monthly IPTc-DP from 8 weeks to either 1 or 2 years (n=616), or no IPTc (n=308). From a subset of 209 infants, we assessed IgG responses to the 10 pneumococcal serotypes included in PCV-10 using plasma samples collected at 8, 24, and 52 weeks of age. IgG concentrations (µg/mL) were derived from median fluorescence intensities (MFIs) using a Magpix multiplex assay. Malaria exposure status was detected through both active and passive surveillance. We examined the influence of age and malaria exposure history on PCV-10 serologic responses. Antibody responses and seroprevalence varied by serotype and age. IgG concentrations to all serotypes increased from week 8 to week 24, and from week 24 to week 52, in most but not all participants, indicating successful vaccine priming and boosting. Preliminary analyses also suggest differences by malaria exposure history; unblinded analyses by study arms will be shared at the meeting.</w:t>
      </w:r>
    </w:p>
    <w:p w14:paraId="1AE38C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25-A-2434-ASTMH</w:t>
      </w:r>
    </w:p>
    <w:p w14:paraId="269CA8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630499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Expanding Clinical Trial Access through a Mobile Clinical Trials Unit in Northern Nigeria. A Model for Rural Research Capacity Strengthening</w:t>
      </w:r>
    </w:p>
    <w:p w14:paraId="4286E1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Access to clinical trials remains limited in many rural and underserved regions of sub-Saharan Africa, constraining inclusive research and equitable epidemic preparedness. In response, a Mobile Clinical Trials Unit (CTU) is being developed under CEPI’s ARC-WA initiative to extend trial capacity to remote settings in Bauchi State, Nigeria. The initiative is led by the Medical Research Council Unit The Gambia at LSHTM and the International Vaccine Institute (IVI), in collaboration with Abubakar Tafawa Balewa University Teaching Hospital (ATBUTH). The mobile CTU is built from a 20-foot modified container mounted on a flatbed truck and designed to support core clinical trial activities. It houses clinical consultation, laboratory, and pharmacy spaces, and is equipped with solar panels, water storage, ultra-low temperature freezers, and secure storage for supplies. Retractable tents and portable furniture allow for flexible deployment and participant interaction in field settings. The unit complements ongoing efforts to establish permanent infrastructure at ATBUTH while enabling outreach to communities where fixed facilities are not feasible. Beyond supporting decentralized trial procedures, the mobile CTU facilitates training, community engagement, and rapid deployment during public health emergencies. It serves as a scalable model for delivering high-quality research in low-resource environments. This approach offers practical insights into designing adaptable trial infrastructure, and highlights how </w:t>
      </w:r>
      <w:r w:rsidRPr="00FE5D1C">
        <w:rPr>
          <w:rFonts w:ascii="Calibri" w:eastAsia="Times New Roman" w:hAnsi="Calibri" w:cs="Calibri"/>
          <w:color w:val="000000"/>
          <w:kern w:val="0"/>
          <w:sz w:val="22"/>
          <w:szCs w:val="22"/>
          <w14:ligatures w14:val="none"/>
        </w:rPr>
        <w:lastRenderedPageBreak/>
        <w:t>innovation in site delivery can help close equity gaps in epidemic preparedness and clinical research access.</w:t>
      </w:r>
    </w:p>
    <w:p w14:paraId="4B950C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25-A-2435-ASTMH</w:t>
      </w:r>
    </w:p>
    <w:p w14:paraId="3013ED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0784E7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CD8⁺ T-Cell Signatures for Tuberculosis Diagnosis and Treatment Monitoring.</w:t>
      </w:r>
    </w:p>
    <w:p w14:paraId="10B936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Although IGRA assays have shown utility as non-sputum blood-based tools for screening or diagnosis in tuberculosis (TB) non-endemic countries, deployment in endemic, BCG-vaccinated countries is limited by reports of sub-optimisation, especially among non-responsive TB subpopulations. In this current study, we explored the use of multi-marker CD8⁺ T-cell signatures as a biomarker for diagnostic and therapeutic monitoring of tuberculosis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an endemic, BCG-vaccinated population. A case-control design with 88 TB patients and 47 matched controls was employed alongside a longitudinal cohort of 41 TB patients evaluated at baseline, 6 weeks, and 16 weeks of treatment. Tuberculosis was diagnosed using chest X-ray, sputum microscopy, culture, and GeneXpert. Whole blood ex vivo staining was done to phenotype multi-marker CD8⁺ T-cell signatures by multicolour flow cytometry whereas plasma cytokine levels were quantified using a 7-plex cytokine bead assay. Mann-Whitney U, Wilcoxon signed-rank test, ROC analysis and Spearman correlation were employed for analysis. CD8⁺CD38⁺CD27</w:t>
      </w:r>
      <w:r w:rsidRPr="00FE5D1C">
        <w:rPr>
          <w:rFonts w:ascii="Calibri" w:eastAsia="Times New Roman" w:hAnsi="Calibri" w:cs="Calibri"/>
          <w:color w:val="000000"/>
          <w:kern w:val="0"/>
          <w:sz w:val="22"/>
          <w:szCs w:val="22"/>
          <w:vertAlign w:val="superscript"/>
          <w14:ligatures w14:val="none"/>
        </w:rPr>
        <w:t>lo</w:t>
      </w:r>
      <w:r w:rsidRPr="00FE5D1C">
        <w:rPr>
          <w:rFonts w:ascii="Calibri" w:eastAsia="Times New Roman" w:hAnsi="Calibri" w:cs="Calibri"/>
          <w:color w:val="000000"/>
          <w:kern w:val="0"/>
          <w:sz w:val="22"/>
          <w:szCs w:val="22"/>
          <w14:ligatures w14:val="none"/>
        </w:rPr>
        <w:t> T-cell proportions showed good discrimination capacity between tuberculosis patients and household contacts (AUC=0.75, p&lt;0.0001), regardless of sputum mycobacterial burden (Low burden: AUC=0.76, p&lt;0.0007; high Burden: AUC=0.74, p&lt;0.001) or BCG vaccination status (BCG scar</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 AUC=0.74, p&lt;0.001; BCG Scar</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 AUC=0.74, p=0.0037). Additionally, CD8⁺CD38⁺CD27</w:t>
      </w:r>
      <w:r w:rsidRPr="00FE5D1C">
        <w:rPr>
          <w:rFonts w:ascii="Calibri" w:eastAsia="Times New Roman" w:hAnsi="Calibri" w:cs="Calibri"/>
          <w:color w:val="000000"/>
          <w:kern w:val="0"/>
          <w:sz w:val="22"/>
          <w:szCs w:val="22"/>
          <w:vertAlign w:val="superscript"/>
          <w14:ligatures w14:val="none"/>
        </w:rPr>
        <w:t>lo</w:t>
      </w:r>
      <w:r w:rsidRPr="00FE5D1C">
        <w:rPr>
          <w:rFonts w:ascii="Calibri" w:eastAsia="Times New Roman" w:hAnsi="Calibri" w:cs="Calibri"/>
          <w:color w:val="000000"/>
          <w:kern w:val="0"/>
          <w:sz w:val="22"/>
          <w:szCs w:val="22"/>
          <w14:ligatures w14:val="none"/>
        </w:rPr>
        <w:t> T-cell proportions correlated significantly with plasma IFN-γ levels at baseline (r=0.48, p=0.0081), IL-6 and IP-10 at 6 weeks (IL-6: r=0.48, p=0.0088; IP-10: r=0.40, p=0.0339), and IL-6, IP-10 and IL-10 at 16 weeks post-treatment (IL-6: r=0.58, p=0.0011; IP-10: r=0.50, p=0.0054; IL-10: r=0.37, p=0.0497). By 16 weeks post-treatment, CD8⁺CD38⁺CD27</w:t>
      </w:r>
      <w:r w:rsidRPr="00FE5D1C">
        <w:rPr>
          <w:rFonts w:ascii="Calibri" w:eastAsia="Times New Roman" w:hAnsi="Calibri" w:cs="Calibri"/>
          <w:color w:val="000000"/>
          <w:kern w:val="0"/>
          <w:sz w:val="22"/>
          <w:szCs w:val="22"/>
          <w:vertAlign w:val="superscript"/>
          <w14:ligatures w14:val="none"/>
        </w:rPr>
        <w:t>lo</w:t>
      </w:r>
      <w:r w:rsidRPr="00FE5D1C">
        <w:rPr>
          <w:rFonts w:ascii="Calibri" w:eastAsia="Times New Roman" w:hAnsi="Calibri" w:cs="Calibri"/>
          <w:color w:val="000000"/>
          <w:kern w:val="0"/>
          <w:sz w:val="22"/>
          <w:szCs w:val="22"/>
          <w14:ligatures w14:val="none"/>
        </w:rPr>
        <w:t> T-cell proportions normalized significantly, suggesting resolution of immune activation. Our findings suggest a dynamic change in CD8⁺CD38⁺CD27</w:t>
      </w:r>
      <w:r w:rsidRPr="00FE5D1C">
        <w:rPr>
          <w:rFonts w:ascii="Calibri" w:eastAsia="Times New Roman" w:hAnsi="Calibri" w:cs="Calibri"/>
          <w:color w:val="000000"/>
          <w:kern w:val="0"/>
          <w:sz w:val="22"/>
          <w:szCs w:val="22"/>
          <w:vertAlign w:val="superscript"/>
          <w14:ligatures w14:val="none"/>
        </w:rPr>
        <w:t>lo</w:t>
      </w:r>
      <w:r w:rsidRPr="00FE5D1C">
        <w:rPr>
          <w:rFonts w:ascii="Calibri" w:eastAsia="Times New Roman" w:hAnsi="Calibri" w:cs="Calibri"/>
          <w:color w:val="000000"/>
          <w:kern w:val="0"/>
          <w:sz w:val="22"/>
          <w:szCs w:val="22"/>
          <w14:ligatures w14:val="none"/>
        </w:rPr>
        <w:t> T-cells in TB immunopathology and highlight its potential as a biomarker for TB diagnosis and treatment monitoring, offering insights into immune regulation during therapy.</w:t>
      </w:r>
    </w:p>
    <w:p w14:paraId="2C7C58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25-A-2436-ASTMH</w:t>
      </w:r>
    </w:p>
    <w:p w14:paraId="396271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10AF3C8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Intravenous Ferric Carboxymaltose versus Oral Iron in Pregnancy and Infant Growth: Evidence from a Randomised Controlled Trial in Malawi</w:t>
      </w:r>
    </w:p>
    <w:p w14:paraId="2DB2FD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Maternal anemia during pregnancy is associated with growth faltering in childhood, but whether treatment with intravenous (IV) iron could improve child growth remains unclear. We investigated if IV ferric carboxymaltose (FCM) for anemia in pregnancy improves child growth compared to standard-of-care (SOC) oral iron in an infectious disease-prone setting. We followed infants born in a randomized controlled trial in Malawi (REVAMP), where 862 anemic pregnant women (capillary hemoglobin&lt;10g/dl&gt;5g/dl); 13-26 weeks’ gestation) were assigned to IV FCM (single up to 1000mg dose) or SOC (oral ferrous sulphate, 200mg twice daily [</w:t>
      </w:r>
      <w:r w:rsidRPr="00FE5D1C">
        <w:rPr>
          <w:rFonts w:ascii="Cambria Math" w:eastAsia="Times New Roman" w:hAnsi="Cambria Math" w:cs="Cambria Math"/>
          <w:color w:val="000000"/>
          <w:kern w:val="0"/>
          <w:sz w:val="22"/>
          <w:szCs w:val="22"/>
          <w14:ligatures w14:val="none"/>
        </w:rPr>
        <w:t>∼</w:t>
      </w:r>
      <w:r w:rsidRPr="00FE5D1C">
        <w:rPr>
          <w:rFonts w:ascii="Calibri" w:eastAsia="Times New Roman" w:hAnsi="Calibri" w:cs="Calibri"/>
          <w:color w:val="000000"/>
          <w:kern w:val="0"/>
          <w:sz w:val="22"/>
          <w:szCs w:val="22"/>
          <w14:ligatures w14:val="none"/>
        </w:rPr>
        <w:t xml:space="preserve">120mg elemental iron per day] until delivery). Length and weight were measured at birth, 1, 3, 6, 9 and 12 months. Age- and sex-standardized z-scores (length-for-age [LAZ], weight-for-age [WAZ] and weight-for-length [WLZ] were derived using the World Health Organisation Growth Standards. Z-scores below -2 defined stunting, underweight and wasting. The repeated measures were analyzed using mixed-effects models. A total of 738 infants (FCM: n=371; SOC: n=367) were followed between March 2019 and October 2022. There was no evidence of a significant difference between treatment groups in mean LAZ (mean difference [95% CI] IV to oral iron: -0.04 [-0·29, 0.20] at birth; 0.12 [-0.13, 0.37] at 6 months; and -0.15 [-0.37, 0.08] at 12 months), WAZ (-0.04 [-0.21, 0.13] at birth; 0.05 [-0.15, 0.25] at 6 months; and -0.02 [-0.21, 0.16] at 12 months) or WLZ (-0.11 [-0.40, 0.17] at birth; -0.06 [-0.34, 0.21] at 6 months; and 0.02 [-0.20, 0.24] at 12 months). Similarly, there was no difference in stunting, underweight and wasting at all time points. The proportion with stunting, wasting and underweight was high at birth fluctuating slightly over the 12 months. Stunting </w:t>
      </w:r>
      <w:r w:rsidRPr="00FE5D1C">
        <w:rPr>
          <w:rFonts w:ascii="Calibri" w:eastAsia="Times New Roman" w:hAnsi="Calibri" w:cs="Calibri"/>
          <w:color w:val="000000"/>
          <w:kern w:val="0"/>
          <w:sz w:val="22"/>
          <w:szCs w:val="22"/>
          <w14:ligatures w14:val="none"/>
        </w:rPr>
        <w:lastRenderedPageBreak/>
        <w:t>was more common in mothers aged &lt;20 years, &lt;150cm in height and with none or primary education, though treatment effects showed no evidence of heterogeneity. In this setting, IV FCM in pregnancy did not enhance infant growth compared to SOC. Further research could explore the role of intervention timing, parity and education in this setting.</w:t>
      </w:r>
      <w:r w:rsidRPr="00FE5D1C">
        <w:rPr>
          <w:rFonts w:ascii="Calibri" w:eastAsia="Times New Roman" w:hAnsi="Calibri" w:cs="Calibri"/>
          <w:color w:val="000000"/>
          <w:kern w:val="0"/>
          <w:sz w:val="22"/>
          <w:szCs w:val="22"/>
          <w14:ligatures w14:val="none"/>
        </w:rPr>
        <w:br/>
      </w:r>
      <w:r w:rsidRPr="00FE5D1C">
        <w:rPr>
          <w:rFonts w:ascii="Calibri" w:eastAsia="Times New Roman" w:hAnsi="Calibri" w:cs="Calibri"/>
          <w:i/>
          <w:iCs/>
          <w:color w:val="000000"/>
          <w:kern w:val="0"/>
          <w:sz w:val="22"/>
          <w:szCs w:val="22"/>
          <w14:ligatures w14:val="none"/>
        </w:rPr>
        <w:t>Trial Reg: ACTRN12618001268235</w:t>
      </w:r>
    </w:p>
    <w:p w14:paraId="46B264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25-A-2437-ASTMH</w:t>
      </w:r>
    </w:p>
    <w:p w14:paraId="44C9F5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12CB12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Updating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group members in Burkina Faso: species distribution and contribution to malaria transmission</w:t>
      </w:r>
    </w:p>
    <w:p w14:paraId="138308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Anopheles funestus </w:t>
      </w:r>
      <w:r w:rsidRPr="00FE5D1C">
        <w:rPr>
          <w:rFonts w:ascii="Calibri" w:eastAsia="Times New Roman" w:hAnsi="Calibri" w:cs="Calibri"/>
          <w:color w:val="000000"/>
          <w:kern w:val="0"/>
          <w:sz w:val="22"/>
          <w:szCs w:val="22"/>
          <w14:ligatures w14:val="none"/>
        </w:rPr>
        <w:t>Giles, along with </w:t>
      </w:r>
      <w:r w:rsidRPr="00FE5D1C">
        <w:rPr>
          <w:rFonts w:ascii="Calibri" w:eastAsia="Times New Roman" w:hAnsi="Calibri" w:cs="Calibri"/>
          <w:i/>
          <w:iCs/>
          <w:color w:val="000000"/>
          <w:kern w:val="0"/>
          <w:sz w:val="22"/>
          <w:szCs w:val="22"/>
          <w14:ligatures w14:val="none"/>
        </w:rPr>
        <w:t>An. gambiae is</w:t>
      </w:r>
      <w:r w:rsidRPr="00FE5D1C">
        <w:rPr>
          <w:rFonts w:ascii="Calibri" w:eastAsia="Times New Roman" w:hAnsi="Calibri" w:cs="Calibri"/>
          <w:color w:val="000000"/>
          <w:kern w:val="0"/>
          <w:sz w:val="22"/>
          <w:szCs w:val="22"/>
          <w14:ligatures w14:val="none"/>
        </w:rPr>
        <w:t> one of the most efficient malaria vectors in Africa, thriving in a variety of environments and well adapted to breeding in semi-permanent and permanent water bodies. This study investigated the spatial distribution of the </w:t>
      </w:r>
      <w:r w:rsidRPr="00FE5D1C">
        <w:rPr>
          <w:rFonts w:ascii="Calibri" w:eastAsia="Times New Roman" w:hAnsi="Calibri" w:cs="Calibri"/>
          <w:i/>
          <w:iCs/>
          <w:color w:val="000000"/>
          <w:kern w:val="0"/>
          <w:sz w:val="22"/>
          <w:szCs w:val="22"/>
          <w14:ligatures w14:val="none"/>
        </w:rPr>
        <w:t>An</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funestus</w:t>
      </w:r>
      <w:r w:rsidRPr="00FE5D1C">
        <w:rPr>
          <w:rFonts w:ascii="Calibri" w:eastAsia="Times New Roman" w:hAnsi="Calibri" w:cs="Calibri"/>
          <w:color w:val="000000"/>
          <w:kern w:val="0"/>
          <w:sz w:val="22"/>
          <w:szCs w:val="22"/>
          <w14:ligatures w14:val="none"/>
        </w:rPr>
        <w:t> group and their contribution to malaria transmission in Burkina Faso. An entomological survey was conducted in 22 sites within the ecological zones of Burkina Faso from October to December 2022. Mosquitoes were collected using a pyrethrum spray catch and identified at the complex species level using morphological keys. A polymerase chain reaction was performed for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group member identification, blood meal sources and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infection. A total</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of</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617</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individuals of the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group were collected across 8 regions of Burkina Faso.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s.s. was the most prevalent species identified with a frequency of up to 95% (589/617). The majority was identified in the Hauts-Bassins and the Sud-Ouest regions with 30% (177/589) and 55% (329/589), respectively. Hybrids between </w:t>
      </w:r>
      <w:r w:rsidRPr="00FE5D1C">
        <w:rPr>
          <w:rFonts w:ascii="Calibri" w:eastAsia="Times New Roman" w:hAnsi="Calibri" w:cs="Calibri"/>
          <w:i/>
          <w:iCs/>
          <w:color w:val="000000"/>
          <w:kern w:val="0"/>
          <w:sz w:val="22"/>
          <w:szCs w:val="22"/>
          <w14:ligatures w14:val="none"/>
        </w:rPr>
        <w:t>An. rivulorum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rivulorum</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like</w:t>
      </w:r>
      <w:r w:rsidRPr="00FE5D1C">
        <w:rPr>
          <w:rFonts w:ascii="Calibri" w:eastAsia="Times New Roman" w:hAnsi="Calibri" w:cs="Calibri"/>
          <w:color w:val="000000"/>
          <w:kern w:val="0"/>
          <w:sz w:val="22"/>
          <w:szCs w:val="22"/>
          <w14:ligatures w14:val="none"/>
        </w:rPr>
        <w:t> were identified at a frequency of 3.57% (22/617). Additionally, results showed a high prevalence of zoophilic behaviour (64.3% of the blood source) in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with livestock serving as an alternative blood source when the human host was inaccessible.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infection was detected in 5.76% (33/572) of the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populations with a frequency of 5.6% (32/572) and 0.174% (1/572) in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s.s.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rivulorum</w:t>
      </w:r>
      <w:r w:rsidRPr="00FE5D1C">
        <w:rPr>
          <w:rFonts w:ascii="Calibri" w:eastAsia="Times New Roman" w:hAnsi="Calibri" w:cs="Calibri"/>
          <w:color w:val="000000"/>
          <w:kern w:val="0"/>
          <w:sz w:val="22"/>
          <w:szCs w:val="22"/>
          <w14:ligatures w14:val="none"/>
        </w:rPr>
        <w:t>-like, respectively. This study updates the distribution of the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group and its importance in malaria transmission in Burkina Faso. It emphasises the need to strengthen malaria vector surveillance and highlights the importance of incorporating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in developing innovative vector control interventions.</w:t>
      </w:r>
    </w:p>
    <w:p w14:paraId="24EFBCE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25-A-2438-ASTMH</w:t>
      </w:r>
    </w:p>
    <w:p w14:paraId="1C2E68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3B7CD7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Bionomics of </w:t>
      </w:r>
      <w:r w:rsidRPr="00FE5D1C">
        <w:rPr>
          <w:rFonts w:ascii="Calibri" w:eastAsia="Times New Roman" w:hAnsi="Calibri" w:cs="Calibri"/>
          <w:b/>
          <w:bCs/>
          <w:i/>
          <w:iCs/>
          <w:color w:val="000000"/>
          <w:kern w:val="0"/>
          <w:sz w:val="22"/>
          <w:szCs w:val="22"/>
          <w14:ligatures w14:val="none"/>
        </w:rPr>
        <w:t>Anopheles pseudopunctipennis</w:t>
      </w:r>
      <w:r w:rsidRPr="00FE5D1C">
        <w:rPr>
          <w:rFonts w:ascii="Calibri" w:eastAsia="Times New Roman" w:hAnsi="Calibri" w:cs="Calibri"/>
          <w:b/>
          <w:bCs/>
          <w:color w:val="000000"/>
          <w:kern w:val="0"/>
          <w:sz w:val="22"/>
          <w:szCs w:val="22"/>
          <w14:ligatures w14:val="none"/>
        </w:rPr>
        <w:t> in a Malaria Endemic Region of Northern Mexico</w:t>
      </w:r>
    </w:p>
    <w:p w14:paraId="3F7326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public health issue in Mexico, with persistent transmission hotspots in the southern states of Chiapas and Oaxaca, and in the northern states of Chihuahua, Sinaloa, and Durango. The Tarahumara region in the Sierra Madre Occidental lowlands of Chihuahua continues to experience malaria transmission, with environmental and socio-economic factors contributing to recurrent outbreaks. Due to the remote nature of these areas, there is a lack of comprehensive entomological studies on anopheline mosquitoes. This study aims to evaluate key factors related to the vectorial capacity of </w:t>
      </w:r>
      <w:r w:rsidRPr="00FE5D1C">
        <w:rPr>
          <w:rFonts w:ascii="Calibri" w:eastAsia="Times New Roman" w:hAnsi="Calibri" w:cs="Calibri"/>
          <w:i/>
          <w:iCs/>
          <w:color w:val="000000"/>
          <w:kern w:val="0"/>
          <w:sz w:val="22"/>
          <w:szCs w:val="22"/>
          <w14:ligatures w14:val="none"/>
        </w:rPr>
        <w:t>Anopheles pseudopunctipennis</w:t>
      </w:r>
      <w:r w:rsidRPr="00FE5D1C">
        <w:rPr>
          <w:rFonts w:ascii="Calibri" w:eastAsia="Times New Roman" w:hAnsi="Calibri" w:cs="Calibri"/>
          <w:color w:val="000000"/>
          <w:kern w:val="0"/>
          <w:sz w:val="22"/>
          <w:szCs w:val="22"/>
          <w14:ligatures w14:val="none"/>
        </w:rPr>
        <w:t>, including biting dynamics, survivorship, and the gonotrophic cycle, in the San José de Valenzuela community, a reemerging malaria focus. Entomological collections were conducted during the rainy season (July-September 2024). Human landing catches (HLC) were performed by two trained volunteers using manual aspirators to collect blood-seeking females of </w:t>
      </w:r>
      <w:r w:rsidRPr="00FE5D1C">
        <w:rPr>
          <w:rFonts w:ascii="Calibri" w:eastAsia="Times New Roman" w:hAnsi="Calibri" w:cs="Calibri"/>
          <w:i/>
          <w:iCs/>
          <w:color w:val="000000"/>
          <w:kern w:val="0"/>
          <w:sz w:val="22"/>
          <w:szCs w:val="22"/>
          <w14:ligatures w14:val="none"/>
        </w:rPr>
        <w:t>An. pseudopunctipennis</w:t>
      </w:r>
      <w:r w:rsidRPr="00FE5D1C">
        <w:rPr>
          <w:rFonts w:ascii="Calibri" w:eastAsia="Times New Roman" w:hAnsi="Calibri" w:cs="Calibri"/>
          <w:color w:val="000000"/>
          <w:kern w:val="0"/>
          <w:sz w:val="22"/>
          <w:szCs w:val="22"/>
          <w14:ligatures w14:val="none"/>
        </w:rPr>
        <w:t xml:space="preserve"> from 19:00 to 06:00 hours. Over 29 nights, changes in parity-nulliparity ratios and biting activity were monitored. A total of 756 females were collected, of which 658 were dissected to determine parity status; approximately 24.6% were pregravid. Of the dissected females, 68.8% were parous and 30.4% were nulliparous. The gonotrophic cycle (GC) and daily survivorship (DS) were estimated at 3 days and 0.88, respectively. These estimates were derived using time series modeling (ARIMA) and nonlinear optimization based on parity ratios from dissected females. The mean biting rate was 1.17 ± 0.15 bites/person/hour over 29 consecutive nights, with peak activity between 01:00 and </w:t>
      </w:r>
      <w:r w:rsidRPr="00FE5D1C">
        <w:rPr>
          <w:rFonts w:ascii="Calibri" w:eastAsia="Times New Roman" w:hAnsi="Calibri" w:cs="Calibri"/>
          <w:color w:val="000000"/>
          <w:kern w:val="0"/>
          <w:sz w:val="22"/>
          <w:szCs w:val="22"/>
          <w14:ligatures w14:val="none"/>
        </w:rPr>
        <w:lastRenderedPageBreak/>
        <w:t>02:00 h. This study provides important insights into the bionomics of </w:t>
      </w:r>
      <w:r w:rsidRPr="00FE5D1C">
        <w:rPr>
          <w:rFonts w:ascii="Calibri" w:eastAsia="Times New Roman" w:hAnsi="Calibri" w:cs="Calibri"/>
          <w:i/>
          <w:iCs/>
          <w:color w:val="000000"/>
          <w:kern w:val="0"/>
          <w:sz w:val="22"/>
          <w:szCs w:val="22"/>
          <w14:ligatures w14:val="none"/>
        </w:rPr>
        <w:t>An. pseudopunctipennis</w:t>
      </w:r>
      <w:r w:rsidRPr="00FE5D1C">
        <w:rPr>
          <w:rFonts w:ascii="Calibri" w:eastAsia="Times New Roman" w:hAnsi="Calibri" w:cs="Calibri"/>
          <w:color w:val="000000"/>
          <w:kern w:val="0"/>
          <w:sz w:val="22"/>
          <w:szCs w:val="22"/>
          <w14:ligatures w14:val="none"/>
        </w:rPr>
        <w:t> in northern Mexico and serves as the first entomological study of anophelines in the northern malaria focus of the country, crucial for informing vector surveillance and control strategies.</w:t>
      </w:r>
    </w:p>
    <w:p w14:paraId="3FA0E8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25-A-2439-ASTMH</w:t>
      </w:r>
    </w:p>
    <w:p w14:paraId="1B098A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Therapeutics and Antiviral Drugs</w:t>
      </w:r>
    </w:p>
    <w:p w14:paraId="5820E5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High-content imaging assay for evaluating potency of dengue antivirals against a broad geographically and phylogenetic panel of clinical dengue viruses</w:t>
      </w:r>
    </w:p>
    <w:p w14:paraId="00FE0AF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the past two decades, there has been a significant surge in the incidence of dengue, with cases increasing tenfold. Dengue is an infectious disease caused by any of the four serotypes of dengue virus (DENV1-4). The rise in cases can be attributed to the geographical expansion of the Aedes mosquito vector due to favorable climate factors, urbanization and globalization. Dengue outbreaks can easily overwhelm health systems in the countries where it is mostly prevalent, inflicting a huge healthcare and economic burden. Currently, there is no specific antiviral treatment available for dengue. To address this urgent need, a reliable viral replication assay with high-throughput capacity is required to test the effectiveness of potential drugs. In this study, we show the development of a high-content imaging assay using a fluorescent anti-envelope antibody to test the potency of dengue antivirals against a geographically and phylogenetically broad panel of clinical isolates of DENV1, DENV2, DENV3 and DENV4 while measuring cytotoxicity in parallel. DENV clinical strains were amplified, and individual assays were successfully developed in a 384-well microtiter plate format and validated with control compounds. These assays allowed for the assessment of potency of preclinical and clinical dengue antivirals against a geographically and phylogenetically broad panel of dengue viruses, and identification of promising compounds for the treatment of dengue.</w:t>
      </w:r>
    </w:p>
    <w:p w14:paraId="2CF86B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25-A-2441-ASTMH</w:t>
      </w:r>
    </w:p>
    <w:p w14:paraId="51419E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5D6915B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Invasive </w:t>
      </w:r>
      <w:r w:rsidRPr="00FE5D1C">
        <w:rPr>
          <w:rFonts w:ascii="Calibri" w:eastAsia="Times New Roman" w:hAnsi="Calibri" w:cs="Calibri"/>
          <w:i/>
          <w:iCs/>
          <w:color w:val="000000"/>
          <w:kern w:val="0"/>
          <w:sz w:val="22"/>
          <w:szCs w:val="22"/>
          <w14:ligatures w14:val="none"/>
        </w:rPr>
        <w:t>Parthenium hysterophorus</w:t>
      </w:r>
      <w:r w:rsidRPr="00FE5D1C">
        <w:rPr>
          <w:rFonts w:ascii="Calibri" w:eastAsia="Times New Roman" w:hAnsi="Calibri" w:cs="Calibri"/>
          <w:color w:val="000000"/>
          <w:kern w:val="0"/>
          <w:sz w:val="22"/>
          <w:szCs w:val="22"/>
          <w14:ligatures w14:val="none"/>
        </w:rPr>
        <w:t>: A Silent Driver of Mosquito Abundance and Arboviral</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color w:val="000000"/>
          <w:kern w:val="0"/>
          <w:sz w:val="22"/>
          <w:szCs w:val="22"/>
          <w14:ligatures w14:val="none"/>
        </w:rPr>
        <w:t>Evolution, Evidence from Kenya</w:t>
      </w:r>
    </w:p>
    <w:p w14:paraId="237294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Kenya's Rift Valley, a pernicious plant invasion is altering the dynamics of arbovirus transmission. </w:t>
      </w:r>
      <w:r w:rsidRPr="00FE5D1C">
        <w:rPr>
          <w:rFonts w:ascii="Calibri" w:eastAsia="Times New Roman" w:hAnsi="Calibri" w:cs="Calibri"/>
          <w:i/>
          <w:iCs/>
          <w:color w:val="000000"/>
          <w:kern w:val="0"/>
          <w:sz w:val="22"/>
          <w:szCs w:val="22"/>
          <w14:ligatures w14:val="none"/>
        </w:rPr>
        <w:t>Parthenium hysterophorus</w:t>
      </w:r>
      <w:r w:rsidRPr="00FE5D1C">
        <w:rPr>
          <w:rFonts w:ascii="Calibri" w:eastAsia="Times New Roman" w:hAnsi="Calibri" w:cs="Calibri"/>
          <w:color w:val="000000"/>
          <w:kern w:val="0"/>
          <w:sz w:val="22"/>
          <w:szCs w:val="22"/>
          <w14:ligatures w14:val="none"/>
        </w:rPr>
        <w:t>, the most invasive weed globally, not only suffocates crops but also creates disease reservoirs by converting ecosystems into habitats for mosquitoes, which exacerbates the transmission of malaria, dengue, and other arbovirus. As climate change intensifies this ecological disruption, we elucidate the specific mechanisms connecting plant invasion, vector population surges, and increased arbovirus risk. Little is known about how invasive plant species affect mosquito populations or arboviral transmission. This study examines the influence of </w:t>
      </w:r>
      <w:r w:rsidRPr="00FE5D1C">
        <w:rPr>
          <w:rFonts w:ascii="Calibri" w:eastAsia="Times New Roman" w:hAnsi="Calibri" w:cs="Calibri"/>
          <w:i/>
          <w:iCs/>
          <w:color w:val="000000"/>
          <w:kern w:val="0"/>
          <w:sz w:val="22"/>
          <w:szCs w:val="22"/>
          <w14:ligatures w14:val="none"/>
        </w:rPr>
        <w:t>P. hysterophorus</w:t>
      </w:r>
      <w:r w:rsidRPr="00FE5D1C">
        <w:rPr>
          <w:rFonts w:ascii="Calibri" w:eastAsia="Times New Roman" w:hAnsi="Calibri" w:cs="Calibri"/>
          <w:color w:val="000000"/>
          <w:kern w:val="0"/>
          <w:sz w:val="22"/>
          <w:szCs w:val="22"/>
          <w14:ligatures w14:val="none"/>
        </w:rPr>
        <w:t> on mosquito vector abundance, diversity, and arbovirus dynamics.Mosquitoes were collected from six villages with varying levels of </w:t>
      </w:r>
      <w:r w:rsidRPr="00FE5D1C">
        <w:rPr>
          <w:rFonts w:ascii="Calibri" w:eastAsia="Times New Roman" w:hAnsi="Calibri" w:cs="Calibri"/>
          <w:i/>
          <w:iCs/>
          <w:color w:val="000000"/>
          <w:kern w:val="0"/>
          <w:sz w:val="22"/>
          <w:szCs w:val="22"/>
          <w14:ligatures w14:val="none"/>
        </w:rPr>
        <w:t>P. hysterophorus</w:t>
      </w:r>
      <w:r w:rsidRPr="00FE5D1C">
        <w:rPr>
          <w:rFonts w:ascii="Calibri" w:eastAsia="Times New Roman" w:hAnsi="Calibri" w:cs="Calibri"/>
          <w:color w:val="000000"/>
          <w:kern w:val="0"/>
          <w:sz w:val="22"/>
          <w:szCs w:val="22"/>
          <w14:ligatures w14:val="none"/>
        </w:rPr>
        <w:t> infestation three were heavily invaded and three were free from </w:t>
      </w:r>
      <w:r w:rsidRPr="00FE5D1C">
        <w:rPr>
          <w:rFonts w:ascii="Calibri" w:eastAsia="Times New Roman" w:hAnsi="Calibri" w:cs="Calibri"/>
          <w:i/>
          <w:iCs/>
          <w:color w:val="000000"/>
          <w:kern w:val="0"/>
          <w:sz w:val="22"/>
          <w:szCs w:val="22"/>
          <w14:ligatures w14:val="none"/>
        </w:rPr>
        <w:t>P. hysterophorus</w:t>
      </w:r>
      <w:r w:rsidRPr="00FE5D1C">
        <w:rPr>
          <w:rFonts w:ascii="Calibri" w:eastAsia="Times New Roman" w:hAnsi="Calibri" w:cs="Calibri"/>
          <w:color w:val="000000"/>
          <w:kern w:val="0"/>
          <w:sz w:val="22"/>
          <w:szCs w:val="22"/>
          <w14:ligatures w14:val="none"/>
        </w:rPr>
        <w:t>. Using a combination of trapping techniques, approximately 50,000 mosquitoes representing 48 species were captured and identified. The study examines the intricate relationship between invasive species, land-use changes, and mosquito vector dynamics, uncovering the mechanisms that drive arbovirus transmission. This ecological cascade underscores the urgent need for integrated One Health interventions combining invasive species management with vector control to mitigate emerging disease threats</w:t>
      </w:r>
    </w:p>
    <w:p w14:paraId="7DA776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25-A-2442-ASTMH</w:t>
      </w:r>
    </w:p>
    <w:p w14:paraId="1C6C29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7C89BF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i/>
          <w:iCs/>
          <w:color w:val="000000"/>
          <w:kern w:val="0"/>
          <w:sz w:val="22"/>
          <w:szCs w:val="22"/>
          <w14:ligatures w14:val="none"/>
        </w:rPr>
        <w:t>Aedes Vittatus</w:t>
      </w:r>
      <w:r w:rsidRPr="00FE5D1C">
        <w:rPr>
          <w:rFonts w:ascii="Calibri" w:eastAsia="Times New Roman" w:hAnsi="Calibri" w:cs="Calibri"/>
          <w:b/>
          <w:bCs/>
          <w:color w:val="000000"/>
          <w:kern w:val="0"/>
          <w:sz w:val="22"/>
          <w:szCs w:val="22"/>
          <w14:ligatures w14:val="none"/>
        </w:rPr>
        <w:t>: Invasive Threat to the Caribbean</w:t>
      </w:r>
    </w:p>
    <w:p w14:paraId="4B743B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The geographical expansion of invasive mosquito species is a growing public health threat as it facilitates the transmission of pathogens to new regions. Furthermore, some vectors may evolve into adept agents capable of thriving in diverse environments and bolstering their transmission competency. </w:t>
      </w:r>
      <w:r w:rsidRPr="00FE5D1C">
        <w:rPr>
          <w:rFonts w:ascii="Calibri" w:eastAsia="Times New Roman" w:hAnsi="Calibri" w:cs="Calibri"/>
          <w:i/>
          <w:iCs/>
          <w:color w:val="000000"/>
          <w:kern w:val="0"/>
          <w:sz w:val="22"/>
          <w:szCs w:val="22"/>
          <w14:ligatures w14:val="none"/>
        </w:rPr>
        <w:t>Aedes vittatus</w:t>
      </w:r>
      <w:r w:rsidRPr="00FE5D1C">
        <w:rPr>
          <w:rFonts w:ascii="Calibri" w:eastAsia="Times New Roman" w:hAnsi="Calibri" w:cs="Calibri"/>
          <w:color w:val="000000"/>
          <w:kern w:val="0"/>
          <w:sz w:val="22"/>
          <w:szCs w:val="22"/>
          <w14:ligatures w14:val="none"/>
        </w:rPr>
        <w:t> is one such vector. Initially restricted to Africa and Asia, it has migrated outside of its typical habitat and has now found its way into the Caribbean. This introduction has raised significant concerns due to its ability to transmit arboviruses such as dengue, Zika, and chikungunya viruses. Jamaica is the largest English-speaking island in the Caribbean and serves as a major transit and distribution hub both regionally and internationally. warrants attention. As part of surveillance efforts, both adult and larval specimens of </w:t>
      </w:r>
      <w:r w:rsidRPr="00FE5D1C">
        <w:rPr>
          <w:rFonts w:ascii="Calibri" w:eastAsia="Times New Roman" w:hAnsi="Calibri" w:cs="Calibri"/>
          <w:i/>
          <w:iCs/>
          <w:color w:val="000000"/>
          <w:kern w:val="0"/>
          <w:sz w:val="22"/>
          <w:szCs w:val="22"/>
          <w14:ligatures w14:val="none"/>
        </w:rPr>
        <w:t>Ae vittatus</w:t>
      </w:r>
      <w:r w:rsidRPr="00FE5D1C">
        <w:rPr>
          <w:rFonts w:ascii="Calibri" w:eastAsia="Times New Roman" w:hAnsi="Calibri" w:cs="Calibri"/>
          <w:color w:val="000000"/>
          <w:kern w:val="0"/>
          <w:sz w:val="22"/>
          <w:szCs w:val="22"/>
          <w14:ligatures w14:val="none"/>
        </w:rPr>
        <w:t> specimens were collected and identified from multiple locations in Jamaica for the first time. The locations where </w:t>
      </w:r>
      <w:r w:rsidRPr="00FE5D1C">
        <w:rPr>
          <w:rFonts w:ascii="Calibri" w:eastAsia="Times New Roman" w:hAnsi="Calibri" w:cs="Calibri"/>
          <w:i/>
          <w:iCs/>
          <w:color w:val="000000"/>
          <w:kern w:val="0"/>
          <w:sz w:val="22"/>
          <w:szCs w:val="22"/>
          <w14:ligatures w14:val="none"/>
        </w:rPr>
        <w:t>Ae. vittatus</w:t>
      </w:r>
      <w:r w:rsidRPr="00FE5D1C">
        <w:rPr>
          <w:rFonts w:ascii="Calibri" w:eastAsia="Times New Roman" w:hAnsi="Calibri" w:cs="Calibri"/>
          <w:color w:val="000000"/>
          <w:kern w:val="0"/>
          <w:sz w:val="22"/>
          <w:szCs w:val="22"/>
          <w14:ligatures w14:val="none"/>
        </w:rPr>
        <w:t> samples were collected were classified as rural or peri-urban, supporting the vector’s strong anthropophilic behavior. In one location, immature stages of </w:t>
      </w:r>
      <w:r w:rsidRPr="00FE5D1C">
        <w:rPr>
          <w:rFonts w:ascii="Calibri" w:eastAsia="Times New Roman" w:hAnsi="Calibri" w:cs="Calibri"/>
          <w:i/>
          <w:iCs/>
          <w:color w:val="000000"/>
          <w:kern w:val="0"/>
          <w:sz w:val="22"/>
          <w:szCs w:val="22"/>
          <w14:ligatures w14:val="none"/>
        </w:rPr>
        <w:t>Ae. vittatus</w:t>
      </w:r>
      <w:r w:rsidRPr="00FE5D1C">
        <w:rPr>
          <w:rFonts w:ascii="Calibri" w:eastAsia="Times New Roman" w:hAnsi="Calibri" w:cs="Calibri"/>
          <w:color w:val="000000"/>
          <w:kern w:val="0"/>
          <w:sz w:val="22"/>
          <w:szCs w:val="22"/>
          <w14:ligatures w14:val="none"/>
        </w:rPr>
        <w:t> were found in a discarded refrigerator, demonstrating its ability to breed in artificial containers. Phylogenetic analysis of a fragment of the </w:t>
      </w:r>
      <w:r w:rsidRPr="00FE5D1C">
        <w:rPr>
          <w:rFonts w:ascii="Calibri" w:eastAsia="Times New Roman" w:hAnsi="Calibri" w:cs="Calibri"/>
          <w:i/>
          <w:iCs/>
          <w:color w:val="000000"/>
          <w:kern w:val="0"/>
          <w:sz w:val="22"/>
          <w:szCs w:val="22"/>
          <w14:ligatures w14:val="none"/>
        </w:rPr>
        <w:t>cytochrome c oxidase subunit I</w:t>
      </w:r>
      <w:r w:rsidRPr="00FE5D1C">
        <w:rPr>
          <w:rFonts w:ascii="Calibri" w:eastAsia="Times New Roman" w:hAnsi="Calibri" w:cs="Calibri"/>
          <w:color w:val="000000"/>
          <w:kern w:val="0"/>
          <w:sz w:val="22"/>
          <w:szCs w:val="22"/>
          <w14:ligatures w14:val="none"/>
        </w:rPr>
        <w:t> (COI) gene is suggestive of multiple entries into Jamaica from the Indian subcontinent. Interestingly, one sample shared 100% identity with a </w:t>
      </w:r>
      <w:r w:rsidRPr="00FE5D1C">
        <w:rPr>
          <w:rFonts w:ascii="Calibri" w:eastAsia="Times New Roman" w:hAnsi="Calibri" w:cs="Calibri"/>
          <w:i/>
          <w:iCs/>
          <w:color w:val="000000"/>
          <w:kern w:val="0"/>
          <w:sz w:val="22"/>
          <w:szCs w:val="22"/>
          <w14:ligatures w14:val="none"/>
        </w:rPr>
        <w:t>Ae. vittatus</w:t>
      </w:r>
      <w:r w:rsidRPr="00FE5D1C">
        <w:rPr>
          <w:rFonts w:ascii="Calibri" w:eastAsia="Times New Roman" w:hAnsi="Calibri" w:cs="Calibri"/>
          <w:color w:val="000000"/>
          <w:kern w:val="0"/>
          <w:sz w:val="22"/>
          <w:szCs w:val="22"/>
          <w14:ligatures w14:val="none"/>
        </w:rPr>
        <w:t> specimen from Cuba. Median-joining network analysis based on COI sequence revealed significant nucleotide mutations in some samples, which may indicate environmental adaptation and potential population structure change. This study highlights the importance of surveillance and the ability of invasive mosquitoes to establish in new geographical ranges.</w:t>
      </w:r>
    </w:p>
    <w:p w14:paraId="4518CA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25-A-2443-ASTMH</w:t>
      </w:r>
    </w:p>
    <w:p w14:paraId="6328B3C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2B86821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Caregiver screening for relapse among children recently recovered from severe acute malnutrition: a randomized controlled trial</w:t>
      </w:r>
    </w:p>
    <w:p w14:paraId="62394B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Relapse to acute malnutrition after recovery from severe acute malnutrition (SAM) is common. However, most programmatic resources are devoted to the acute phase of recovery, and fewer interventions are available for children recently discharged from outpatient nutritional programs. We evaluated whether training caregivers to screen for relapse using mid-upper arm circumference (MUAC) tapes reduced relapse among children recently recovered from SAM in Burkina Faso. Caregiver-child dyads were eligible if the child was between 6 and 59 months and had recovered from an episode of SAM (MUAC ≥ 12.5 cm and/or weight-for-height Z-score, WHZ, ≥ -2 based on the admission criterion) within the last month and the caregiver was at least 18 years of age. Dyads were enrolled and randomized in a 1:1 fashion to either caregiver MUAC screening or standard of care (SOC), which consists of monthly clinic-based follow-up visits for 3 months following discharge. In the MUAC screening group, caregivers were trained on how to use a standard MUAC tape and asked to screen their child weekly with a provided MUAC tape for the 6-month duration of the study. The primary outcome was relapse by 6 months post-enrollment, defined as MUAC &lt; 12.5 cm and/or weight-for-height Z-score &lt; -2. Secondary outcomes included hospitalization and/or death over the 6-month study period. Of 200 caregiver-child dyads enrolled in the trial, 99 were randomized to the MUAC screening group and 101 to the SOC group. By 6 months after enrollment, 23% of children in the MUAC screening group relapsed and 34% of children in the SOC group relapsed (hazard ratio, HR, 0.69, 95% confidence interval, CI, 0.40 to 1.18,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=0.17). Fewer hospitalizations and/or deaths occurred in the MUAC screening group compared to the SOC group (MUAC: 3%; SOC: 14%, risk ratio 0.23, 95% CI 0.07 to 0.79,</w:t>
      </w:r>
      <w:r w:rsidRPr="00FE5D1C">
        <w:rPr>
          <w:rFonts w:ascii="Calibri" w:eastAsia="Times New Roman" w:hAnsi="Calibri" w:cs="Calibri"/>
          <w:i/>
          <w:iCs/>
          <w:color w:val="000000"/>
          <w:kern w:val="0"/>
          <w:sz w:val="22"/>
          <w:szCs w:val="22"/>
          <w14:ligatures w14:val="none"/>
        </w:rPr>
        <w:t> P</w:t>
      </w:r>
      <w:r w:rsidRPr="00FE5D1C">
        <w:rPr>
          <w:rFonts w:ascii="Calibri" w:eastAsia="Times New Roman" w:hAnsi="Calibri" w:cs="Calibri"/>
          <w:color w:val="000000"/>
          <w:kern w:val="0"/>
          <w:sz w:val="22"/>
          <w:szCs w:val="22"/>
          <w14:ligatures w14:val="none"/>
        </w:rPr>
        <w:t>=0.02). Equipping caregivers to screen their children with MUAC tapes may be a simple and effective intervention to improve outcomes in children who have recently recovered from SAM.</w:t>
      </w:r>
    </w:p>
    <w:p w14:paraId="4B1EC2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25-A-2444-ASTMH</w:t>
      </w:r>
    </w:p>
    <w:p w14:paraId="761B9B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C21DCA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Agreement between lung ultrasound and chest radiography in the diagnosis of childhood tuberculosis in a low-and middle-income country</w:t>
      </w:r>
    </w:p>
    <w:p w14:paraId="5A199F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Tuberculosis (TB) affects approximately one million children under 15 years of age each year, but may be underestimated due to the difficulty of diagnosis in children and the lack of sensitive diagnostic tests. Chest X-ray (CXR) is a critical tool to diagnose TB, but access is complicated by cost, availability of equipment, and the need for professional reading. As an alternative to CXR, the use of lung ultrasound (LUS) in pneumonia has had good results, with a sensitivity of 95% and specificity of 97% compared to CXR. LUS is less expensive, portable, and without the risk of radiation. We evaluated the concordance of interpretation of LUS and CXR among 76</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children ages 2 months to 14 years with suspected pulmonary TB enrolled in a prospective study of new TB diagnostics in Bolivia. CXR and LUS concordance were determined based on presence of findings suggestive of TB, including consolidations/airspace opacification, nodules, lymphadenopathy, cavities, or pleural effusions, using Cohen's kappa coefficient. LUS studies captured videos of 16 lung regions. Suspected TB patients were classified according to the 2015 NIH Expert Panel Consensus as: TB Confirmed (symptoms suggestive of TB and positive </w:t>
      </w:r>
      <w:r w:rsidRPr="00FE5D1C">
        <w:rPr>
          <w:rFonts w:ascii="Calibri" w:eastAsia="Times New Roman" w:hAnsi="Calibri" w:cs="Calibri"/>
          <w:i/>
          <w:iCs/>
          <w:color w:val="000000"/>
          <w:kern w:val="0"/>
          <w:sz w:val="22"/>
          <w:szCs w:val="22"/>
          <w14:ligatures w14:val="none"/>
        </w:rPr>
        <w:t>M. tuberculosis </w:t>
      </w:r>
      <w:r w:rsidRPr="00FE5D1C">
        <w:rPr>
          <w:rFonts w:ascii="Calibri" w:eastAsia="Times New Roman" w:hAnsi="Calibri" w:cs="Calibri"/>
          <w:color w:val="000000"/>
          <w:kern w:val="0"/>
          <w:sz w:val="22"/>
          <w:szCs w:val="22"/>
          <w14:ligatures w14:val="none"/>
        </w:rPr>
        <w:t>culture or Xpert MTB/RIF), TB Unconfirmed (symptoms, abnormal CXR consistent with TB, and negative TB</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culture and Xpert MTB/RIF) and TB Unlikely (symptoms, does not meet the criteria for TB unconfirmed). TB diagnostic test results included positive Xpert MTB/RIF in 8/76 subjects (10.5%), positive culture in 11/76 (14.5%), and positive QuantiFERON TB Gold test in 15/76 (20.3%). Fifty-three percent of CXR images and 47.4% of ULS were interpreted as abnormal/suggestive of TB. Agreement between CXR and LUS among the 76 TB suspect participants is 84.2%, with kappa=0.685 (CI95%: 0.52-0.85). In the Confirmed TB group (n=11), the agreement was 100%, k=1.00 (CI95%: 1.00-1.00), for the Unconfirmed group (n=50) agreement was 82.0%, k=0.635 (CI95%: 0.43-0.84), and in the group of not likely TB (n=15) concordance of 80.0% and k=0.0 (CI95%: 0.00-1.00). Agreement between CXR and LUS was substantial, and higher agreement was observed in Confirmed TB cases.</w:t>
      </w:r>
    </w:p>
    <w:p w14:paraId="23FB31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25-A-2445-ASTMH</w:t>
      </w:r>
    </w:p>
    <w:p w14:paraId="769574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5EAABA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EVALUATION OF CENTRAL REPEATS AND HAPLOTYPE ON PLASMODIUM FALCIPARUM CIRCUMSPOROZOIT GENE IN ISOLATES OBTAINED FROM OSUN STATE, NIGERIA</w:t>
      </w:r>
    </w:p>
    <w:p w14:paraId="56C5EC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order to achieve malaria elimination by 2030, malaria chemotherapy needs to be backed up with effective vaccine. The world's first malaria vaccine, RTS,S, was approved by WHO for widespread use in children in October 2021, due to the fact that malaria remains a public health concern in many parts of the world. This vaccine contains part of the central repeat region and the complete C-terminal T cell epitope region (Th2R and Th3R) of the circumsporozoite protein. Genetic variation in the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circumsporozoite protein (PfCSP) within and among the global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population play a role in the overall effectiveness of the vaccine. However, this is yet to be determined in the African countries including Malawi, Ghana, and Kenya where it is currently undergoing phase 4 clinical trial. The genetic diversity of PfCSP central repeats in Osun, Nigeria was examined in this study to better understand future of RTS,S vaccine deployment in Nigeria. A rapid diagnostic test confirmed the presence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antigen in blood samples from 250 of 512 asymptomatic school children aged 5-17. The parasite genomic DNA was extracted from dried blood spot samples followed by Nested PCR amplification of central repeat of the CSP gene. The amplicons were sequenced to determine the repeat using Sanger Sequencing technique. The Geneious prime program was used to analyze polymorphic characteristics. Overall, 205 of the 250 samples considered for this study were successfully amplified and sequenced. Haplotypes repeat detected were NANP, NVDP and NPDP with NANP being the prevalent repeats found in the parasite isolates population. The number of the NANP repeats was between 1-35 while NVDP was 1-4. Only one variant of NPDP was reported in the population. This study sheds light on the polymorphisms found in the PfCSP central repeat region of a parasite population in asymptomatic children with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infection in Osun state. This study provides an insight on the existing polymorphisms in the PfCSP central repeat region in a parasite population from Nigeria that could potentially influence the efficacy of RTS,S vaccine in this region.</w:t>
      </w:r>
    </w:p>
    <w:p w14:paraId="021D57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25-A-2446-ASTMH</w:t>
      </w:r>
    </w:p>
    <w:p w14:paraId="3AAE87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5490E9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Virome composition of Amblyomma mixtum and Ixodes cf. boliviensis: exploring potential emergent viral pathogens</w:t>
      </w:r>
    </w:p>
    <w:p w14:paraId="566481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Amblyomma mixtum</w:t>
      </w:r>
      <w:r w:rsidRPr="00FE5D1C">
        <w:rPr>
          <w:rFonts w:ascii="Calibri" w:eastAsia="Times New Roman" w:hAnsi="Calibri" w:cs="Calibri"/>
          <w:color w:val="000000"/>
          <w:kern w:val="0"/>
          <w:sz w:val="22"/>
          <w:szCs w:val="22"/>
          <w14:ligatures w14:val="none"/>
        </w:rPr>
        <w:t> and Ixodes </w:t>
      </w:r>
      <w:r w:rsidRPr="00FE5D1C">
        <w:rPr>
          <w:rFonts w:ascii="Calibri" w:eastAsia="Times New Roman" w:hAnsi="Calibri" w:cs="Calibri"/>
          <w:i/>
          <w:iCs/>
          <w:color w:val="000000"/>
          <w:kern w:val="0"/>
          <w:sz w:val="22"/>
          <w:szCs w:val="22"/>
          <w14:ligatures w14:val="none"/>
        </w:rPr>
        <w:t>cf.</w:t>
      </w:r>
      <w:r w:rsidRPr="00FE5D1C">
        <w:rPr>
          <w:rFonts w:ascii="Calibri" w:eastAsia="Times New Roman" w:hAnsi="Calibri" w:cs="Calibri"/>
          <w:color w:val="000000"/>
          <w:kern w:val="0"/>
          <w:sz w:val="22"/>
          <w:szCs w:val="22"/>
          <w14:ligatures w14:val="none"/>
        </w:rPr>
        <w:t> boliviensis are two tick species endemic to Central America. </w:t>
      </w:r>
      <w:r w:rsidRPr="00FE5D1C">
        <w:rPr>
          <w:rFonts w:ascii="Calibri" w:eastAsia="Times New Roman" w:hAnsi="Calibri" w:cs="Calibri"/>
          <w:i/>
          <w:iCs/>
          <w:color w:val="000000"/>
          <w:kern w:val="0"/>
          <w:sz w:val="22"/>
          <w:szCs w:val="22"/>
          <w14:ligatures w14:val="none"/>
        </w:rPr>
        <w:t>A. mixtum</w:t>
      </w:r>
      <w:r w:rsidRPr="00FE5D1C">
        <w:rPr>
          <w:rFonts w:ascii="Calibri" w:eastAsia="Times New Roman" w:hAnsi="Calibri" w:cs="Calibri"/>
          <w:color w:val="000000"/>
          <w:kern w:val="0"/>
          <w:sz w:val="22"/>
          <w:szCs w:val="22"/>
          <w14:ligatures w14:val="none"/>
        </w:rPr>
        <w:t> is considered the tick of highest medical importance in the region, as all of its life stages have been reported parasitizing humans, and it is the primary vector of </w:t>
      </w:r>
      <w:r w:rsidRPr="00FE5D1C">
        <w:rPr>
          <w:rFonts w:ascii="Calibri" w:eastAsia="Times New Roman" w:hAnsi="Calibri" w:cs="Calibri"/>
          <w:i/>
          <w:iCs/>
          <w:color w:val="000000"/>
          <w:kern w:val="0"/>
          <w:sz w:val="22"/>
          <w:szCs w:val="22"/>
          <w14:ligatures w14:val="none"/>
        </w:rPr>
        <w:t>Rickettsia rickettsii</w:t>
      </w:r>
      <w:r w:rsidRPr="00FE5D1C">
        <w:rPr>
          <w:rFonts w:ascii="Calibri" w:eastAsia="Times New Roman" w:hAnsi="Calibri" w:cs="Calibri"/>
          <w:color w:val="000000"/>
          <w:kern w:val="0"/>
          <w:sz w:val="22"/>
          <w:szCs w:val="22"/>
          <w14:ligatures w14:val="none"/>
        </w:rPr>
        <w:t>. Although there are currently no reports of </w:t>
      </w:r>
      <w:r w:rsidRPr="00FE5D1C">
        <w:rPr>
          <w:rFonts w:ascii="Calibri" w:eastAsia="Times New Roman" w:hAnsi="Calibri" w:cs="Calibri"/>
          <w:i/>
          <w:iCs/>
          <w:color w:val="000000"/>
          <w:kern w:val="0"/>
          <w:sz w:val="22"/>
          <w:szCs w:val="22"/>
          <w14:ligatures w14:val="none"/>
        </w:rPr>
        <w:t>I. cf. boliviensis</w:t>
      </w:r>
      <w:r w:rsidRPr="00FE5D1C">
        <w:rPr>
          <w:rFonts w:ascii="Calibri" w:eastAsia="Times New Roman" w:hAnsi="Calibri" w:cs="Calibri"/>
          <w:color w:val="000000"/>
          <w:kern w:val="0"/>
          <w:sz w:val="22"/>
          <w:szCs w:val="22"/>
          <w14:ligatures w14:val="none"/>
        </w:rPr>
        <w:t> parasitizing humans, it is still regarded as medically relevant because other </w:t>
      </w:r>
      <w:r w:rsidRPr="00FE5D1C">
        <w:rPr>
          <w:rFonts w:ascii="Calibri" w:eastAsia="Times New Roman" w:hAnsi="Calibri" w:cs="Calibri"/>
          <w:i/>
          <w:iCs/>
          <w:color w:val="000000"/>
          <w:kern w:val="0"/>
          <w:sz w:val="22"/>
          <w:szCs w:val="22"/>
          <w14:ligatures w14:val="none"/>
        </w:rPr>
        <w:t>Ixodes</w:t>
      </w:r>
      <w:r w:rsidRPr="00FE5D1C">
        <w:rPr>
          <w:rFonts w:ascii="Calibri" w:eastAsia="Times New Roman" w:hAnsi="Calibri" w:cs="Calibri"/>
          <w:color w:val="000000"/>
          <w:kern w:val="0"/>
          <w:sz w:val="22"/>
          <w:szCs w:val="22"/>
          <w14:ligatures w14:val="none"/>
        </w:rPr>
        <w:t> species are known vectors of microbial pathogens. There is no information on the viral communities of these tick species in Central America, nor on their potential role as vectors of emerging viruses. In this study, we investigated the virome of </w:t>
      </w:r>
      <w:r w:rsidRPr="00FE5D1C">
        <w:rPr>
          <w:rFonts w:ascii="Calibri" w:eastAsia="Times New Roman" w:hAnsi="Calibri" w:cs="Calibri"/>
          <w:i/>
          <w:iCs/>
          <w:color w:val="000000"/>
          <w:kern w:val="0"/>
          <w:sz w:val="22"/>
          <w:szCs w:val="22"/>
          <w14:ligatures w14:val="none"/>
        </w:rPr>
        <w:t>A. mixtum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I. cf. boliviensis</w:t>
      </w:r>
      <w:r w:rsidRPr="00FE5D1C">
        <w:rPr>
          <w:rFonts w:ascii="Calibri" w:eastAsia="Times New Roman" w:hAnsi="Calibri" w:cs="Calibri"/>
          <w:color w:val="000000"/>
          <w:kern w:val="0"/>
          <w:sz w:val="22"/>
          <w:szCs w:val="22"/>
          <w14:ligatures w14:val="none"/>
        </w:rPr>
        <w:t> collected from Costa Rica and Panama using metagenomic sequencing. Our aims were to characterize the viral communities present, assess differences in composition and diversity across tick species, sampling locations, and collection types, and identify potential emerging viruses. </w:t>
      </w:r>
      <w:r w:rsidRPr="00FE5D1C">
        <w:rPr>
          <w:rFonts w:ascii="Calibri" w:eastAsia="Times New Roman" w:hAnsi="Calibri" w:cs="Calibri"/>
          <w:i/>
          <w:iCs/>
          <w:color w:val="000000"/>
          <w:kern w:val="0"/>
          <w:sz w:val="22"/>
          <w:szCs w:val="22"/>
          <w14:ligatures w14:val="none"/>
        </w:rPr>
        <w:t>A. mixtum</w:t>
      </w:r>
      <w:r w:rsidRPr="00FE5D1C">
        <w:rPr>
          <w:rFonts w:ascii="Calibri" w:eastAsia="Times New Roman" w:hAnsi="Calibri" w:cs="Calibri"/>
          <w:color w:val="000000"/>
          <w:kern w:val="0"/>
          <w:sz w:val="22"/>
          <w:szCs w:val="22"/>
          <w14:ligatures w14:val="none"/>
        </w:rPr>
        <w:t> ticks were collected from two locations in Costa Rica, while </w:t>
      </w:r>
      <w:r w:rsidRPr="00FE5D1C">
        <w:rPr>
          <w:rFonts w:ascii="Calibri" w:eastAsia="Times New Roman" w:hAnsi="Calibri" w:cs="Calibri"/>
          <w:i/>
          <w:iCs/>
          <w:color w:val="000000"/>
          <w:kern w:val="0"/>
          <w:sz w:val="22"/>
          <w:szCs w:val="22"/>
          <w14:ligatures w14:val="none"/>
        </w:rPr>
        <w:t>I. cf. boliviensis</w:t>
      </w:r>
      <w:r w:rsidRPr="00FE5D1C">
        <w:rPr>
          <w:rFonts w:ascii="Calibri" w:eastAsia="Times New Roman" w:hAnsi="Calibri" w:cs="Calibri"/>
          <w:color w:val="000000"/>
          <w:kern w:val="0"/>
          <w:sz w:val="22"/>
          <w:szCs w:val="22"/>
          <w14:ligatures w14:val="none"/>
        </w:rPr>
        <w:t> were collected from two sites in Costa Rica and one in Panama. When possible, ticks of both species were collected from both hosts and the environment. Nucleic acid extractions and cDNA processing was performed in Costa Rica and metagenomic sequencing and bioinformatic processing was done at Institut Pasteur. The most common viral families in </w:t>
      </w:r>
      <w:r w:rsidRPr="00FE5D1C">
        <w:rPr>
          <w:rFonts w:ascii="Calibri" w:eastAsia="Times New Roman" w:hAnsi="Calibri" w:cs="Calibri"/>
          <w:i/>
          <w:iCs/>
          <w:color w:val="000000"/>
          <w:kern w:val="0"/>
          <w:sz w:val="22"/>
          <w:szCs w:val="22"/>
          <w14:ligatures w14:val="none"/>
        </w:rPr>
        <w:t>A.mixtum</w:t>
      </w:r>
      <w:r w:rsidRPr="00FE5D1C">
        <w:rPr>
          <w:rFonts w:ascii="Calibri" w:eastAsia="Times New Roman" w:hAnsi="Calibri" w:cs="Calibri"/>
          <w:color w:val="000000"/>
          <w:kern w:val="0"/>
          <w:sz w:val="22"/>
          <w:szCs w:val="22"/>
          <w14:ligatures w14:val="none"/>
        </w:rPr>
        <w:t> are </w:t>
      </w:r>
      <w:r w:rsidRPr="00FE5D1C">
        <w:rPr>
          <w:rFonts w:ascii="Calibri" w:eastAsia="Times New Roman" w:hAnsi="Calibri" w:cs="Calibri"/>
          <w:i/>
          <w:iCs/>
          <w:color w:val="000000"/>
          <w:kern w:val="0"/>
          <w:sz w:val="22"/>
          <w:szCs w:val="22"/>
          <w14:ligatures w14:val="none"/>
        </w:rPr>
        <w:t>Totiviridae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Flaviviridae</w:t>
      </w:r>
      <w:r w:rsidRPr="00FE5D1C">
        <w:rPr>
          <w:rFonts w:ascii="Calibri" w:eastAsia="Times New Roman" w:hAnsi="Calibri" w:cs="Calibri"/>
          <w:color w:val="000000"/>
          <w:kern w:val="0"/>
          <w:sz w:val="22"/>
          <w:szCs w:val="22"/>
          <w14:ligatures w14:val="none"/>
        </w:rPr>
        <w:t> while in I. </w:t>
      </w:r>
      <w:r w:rsidRPr="00FE5D1C">
        <w:rPr>
          <w:rFonts w:ascii="Calibri" w:eastAsia="Times New Roman" w:hAnsi="Calibri" w:cs="Calibri"/>
          <w:i/>
          <w:iCs/>
          <w:color w:val="000000"/>
          <w:kern w:val="0"/>
          <w:sz w:val="22"/>
          <w:szCs w:val="22"/>
          <w14:ligatures w14:val="none"/>
        </w:rPr>
        <w:t>cf.</w:t>
      </w:r>
      <w:r w:rsidRPr="00FE5D1C">
        <w:rPr>
          <w:rFonts w:ascii="Calibri" w:eastAsia="Times New Roman" w:hAnsi="Calibri" w:cs="Calibri"/>
          <w:color w:val="000000"/>
          <w:kern w:val="0"/>
          <w:sz w:val="22"/>
          <w:szCs w:val="22"/>
          <w14:ligatures w14:val="none"/>
        </w:rPr>
        <w:t> boliviensis are </w:t>
      </w:r>
      <w:r w:rsidRPr="00FE5D1C">
        <w:rPr>
          <w:rFonts w:ascii="Calibri" w:eastAsia="Times New Roman" w:hAnsi="Calibri" w:cs="Calibri"/>
          <w:i/>
          <w:iCs/>
          <w:color w:val="000000"/>
          <w:kern w:val="0"/>
          <w:sz w:val="22"/>
          <w:szCs w:val="22"/>
          <w14:ligatures w14:val="none"/>
        </w:rPr>
        <w:t>Phenuiviridae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Orthomyxoviridae</w:t>
      </w:r>
      <w:r w:rsidRPr="00FE5D1C">
        <w:rPr>
          <w:rFonts w:ascii="Calibri" w:eastAsia="Times New Roman" w:hAnsi="Calibri" w:cs="Calibri"/>
          <w:color w:val="000000"/>
          <w:kern w:val="0"/>
          <w:sz w:val="22"/>
          <w:szCs w:val="22"/>
          <w14:ligatures w14:val="none"/>
        </w:rPr>
        <w:t>. Differences in the viral communities of each tick species were confirmed according to sampling site and collection method. Jingmen tick virus (JMTV) was detected in </w:t>
      </w:r>
      <w:r w:rsidRPr="00FE5D1C">
        <w:rPr>
          <w:rFonts w:ascii="Calibri" w:eastAsia="Times New Roman" w:hAnsi="Calibri" w:cs="Calibri"/>
          <w:i/>
          <w:iCs/>
          <w:color w:val="000000"/>
          <w:kern w:val="0"/>
          <w:sz w:val="22"/>
          <w:szCs w:val="22"/>
          <w14:ligatures w14:val="none"/>
        </w:rPr>
        <w:t>A. mixtum </w:t>
      </w:r>
      <w:r w:rsidRPr="00FE5D1C">
        <w:rPr>
          <w:rFonts w:ascii="Calibri" w:eastAsia="Times New Roman" w:hAnsi="Calibri" w:cs="Calibri"/>
          <w:color w:val="000000"/>
          <w:kern w:val="0"/>
          <w:sz w:val="22"/>
          <w:szCs w:val="22"/>
          <w14:ligatures w14:val="none"/>
        </w:rPr>
        <w:t>collected from horses. The JMTV detected possess a close phylogenetic proximity to JMTV detected in humans in Kosovo, suggesting a pathogenic potential of this virus to humans which requires more investigation. Further analysis of this data will help us elucidate ecological variables influencing the viral communities of these ticks and identify other potential emerging viruses in the region.</w:t>
      </w:r>
    </w:p>
    <w:p w14:paraId="68B7DE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25-A-2447-ASTMH</w:t>
      </w:r>
    </w:p>
    <w:p w14:paraId="70D2B03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5DBE5E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Integrated serosurveillance and spatial epidemiology of vaccine preventable diseases and lymphatic filariasis in Samoa, 2018-2019</w:t>
      </w:r>
    </w:p>
    <w:p w14:paraId="6B2FF9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Serosurveillance measures population-level prevalence of antibodies to identify burden of current and/or past infections and immunity gaps to vaccine preventable diseases (VPDs). Integrating surveillance of multiple infectious diseases (ID), as opposed to a siloed approach, can highlight health disparities and immunity gaps that can enable targeted public health intervention. Inclusion of lymphatic filariasis (LF) is particularly relevant given ongoing global elimination efforts. This study examined the seroprevalence and spatial clustering of VPDs and LF in Samoa from 2018-2019. Dried blood spots (DBS) were collected from two nationally representative community surveys in 2018-2019. Multiplex bead assays (MBA) were used to detect antibodies (Ab) for diphtheria, measles, rubella, tetanus and LF (Bm14 and Wb123). Seroprevalence estimates were adjusted for study design, age, and sex. Spatial cluster analysis was conducted using SatScan. Of 8849 participants (2018 in 4419; 2019 in 4909), 8394 (94.8%; mean age±standard deviation: 19.9±19.2years) had valid MBA results. Seropositivity to measles, rubella, diphtheria and tetanus were 46.9% (95%CI 45.8-48.0), 79.8% (95%CI 78.8-80.9), 83.1% (95%CI 82.1-84.1) and 90.7% (95%CI 89.9-91.4), respectively. 106 people (1.2%; mean age 11.4±7.6years) were seronegative to all VPDs. For LF in 2019, seroprevalence was 22.7% for Bm14 Ab and 50.3% for Wb123 Ab. Spatial clustering (p&lt;0.05) was found for seronegativity to measles, and seropositivity to Bm14. Substantial immunity gaps to VPDs were identified, including clustering of those seronegative to measles. The surveys were conducted prior to the large measles outbreak in 2019, highlighting the potential of serosurveys to provide early warning of outbreaks, and guide targeted vaccination campaigns. Prevalence of LF Ab can provide valuable insights for monitoring and evaluation of elimination programs. Integrated serosurveillance is both cost-efficient and highly efficient, ideal for low resource settings. Furthermore, recognizing spatial patterns of IDs can enable design of integrated interventions for at-risk communities.</w:t>
      </w:r>
    </w:p>
    <w:p w14:paraId="2A9022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25-A-2448-ASTMH</w:t>
      </w:r>
    </w:p>
    <w:p w14:paraId="767B91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Global Health - Planetary Health including Climate Change</w:t>
      </w:r>
    </w:p>
    <w:p w14:paraId="7D9093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Impact of extreme weather events on leptospirosis burden in the Caribbean region</w:t>
      </w:r>
    </w:p>
    <w:p w14:paraId="2E7E61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last global-level estimates of leptospirosis annual morbidity and mortality, based on data up to 2008, identified the Caribbean region (CR) as the third most affected region globally. Poor, vulnerable communities and small islands were found to bear the highest burden. Recently, extreme climate events have shifted the epidemiological patterns of leptospirosis. To better understand the recent burden of leptospirosis in the CR, we conducted a systematic review and estimated incidence for island countries and territories in the region. We searched five databases (PubMed, Web of Science, Embase, Scopus, LILICAS) and grey literature for publications on morbidity (incidence or prevalence) and/or mortality of leptospirosis from 2008-2023. We included studies in English, Spanish, or French, conducted in Caribbean islands (excluding mainland countries and territories). Of 110 full texts reviewed, 15 met the inclusion criteria. Another 11 grey literature reports were also included. The number of reported cases was extracted from eligible studies/reports. A mixed-effects hierarchical country-level Poisson model incorporating precipitation, temperature, percentage of urbanisation in country and gross domestic product was used to estimate annual case numbers by country, including predictions for country-years with no data. From 2008-2023, the estimated average leptospirosis incidence in the CR was 4.4 cases/100,000 population/year. However, incidence rates were above this average in 2008 (5.8), 2011 (5.2), 2018 (7.8), 2019 (7.9) and 2023 (5.3), years associated with intense Atlantic hurricane seasons. The average incidence during these high-burden years (6.4) was nearly twice the average of the other years (3.4). St. Vincent and the Grenadines, Martinique, and Guadeloupe were consistently estimated to have the highest incidence across all years, with Guadeloupe reaching 40.2 cases/100,000 in 2019. Spikes during hurricane years highlight the potential escalation of leptospirosis burden with climate change, and the urgent need for more resilient surveillance, early warning, prevention, and response strategies.</w:t>
      </w:r>
    </w:p>
    <w:p w14:paraId="4170B13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25-A-2449-ASTMH</w:t>
      </w:r>
    </w:p>
    <w:p w14:paraId="1B4A784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2F4D6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Establishment of Respiratory Syncytial Virus Microneutralization Assay in Ghana, a Lower-Middle-Income Country</w:t>
      </w:r>
    </w:p>
    <w:p w14:paraId="55CBE6E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Respiratory Syncytial Virus (RSV) vaccine and monoclonal antibody (mAb) landscape is highly active. Using trial data, a correlate of protection against RSV will likely be defined using neutralizing antibody (nAb) titers. Recently, we showed that dried blood is an alternative patient-centered sampling method to measure RSV neutralization. This approach to measure nAbs is lacking or limited in low-middle-income countries (LMICs), resulting in inequitable distribution of RSV burden and research. Vaccine efficacy may be dependent on geographical location underscoring the need for representative trials in low-resource settings. The aim is to implement this low-cost low-tech tool to measure clinical trial endpoints in LIMCs. A researcher from University of Ghana was trained on dried blood-based RSV neutralization at the Utrecht Medical Center Utrecht, The Netherlands, followed by an onsite support visit to setup assay in Ghana. Fifty-one whole blood samples from the healthy donor service, are left blank or spiked with 10 or 100 µg/ml palivizumab or RSM01, mAbs against two RSV epitopes. Duplicate volumetric absorptive micro sampling was tested in parallel by both laboratories. Presently, the assay has been implemented successfully and working effectively in the Ghana laboratory. A correlation coefficient of ~0.9 was obtained in the analysis of blank and spiked VAMS samples. Four researchers in Ghana have been trained on the assay. With the successful implementation of the RSV neutralization assay in dried blood in Ghana, a good foundation has been set for clinical trials and accessible correlate of protection surveillance in children in LMICs.</w:t>
      </w:r>
    </w:p>
    <w:p w14:paraId="0A6733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25-A-2451-ASTMH</w:t>
      </w:r>
    </w:p>
    <w:p w14:paraId="34322C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03D76B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Defining the epidemiology of acute febrile illness in rural South and Southeast Asian primary care</w:t>
      </w:r>
    </w:p>
    <w:p w14:paraId="7A4ED92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There is scant evidence on the epidemiology of acute febrile illness (AFI) in South and Southeast Asia, which is most lacking from rural areas where most of the population reside, and from the primary care providers delivering the bulk of healthcare. This large-scale prospective observational study aimed to define the syndromes, management, outcomes, and care-seeking associated with AFI in these rural settings at seven sites in five countries (Bangladesh, Cambodia, Laos, Myanmar, and Thailand). Sites comprised primary health centres and village health workers, which are the two main types of primary healthcare providers in rural areas of these countries. Patients of any age presenting acutely with AFI (axillary temperature ≥37.5 or &lt;35.5°C, or self-reported fever in the previous 24 hours, with symptom duration ≤14 days) were recruited over at least 12 months at each site within the period 2021–2023, and followed up 28 days later. Symptom and vital sign data (including pre-specified measured and observed danger signs) at presentation were used to derive syndromic diagnoses algorithmically. Demographic, antibiotic prescription, onward referral, care seeking pre- and post-enrolment, and outcome data were also collected. Data were analysed descriptively. From 82,760 enrolled patients, the most frequent diagnoses were upper respiratory tract infection (URTI, 61.0%) and fever of unclear source (30.7%). Malaria/malarial co-infections were negligible except in Myanmar and Tak (Thailand) where they comprised 23.1% and 11.1% of cases, respectively. Antibiotic prescriptions were poorly targeted, with 23.8% receiving antimicrobials, principally for URTI. Of the 4,353 patients with danger signs, 97.8% were not referred to hospital; nevertheless, only 27 deaths were identified from the 73,474/82,760 (88.8%) patients followed up. This study provides the evidence base for strategies to improve the clinical and public health management of AFI. These should concentrate on upskilling primary health workers in formulating syndromic diagnoses, antimicrobial stewardship, and ascertaining patients requiring care escalation.</w:t>
      </w:r>
    </w:p>
    <w:p w14:paraId="3DECC2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25-A-2452-ASTMH</w:t>
      </w:r>
    </w:p>
    <w:p w14:paraId="3EEA7C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44C386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Sulfadoxine Pyrimethamine Resistance and its Relationship with Seasonal Malaria Chemoprevention Effectiveness in Northern Kenya</w:t>
      </w:r>
    </w:p>
    <w:p w14:paraId="1C00C4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Following WHO’s updated guidelines to scale up Season Malaria Chemoprevention (SMC), countries in East Africa are now exploring SMC as part of their interventions. Sulfadoxine-Pyrimethamine (SP) and Amodiaquine have widely been used as the preferred SMC regimen. SMC is being piloted in Turkana, Northern Kenya, where 70% of cases reported in the health system occur in a span of 5 months. High prevalence of </w:t>
      </w:r>
      <w:r w:rsidRPr="00FE5D1C">
        <w:rPr>
          <w:rFonts w:ascii="Calibri" w:eastAsia="Times New Roman" w:hAnsi="Calibri" w:cs="Calibri"/>
          <w:i/>
          <w:iCs/>
          <w:color w:val="000000"/>
          <w:kern w:val="0"/>
          <w:sz w:val="22"/>
          <w:szCs w:val="22"/>
          <w14:ligatures w14:val="none"/>
        </w:rPr>
        <w:t>Plasmodium falciparum (Pf)</w:t>
      </w:r>
      <w:r w:rsidRPr="00FE5D1C">
        <w:rPr>
          <w:rFonts w:ascii="Calibri" w:eastAsia="Times New Roman" w:hAnsi="Calibri" w:cs="Calibri"/>
          <w:color w:val="000000"/>
          <w:kern w:val="0"/>
          <w:sz w:val="22"/>
          <w:szCs w:val="22"/>
          <w14:ligatures w14:val="none"/>
        </w:rPr>
        <w:t> resistance to SP has been documented in Kenya and poses a threat to this highly effective intervention. The WHO recommends the use of SP for Intermittent Preventive Treatment in pregnancy (IPTp) in areas of SP high resistance because adults have acquired immunity, but children may be more vulnerable. Continuous monitoring of molecular markers associated with antimalarial drug resistance is key, to ensure the benefits of chemoprevention. We conducted a cohort study during the 2024 peak malaria season (June -October). We enrolled children from the SMC delivery subcounty, Turkana Central and a comparison group from the nearby Turkana North, where SMC was not being implemented. Community health workers carried out active weekly surveillance of malaria symptoms. Symptomatic children were tested with a Rapid Diagnostic Test (RDT) and Dried Blood Spots (DBS) collected at enrollment, during every symptomatic episode and at the end of the SMC period. Genomic DNA was extracted from DBS samples and analysed by real-time Polymerase Chain Reaction (PCR) to determine the presence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Infections were tested for markers of SP resistance. Using Poisson regression, an incidence rate ratio was used to measure SMC effectiveness. There was a 71% reduction in malaria incidence in Turkana Central during SMC (Adjusted IRR 0.29, 95% CI:0.13-0.67). Out of 156 PCR-confirmed infections during the study period, 26.9% had two mutations while 7.5% had three mutations implicated in SP resistance. Ongoing molecular analysis will further explore the presence of quintuple mutant alleles. These results will inform drug selection for SMC in the Kenyan context.</w:t>
      </w:r>
    </w:p>
    <w:p w14:paraId="647E1D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25-A-2453-ASTMH</w:t>
      </w:r>
    </w:p>
    <w:p w14:paraId="553676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257585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Pulmonary Paragonimiasis Mimicking IgG4-Related Disease: A Diagnostic Challenge</w:t>
      </w:r>
    </w:p>
    <w:p w14:paraId="287E28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man in his 50s originally from Hong Kong and residing in Japan presented with persistent productive cough and abnormal lung shadows detected during a routine health checkup. PET-CT revealed bilateral nodular opacities in the upper lobes with increased FDG uptake, raising suspicion for malignancy. Laboratory findings included marked eosinophilia (1,580/μL) and elevated IgG4 levels (491 mg/dL). CT-guided lung biopsy showed IgG4-positive plasma cell infiltration (&gt;40%) and eosinophilic inflammation without storiform fibrosis or obliterative phlebitis, initially fulfilling diagnostic criteria for IgG4-related respiratory disease. Corticosteroid therapy led to minimal improvement. Given the patient’s history of consuming raw wild game meat, a parasitic infection was considered. Serological testing revealed IgG antibodies against </w:t>
      </w:r>
      <w:r w:rsidRPr="00FE5D1C">
        <w:rPr>
          <w:rFonts w:ascii="Calibri" w:eastAsia="Times New Roman" w:hAnsi="Calibri" w:cs="Calibri"/>
          <w:i/>
          <w:iCs/>
          <w:color w:val="000000"/>
          <w:kern w:val="0"/>
          <w:sz w:val="22"/>
          <w:szCs w:val="22"/>
          <w14:ligatures w14:val="none"/>
        </w:rPr>
        <w:t>Paragonimus westermani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Paragonimus miyazakii</w:t>
      </w:r>
      <w:r w:rsidRPr="00FE5D1C">
        <w:rPr>
          <w:rFonts w:ascii="Calibri" w:eastAsia="Times New Roman" w:hAnsi="Calibri" w:cs="Calibri"/>
          <w:color w:val="000000"/>
          <w:kern w:val="0"/>
          <w:sz w:val="22"/>
          <w:szCs w:val="22"/>
          <w14:ligatures w14:val="none"/>
        </w:rPr>
        <w:t>, with inhibition ELISA suggesting higher avidity for </w:t>
      </w:r>
      <w:r w:rsidRPr="00FE5D1C">
        <w:rPr>
          <w:rFonts w:ascii="Calibri" w:eastAsia="Times New Roman" w:hAnsi="Calibri" w:cs="Calibri"/>
          <w:i/>
          <w:iCs/>
          <w:color w:val="000000"/>
          <w:kern w:val="0"/>
          <w:sz w:val="22"/>
          <w:szCs w:val="22"/>
          <w14:ligatures w14:val="none"/>
        </w:rPr>
        <w:t>Paragonimus westermani</w:t>
      </w:r>
      <w:r w:rsidRPr="00FE5D1C">
        <w:rPr>
          <w:rFonts w:ascii="Calibri" w:eastAsia="Times New Roman" w:hAnsi="Calibri" w:cs="Calibri"/>
          <w:color w:val="000000"/>
          <w:kern w:val="0"/>
          <w:sz w:val="22"/>
          <w:szCs w:val="22"/>
          <w14:ligatures w14:val="none"/>
        </w:rPr>
        <w:t>. Retrospective pathological review identified a parasite egg in the biopsy specimen, confirming pulmonary paragonimiasis. A three-day course of praziquantel was followed by rapid resolution of eosinophilia and normalization of IgG4 levels. Follow-up imaging showed complete resolution of lung lesions. This case illustrates the risk of misdiagnosing parasitic infections as IgG4-related disease based solely on serum IgG4 levels and plasma cell infiltration, particularly in the absence of other characteristic histologic features. Careful clinicopathologic correlation and consideration of endemic or dietary exposures are essential to avoid inappropriate immunosuppressive therapy.</w:t>
      </w:r>
    </w:p>
    <w:p w14:paraId="0AE49C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25-A-2454-ASTMH</w:t>
      </w:r>
    </w:p>
    <w:p w14:paraId="7F4576F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and Genetics of Insecticide Resistance</w:t>
      </w:r>
    </w:p>
    <w:p w14:paraId="26F20D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Insecticide susceptibility status of populations of an invasive vector Anopheles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b/>
          <w:bCs/>
          <w:color w:val="000000"/>
          <w:kern w:val="0"/>
          <w:sz w:val="22"/>
          <w:szCs w:val="22"/>
          <w14:ligatures w14:val="none"/>
        </w:rPr>
        <w:t>stephensi to novel chemical insecticides and an insect growth regulator from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b/>
          <w:bCs/>
          <w:color w:val="000000"/>
          <w:kern w:val="0"/>
          <w:sz w:val="22"/>
          <w:szCs w:val="22"/>
          <w14:ligatures w14:val="none"/>
        </w:rPr>
        <w:t>Eastern Ethiopia</w:t>
      </w:r>
    </w:p>
    <w:p w14:paraId="2EEA35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invasive </w:t>
      </w:r>
      <w:r w:rsidRPr="00FE5D1C">
        <w:rPr>
          <w:rFonts w:ascii="Calibri" w:eastAsia="Times New Roman" w:hAnsi="Calibri" w:cs="Calibri"/>
          <w:i/>
          <w:iCs/>
          <w:color w:val="000000"/>
          <w:kern w:val="0"/>
          <w:sz w:val="22"/>
          <w:szCs w:val="22"/>
          <w14:ligatures w14:val="none"/>
        </w:rPr>
        <w:t>Anopheles stephensi</w:t>
      </w:r>
      <w:r w:rsidRPr="00FE5D1C">
        <w:rPr>
          <w:rFonts w:ascii="Calibri" w:eastAsia="Times New Roman" w:hAnsi="Calibri" w:cs="Calibri"/>
          <w:color w:val="000000"/>
          <w:kern w:val="0"/>
          <w:sz w:val="22"/>
          <w:szCs w:val="22"/>
          <w14:ligatures w14:val="none"/>
        </w:rPr>
        <w:t> mosquito has been confirmed in multiple urban, peri-urban, and rural areas across Ethiopia. Recent findings indicate that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has developed resistance to pyrethroids, carbamates, and organophosphates. This study aimed to evaluate the susceptibility of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to three candidate insecticides—broflanilide, clothianidin, and chlorfenapyr—and one insect growth regulator, pyriproxyfen. WHO bottle bioassay protocols were used on adult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reared from larval collections. Bottles were treated with diagnostic doses: 18 µg/bottle (broflanilide), 10 µg/bottle (clothianidin), 100 µg/bottle (chlorfenapyr), and 100 µg/bottle (pyriproxyfen). Controls were treated with acetone or a Mero-acetone mix. Mortality was recorded at 24 hours for all insecticides and extended to 72 hours for chlorfenapyr and pyriproxyfen. Pyriproxyfen’s effect on oviposition was assessed over four days following the 72-hour period. Mortality at 24 hours post-exposure was 100% for broflanilide and clothianidin. Chlorfenapyr caused 66% mortality at 24 hours and 100% at 48 hours. No mortality was observed in controls. Pyriproxyfen completely inhibited oviposition, while the control group showed a 100% oviposition rate. The results indicate that </w:t>
      </w:r>
      <w:r w:rsidRPr="00FE5D1C">
        <w:rPr>
          <w:rFonts w:ascii="Calibri" w:eastAsia="Times New Roman" w:hAnsi="Calibri" w:cs="Calibri"/>
          <w:i/>
          <w:iCs/>
          <w:color w:val="000000"/>
          <w:kern w:val="0"/>
          <w:sz w:val="22"/>
          <w:szCs w:val="22"/>
          <w14:ligatures w14:val="none"/>
        </w:rPr>
        <w:t>An. stephensi</w:t>
      </w:r>
      <w:r w:rsidRPr="00FE5D1C">
        <w:rPr>
          <w:rFonts w:ascii="Calibri" w:eastAsia="Times New Roman" w:hAnsi="Calibri" w:cs="Calibri"/>
          <w:color w:val="000000"/>
          <w:kern w:val="0"/>
          <w:sz w:val="22"/>
          <w:szCs w:val="22"/>
          <w14:ligatures w14:val="none"/>
        </w:rPr>
        <w:t> populations in Ethiopia are fully susceptible to the three tested insecticides, and that pyriproxyfen effectively prevents egg-laying. These findings support the potential use of these compounds in indoor residual spraying and larviciding strategies. Further studies on residual efficacy under semi-field conditions in various ecological zones of Ethiopia are recommended to support policy decisions.</w:t>
      </w:r>
    </w:p>
    <w:p w14:paraId="6A0AFB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25-A-2457-ASTMH</w:t>
      </w:r>
    </w:p>
    <w:p w14:paraId="425B55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44F1496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Measuring the transmissibility of recurrent parasitemias that arise following artemisinin-based combination therapy</w:t>
      </w:r>
    </w:p>
    <w:p w14:paraId="779999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Artemisinin combination therapy (ACT) artemether-lumefantrine (AL) is the frontline treatment for malaria in Tanzania, but partial resistance to artemisinins has recently been detected in the country, prompting investigation of triple ACT safety and efficacy. The 3ACT Kibindu study evaluated addition of amodiaquine (AQ) or artesunate-amodiaquine (ASAQ) to the AL treatment regimen. In this add-on </w:t>
      </w:r>
      <w:r w:rsidRPr="00FE5D1C">
        <w:rPr>
          <w:rFonts w:ascii="Calibri" w:eastAsia="Times New Roman" w:hAnsi="Calibri" w:cs="Calibri"/>
          <w:color w:val="000000"/>
          <w:kern w:val="0"/>
          <w:sz w:val="22"/>
          <w:szCs w:val="22"/>
          <w14:ligatures w14:val="none"/>
        </w:rPr>
        <w:lastRenderedPageBreak/>
        <w:t>study, we examine PCR positivity and transmissibility of patients one to two months after treatment to assess whether recurrent parasitemia post-treatment contributes to transmission of drug-tolerant parasites. From May 2023-November 2024, 235 uncomplicated malaria patients aged 6 months - 10 years who presented to Kibindu Health Center in eastern Tanzania were randomized to one of three regimens and followed for 8 weeks. Study arms included AL, triple ACT with amodiaquine (AL+AQ), and sequential TACT (AL then ASAQ). Transmissibility to mosquitoes was evaluated via direct membrane feeding assays (DMFAs) using blood samples from 100 participants and insectary-reared Anopheles gambiae and funestus during weeks 4-8. Based on preliminary msp1/msp2 genotyping data, 5 (2.1%) of 65 smear-positive recurrences during weeks 4-8 showed identical alleles at baseline, suggesting parasite recrudescence, with 2 of the 5 in the AL arm. Despite few treatment failures, 204 (89%) participants had P. falciparum detected by qPCR during weeks 4-8. Additionally, 16 DMFAs (16%) showed evidence of human-to-mosquito transmission, with parasites identified in mosquito midguts 8-10 days post-feeding, though only 6 of the 16 infectious participants developed clinical recurrences. Among positive DMFAs, 4-65% of mosquitoes were infected, with a median oocyst burden of 2 (IQR: 1-12). Amplicon sequencing of resistance markers and RT-qPCR gametocyte quantification are ongoing to better understand implications of these results. Overall, this study provides a uniquely comprehensive analysis of ACT efficacy and impact on transmission and emerging resistance in endemic east Africa.</w:t>
      </w:r>
    </w:p>
    <w:p w14:paraId="5A9767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25-A-2458-ASTMH</w:t>
      </w:r>
    </w:p>
    <w:p w14:paraId="7D5F5E4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4EAFC3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Mathematical Modeling of Mosquito-Borne Pathogen Transmission with Multiple Time Delays</w:t>
      </w:r>
    </w:p>
    <w:p w14:paraId="47DB73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Mosquito-borne diseases continue to pose a major public health threat in tropical and subtropical regions. A key challenge in understanding their transmission lies in the intrinsic delays between infection events and the appearance of symptoms before onward transmission. In this work, we develop a mathematical model that incorporates multiple time delays to better represent the complex timing of biological processes involved in pathogen transmission between mosquitoes and humans. The model introduces delay terms to capture both the incubation period of the pathogen within the mosquito vector and the latency period in human hosts. We explore how these delays influence the overall transmission dynamics, the emergence of oscillatory behavior, and the potential for sustained outbreaks. Analytical techniques are used to investigate the existence and stability of equilibrium states, while numerical simulations help to determine how varying the length and interaction of delays can amplify or suppress disease spread under diverse conditions. Our results show that longer delays in either the vector or host stages can destabilize otherwise stable systems, leading to periodic outbreaks and unexpected surges in infection. This has important implications for timing interventions such as insecticide deployment or treatment programs. By identifying how delays shape transmission patterns, this model offers a refined perspective on the temporal dynamics of mosquito-borne diseases and emphasizes the need for time-aware public health strategies.</w:t>
      </w:r>
    </w:p>
    <w:p w14:paraId="48E1B6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25-A-2459-ASTMH</w:t>
      </w:r>
    </w:p>
    <w:p w14:paraId="1622E1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533F5F7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Integrating </w:t>
      </w:r>
      <w:r w:rsidRPr="00FE5D1C">
        <w:rPr>
          <w:rFonts w:ascii="Calibri" w:eastAsia="Times New Roman" w:hAnsi="Calibri" w:cs="Calibri"/>
          <w:i/>
          <w:iCs/>
          <w:color w:val="000000"/>
          <w:kern w:val="0"/>
          <w:sz w:val="22"/>
          <w:szCs w:val="22"/>
          <w14:ligatures w14:val="none"/>
        </w:rPr>
        <w:t>Plasmodium knowlesi-</w:t>
      </w:r>
      <w:r w:rsidRPr="00FE5D1C">
        <w:rPr>
          <w:rFonts w:ascii="Calibri" w:eastAsia="Times New Roman" w:hAnsi="Calibri" w:cs="Calibri"/>
          <w:color w:val="000000"/>
          <w:kern w:val="0"/>
          <w:sz w:val="22"/>
          <w:szCs w:val="22"/>
          <w14:ligatures w14:val="none"/>
        </w:rPr>
        <w:t>Specific Serological Markers of Recent Exposure in a Multiplex Panel to Improve Surveillance of Zoonotic and Non-Zoonotic Malaria</w:t>
      </w:r>
    </w:p>
    <w:p w14:paraId="413ED2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elimination in Southeast-Asia is threatened by the emergence of </w:t>
      </w:r>
      <w:r w:rsidRPr="00FE5D1C">
        <w:rPr>
          <w:rFonts w:ascii="Calibri" w:eastAsia="Times New Roman" w:hAnsi="Calibri" w:cs="Calibri"/>
          <w:i/>
          <w:iCs/>
          <w:color w:val="000000"/>
          <w:kern w:val="0"/>
          <w:sz w:val="22"/>
          <w:szCs w:val="22"/>
          <w14:ligatures w14:val="none"/>
        </w:rPr>
        <w:t>Plasmodium knowlesi</w:t>
      </w:r>
      <w:r w:rsidRPr="00FE5D1C">
        <w:rPr>
          <w:rFonts w:ascii="Calibri" w:eastAsia="Times New Roman" w:hAnsi="Calibri" w:cs="Calibri"/>
          <w:color w:val="000000"/>
          <w:kern w:val="0"/>
          <w:sz w:val="22"/>
          <w:szCs w:val="22"/>
          <w14:ligatures w14:val="none"/>
        </w:rPr>
        <w:t>, with clinical cases likely underestimated despite the potential of severe and fatal disease. Due to a lack of systemic molecular surveillance outside of Malaysia, alternative tools are needed for effective surveillance and estimates of transmission. Serological surveillance has shown promise for monitoring falciparum and vivax malaria exposure and transmission intensity. However, integrating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-specific antigens into existing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multiplex serological panels requires validating their specificity against cross-reactivity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species. We selected 12 initial </w:t>
      </w:r>
      <w:r w:rsidRPr="00FE5D1C">
        <w:rPr>
          <w:rFonts w:ascii="Calibri" w:eastAsia="Times New Roman" w:hAnsi="Calibri" w:cs="Calibri"/>
          <w:i/>
          <w:iCs/>
          <w:color w:val="000000"/>
          <w:kern w:val="0"/>
          <w:sz w:val="22"/>
          <w:szCs w:val="22"/>
          <w14:ligatures w14:val="none"/>
        </w:rPr>
        <w:t>P. knowlesi </w:t>
      </w:r>
      <w:r w:rsidRPr="00FE5D1C">
        <w:rPr>
          <w:rFonts w:ascii="Calibri" w:eastAsia="Times New Roman" w:hAnsi="Calibri" w:cs="Calibri"/>
          <w:color w:val="000000"/>
          <w:kern w:val="0"/>
          <w:sz w:val="22"/>
          <w:szCs w:val="22"/>
          <w14:ligatures w14:val="none"/>
        </w:rPr>
        <w:t>antigens, including some designed to minimise cross-reactivity against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xml:space="preserve">. To measure the immunogenicity </w:t>
      </w:r>
      <w:r w:rsidRPr="00FE5D1C">
        <w:rPr>
          <w:rFonts w:ascii="Calibri" w:eastAsia="Times New Roman" w:hAnsi="Calibri" w:cs="Calibri"/>
          <w:color w:val="000000"/>
          <w:kern w:val="0"/>
          <w:sz w:val="22"/>
          <w:szCs w:val="22"/>
          <w14:ligatures w14:val="none"/>
        </w:rPr>
        <w:lastRenderedPageBreak/>
        <w:t>and specificity of each antigen, we coupled the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antigens to MagPlex Microsphere magnetic beads and tested them in patients with confirmed zoonotic or non-zoonotic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infections (33 </w:t>
      </w:r>
      <w:r w:rsidRPr="00FE5D1C">
        <w:rPr>
          <w:rFonts w:ascii="Calibri" w:eastAsia="Times New Roman" w:hAnsi="Calibri" w:cs="Calibri"/>
          <w:i/>
          <w:iCs/>
          <w:color w:val="000000"/>
          <w:kern w:val="0"/>
          <w:sz w:val="22"/>
          <w:szCs w:val="22"/>
          <w14:ligatures w14:val="none"/>
        </w:rPr>
        <w:t>P. knowlesi, </w:t>
      </w:r>
      <w:r w:rsidRPr="00FE5D1C">
        <w:rPr>
          <w:rFonts w:ascii="Calibri" w:eastAsia="Times New Roman" w:hAnsi="Calibri" w:cs="Calibri"/>
          <w:color w:val="000000"/>
          <w:kern w:val="0"/>
          <w:sz w:val="22"/>
          <w:szCs w:val="22"/>
          <w14:ligatures w14:val="none"/>
        </w:rPr>
        <w:t>31</w:t>
      </w:r>
      <w:r w:rsidRPr="00FE5D1C">
        <w:rPr>
          <w:rFonts w:ascii="Calibri" w:eastAsia="Times New Roman" w:hAnsi="Calibri" w:cs="Calibri"/>
          <w:i/>
          <w:iCs/>
          <w:color w:val="000000"/>
          <w:kern w:val="0"/>
          <w:sz w:val="22"/>
          <w:szCs w:val="22"/>
          <w14:ligatures w14:val="none"/>
        </w:rPr>
        <w:t> P. falciparum, </w:t>
      </w:r>
      <w:r w:rsidRPr="00FE5D1C">
        <w:rPr>
          <w:rFonts w:ascii="Calibri" w:eastAsia="Times New Roman" w:hAnsi="Calibri" w:cs="Calibri"/>
          <w:color w:val="000000"/>
          <w:kern w:val="0"/>
          <w:sz w:val="22"/>
          <w:szCs w:val="22"/>
          <w14:ligatures w14:val="none"/>
        </w:rPr>
        <w:t>31 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and 21 </w:t>
      </w:r>
      <w:r w:rsidRPr="00FE5D1C">
        <w:rPr>
          <w:rFonts w:ascii="Calibri" w:eastAsia="Times New Roman" w:hAnsi="Calibri" w:cs="Calibri"/>
          <w:i/>
          <w:iCs/>
          <w:color w:val="000000"/>
          <w:kern w:val="0"/>
          <w:sz w:val="22"/>
          <w:szCs w:val="22"/>
          <w14:ligatures w14:val="none"/>
        </w:rPr>
        <w:t>P. malariae</w:t>
      </w:r>
      <w:r w:rsidRPr="00FE5D1C">
        <w:rPr>
          <w:rFonts w:ascii="Calibri" w:eastAsia="Times New Roman" w:hAnsi="Calibri" w:cs="Calibri"/>
          <w:color w:val="000000"/>
          <w:kern w:val="0"/>
          <w:sz w:val="22"/>
          <w:szCs w:val="22"/>
          <w14:ligatures w14:val="none"/>
        </w:rPr>
        <w:t>) at three key time points (Day 0, Day 7, and Day 28 after treatment) in addition to 27 non-endemic malaria and 90 healthy control samples. The samples were then analysed using the Luminex MAGPIX Multiplexing System. Using this approach, initial results suggested that three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antigens had a significantly higher antibody response at Day 7 post treatment in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patients compared to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patients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&lt;0.05, Mann-Whitney Test). IgG antibodies against PkMSP10, PkSSP2, and Pk8 increased 26.2-fold, 4.5-fold, and 5.0-fold respectively at Day 7 compared to Day 0. All other antigens had either low immunogenicity or high cross-reactivity in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patients. Therefore, it is vital to integrate these three antigens into existing </w:t>
      </w:r>
      <w:r w:rsidRPr="00FE5D1C">
        <w:rPr>
          <w:rFonts w:ascii="Calibri" w:eastAsia="Times New Roman" w:hAnsi="Calibri" w:cs="Calibri"/>
          <w:i/>
          <w:iCs/>
          <w:color w:val="000000"/>
          <w:kern w:val="0"/>
          <w:sz w:val="22"/>
          <w:szCs w:val="22"/>
          <w14:ligatures w14:val="none"/>
        </w:rPr>
        <w:t>Plasmodium </w:t>
      </w:r>
      <w:r w:rsidRPr="00FE5D1C">
        <w:rPr>
          <w:rFonts w:ascii="Calibri" w:eastAsia="Times New Roman" w:hAnsi="Calibri" w:cs="Calibri"/>
          <w:color w:val="000000"/>
          <w:kern w:val="0"/>
          <w:sz w:val="22"/>
          <w:szCs w:val="22"/>
          <w14:ligatures w14:val="none"/>
        </w:rPr>
        <w:t>multiplex serological panels in conjunction with an updated classification algorithm based on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responses using machine-learning approaches. This study will provide robust serosurveillance tools to understand </w:t>
      </w:r>
      <w:r w:rsidRPr="00FE5D1C">
        <w:rPr>
          <w:rFonts w:ascii="Calibri" w:eastAsia="Times New Roman" w:hAnsi="Calibri" w:cs="Calibri"/>
          <w:i/>
          <w:iCs/>
          <w:color w:val="000000"/>
          <w:kern w:val="0"/>
          <w:sz w:val="22"/>
          <w:szCs w:val="22"/>
          <w14:ligatures w14:val="none"/>
        </w:rPr>
        <w:t>P. knowlesi</w:t>
      </w:r>
      <w:r w:rsidRPr="00FE5D1C">
        <w:rPr>
          <w:rFonts w:ascii="Calibri" w:eastAsia="Times New Roman" w:hAnsi="Calibri" w:cs="Calibri"/>
          <w:color w:val="000000"/>
          <w:kern w:val="0"/>
          <w:sz w:val="22"/>
          <w:szCs w:val="22"/>
          <w14:ligatures w14:val="none"/>
        </w:rPr>
        <w:t> exposure risk and will be used in large human epidemiological cohorts for enhanced surveillance.</w:t>
      </w:r>
    </w:p>
    <w:p w14:paraId="220F99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25-A-2460-ASTMH</w:t>
      </w:r>
    </w:p>
    <w:p w14:paraId="4B92AD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551577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Lactate Dehydrogenase antigen detection tool for symptomatic and cryptic infections of </w:t>
      </w:r>
      <w:r w:rsidRPr="00FE5D1C">
        <w:rPr>
          <w:rFonts w:ascii="Calibri" w:eastAsia="Times New Roman" w:hAnsi="Calibri" w:cs="Calibri"/>
          <w:i/>
          <w:iCs/>
          <w:color w:val="000000"/>
          <w:kern w:val="0"/>
          <w:sz w:val="22"/>
          <w:szCs w:val="22"/>
          <w14:ligatures w14:val="none"/>
        </w:rPr>
        <w:t>Plasmodium vivax</w:t>
      </w:r>
    </w:p>
    <w:p w14:paraId="338569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presents a unique challenge to malaria elimination due to its dormant liver stage and high prevalence of asymptomatic, low-density infections. These features hinder accurate diagnosis and surveillance, particularly in the Asia-Pacific region, where the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burden remains high. The Mueller Laboratory developed and validated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-specific antibodies to serve as serological exposure markers (SEMs) capable of identifying individuals with recent exposure to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However, these SEMs may misclassify some individuals with current infections due to low antibody responses. To address this gap, we established a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-specific lactate dehydrogenase (PvLDH) antigen detection assay to complement the existing SEMs. In cohort studies, the PvLDH assay identified 78.5% and 71.8% of PCR-positive infections in Thailand and Ethiopia, respectively. While the assay performs well for active infections, its sensitivity is limited in detecting low-density, asymptomatic cases, making it currently unsuitable as a standalone surveillance tool. However, detection of PvLDH in two individuals at PCR-negative timepoints suggests potential utility in uncovering hidden parasite dynamics. This assay represents a promising diagnostic addition and a valuable research tool for understanding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biology. Ongoing optimisation could enhance its role in integrated surveillance strategies to accelerate malaria elimination efforts.</w:t>
      </w:r>
    </w:p>
    <w:p w14:paraId="202FC7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25-A-2461-ASTMH</w:t>
      </w:r>
    </w:p>
    <w:p w14:paraId="6411D5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Elimination</w:t>
      </w:r>
    </w:p>
    <w:p w14:paraId="1B48AA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Timely treatment to Plasmodium vivax radical cure regimens, a programmatic evaluation from the Peruvian Amazon</w:t>
      </w:r>
    </w:p>
    <w:p w14:paraId="4DC6D1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Delayed treatment increases malaria-associated morbidity and mortality and perpetuates transmission. In the Peruvian Amazon, where most of the country’s malaria cases occur and</w:t>
      </w:r>
      <w:r w:rsidRPr="00FE5D1C">
        <w:rPr>
          <w:rFonts w:ascii="Calibri" w:eastAsia="Times New Roman" w:hAnsi="Calibri" w:cs="Calibri"/>
          <w:i/>
          <w:iCs/>
          <w:color w:val="000000"/>
          <w:kern w:val="0"/>
          <w:sz w:val="22"/>
          <w:szCs w:val="22"/>
          <w14:ligatures w14:val="none"/>
        </w:rPr>
        <w:t> Plasmodium vivax</w:t>
      </w:r>
      <w:r w:rsidRPr="00FE5D1C">
        <w:rPr>
          <w:rFonts w:ascii="Calibri" w:eastAsia="Times New Roman" w:hAnsi="Calibri" w:cs="Calibri"/>
          <w:color w:val="000000"/>
          <w:kern w:val="0"/>
          <w:sz w:val="22"/>
          <w:szCs w:val="22"/>
          <w14:ligatures w14:val="none"/>
        </w:rPr>
        <w:t> is the dominant species, a challenge to timely treatment is that many areas are remote and difficult to access. An important component of Peru’s malaria elimination program, established in 2017, is correct and to leverage community health workers to provide treatment to laboratory-confirmed cases within 48 hours of symptom onset, and conduct direction observed therapy as feasible. A cross-sectional study was conducted to evaluate the programmatic implementation of this strategy. Five villages representing different levels of remoteness from the urban city of Iquitos were selected. Villages are &lt;1.5 hours (VBP, Va), 12 hours (SC, UN), and &gt;24 hours (BP) of traveling time from Iquitos. Patients with laboratory-confirmed vivax malaria from these villages were included if they were ≤7 days from the completion of treatment (with standard chloroquine for 3 days and primaquine for 7 days) and they resided within a 2-</w:t>
      </w:r>
      <w:r w:rsidRPr="00FE5D1C">
        <w:rPr>
          <w:rFonts w:ascii="Calibri" w:eastAsia="Times New Roman" w:hAnsi="Calibri" w:cs="Calibri"/>
          <w:color w:val="000000"/>
          <w:kern w:val="0"/>
          <w:sz w:val="22"/>
          <w:szCs w:val="22"/>
          <w14:ligatures w14:val="none"/>
        </w:rPr>
        <w:lastRenderedPageBreak/>
        <w:t>hour walking radius of the village's health post (HP). In consenting participants, a questionnaire was administered at the patients’ home. Of 130 patients enrolled, 22 (17%) started treatment within the first 48 hours. Treatment efficacy indicators (EI) were summarized: mean time from symptom onset to diagnosis and treatment initiation was 3.1 ± 1.9 days and 4.2 ± 1.9 days, respectively, and time from diagnosis to treatment initiation was 1.1 ± 1.3 days. Median HP-level treatment adherence was 61.5%, with high variation across HPs: 15%, 38%, 96%, and 57% in VBP, Va, SC+UN, and BP, respectively. Higher EI performance was associated with higher adherence (p&lt;0.001). Findings suggest that timely onset of treatment by providers improves patient adherence and should be a focus for further optimizing patient outcomes and reducing transmission.</w:t>
      </w:r>
    </w:p>
    <w:p w14:paraId="5F6F8E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25-A-2462-ASTMH</w:t>
      </w:r>
    </w:p>
    <w:p w14:paraId="55CB8F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7D46C3A2" w14:textId="679E8CE1"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Mapping high-containment biosafety laboratories to minimize global health threats</w:t>
      </w:r>
    </w:p>
    <w:p w14:paraId="1ECC25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 This study aimed to investigate the geospatial distribution of High-containment biosafety laboratories (BSL-3 and BSL-4) and their correlation with country-level health security index and demographic variables in order to inform policymakers about the potential global health threats posed by poor oversights of these laboratories. </w:t>
      </w:r>
      <w:r w:rsidRPr="00FE5D1C">
        <w:rPr>
          <w:rFonts w:ascii="Calibri" w:eastAsia="Times New Roman" w:hAnsi="Calibri" w:cs="Calibri"/>
          <w:b/>
          <w:bCs/>
          <w:color w:val="000000"/>
          <w:kern w:val="0"/>
          <w:sz w:val="22"/>
          <w:szCs w:val="22"/>
          <w14:ligatures w14:val="none"/>
        </w:rPr>
        <w:t>Methodology</w:t>
      </w:r>
      <w:r w:rsidRPr="00FE5D1C">
        <w:rPr>
          <w:rFonts w:ascii="Calibri" w:eastAsia="Times New Roman" w:hAnsi="Calibri" w:cs="Calibri"/>
          <w:color w:val="000000"/>
          <w:kern w:val="0"/>
          <w:sz w:val="22"/>
          <w:szCs w:val="22"/>
          <w14:ligatures w14:val="none"/>
        </w:rPr>
        <w:t>: Open-source data were used to collect the information of BSL-3 and BSL-4 laboratories worldwide. Further details of each laboratory, including the locations (i.e., latitude/longitude coordinates) and pathogens they are working with, were collected manually. The highest biosafety level was used to classify the laboratories as BSL-4. We mapped the geospatial epidemiology of BSL-3 and BSL-4 laboratories and their correlation with Country-level indicators collected from the World Bank, the Worldometer, and the 2021 Global Health Security Index Report using ArcGIS Pro version 3.1. </w:t>
      </w:r>
      <w:r w:rsidRPr="00FE5D1C">
        <w:rPr>
          <w:rFonts w:ascii="Calibri" w:eastAsia="Times New Roman" w:hAnsi="Calibri" w:cs="Calibri"/>
          <w:b/>
          <w:bCs/>
          <w:color w:val="000000"/>
          <w:kern w:val="0"/>
          <w:sz w:val="22"/>
          <w:szCs w:val="22"/>
          <w14:ligatures w14:val="none"/>
        </w:rPr>
        <w:t>Result</w:t>
      </w:r>
      <w:r w:rsidRPr="00FE5D1C">
        <w:rPr>
          <w:rFonts w:ascii="Calibri" w:eastAsia="Times New Roman" w:hAnsi="Calibri" w:cs="Calibri"/>
          <w:color w:val="000000"/>
          <w:kern w:val="0"/>
          <w:sz w:val="22"/>
          <w:szCs w:val="22"/>
          <w14:ligatures w14:val="none"/>
        </w:rPr>
        <w:t>: We identified over 3,000 high-containment biosafety in 149 countries, where most of which were found in the United States and Europe. Details on geolocations and pathogens they handled are publicly available for 955 of these labs. All BSL-4 laboratories are from middle- and high-income countries and nearly half (46%) of them are in the WHO’s Europe region. Notably, 91.6% of countries with at least one BSL-3 laboratory lack guidelines for dual-use research of concern. The United States and the United Kingdom had high health security index and BSL-3 count.</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High containment laboratories working with high-risk pathogens are unequally distributed by income level, population density, and health security index. More than 90% of the countries with at least one BSL-3 laboratory have no supervisions/regulations regarding dual-use research. This may pose a high risk of laboratory-acquired infections/accidents that may cause global health threats.</w:t>
      </w:r>
    </w:p>
    <w:p w14:paraId="18C943E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25-A-2463-ASTMH</w:t>
      </w:r>
    </w:p>
    <w:p w14:paraId="7C3EB8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0D4480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Recombinant Nipah and Crimean-Congo Hemorrhagic Fever Viral Proteins Produced Using the DrosophilaS2 Expression System are Reactive to Antigen Specific Antibodies</w:t>
      </w:r>
    </w:p>
    <w:p w14:paraId="17F0EB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Both Nipah Virus (NiV) and Crimean-Congo Hemorrhagic Fever Virus (CCHFV) outbreaks have devastating economic impacts on small and large livestock farms and devastating spillover events, into human populations, occur yearly in endemic areas such as Bangladesh and parts of Africa. Outbreaks of these priority zoonotic pathogens result in severe disease and case fatality rates as high as 40% and 70%, respectively. It is difficult to predict spillover events from NiV and CCHFV due to mild or asymptomatic infections and a lack of data on seroprevalence in animal populations. Serological assays can be used to better understand virus distribution and exposure events in animal and human populations. There is an urgent need to develop more cost-effective multianalyte serological assays to assess both animal and human seropositivity to NiV and CCHFV in affected areas. In recent years, recombinant proteins have increasingly been used in assays for serological surveillance of infectious diseases and to aid in the modeling of disease distribution for outbreak prevention. Development of high quality recombinant proteins that are key antigens of NiV and CCHFV, are critical for animal and </w:t>
      </w:r>
      <w:r w:rsidRPr="00FE5D1C">
        <w:rPr>
          <w:rFonts w:ascii="Calibri" w:eastAsia="Times New Roman" w:hAnsi="Calibri" w:cs="Calibri"/>
          <w:color w:val="000000"/>
          <w:kern w:val="0"/>
          <w:sz w:val="22"/>
          <w:szCs w:val="22"/>
          <w14:ligatures w14:val="none"/>
        </w:rPr>
        <w:lastRenderedPageBreak/>
        <w:t>human health. The use of the scalable Drosophila</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S2 expression system combined with affinity purification offers an avenue for the production of affordable multiplex immunoassays in a variety of resource settings. Previously we presented successful production and purification of NiV (pre)fusion (pF/F), attachment (G), and nucleocapsid (N) proteins as well as CCHFV receptor recognition glycoprotein (G</w:t>
      </w:r>
      <w:r w:rsidRPr="00FE5D1C">
        <w:rPr>
          <w:rFonts w:ascii="Calibri" w:eastAsia="Times New Roman" w:hAnsi="Calibri" w:cs="Calibri"/>
          <w:color w:val="000000"/>
          <w:kern w:val="0"/>
          <w:sz w:val="22"/>
          <w:szCs w:val="22"/>
          <w:vertAlign w:val="subscript"/>
          <w14:ligatures w14:val="none"/>
        </w:rPr>
        <w:t>n</w:t>
      </w:r>
      <w:r w:rsidRPr="00FE5D1C">
        <w:rPr>
          <w:rFonts w:ascii="Calibri" w:eastAsia="Times New Roman" w:hAnsi="Calibri" w:cs="Calibri"/>
          <w:color w:val="000000"/>
          <w:kern w:val="0"/>
          <w:sz w:val="22"/>
          <w:szCs w:val="22"/>
          <w14:ligatures w14:val="none"/>
        </w:rPr>
        <w:t>-G</w:t>
      </w:r>
      <w:r w:rsidRPr="00FE5D1C">
        <w:rPr>
          <w:rFonts w:ascii="Calibri" w:eastAsia="Times New Roman" w:hAnsi="Calibri" w:cs="Calibri"/>
          <w:color w:val="000000"/>
          <w:kern w:val="0"/>
          <w:sz w:val="22"/>
          <w:szCs w:val="22"/>
          <w:vertAlign w:val="subscript"/>
          <w14:ligatures w14:val="none"/>
        </w:rPr>
        <w:t>c</w:t>
      </w:r>
      <w:r w:rsidRPr="00FE5D1C">
        <w:rPr>
          <w:rFonts w:ascii="Calibri" w:eastAsia="Times New Roman" w:hAnsi="Calibri" w:cs="Calibri"/>
          <w:color w:val="000000"/>
          <w:kern w:val="0"/>
          <w:sz w:val="22"/>
          <w:szCs w:val="22"/>
          <w14:ligatures w14:val="none"/>
        </w:rPr>
        <w:t>) and nucleocapsid (N) proteins using the Drosophila S2 expression platform. These recombinant proteins have now been characterized using antigen specific monoclonal antibody panels by Western blotting and bead-based multiplex assays indicating that these antigens are native-like in structure. This research demonstrates that these high-quality antigens can now be used for serological surveillance, monitoring of immune response following natural infection, and determination of efficacy of new vaccines targeting NiV and CCHFV infections.</w:t>
      </w:r>
    </w:p>
    <w:p w14:paraId="107FE9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25-A-2469-ASTMH</w:t>
      </w:r>
    </w:p>
    <w:p w14:paraId="163B13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73759338" w14:textId="488F6FAD"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Can respiratory virus rapid tests be implemented as surveillance tools in low-resource setting</w:t>
      </w:r>
    </w:p>
    <w:p w14:paraId="009DC3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br/>
        <w:t>Surveillance of respiratory viruses is crucial for identifying new or emerging viruses, tracking seasonal patterns, and planning healthcare resource allocation. Standard case reporting systems and syndromic surveillance at sentinel sites are usually coupled with laboratory tools such as Polymerase Chain Reaction (PCR), which is expensive and requires highly trained personnel to perform the testing. Rapid antigen tests (RDTs), on the other hand, are quick, more affordable, and increasingly available since the COVID-19 pandemic, making them suitable for low-resource settings. RDT results can guide antiviral therapy and reduce inappropriate use of antibiotics.</w:t>
      </w:r>
      <w:r w:rsidRPr="00FE5D1C">
        <w:rPr>
          <w:rFonts w:ascii="Calibri" w:eastAsia="Times New Roman" w:hAnsi="Calibri" w:cs="Calibri"/>
          <w:color w:val="000000"/>
          <w:kern w:val="0"/>
          <w:sz w:val="22"/>
          <w:szCs w:val="22"/>
          <w14:ligatures w14:val="none"/>
        </w:rPr>
        <w:br/>
        <w:t>Methodology:</w:t>
      </w:r>
      <w:r w:rsidRPr="00FE5D1C">
        <w:rPr>
          <w:rFonts w:ascii="Calibri" w:eastAsia="Times New Roman" w:hAnsi="Calibri" w:cs="Calibri"/>
          <w:color w:val="000000"/>
          <w:kern w:val="0"/>
          <w:sz w:val="22"/>
          <w:szCs w:val="22"/>
          <w14:ligatures w14:val="none"/>
        </w:rPr>
        <w:br/>
        <w:t>We set up case-based surveillance of acute respiratory infection (using modified WHO criteria) in three provinces in Lao PDR. Nasopharyngeal (NP) and throat swabs were taken for SARS-CoV-2 E-gene, influenza A, influenza B and human respiratory syncytial virus probe based real-time RT PCR assay which was performed weekly in a central laboratory in Vientiane. Rapid tests for the viral targets were deployed at sites as soon as cases were detected by PCR and removed when there no longer any positive cases.</w:t>
      </w:r>
      <w:r w:rsidRPr="00FE5D1C">
        <w:rPr>
          <w:rFonts w:ascii="Calibri" w:eastAsia="Times New Roman" w:hAnsi="Calibri" w:cs="Calibri"/>
          <w:color w:val="000000"/>
          <w:kern w:val="0"/>
          <w:sz w:val="22"/>
          <w:szCs w:val="22"/>
          <w14:ligatures w14:val="none"/>
        </w:rPr>
        <w:br/>
        <w:t>Result:</w:t>
      </w:r>
      <w:r w:rsidRPr="00FE5D1C">
        <w:rPr>
          <w:rFonts w:ascii="Calibri" w:eastAsia="Times New Roman" w:hAnsi="Calibri" w:cs="Calibri"/>
          <w:color w:val="000000"/>
          <w:kern w:val="0"/>
          <w:sz w:val="22"/>
          <w:szCs w:val="22"/>
          <w14:ligatures w14:val="none"/>
        </w:rPr>
        <w:br/>
        <w:t>Between March 2024 and March 2025, a total of 1,999 patients were included in the study. Using PCR, 724 patients were diagnosed with a respiratory viral infection (330 influenza A, 47 influenza B, 117 SARS-CoV-2, 235 hRSV). The sensitivities of RDTs for influenza A, influenza B, RSV, and COVID-19 were 96.8%, 75%, 85.3%, and 90.9%, respectively, while the specificities were 88.3%, 96.1%, 77.8%, and 95%, respectively. Most influenza A was H1N1 or H3N2.</w:t>
      </w:r>
      <w:r w:rsidRPr="00FE5D1C">
        <w:rPr>
          <w:rFonts w:ascii="Calibri" w:eastAsia="Times New Roman" w:hAnsi="Calibri" w:cs="Calibri"/>
          <w:color w:val="000000"/>
          <w:kern w:val="0"/>
          <w:sz w:val="22"/>
          <w:szCs w:val="22"/>
          <w14:ligatures w14:val="none"/>
        </w:rPr>
        <w:br/>
        <w:t>Conclusion:Rapid diagnostic tests for respiratory viruses are useful surveillance tools in low-resource settings that can be deployed in community settings. Cost-effectiveness of year-round deployment for seasonal infections should be assessed.</w:t>
      </w:r>
    </w:p>
    <w:p w14:paraId="3F5A59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25-A-2470-ASTMH</w:t>
      </w:r>
    </w:p>
    <w:p w14:paraId="083519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Antimicrobial Resistance</w:t>
      </w:r>
    </w:p>
    <w:p w14:paraId="782794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National Point-Prevalence Survey of Antibacterial Use in Public Hospitals in Sri Lanka: Findings and Implications</w:t>
      </w:r>
    </w:p>
    <w:p w14:paraId="217461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Antimicrobial resistance (AMR) is a global health crisis that is driven by inappropriate antibacterial use. The study aimed to identify the prevalence, patterns and indications of antibacterial use in public hospitals in Sri Lanka. Single-day, point-prevalence surveys were conducted among inpatients in medical, surgical, and pediatric wards and intensive-care units (ICU) in 18 public hospitals in six of nine provinces in Sri Lanka in Aug-Nov 2024. One each from tertiary, secondary and primary-level hospitals were included per province. Type of antibacterial prescribed, indications, and bacterial culture results were collected from medical records. Of 3,872 patients surveyed, 60.3% were from tertiary, 36.1% from </w:t>
      </w:r>
      <w:r w:rsidRPr="00FE5D1C">
        <w:rPr>
          <w:rFonts w:ascii="Calibri" w:eastAsia="Times New Roman" w:hAnsi="Calibri" w:cs="Calibri"/>
          <w:color w:val="000000"/>
          <w:kern w:val="0"/>
          <w:sz w:val="22"/>
          <w:szCs w:val="22"/>
          <w14:ligatures w14:val="none"/>
        </w:rPr>
        <w:lastRenderedPageBreak/>
        <w:t>secondary, and 3.6% from primary hospitals. Prevalence of antibacterial use in tertiary, secondary and primary hospitals was 56.7%, 52.6%, and 49.6%, respectively. Highest antibacterial use was in ICUs (92.9%), and lowest was in mixed medical-surgical wards (45.7%). Among tertiary and secondary hospitals, commonly prescribed antibacterials were amoxicillin-clavulanate (AMC) (20.8%), 3</w:t>
      </w:r>
      <w:r w:rsidRPr="00FE5D1C">
        <w:rPr>
          <w:rFonts w:ascii="Calibri" w:eastAsia="Times New Roman" w:hAnsi="Calibri" w:cs="Calibri"/>
          <w:color w:val="000000"/>
          <w:kern w:val="0"/>
          <w:sz w:val="22"/>
          <w:szCs w:val="22"/>
          <w:vertAlign w:val="superscript"/>
          <w14:ligatures w14:val="none"/>
        </w:rPr>
        <w:t>rd</w:t>
      </w:r>
      <w:r w:rsidRPr="00FE5D1C">
        <w:rPr>
          <w:rFonts w:ascii="Calibri" w:eastAsia="Times New Roman" w:hAnsi="Calibri" w:cs="Calibri"/>
          <w:color w:val="000000"/>
          <w:kern w:val="0"/>
          <w:sz w:val="22"/>
          <w:szCs w:val="22"/>
          <w14:ligatures w14:val="none"/>
        </w:rPr>
        <w:t> gen cephalosporins (3GC) (20.1%), and metronidazole (11.0%). AMC (32.1%), 2</w:t>
      </w:r>
      <w:r w:rsidRPr="00FE5D1C">
        <w:rPr>
          <w:rFonts w:ascii="Calibri" w:eastAsia="Times New Roman" w:hAnsi="Calibri" w:cs="Calibri"/>
          <w:color w:val="000000"/>
          <w:kern w:val="0"/>
          <w:sz w:val="22"/>
          <w:szCs w:val="22"/>
          <w:vertAlign w:val="superscript"/>
          <w14:ligatures w14:val="none"/>
        </w:rPr>
        <w:t>nd</w:t>
      </w:r>
      <w:r w:rsidRPr="00FE5D1C">
        <w:rPr>
          <w:rFonts w:ascii="Calibri" w:eastAsia="Times New Roman" w:hAnsi="Calibri" w:cs="Calibri"/>
          <w:color w:val="000000"/>
          <w:kern w:val="0"/>
          <w:sz w:val="22"/>
          <w:szCs w:val="22"/>
          <w14:ligatures w14:val="none"/>
        </w:rPr>
        <w:t> gen cephalosporins (24.6%), and 1</w:t>
      </w:r>
      <w:r w:rsidRPr="00FE5D1C">
        <w:rPr>
          <w:rFonts w:ascii="Calibri" w:eastAsia="Times New Roman" w:hAnsi="Calibri" w:cs="Calibri"/>
          <w:color w:val="000000"/>
          <w:kern w:val="0"/>
          <w:sz w:val="22"/>
          <w:szCs w:val="22"/>
          <w:vertAlign w:val="superscript"/>
          <w14:ligatures w14:val="none"/>
        </w:rPr>
        <w:t>st</w:t>
      </w:r>
      <w:r w:rsidRPr="00FE5D1C">
        <w:rPr>
          <w:rFonts w:ascii="Calibri" w:eastAsia="Times New Roman" w:hAnsi="Calibri" w:cs="Calibri"/>
          <w:color w:val="000000"/>
          <w:kern w:val="0"/>
          <w:sz w:val="22"/>
          <w:szCs w:val="22"/>
          <w14:ligatures w14:val="none"/>
        </w:rPr>
        <w:t> gen cephalosporins (11.1%) were common in primary hospitals. Carbapenem use was 5.6% in tertiary and secondary hospitals. AMC (20.6%) and 3GC (20.3%) were the most common in medical and surgical wards while carbapenems were most common in ICUs (18.7%). Use of ‘Access’ group antibacterials was 58.3% in tertiary, 65.5% in secondary, 91.3% in primary while use of ‘Reserve’ group was &lt;1% across all facilities. Common indications for antibacterials were soft tissue (25.1%), lower respiratory tract (21.9%), and urinary tract (12.8%) infections across all levels. Associated microbiologic cultures were ordered in 37.5% patients in tertiary, 18% in secondary, and 0% in primary hospitals. This study describes the current landscape of antibacterial use in public hospitals in Sri Lanka. Improving diagnostic capacity and reducing use of broad-spectrum antibacterials were identified as antimicrobial stewardship targets.</w:t>
      </w:r>
    </w:p>
    <w:p w14:paraId="08D996A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25-A-2471-ASTMH</w:t>
      </w:r>
    </w:p>
    <w:p w14:paraId="1E7429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971A7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Spatial repellent emanators provide significant potential to reduce outdoor malaria transmission in Papua New Guinea</w:t>
      </w:r>
    </w:p>
    <w:p w14:paraId="484123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control in Papua New Guinea (PNG) is challenged by outdoor transmission not preventable with current vector control tools (VCTs). Alternative and complementary VCTs are needed. Spatial repellent emanators (SE) are novel VCTs with the potential to reduce malaria transmission. We conducted a three-arm stratified cluster randomised controlled entomological field trial (n=12 houses per arm) to evaluate the protective efficacy (PE) of a transfluthrin SE against </w:t>
      </w:r>
      <w:r w:rsidRPr="00FE5D1C">
        <w:rPr>
          <w:rFonts w:ascii="Calibri" w:eastAsia="Times New Roman" w:hAnsi="Calibri" w:cs="Calibri"/>
          <w:i/>
          <w:iCs/>
          <w:color w:val="000000"/>
          <w:kern w:val="0"/>
          <w:sz w:val="22"/>
          <w:szCs w:val="22"/>
          <w14:ligatures w14:val="none"/>
        </w:rPr>
        <w:t>Anopheles </w:t>
      </w:r>
      <w:r w:rsidRPr="00FE5D1C">
        <w:rPr>
          <w:rFonts w:ascii="Calibri" w:eastAsia="Times New Roman" w:hAnsi="Calibri" w:cs="Calibri"/>
          <w:color w:val="000000"/>
          <w:kern w:val="0"/>
          <w:sz w:val="22"/>
          <w:szCs w:val="22"/>
          <w14:ligatures w14:val="none"/>
        </w:rPr>
        <w:t>mosquitoes</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two coastal villages in PNG. SE devices were placed either indoors in households (“indoor SE” arm), indoors plus outdoors in sheltered locations (“indoor + outdoor SE” arm), and compared to a control arm without devices (“control” arm). Mosquito landing rates were measured monthly with human landing catches conducted simultaneously indoors and outdoors in study households. PE was estimated by comparing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landing rates between treatment arms using generalised linear models. While this study confirmed the high level of indoor protection observed in previous studies in Africa, it also generated the first field-based evidence of SE potential to reduce outdoor malaria transmission in PNG, a critical malaria hotspot in the Western Pacific region. Here, the fully analysed trial results will be presented, quantifying the indoor and outdoor PE of the transfluthrin SE against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w:t>
      </w:r>
    </w:p>
    <w:p w14:paraId="05FC90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25-A-2472-ASTMH</w:t>
      </w:r>
    </w:p>
    <w:p w14:paraId="4541D53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099CE1EB" w14:textId="41BC14D1"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Cautionary Tale, Misleading false positive Brucella test in areas of Typhoid fever Endemicity</w:t>
      </w:r>
    </w:p>
    <w:p w14:paraId="6293A6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 24-year-old woman, presented to the outpatient clinic in Kathmandu, Nepal with a fever of 9 days’ duration, cough, headache, body ache, abdominal pain, anorexia, and generalized weakness. There was history of recent travel to Delhi. There was no history of burning micturition, loose stool or chest pain. Patient presented to us with a report of brucella positivity using a brucella antigen agglutination test done outside our center. She was on doxycycline prescribed for 14 days. Patient had taken 100 mg bid for 5 days with no change in fever pattern. Physical examination revealed a febrile (39* C), ill-looking, and pale patient. The pulse was 120/minute, blood pressure was 90/60 mmHg, and the respiratory rate was 18 breaths/minute. The abdomen revealed no tenderness and, no palpable masses. Other systems were unremarkable. CBC, liver and kidney function tests were normal. .Given the fever, fatigue, abdominal symptoms, the initial differential diagnosis included: typhoid fever, typhus, brucellosis, kala-azar and malaria. Salmonella typhi was isolated from the blood on day 3 at our hospital, confirming the diagnosis of typhoid fever. All other tests except brucella antigen agglutination were negative. Because </w:t>
      </w:r>
      <w:r w:rsidRPr="00FE5D1C">
        <w:rPr>
          <w:rFonts w:ascii="Calibri" w:eastAsia="Times New Roman" w:hAnsi="Calibri" w:cs="Calibri"/>
          <w:color w:val="000000"/>
          <w:kern w:val="0"/>
          <w:sz w:val="22"/>
          <w:szCs w:val="22"/>
          <w14:ligatures w14:val="none"/>
        </w:rPr>
        <w:lastRenderedPageBreak/>
        <w:t>the patient had not shown improvement after a 5-day course of doxycycline, azithromycin 1 Gm a day for 7 days was administered empirically at our outpatient clinic due to high suspicion of typhoid fever. The patient became afebrile after 4 days. The false positive brucella agglutination test led to the patient receiving doxycycline for 5 days. Doxycycline is ineffective in the treatment of enteric fever. This case underscores the need to consider the strong possibility of false positive brucella antigen agglutination test results when using this RDT in areas of typhoid fever endemicity.</w:t>
      </w:r>
    </w:p>
    <w:p w14:paraId="556463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25-A-2474-ASTMH</w:t>
      </w:r>
    </w:p>
    <w:p w14:paraId="075BAF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636216FC" w14:textId="67776F03"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Identifying Serological Markers to Differentiate Natural Cholera Infections Vs. Vaccine Responses in Dhaka, Bangladesh</w:t>
      </w:r>
    </w:p>
    <w:p w14:paraId="4518A9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Cholera is an acute diarrheal disease caused by the ingestion of food or water contaminated with the bacterium </w:t>
      </w:r>
      <w:r w:rsidRPr="00FE5D1C">
        <w:rPr>
          <w:rFonts w:ascii="Calibri" w:eastAsia="Times New Roman" w:hAnsi="Calibri" w:cs="Calibri"/>
          <w:i/>
          <w:iCs/>
          <w:color w:val="000000"/>
          <w:kern w:val="0"/>
          <w:sz w:val="22"/>
          <w:szCs w:val="22"/>
          <w14:ligatures w14:val="none"/>
        </w:rPr>
        <w:t>Vibrio cholerae</w:t>
      </w:r>
      <w:r w:rsidRPr="00FE5D1C">
        <w:rPr>
          <w:rFonts w:ascii="Calibri" w:eastAsia="Times New Roman" w:hAnsi="Calibri" w:cs="Calibri"/>
          <w:color w:val="000000"/>
          <w:kern w:val="0"/>
          <w:sz w:val="22"/>
          <w:szCs w:val="22"/>
          <w14:ligatures w14:val="none"/>
        </w:rPr>
        <w:t>. Despite advances in vaccination and sanitation, cholera remains a global threat to public health and indicator of inequality. In endemic areas, vaccination serves as an effective way to prevent cholera. However, vaccination often complicates serosurveillance efforts as differentiating immune responses between natural cholera cases and vaccinees is challenging. Although cholera toxin B (CtxB) has been shown to distinguish between infection and vaccination, its cross-reactivity with the heat-labile toxin of enterotoxigenic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limits its reliability as a standalone marker. Here, we sought to further identify serological biomarkers that can be used to differentiate responses from natural infection to those of vaccinees. We recruited two cohorts from the International Centre for Diarrheal Disease Research in Dhaka, Bangladesh (icddr,b) hospital including those with culture-confirmed cholera infections (n=79) and those who had received the BivWC (Shanchol) cholera vaccine (n=79). Longitudinal blood samples were collected and were tested for IgA, IgG, and IgM antibodies of seven known cholera-specific antigens and vibriocidal activity. Antibody kinetics were estimated using within-host two-phase Bayesian hierarchical models implemented using the serodynamics package in R. The average follow-up time was 541 days (sd=6.18) among cases and 41.8 (sd=1.25) among vaccinees. We found that modeled posterior antibody kinetic curves between cases and vaccinees differed for CtxB and </w:t>
      </w:r>
      <w:r w:rsidRPr="00FE5D1C">
        <w:rPr>
          <w:rFonts w:ascii="Calibri" w:eastAsia="Times New Roman" w:hAnsi="Calibri" w:cs="Calibri"/>
          <w:i/>
          <w:iCs/>
          <w:color w:val="000000"/>
          <w:kern w:val="0"/>
          <w:sz w:val="22"/>
          <w:szCs w:val="22"/>
          <w14:ligatures w14:val="none"/>
        </w:rPr>
        <w:t>Vibrio cholerae </w:t>
      </w:r>
      <w:r w:rsidRPr="00FE5D1C">
        <w:rPr>
          <w:rFonts w:ascii="Calibri" w:eastAsia="Times New Roman" w:hAnsi="Calibri" w:cs="Calibri"/>
          <w:color w:val="000000"/>
          <w:kern w:val="0"/>
          <w:sz w:val="22"/>
          <w:szCs w:val="22"/>
          <w14:ligatures w14:val="none"/>
        </w:rPr>
        <w:t>cytolysin (HlyA) IgA and IgG, and Tcpa IgA. The estimated antibody response peak (y1) was higher across all three antigens, while the decay (alpha) rate was lower. These findings suggest that HlyA and Tcpa may be used in tandem with CtxB to differentiate cholera cases from vaccinees in future studies. Doing so can enhance the efficacy of cholera surveillance and epidemiological studies, especially in the low-resource areas where cholera is most prevalent.</w:t>
      </w:r>
    </w:p>
    <w:p w14:paraId="5E38BD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25-A-2475-ASTMH</w:t>
      </w:r>
    </w:p>
    <w:p w14:paraId="41D179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1C2F13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Perception of Attractive Targeted Sugar Baits, a novel malaria control intervention, by adolescent children from Western Kenya.</w:t>
      </w:r>
    </w:p>
    <w:p w14:paraId="55125D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Attractive Targeted Sugar Baits (ATSBs) are a novel malaria control intervention that aims to attract and kill mosquitoes. Understanding factors influencing community acceptability of ATSBs is important for guiding future evaluation and implementation. We conducted a qualitative evaluation of perceptions of ATSBs by adolescent children in the setting of an ongoing cluster-randomised trial in western Kenya evaluating ATSB impact on malaria burden. Twelve focus group discussions (FGDs) were conducted between May and June 2023 each with a purposive sample of 8-12 children aged 13-17 years; six from clusters with a high number of ATSB removal cases, and six with a few cases of ATSB removal. Following parental consent and participant assent, FGDs were conducted in schools, recorded, transcribed, and imported into Nvivo 12 for coding and analysis. A thematic approach to data analysis was adopted. 60 boys and 64 girls were interviewed. Children received information about ATSBs from study staff and their parents/guardians. Most understood that ATSBs contained an insecticide and were designed to kill mosquitoes and control malaria. Despite prior verbal warnings, some children from 11 out of 12 FGDs reported touching ATSBs to examine their contents and to better understand how they worked while </w:t>
      </w:r>
      <w:r w:rsidRPr="00FE5D1C">
        <w:rPr>
          <w:rFonts w:ascii="Calibri" w:eastAsia="Times New Roman" w:hAnsi="Calibri" w:cs="Calibri"/>
          <w:color w:val="000000"/>
          <w:kern w:val="0"/>
          <w:sz w:val="22"/>
          <w:szCs w:val="22"/>
          <w14:ligatures w14:val="none"/>
        </w:rPr>
        <w:lastRenderedPageBreak/>
        <w:t>others did not since they were warned by parents/guardians or study staff. With respect to perceived efficacy, some children noted ATSBs reduced mosquitoes and malaria cases and explained that they could read at night without mosquitoes biting them. Others noted little or no change, or even a perceived increase, in mosquito numbers. Children believed that engaging them directly was important for successful ATSB implementation, and suggested they could champion ATSBs. School-aged children are curious and can act as change agents for their communities. Engaging children in the implementation of vector control tools could promote their safety and community acceptance.</w:t>
      </w:r>
    </w:p>
    <w:p w14:paraId="3CA2F49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25-A-2476-ASTMH</w:t>
      </w:r>
    </w:p>
    <w:p w14:paraId="528E82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4039D7B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Pharmacokinetics of artemether-lumefantrine and dihydroartemisinin-piperaquine in breastmilk and the breastfed infant</w:t>
      </w:r>
    </w:p>
    <w:p w14:paraId="061444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transport of antimalarial drugs into breastmilk is a crucial consideration when pregnant women receive antimalarial prophylaxis or treatment for acute malaria. Factors such as protein binding and drug lipophilicity influence the extent of drug transfer into breastmilk, while the oral bioavailability of the drug in breastmilk determines the infant’s systemic exposure. Despite the extensive use artemisinin combination therapy (ACT) during pregnancy and postpartum, data on breastmilk transfer and infant dosing remain limited. This study aimed to investigate the pharmacokinetics (PK) of artemether-lumefantrine (AL) and dihydroartemisinin-piperaquine (DP) in breastmilk and the associated drug exposure in breastfed infants. Postpartum women (n=180) from Papua New Guinea who participated in a randomized controlled trial were assigned (1:1) to receive standard care or ACT (n=90), the latter group further randomized 1:1 to AL (n=45) or DP (n=45). A subset of 40 women from the ACT groups were recruited into the PK study. Once lactation was established and the infant had fed on first colostrum (&lt;24 hours after delivery), baseline (pre-treatment) dried blood spot (DBS) and breastmilk samples were collected. Additional 3-5 mL manually expressed fore- and hind-milk samples were collected at 0.5-2 hours, 4-6 hours, 6-8 hours, 10-12 hours, and on Days 1, 2, 3, 4, 7, 14, and 28 post-drug administration. Heel prick blood DBS samples were collected from each mother-infant pair immediately after breastmilk collection at 0.5-2 hours, 4-6 hours, and 6-8 hours on Days 1 and 3 (after the first and last dose for artemisinin drug PK characterization), and on Days 7, 14, and 28, along with one other randomly assigned time point between Day 1 and Day 4. For each maternal DBS sample, a 250 μL capillary blood sample was also collected. Concentrations of all component drugs in breastmilk, plasma, and DBS samples will be determined using validated triple-quad LCMS assays, with population PK modelling and simulations conducted using NONMEM. Of the 40 women recruited, 35 contributed samples to the analysis (AL, n=16; DP, n=19). The full study results will be presented.</w:t>
      </w:r>
    </w:p>
    <w:p w14:paraId="529B23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25-A-2477-ASTMH</w:t>
      </w:r>
    </w:p>
    <w:p w14:paraId="24B819A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45BBFF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K-means Clustering Algorithms for Infant Growth Patterns from the Mumta Pregnant Women Trial</w:t>
      </w:r>
    </w:p>
    <w:p w14:paraId="5854B5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Maternal undernutrition is a major global contributor to low birth weight, small-for-gestational-age, and preterm births. The Mumta Pregnant Woman trial was an open-label, assessor-blinded, randomized controlled trial evaluating the effects of Balanced Energy Protein (BEP) supplementation with or without the addition of Azithromycin (AZ) or Nicotinamide/Choline (Nic/ Chol) supplements in pregnancy. The study aimed to investigate the impact of these interventions on infant linear growth trajectories from birth to 12 months of age. Pregnant women (&lt;19 weeks (GA)) confirmed via ultrasound were randomly assigned (1:1:1:1) to one of four groups: (1) control (standard antenatal care with skilled birth attendance, nutrition counseling, and iron-folate supplements), (2) BEP alone, (3) BEP plus AZ, or (4) BEP plus choline and nicotinamide. BEP, choline, and nicotinamide were initiated at enrollment and continued until birth. K-means clustering identified the three groups (A, B, and C) based on similar growth trajectories in which group C exhibited poorer growth (faltering), group A exhibited better growth patterns (thriving), and group B exhibited stable growth. Analyses were conducted in R using </w:t>
      </w:r>
      <w:r w:rsidRPr="00FE5D1C">
        <w:rPr>
          <w:rFonts w:ascii="Calibri" w:eastAsia="Times New Roman" w:hAnsi="Calibri" w:cs="Calibri"/>
          <w:color w:val="000000"/>
          <w:kern w:val="0"/>
          <w:sz w:val="22"/>
          <w:szCs w:val="22"/>
          <w14:ligatures w14:val="none"/>
        </w:rPr>
        <w:lastRenderedPageBreak/>
        <w:t>relevant packages.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In the WAZ category, the faltering group had 22.3% infants from the control arm and 15.7% from the BEP plus azithromycin arm. The thriving group had 34.1% infants from the control arm and 35.1% from the BEP plus azithromycin arm. In the LAZ category, the faltering group had 22.1% infants from the control arm and 17.7% from the BEP plus azithromycin arm. The thriving group had 31.7% infants from the control arm and 33.4% from the BEP plus azithromycin arm. In the WLZ category, the faltering group had 45.2% infants from the control arm and 48.3% from the BEP plus azithromycin arm. The thriving group had 25.4% infants from the control arm and 22.4% from the BEP plus azithromycin arm. The combined effect of BEP plus AZ showed the best performance for WAZ and LAZ. In contrast, the control group performed better for WLZ.</w:t>
      </w:r>
    </w:p>
    <w:p w14:paraId="44D064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25-A-2479-ASTMH</w:t>
      </w:r>
    </w:p>
    <w:p w14:paraId="09A69E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581A50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Preventing postpartum malaria: A study of artemisinin combination therapy at time of delivery to improve maternal and infant outcomes.</w:t>
      </w:r>
    </w:p>
    <w:p w14:paraId="0485FF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in pregnancy is a major cause of maternal and foetal morbidity and mortality. Intermittent preventive treatment in pregnancy (IPTp) has been shown to improve obstetric outcomes but the role of postpartum preventive therapy is unclear. Whilst risk of malaria declines after delivery, studies have shown that when IPTp is ceased at delivery, there is an increased incidence of malaria postpartum. A randomised controlled trial investigating the incidence of slide-positive malaria within 6-months of delivery (primary outcome) was performed in healthy mothers. Participants were randomised 1:1 to receive either no treatment (NT; n=90) or artemisinin-combination therapy (ACT) with further 1:1 randomization to artemether-lumefantrine (AL; n=45) or dihydroartemisinin-piperaquine (DP; n=45). Standardised reviews were conducted monthly for 6 months, including blood sampling for haemoglobin and malaria screening (rapid malaria diagnostic test, microscopy, and PCR), and clinical assessment. 183 postpartum women were recruited, with 151 completing study procedures who were included in per protocol analyses (n=71, 40 and 40 for NT, AL, and DP, respectively). 38% and 21% of women receiving NT or ACT, respectively, experienced slide-positive malaria within 6-months (p=0.016; hazard ratio 0.49 (95% CI 0.27-0.90). Overall, there was no significant difference in incidence of malaria in postpartum women between the two ACT groups. Over the 6-month study duration, only two infants born to study participants were found to have microscopy detected parasitaemia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at 6-months (NT), and</w:t>
      </w:r>
      <w:r w:rsidRPr="00FE5D1C">
        <w:rPr>
          <w:rFonts w:ascii="Calibri" w:eastAsia="Times New Roman" w:hAnsi="Calibri" w:cs="Calibri"/>
          <w:i/>
          <w:iCs/>
          <w:color w:val="000000"/>
          <w:kern w:val="0"/>
          <w:sz w:val="22"/>
          <w:szCs w:val="22"/>
          <w14:ligatures w14:val="none"/>
        </w:rPr>
        <w:t> P. vivax</w:t>
      </w:r>
      <w:r w:rsidRPr="00FE5D1C">
        <w:rPr>
          <w:rFonts w:ascii="Calibri" w:eastAsia="Times New Roman" w:hAnsi="Calibri" w:cs="Calibri"/>
          <w:color w:val="000000"/>
          <w:kern w:val="0"/>
          <w:sz w:val="22"/>
          <w:szCs w:val="22"/>
          <w14:ligatures w14:val="none"/>
        </w:rPr>
        <w:t> at 5-months (AL). A further three episodes of sub-microscopic malaria were detected in infants at monthly screening by PCR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at 1-month (NT) and 5-months (NT) and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at 6-months (NT)). These findings suggest administration of a treatment course of ACT at time of delivery at least halves the incidence of malaria infections in mothers and their infants during the first 6-months postpartum.</w:t>
      </w:r>
    </w:p>
    <w:p w14:paraId="239627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25-A-2480-ASTMH</w:t>
      </w:r>
    </w:p>
    <w:p w14:paraId="527B35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5BB25D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Evaluating traditional age-grading methods and stakeholder practices in Malaria vector control</w:t>
      </w:r>
    </w:p>
    <w:p w14:paraId="64C926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 survival is a critical determinant of malaria transmission, as female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mosquitoes must survive at least 11-14 days to become infective. Estimating mosquito age is, therefore, important for assessing transmission potential and evaluating the impact of vector control interventions. Traditional age-grading techniques; Detinova and Polovodova~rely on ovary dissections to determine parity and gonotrophic cycles, respectively. These methods are labor-intensive, time-consuming, require specialized expertise which might limit their implementation in large-scale or routine surveillance. Additionally, their accuracy and precision might differ between species and between entomologists posing an additional challenge.To assess and evaluate current practices and age-grading techniques, first we conducted an online survey involving 285 stakeholders across Africa, including researchers, entomologists, and National Malaria Personel (NMPs). Survey results revealed that while age structure is a valuable metric, it is rarely used in practice. Most stakeholders prioritize indicators such as species-</w:t>
      </w:r>
      <w:r w:rsidRPr="00FE5D1C">
        <w:rPr>
          <w:rFonts w:ascii="Calibri" w:eastAsia="Times New Roman" w:hAnsi="Calibri" w:cs="Calibri"/>
          <w:color w:val="000000"/>
          <w:kern w:val="0"/>
          <w:sz w:val="22"/>
          <w:szCs w:val="22"/>
          <w14:ligatures w14:val="none"/>
        </w:rPr>
        <w:lastRenderedPageBreak/>
        <w:t>identification, vector-density, insecticide-resistance, and human-vector contact due to feasibility, relevance to decision-making, and resource constraints. Second, we evaluated the performance of the Polovodova method using laboratory-reared </w:t>
      </w:r>
      <w:r w:rsidRPr="00FE5D1C">
        <w:rPr>
          <w:rFonts w:ascii="Calibri" w:eastAsia="Times New Roman" w:hAnsi="Calibri" w:cs="Calibri"/>
          <w:i/>
          <w:iCs/>
          <w:color w:val="000000"/>
          <w:kern w:val="0"/>
          <w:sz w:val="22"/>
          <w:szCs w:val="22"/>
          <w14:ligatures w14:val="none"/>
        </w:rPr>
        <w:t>An. arabiensis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Results showed high accuracy and precision in determining parity status: 100% for nulliparous and &gt;90% for parous mosquitoes (p&lt;0.001), with strong precision (95-100% for parous/gravid and 78-84% for nulliparous; IRR=0.82, p&lt;0.001) for both species. However, both accuracy and precision decreased significantly when estimating the exact gonotrophic cycle (59-85%), particularly for older mosquitoes (parous cycles2-3).Our findings highlights the limited uptake of traditional age-grading in malaria surveillance due to operational challenges, as well a relatively low accuracy and precision of Polovodova to estimate detailed physiological age, hence, alternative methods are needed</w:t>
      </w:r>
    </w:p>
    <w:p w14:paraId="13E0B1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25-A-2481-ASTMH</w:t>
      </w:r>
    </w:p>
    <w:p w14:paraId="2DF417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Evolution and Genomic Epidemiology</w:t>
      </w:r>
    </w:p>
    <w:p w14:paraId="0828590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Phylogenetic and phylodynamic analysis of respiratory syncytial virus strains circulating in children less than five years of age in Karachi Pakistan</w:t>
      </w:r>
    </w:p>
    <w:p w14:paraId="0EEC4E0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syncytial virus (RSV) is one of the leading causes of infant morbidity and mortality worldwide, especially in Pakistan. To date, few studies have explored RSV epidemiology in different areas of Pakistan. This study presents a comprehensive genetic and phylodynamic analysis of RSV strains in children less than five years old in Karachi, Pakistan. The samples were used to perform RSV genotyping using PCR employing RSV glycoprotein gene-specific primers. The RSVA and RSVB genotyping was performed using BLAST and Maximum-likelihood (ML) phylogenetic methods. Similarly, the relationship with other RSV strains was analyzed using ML phylogenetic cluster analysis. The RSVA and RSVB mean genetic diversity and coefficient of differentiation were calculated using MEGA7 software. Furthermore, the time to the most common recent ancestor (tMRCA) and effective population size of RSV genotypes A and B were estimated using a Bayesian MCMC analysis. Finally, site selection pressure and glycosylation analyses were performed using FUBAR and NetNGlyc/NetOGlyc tools. Out of 155, 98 and 57 sequences were RSVA and RSVB, respectively. RSVA sequences formed two NA1 genotype clusters, comprising 95 and three sequences, respectively. RSVB formed three clusters, where 24 and two sequences clustered with BA9 and BA12 genotypes, respectively, while 31 sequences formed a unique cluster. The RSVA and RSVB glycoprotein gene sequences exhibited N- and O- glycosylation and selection pressure at several sites. RSV B exhibited slightly higher (0.042) nucleotide diversity per site (π) as compared to RSVA (0.019).Our results suggest that RSVA and RSVB strains in Pakistan exhibit distinct genotypic clusters and differ in their estimated tMRCA. Both genotypes showed glycosylation and selection pressure at specific sites, with RSVB exhibiting higher nucleotide divergence per site (π), indicating its potential to undergo further evolutionary changes and adaptation. Overall, this study provides unique insights into RSV molecular epidemiology and helps improve our understanding of RSV evolutionary changes and their global emergence, including in Pakistan.</w:t>
      </w:r>
    </w:p>
    <w:p w14:paraId="1A7AB0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25-A-2482-ASTMH</w:t>
      </w:r>
    </w:p>
    <w:p w14:paraId="6FC185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6E2EF70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Genetic Characterization of West Nile Virus detected In Mosquito Populations from Coastal Kenya</w:t>
      </w:r>
    </w:p>
    <w:p w14:paraId="1AC6B2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West Nile Virus (WNV), a medically important flavivirus, is maintained in nature through a bird-mosquito transmission cycle and is primarily vectored by Culex mosquitoes. It is widely distributed in Africa, Asia, and Europe and North-America. In this study, we conducted surveillance for pathogenic viruses in mosquitoes collected from Kwale, Malindi, Mombasa, and Isiolo counties in Kenya. A total of 14,106 mosquitoes were collected from Kwale, Malindi, Mombasa, and Isiolo counties and grouped into 1,597 pools by species and location. Virus isolation was conducted on Vero E6 cells, followed by RNA extraction, library preparation, and sequencing on the Illumina MiSeq platform. Preliminary analysis was performed on the CZ-ID platform. Raw reads were processed using PrinseqLite, assembled with MEGAHIT, and analyzed by BLAST. Phylogenetic analysis using the Maximum Likelihood method </w:t>
      </w:r>
      <w:r w:rsidRPr="00FE5D1C">
        <w:rPr>
          <w:rFonts w:ascii="Calibri" w:eastAsia="Times New Roman" w:hAnsi="Calibri" w:cs="Calibri"/>
          <w:color w:val="000000"/>
          <w:kern w:val="0"/>
          <w:sz w:val="22"/>
          <w:szCs w:val="22"/>
          <w14:ligatures w14:val="none"/>
        </w:rPr>
        <w:lastRenderedPageBreak/>
        <w:t>revealed the presence of WNV in nine pools, with Lineage 1A detected in seven pools and Lineage 2 in two pools. Key vector associations included </w:t>
      </w:r>
      <w:r w:rsidRPr="00FE5D1C">
        <w:rPr>
          <w:rFonts w:ascii="Calibri" w:eastAsia="Times New Roman" w:hAnsi="Calibri" w:cs="Calibri"/>
          <w:i/>
          <w:iCs/>
          <w:color w:val="000000"/>
          <w:kern w:val="0"/>
          <w:sz w:val="22"/>
          <w:szCs w:val="22"/>
          <w14:ligatures w14:val="none"/>
        </w:rPr>
        <w:t>Culex pipiens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Culex univittatus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Anopheles funestus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Eretmapodites chrysogaster</w:t>
      </w:r>
      <w:r w:rsidRPr="00FE5D1C">
        <w:rPr>
          <w:rFonts w:ascii="Calibri" w:eastAsia="Times New Roman" w:hAnsi="Calibri" w:cs="Calibri"/>
          <w:color w:val="000000"/>
          <w:kern w:val="0"/>
          <w:sz w:val="22"/>
          <w:szCs w:val="22"/>
          <w14:ligatures w14:val="none"/>
        </w:rPr>
        <w:t>. Lineage 2 clustered with other East African strains, while Lineage 1A showed local evolutionary signatures. Selection pressure analysis using FEL, MEME, and FUBAR on the Datamonkey platform identified six codons under positive selection, including sites in </w:t>
      </w:r>
      <w:r w:rsidRPr="00FE5D1C">
        <w:rPr>
          <w:rFonts w:ascii="Calibri" w:eastAsia="Times New Roman" w:hAnsi="Calibri" w:cs="Calibri"/>
          <w:i/>
          <w:iCs/>
          <w:color w:val="000000"/>
          <w:kern w:val="0"/>
          <w:sz w:val="22"/>
          <w:szCs w:val="22"/>
          <w14:ligatures w14:val="none"/>
        </w:rPr>
        <w:t>NS2A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NS2B</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RdRp</w:t>
      </w:r>
      <w:r w:rsidRPr="00FE5D1C">
        <w:rPr>
          <w:rFonts w:ascii="Calibri" w:eastAsia="Times New Roman" w:hAnsi="Calibri" w:cs="Calibri"/>
          <w:color w:val="000000"/>
          <w:kern w:val="0"/>
          <w:sz w:val="22"/>
          <w:szCs w:val="22"/>
          <w14:ligatures w14:val="none"/>
        </w:rPr>
        <w:t> genes. Notably, the </w:t>
      </w:r>
      <w:r w:rsidRPr="00FE5D1C">
        <w:rPr>
          <w:rFonts w:ascii="Calibri" w:eastAsia="Times New Roman" w:hAnsi="Calibri" w:cs="Calibri"/>
          <w:i/>
          <w:iCs/>
          <w:color w:val="000000"/>
          <w:kern w:val="0"/>
          <w:sz w:val="22"/>
          <w:szCs w:val="22"/>
          <w14:ligatures w14:val="none"/>
        </w:rPr>
        <w:t>NS2B:V103A</w:t>
      </w:r>
      <w:r w:rsidRPr="00FE5D1C">
        <w:rPr>
          <w:rFonts w:ascii="Calibri" w:eastAsia="Times New Roman" w:hAnsi="Calibri" w:cs="Calibri"/>
          <w:color w:val="000000"/>
          <w:kern w:val="0"/>
          <w:sz w:val="22"/>
          <w:szCs w:val="22"/>
          <w14:ligatures w14:val="none"/>
        </w:rPr>
        <w:t> mutation, found in our isolates, was under strong diversifying selection. These findings provide evidence of active WNV circulation and genetic diversification in coastal Kenya and highlight the need for enhanced vector surveillance to monitor emerging transmission risks.</w:t>
      </w:r>
    </w:p>
    <w:p w14:paraId="53C0DA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25-A-2483-ASTMH</w:t>
      </w:r>
    </w:p>
    <w:p w14:paraId="2886A50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507636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Understanding regional variation in Typhoid fever: Insights from a multi-country randomized controlled trial in Bangladesh, Nepal and Pakistan</w:t>
      </w:r>
    </w:p>
    <w:p w14:paraId="621178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 fever is a major public health issue in South Asia, which accounts for most of the estimated 9.3 million global cases and 107,500 deaths in 2021. Addressing regional variations in factors such as age, sex, vaccination status, early treatment outcomes, and antimicrobial resistance is essential for developing targeted public health interventions. This abstract presents baseline data from an ongoing double-blind, randomized controlled trial evaluating azithromycin alone versus azithromycin and cefixime for outpatient treatment of suspected and confirmed uncomplicated typhoid fever in Bangladesh, Nepal, and Pakistan. Baseline data included age, sex, and self-reported typhoid vaccination status. Blood cultures were obtained, and minimum inhibitory concentration (MIC) testing assessed susceptibility to key antibiotics. Descriptive statistics summarized baseline characteristics, treatment response, and antimicrobial susceptibility across sites. Among 296 culture-confirmed typhoid cases (vs. 1087 culture negatives) from Bangladesh (n=116), Nepal (n=93), and Pakistan (n=87), the majority were male (59.1%), with the highest proportion in Bangladesh (67.2%). Children aged 6-12 years accounted for 35.1% of cases, especially in Pakistan (58.6%), despite higher vaccination coverage (41.3%). In contrast, Nepal had more cases in the 18-29 year age group (55.9%), where vaccination coverage was lower. Among 85 treatment failure cases, failure rates were notably higher in culture-confirmed patients especially in Pakistan (25.3% vs. 4.8%) and Nepal (15.1% vs. 4.4%), indicating a potential link between culture positivity and clinical outcomes. Antimicrobial testing revealed high Azithromycin susceptibility (97.7%) across all countries, while Pakistan showed higher resistance to Cefixime (46.9%) and Ceftriaxone (46.2%), though resistance was rare in Bangladesh and Nepal. All isolates from Pakistan were susceptible to Meropenem. These findings highlight geographic differences in demographics, treatment responses, and antimicrobial resistance, emphasizing the need for context-specific strategies</w:t>
      </w:r>
    </w:p>
    <w:p w14:paraId="534080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25-A-2484-ASTMH</w:t>
      </w:r>
    </w:p>
    <w:p w14:paraId="6C8241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5C1C53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Performance of a rapid molecular diagnostic platform at differentiating dengue and leptospirosis in a tropical setting</w:t>
      </w:r>
    </w:p>
    <w:p w14:paraId="45BFB8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fever and leptospirosis are common tropical infections in Sri Lanka and are challenging to differentiate due to similar early clinical manifestations. We aimed to assess the performance of a rapid host response-based diagnostic test, the Biomeme Franklin</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xml:space="preserve"> HR-B/V assay (Biomeme, Inc) at differentiating dengue and leptospirosis. Subjects were enrolled in Sri Lanka, a tropical setting endemic for both of these diseases. The HR-B/V assay, a RT-PCR based assay consisting of 22 discriminating host gene targets, was performed on blood samples. Performance was compared with that of existing protein biomarkers, C-reactive protein (CRP) and procalcitonin (PCT), at differentiating dengue versus leptospirosis. A total of 41 subjects with confirmed dengue fever and 28 subjects with confirmed leptospirosis were selected for testing on the HR-B/V assay. Principal component analysis showed differential clustering between dengue and leptospirosis, indicating differences in the host gene </w:t>
      </w:r>
      <w:r w:rsidRPr="00FE5D1C">
        <w:rPr>
          <w:rFonts w:ascii="Calibri" w:eastAsia="Times New Roman" w:hAnsi="Calibri" w:cs="Calibri"/>
          <w:color w:val="000000"/>
          <w:kern w:val="0"/>
          <w:sz w:val="22"/>
          <w:szCs w:val="22"/>
          <w14:ligatures w14:val="none"/>
        </w:rPr>
        <w:lastRenderedPageBreak/>
        <w:t>expression in the two disease groups. The HR-B/V assay showed an area under the curve (AUC) of 0.877 (0.799-0.956) in the ‘bacterial model’ and 0.908 (0.840-0.976) in the ‘viral model. CRP had excellent performance in differentiating dengue from leptospirosis with an AUC of 0.949 while PCT alone had poor performance with an AUC of 0.518. The rapid molecular diagnosis platform revealed high sensitivity and specificity in differentiating dengue and leptospirosis, which are common tropical infections in Sri Lanka. The performance of the test is comparable to existing tests such as CRP.</w:t>
      </w:r>
    </w:p>
    <w:p w14:paraId="670954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25-A-2485-ASTMH</w:t>
      </w:r>
    </w:p>
    <w:p w14:paraId="6BFD02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646270E8" w14:textId="6BEAC52A"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Factors Associated with Fluoroquinolone Resistance in Mycobacteria Tuberculosis in Western Kenya</w:t>
      </w:r>
    </w:p>
    <w:p w14:paraId="2F9251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emergence of drug-resistant (DR) </w:t>
      </w:r>
      <w:r w:rsidRPr="00FE5D1C">
        <w:rPr>
          <w:rFonts w:ascii="Calibri" w:eastAsia="Times New Roman" w:hAnsi="Calibri" w:cs="Calibri"/>
          <w:i/>
          <w:iCs/>
          <w:color w:val="000000"/>
          <w:kern w:val="0"/>
          <w:sz w:val="22"/>
          <w:szCs w:val="22"/>
          <w14:ligatures w14:val="none"/>
        </w:rPr>
        <w:t>Mycobacterium tuberculosis</w:t>
      </w:r>
      <w:r w:rsidRPr="00FE5D1C">
        <w:rPr>
          <w:rFonts w:ascii="Calibri" w:eastAsia="Times New Roman" w:hAnsi="Calibri" w:cs="Calibri"/>
          <w:color w:val="000000"/>
          <w:kern w:val="0"/>
          <w:sz w:val="22"/>
          <w:szCs w:val="22"/>
          <w14:ligatures w14:val="none"/>
        </w:rPr>
        <w:t> strains, has complicated Tuberculosis (TB) management, hence contributing to morbidity and mortality among patients. This is further compounded by inadequate molecular diagnostic capacity for detection and management of fluoroquinolone (FL) - resistant </w:t>
      </w:r>
      <w:r w:rsidRPr="00FE5D1C">
        <w:rPr>
          <w:rFonts w:ascii="Calibri" w:eastAsia="Times New Roman" w:hAnsi="Calibri" w:cs="Calibri"/>
          <w:i/>
          <w:iCs/>
          <w:color w:val="000000"/>
          <w:kern w:val="0"/>
          <w:sz w:val="22"/>
          <w:szCs w:val="22"/>
          <w14:ligatures w14:val="none"/>
        </w:rPr>
        <w:t>M. tuberculosis, </w:t>
      </w:r>
      <w:r w:rsidRPr="00FE5D1C">
        <w:rPr>
          <w:rFonts w:ascii="Calibri" w:eastAsia="Times New Roman" w:hAnsi="Calibri" w:cs="Calibri"/>
          <w:color w:val="000000"/>
          <w:kern w:val="0"/>
          <w:sz w:val="22"/>
          <w:szCs w:val="22"/>
          <w14:ligatures w14:val="none"/>
        </w:rPr>
        <w:t>especially in western Kenya, where TB is endemic. This study therefore sought to determine factors, associated with FL resistance among patients in western Kenya. Sputum samples with resistance to first line TB drugs, from 14 counties collected between January 2021 and December 2023, were processed and analysed for FL resistance. We performed DNA extraction by Genolyse</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DNA extraction kit (Hain Lifescience GmbH, Germany) thereafter, PCR was performed for amplification of gyrA and gyrB genes regions. Drug susceptibility test was done by Genotype MTBDRsl V2.0 (Hain Lifescience, Nehren, Germany). Data analysis done using R Software for Statistical Computing Vienna, Austria Version 4.4.2. and logistic regression model to determine association factors. Out of the 139 samples, 75 (54%) were new cases, 24 (17.3%) were from patients that had relapse, 9 (6.5%) were from patients who had failed treatment with first line drugs, 6(4.3%) were from other previously treated patients and 6 (4.3%) were loss to follow up. The mean age was 36.3 years (SD= 11.9) while the median was 35 years (12, 80). The majority 103 (74.1%) were male. 58 (41.7%) of the patients were positive for HIV, 65 (46.8%) were negative while 16 (11.5%) reported no known status. 8 (5.8%) of the samples had FL resistance. Our study observed significant factors associated with FL resistance as, 1</w:t>
      </w:r>
      <w:r w:rsidRPr="00FE5D1C">
        <w:rPr>
          <w:rFonts w:ascii="Calibri" w:eastAsia="Times New Roman" w:hAnsi="Calibri" w:cs="Calibri"/>
          <w:color w:val="000000"/>
          <w:kern w:val="0"/>
          <w:sz w:val="22"/>
          <w:szCs w:val="22"/>
          <w:vertAlign w:val="superscript"/>
          <w14:ligatures w14:val="none"/>
        </w:rPr>
        <w:t>st</w:t>
      </w:r>
      <w:r w:rsidRPr="00FE5D1C">
        <w:rPr>
          <w:rFonts w:ascii="Calibri" w:eastAsia="Times New Roman" w:hAnsi="Calibri" w:cs="Calibri"/>
          <w:color w:val="000000"/>
          <w:kern w:val="0"/>
          <w:sz w:val="22"/>
          <w:szCs w:val="22"/>
          <w14:ligatures w14:val="none"/>
        </w:rPr>
        <w:t> line treatment failure, p=0.021, follow-up, p=0.035, as well as </w:t>
      </w:r>
      <w:r w:rsidRPr="00FE5D1C">
        <w:rPr>
          <w:rFonts w:ascii="Calibri" w:eastAsia="Times New Roman" w:hAnsi="Calibri" w:cs="Calibri"/>
          <w:i/>
          <w:iCs/>
          <w:color w:val="000000"/>
          <w:kern w:val="0"/>
          <w:sz w:val="22"/>
          <w:szCs w:val="22"/>
          <w14:ligatures w14:val="none"/>
        </w:rPr>
        <w:t>KatG </w:t>
      </w:r>
      <w:r w:rsidRPr="00FE5D1C">
        <w:rPr>
          <w:rFonts w:ascii="Calibri" w:eastAsia="Times New Roman" w:hAnsi="Calibri" w:cs="Calibri"/>
          <w:color w:val="000000"/>
          <w:kern w:val="0"/>
          <w:sz w:val="22"/>
          <w:szCs w:val="22"/>
          <w14:ligatures w14:val="none"/>
        </w:rPr>
        <w:t>S315T1 mutation, p=0.028.</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There is need to ensure strict adherence and close monitoring of patients on firstline TB treatment regimen, to prevent potential drug resistance. In addition, its critical to establish early on possible markers, (S315T1 </w:t>
      </w:r>
      <w:r w:rsidRPr="00FE5D1C">
        <w:rPr>
          <w:rFonts w:ascii="Calibri" w:eastAsia="Times New Roman" w:hAnsi="Calibri" w:cs="Calibri"/>
          <w:i/>
          <w:iCs/>
          <w:color w:val="000000"/>
          <w:kern w:val="0"/>
          <w:sz w:val="22"/>
          <w:szCs w:val="22"/>
          <w14:ligatures w14:val="none"/>
        </w:rPr>
        <w:t>KatG</w:t>
      </w:r>
      <w:r w:rsidRPr="00FE5D1C">
        <w:rPr>
          <w:rFonts w:ascii="Calibri" w:eastAsia="Times New Roman" w:hAnsi="Calibri" w:cs="Calibri"/>
          <w:color w:val="000000"/>
          <w:kern w:val="0"/>
          <w:sz w:val="22"/>
          <w:szCs w:val="22"/>
          <w14:ligatures w14:val="none"/>
        </w:rPr>
        <w:t> mutation patterns), of FL resistance. There is therefore need to further investigate FL resistance mechanisms and other associated factors.</w:t>
      </w:r>
    </w:p>
    <w:p w14:paraId="1B55C6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25-A-2486-ASTMH</w:t>
      </w:r>
    </w:p>
    <w:p w14:paraId="44B5A0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06ED03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COVID-19 vaccine effectiveness and SARS-CoV-2 variants in Nepal: Test-Negative Case-Control Study and Genetic Sequencing (COVVAR Nepal)</w:t>
      </w:r>
    </w:p>
    <w:p w14:paraId="4DBCF0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Few data are available on the genetic variants of SARS-CoV-2 which circulated in Nepal and the effectiveness of various COVID-19 vaccines used in the country. In this study, we estimated the effectiveness of different COVID-19 vaccines against laboratory-confirmed COVID-19 during the third wave of the COVID-19 pandemic and also identified circulating SARS-CoV-2 variants. We conducted a hospital-based, prospective test-negative case-control study at Patan Hospital, Kathmandu. All patients &gt;18 years of age presenting to Patan Hospital with COVID-19-like symptoms who received a COVID-19 antigen/PCR test were enrolled. Positive SARS-CoV-2 samples were sequenced to identify circulating variants and vaccine effectiveness against laboratory-confirmed COVID-19 disease was calculated using logistic regression. A total of 285 participants were enrolled between November 2021 and July 2023, with 157 testing SARS-CoV-2 positive. All the positive samples were of the omicron sub lineages. Six were excluded due to conflicting PCR and antigen test results. Partial or full immunization with COVID-19 vaccines did not show any protective effect against mild symptomatic infection. Vaccine effectiveness(VE) (95% CI) was 62%(-303,96) against severe hospitalized cases (p=0.42), whereas VE </w:t>
      </w:r>
      <w:r w:rsidRPr="00FE5D1C">
        <w:rPr>
          <w:rFonts w:ascii="Calibri" w:eastAsia="Times New Roman" w:hAnsi="Calibri" w:cs="Calibri"/>
          <w:color w:val="000000"/>
          <w:kern w:val="0"/>
          <w:sz w:val="22"/>
          <w:szCs w:val="22"/>
          <w14:ligatures w14:val="none"/>
        </w:rPr>
        <w:lastRenderedPageBreak/>
        <w:t>(95% CI) was 86%(42,97) in non-severe hospitalized cases (p=0.007). Participants who were hospitalized were less likely to have been vaccinated than non-hospitalized cases (odds ratio 0.07).As expected we found that COVID-19 vaccines did not protect against mild symptomatic infections in the Omicron era but were associated with reduced odds of hospitalization</w:t>
      </w:r>
    </w:p>
    <w:p w14:paraId="646B97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25-A-2487-ASTMH</w:t>
      </w:r>
    </w:p>
    <w:p w14:paraId="0E94E0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007C93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Analysis of the associated risk factors for severe dengue during the 2023 dengue outbreak in Kaohsiung, Taiwan</w:t>
      </w:r>
    </w:p>
    <w:p w14:paraId="462A243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After the previous major dengue fever (DF) outbreaks in 2014 and 2015 in Taiwan, the second-largest DF outbreak occurred in Taiwan again in 2023.A total of 178 patients with laboratory-confirmed dengue virus (DENV) infection, including 92 DENV-1 and 86 DENV-2 cases, were enrolled in this study conducted during the 2023 dengue outbreak in Kaohsiung City, Taiwan.This study aimed to analyze epidemiological characteristics, clinical severity, and risk factors for severe dengue (SD), as well as the diagnostic implications of the non-structural protein 1 (NS1) antigen rapid test.Patients infected with DENV-2 exhibited significantly older age, higher incidence of secondary infections, diabetes mellitus (DM), hypertension (HT), and longer hospital stays than patients infected with DENV-1.Multivariate analysis revealed that older age (age ≥ 65), secondary dengue infection, DM, and HT were significant independent predictors of SD.Compared with the non-SDcases, SD patients were significantly more likely to be older(age ≥ 65), exhibited a higher incidence ofsecondary infections and a greater prevalence of chronic diseases, including DM and HT Notably, dengue-confirmed patients with negative NS1 results had a shorter duration post symptom onset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&lt;0.001).Our DENV-1 and DENV-2 isolates are related to strains from neighboring Asian countries.Our findings emphasized the important factors of old age, secondary infections, and some chronic diseases that contributed to the dengue severity. We should meticulously manage these high-risk groups to prevent dengue progression. Screening incoming travelersfor DF during the epidemic season will be an important measure to prevent the introduction of DENV into Taiwan.</w:t>
      </w:r>
    </w:p>
    <w:p w14:paraId="59BC38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25-A-2488-ASTMH</w:t>
      </w:r>
    </w:p>
    <w:p w14:paraId="24D57E5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2D5B8646" w14:textId="289ADEDC"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Longitudinal </w:t>
      </w:r>
      <w:r w:rsidRPr="00FE5D1C">
        <w:rPr>
          <w:rFonts w:ascii="Calibri" w:eastAsia="Times New Roman" w:hAnsi="Calibri" w:cs="Calibri"/>
          <w:color w:val="000000"/>
          <w:kern w:val="0"/>
          <w:sz w:val="22"/>
          <w:szCs w:val="22"/>
          <w:vertAlign w:val="superscript"/>
          <w14:ligatures w14:val="none"/>
        </w:rPr>
        <w:t>18</w:t>
      </w:r>
      <w:r w:rsidRPr="00FE5D1C">
        <w:rPr>
          <w:rFonts w:ascii="Calibri" w:eastAsia="Times New Roman" w:hAnsi="Calibri" w:cs="Calibri"/>
          <w:color w:val="000000"/>
          <w:kern w:val="0"/>
          <w:sz w:val="22"/>
          <w:szCs w:val="22"/>
          <w14:ligatures w14:val="none"/>
        </w:rPr>
        <w:t>F-FDG-PET/CT as a Prognostic Tool for Influenza-induced Lung Inflammation and Therapy Response in Mice</w:t>
      </w:r>
    </w:p>
    <w:p w14:paraId="2B3B02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Seasonal and pandemic flu impacts global workforce productivity and healthcare systems. To enhance pandemic preparedness, we urgently need therapeutics that effectively reduce lung pathology and limit community transmission. The first and critical bottleneck in drug development is the </w:t>
      </w:r>
      <w:r w:rsidRPr="00FE5D1C">
        <w:rPr>
          <w:rFonts w:ascii="Calibri" w:eastAsia="Times New Roman" w:hAnsi="Calibri" w:cs="Calibri"/>
          <w:i/>
          <w:iCs/>
          <w:color w:val="000000"/>
          <w:kern w:val="0"/>
          <w:sz w:val="22"/>
          <w:szCs w:val="22"/>
          <w14:ligatures w14:val="none"/>
        </w:rPr>
        <w:t>in vivo</w:t>
      </w:r>
      <w:r w:rsidRPr="00FE5D1C">
        <w:rPr>
          <w:rFonts w:ascii="Calibri" w:eastAsia="Times New Roman" w:hAnsi="Calibri" w:cs="Calibri"/>
          <w:color w:val="000000"/>
          <w:kern w:val="0"/>
          <w:sz w:val="22"/>
          <w:szCs w:val="22"/>
          <w14:ligatures w14:val="none"/>
        </w:rPr>
        <w:t> preclinical phase. To expedite this process, we deployed </w:t>
      </w:r>
      <w:r w:rsidRPr="00FE5D1C">
        <w:rPr>
          <w:rFonts w:ascii="Calibri" w:eastAsia="Times New Roman" w:hAnsi="Calibri" w:cs="Calibri"/>
          <w:i/>
          <w:iCs/>
          <w:color w:val="000000"/>
          <w:kern w:val="0"/>
          <w:sz w:val="22"/>
          <w:szCs w:val="22"/>
          <w14:ligatures w14:val="none"/>
        </w:rPr>
        <w:t>in vivo </w:t>
      </w:r>
      <w:r w:rsidRPr="00FE5D1C">
        <w:rPr>
          <w:rFonts w:ascii="Calibri" w:eastAsia="Times New Roman" w:hAnsi="Calibri" w:cs="Calibri"/>
          <w:color w:val="000000"/>
          <w:kern w:val="0"/>
          <w:sz w:val="22"/>
          <w:szCs w:val="22"/>
          <w14:ligatures w14:val="none"/>
        </w:rPr>
        <w:t>imaging by non-invasive positron emission tomography (PET) and computed tomography (CT) with </w:t>
      </w:r>
      <w:r w:rsidRPr="00FE5D1C">
        <w:rPr>
          <w:rFonts w:ascii="Calibri" w:eastAsia="Times New Roman" w:hAnsi="Calibri" w:cs="Calibri"/>
          <w:color w:val="000000"/>
          <w:kern w:val="0"/>
          <w:sz w:val="22"/>
          <w:szCs w:val="22"/>
          <w:vertAlign w:val="superscript"/>
          <w14:ligatures w14:val="none"/>
        </w:rPr>
        <w:t>18</w:t>
      </w:r>
      <w:r w:rsidRPr="00FE5D1C">
        <w:rPr>
          <w:rFonts w:ascii="Calibri" w:eastAsia="Times New Roman" w:hAnsi="Calibri" w:cs="Calibri"/>
          <w:color w:val="000000"/>
          <w:kern w:val="0"/>
          <w:sz w:val="22"/>
          <w:szCs w:val="22"/>
          <w14:ligatures w14:val="none"/>
        </w:rPr>
        <w:t xml:space="preserve">F-fluorodeoxyglucose (FDG)—a radioactive glucose that accumulates in inflamed tissue. We evaluated whether lung FDG uptake tracks lung inflammation in a murine model of influenza disease and therapeutic intervention. Immunocompetent mice were infected with a lethal dose of influenza A /H1N1 PR8 and subsequently treated with either antiviral agents (baloxavir or favipiravir) or vehicle control. Mice were imaged daily with FDG-PET/CT from pre-infection to day 8, and lung FDG uptake was quantified. Lung inflammation was confirmed by histopathology and multiplex ELISA of inflammatory cytokines and chemokines in pulped tissues. Viral burden was measured by qRT-PCR. Compared to pre-infection (day 0), lung FDG uptake increased by 160% on day 1 and continued to rise until animals succumbed to disease on day 6 (270% higher than day 0). Moreover, lung FDG in mice treated with antivirals declined by 25% on day 3 and continued to decrease until day 8. In contrast, lung CT often used clinically to diagnose lung disease could only detect lung pathology later on day 6 and is not a useful indicator of response to therapy. Most importantly, lung FDG correlates with inflammatory markers in the lung but not with viral burden in the tissue, confirming that lung FDG uptake reflects the inflammatory processes triggered by influenza and the </w:t>
      </w:r>
      <w:r w:rsidRPr="00FE5D1C">
        <w:rPr>
          <w:rFonts w:ascii="Calibri" w:eastAsia="Times New Roman" w:hAnsi="Calibri" w:cs="Calibri"/>
          <w:color w:val="000000"/>
          <w:kern w:val="0"/>
          <w:sz w:val="22"/>
          <w:szCs w:val="22"/>
          <w14:ligatures w14:val="none"/>
        </w:rPr>
        <w:lastRenderedPageBreak/>
        <w:t>reduction of inflammation resulting from effective treatment. By quantifying inflammatory responses, FDG-PET offers a valuable tool for rapid preclinical assessment of novel or repurposed influenza therapeutics, potentially acceleration drug development.</w:t>
      </w:r>
    </w:p>
    <w:p w14:paraId="11E15E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25-A-2489-ASTMH</w:t>
      </w:r>
    </w:p>
    <w:p w14:paraId="0DEA26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6AE246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Investigating the Efficacy of Antimicrobial Peptides as Transgenes to Produce Malaria Refractory Mosquitoes</w:t>
      </w:r>
    </w:p>
    <w:p w14:paraId="05C4ED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significant global health burden, particularly in Sub-Saharan Africa, where mosquito-borne transmission sustains high infection rates. Traditional vector control strategies, including insecticide-treated nets and environmental management, have shown effectiveness but are increasingly challenged by insecticide resistance and ecological concerns. Gene drive technology offers a promising alternative by introducing genetic modifications that can spread desirable traits through mosquito populations. This study investigates the efficacy of antimicrobial peptides (AMPs) as transgenes to produce malaria-refractory Anopheles mosquitoes. AMPs, known for their broad-spectrum antimicrobial activity, can be engineered to target Plasmodium parasites within the mosquito midgut, disrupting parasite development and transmission. Using molecular biology techniques, we introduce AMP-expressing constructs into</w:t>
      </w:r>
      <w:r w:rsidRPr="00FE5D1C">
        <w:rPr>
          <w:rFonts w:ascii="Calibri" w:eastAsia="Times New Roman" w:hAnsi="Calibri" w:cs="Calibri"/>
          <w:i/>
          <w:iCs/>
          <w:color w:val="000000"/>
          <w:kern w:val="0"/>
          <w:sz w:val="22"/>
          <w:szCs w:val="22"/>
          <w14:ligatures w14:val="none"/>
        </w:rPr>
        <w:t> Anopheles</w:t>
      </w:r>
      <w:r w:rsidRPr="00FE5D1C">
        <w:rPr>
          <w:rFonts w:ascii="Calibri" w:eastAsia="Times New Roman" w:hAnsi="Calibri" w:cs="Calibri"/>
          <w:color w:val="000000"/>
          <w:kern w:val="0"/>
          <w:sz w:val="22"/>
          <w:szCs w:val="22"/>
          <w14:ligatures w14:val="none"/>
        </w:rPr>
        <w:t> mosquitoes and assess their impact on</w:t>
      </w:r>
      <w:r w:rsidRPr="00FE5D1C">
        <w:rPr>
          <w:rFonts w:ascii="Calibri" w:eastAsia="Times New Roman" w:hAnsi="Calibri" w:cs="Calibri"/>
          <w:i/>
          <w:iCs/>
          <w:color w:val="000000"/>
          <w:kern w:val="0"/>
          <w:sz w:val="22"/>
          <w:szCs w:val="22"/>
          <w14:ligatures w14:val="none"/>
        </w:rPr>
        <w:t> Plasmodium</w:t>
      </w:r>
      <w:r w:rsidRPr="00FE5D1C">
        <w:rPr>
          <w:rFonts w:ascii="Calibri" w:eastAsia="Times New Roman" w:hAnsi="Calibri" w:cs="Calibri"/>
          <w:color w:val="000000"/>
          <w:kern w:val="0"/>
          <w:sz w:val="22"/>
          <w:szCs w:val="22"/>
          <w14:ligatures w14:val="none"/>
        </w:rPr>
        <w:t> infection rates. The study will evaluate the stability of AMP expression, its potential effects on mosquito fitness, and the overall feasibility of deploying AMP-based gene drive systems in malaria-endemic regions. By integrating transgenic approaches with molecular surveillance, this research aims to provide novel insights into vector-based malaria control strategies. The findings could contribute to the development of sustainable genetic interventions for malaria eradication, complementing existing control efforts and reducing reliance on chemical-based methods.</w:t>
      </w:r>
    </w:p>
    <w:p w14:paraId="6EC95C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25-A-2490-ASTMH</w:t>
      </w:r>
    </w:p>
    <w:p w14:paraId="3DE156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08C342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Immunogenicity and Protective Efficacy Induced by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CSP-encoding RNA-LNP Malaria Vaccines BNT165b1 and BNT165c in Mice</w:t>
      </w:r>
    </w:p>
    <w:p w14:paraId="45EAA1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two approved malaria vaccines target sporozoites, the liver-infective form of the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parasite. Both vaccines are based on virus-like particles and include a partial </w:t>
      </w:r>
      <w:r w:rsidRPr="00FE5D1C">
        <w:rPr>
          <w:rFonts w:ascii="Calibri" w:eastAsia="Times New Roman" w:hAnsi="Calibri" w:cs="Calibri"/>
          <w:i/>
          <w:iCs/>
          <w:color w:val="000000"/>
          <w:kern w:val="0"/>
          <w:sz w:val="22"/>
          <w:szCs w:val="22"/>
          <w14:ligatures w14:val="none"/>
        </w:rPr>
        <w:t>Pf </w:t>
      </w:r>
      <w:r w:rsidRPr="00FE5D1C">
        <w:rPr>
          <w:rFonts w:ascii="Calibri" w:eastAsia="Times New Roman" w:hAnsi="Calibri" w:cs="Calibri"/>
          <w:color w:val="000000"/>
          <w:kern w:val="0"/>
          <w:sz w:val="22"/>
          <w:szCs w:val="22"/>
          <w14:ligatures w14:val="none"/>
        </w:rPr>
        <w:t>circumsporozoite protein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CSP) as antigen, namely the C-terminus and part of the major repeat region of the CSP. Despite their positive public health impact, the efficacy of the approved malaria vaccines (RTS,S/AS01 and R21/Matrix-M) is limited and short lived. Therefore, there is a need for the development of next generation vaccines with improved efficacy. We developed two lipid nanoparticle-encapsulated RNA vaccine candidates with the aim of targeting this antigen, as one component of a multi-stage malaria vaccine. BNT165b1 encodes the junction region, minor repeats and C-terminal domain, while BNT165c encodes the full-length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CSP.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cell transfection studies demonstrate high-expression of the antigens encoded by both BNT165b1 and BNT165c. Prime-boost immunization in mice with 1 µg BNT165b1 or BNT165c elicits IgG responses against the recombinant full length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CSP. Both BNT165b1 and BNT165c induce T-cell responses, including polyfunctional T-cells (combined secretion of IFN-γ, IL-2, and TNF-α). Functional analyses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show that anti-</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CSP antibodies in serum of immunized mice affect motility, viability and infectivity of sporozoites. Finally, immunization with BNT165b1 or BNT165c partially protects mice against infection with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CSP-expressing</w:t>
      </w:r>
      <w:r w:rsidRPr="00FE5D1C">
        <w:rPr>
          <w:rFonts w:ascii="Calibri" w:eastAsia="Times New Roman" w:hAnsi="Calibri" w:cs="Calibri"/>
          <w:i/>
          <w:iCs/>
          <w:color w:val="000000"/>
          <w:kern w:val="0"/>
          <w:sz w:val="22"/>
          <w:szCs w:val="22"/>
          <w14:ligatures w14:val="none"/>
        </w:rPr>
        <w:t> P. berghei </w:t>
      </w:r>
      <w:r w:rsidRPr="00FE5D1C">
        <w:rPr>
          <w:rFonts w:ascii="Calibri" w:eastAsia="Times New Roman" w:hAnsi="Calibri" w:cs="Calibri"/>
          <w:color w:val="000000"/>
          <w:kern w:val="0"/>
          <w:sz w:val="22"/>
          <w:szCs w:val="22"/>
          <w14:ligatures w14:val="none"/>
        </w:rPr>
        <w:t>sporozoites. These pre-clinical results support the ongoing evaluation of BNT165b1 and BNT165c in early phase clinical trials (NCT05581641 and NCT06069544).</w:t>
      </w:r>
    </w:p>
    <w:p w14:paraId="5547BE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25-A-2491-ASTMH</w:t>
      </w:r>
    </w:p>
    <w:p w14:paraId="3C6468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730335F4" w14:textId="58646879"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i/>
          <w:iCs/>
          <w:color w:val="000000"/>
          <w:kern w:val="0"/>
          <w:sz w:val="22"/>
          <w:szCs w:val="22"/>
          <w14:ligatures w14:val="none"/>
        </w:rPr>
        <w:lastRenderedPageBreak/>
        <w:t>Plasmodium falciparum</w:t>
      </w:r>
      <w:r w:rsidRPr="00FE5D1C">
        <w:rPr>
          <w:rFonts w:ascii="Calibri" w:eastAsia="Times New Roman" w:hAnsi="Calibri" w:cs="Calibri"/>
          <w:b/>
          <w:bCs/>
          <w:color w:val="000000"/>
          <w:kern w:val="0"/>
          <w:sz w:val="22"/>
          <w:szCs w:val="22"/>
          <w14:ligatures w14:val="none"/>
        </w:rPr>
        <w:t>Pfs47 Haplotype Compatibility to </w:t>
      </w:r>
      <w:r w:rsidRPr="00FE5D1C">
        <w:rPr>
          <w:rFonts w:ascii="Calibri" w:eastAsia="Times New Roman" w:hAnsi="Calibri" w:cs="Calibri"/>
          <w:b/>
          <w:bCs/>
          <w:i/>
          <w:iCs/>
          <w:color w:val="000000"/>
          <w:kern w:val="0"/>
          <w:sz w:val="22"/>
          <w:szCs w:val="22"/>
          <w14:ligatures w14:val="none"/>
        </w:rPr>
        <w:t>Anopheles gambiae</w:t>
      </w:r>
      <w:r w:rsidRPr="00FE5D1C">
        <w:rPr>
          <w:rFonts w:ascii="Calibri" w:eastAsia="Times New Roman" w:hAnsi="Calibri" w:cs="Calibri"/>
          <w:b/>
          <w:bCs/>
          <w:color w:val="000000"/>
          <w:kern w:val="0"/>
          <w:sz w:val="22"/>
          <w:szCs w:val="22"/>
          <w14:ligatures w14:val="none"/>
        </w:rPr>
        <w:t>s. s in Western Kenya, a Malaria-endemic Region</w:t>
      </w:r>
    </w:p>
    <w:p w14:paraId="5D39D0D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Insecticide resistance and outdoor transmission have reduced the effectiveness of existing malaria transmission prevention strategies. As a result, targeted approaches to support continuing malaria control programs, such as transmission-blocking vaccines, are required. Cross-sectional mass blood screening in children between 5 and 15 years was conducted in Chulaimbo, Kisumu, during the dry and wet seasons in 2018 and 2019.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gametocyte carriers were identified by Microscopy. Subsequently, gametocyte carriers were used to feed colony bred </w:t>
      </w:r>
      <w:r w:rsidRPr="00FE5D1C">
        <w:rPr>
          <w:rFonts w:ascii="Calibri" w:eastAsia="Times New Roman" w:hAnsi="Calibri" w:cs="Calibri"/>
          <w:i/>
          <w:iCs/>
          <w:color w:val="000000"/>
          <w:kern w:val="0"/>
          <w:sz w:val="22"/>
          <w:szCs w:val="22"/>
          <w14:ligatures w14:val="none"/>
        </w:rPr>
        <w:t>Anopheles gambiae</w:t>
      </w:r>
      <w:r w:rsidRPr="00FE5D1C">
        <w:rPr>
          <w:rFonts w:ascii="Calibri" w:eastAsia="Times New Roman" w:hAnsi="Calibri" w:cs="Calibri"/>
          <w:color w:val="000000"/>
          <w:kern w:val="0"/>
          <w:sz w:val="22"/>
          <w:szCs w:val="22"/>
          <w14:ligatures w14:val="none"/>
        </w:rPr>
        <w:t> females in serum replacement and whole blood membrane feeding experiments. The infection prevalence was 19.7% (95% Cl 0.003-0.007) with 95% of the infections being caused by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Of all confirmed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infections, 16.9% were gametocytes. Thirty-seven paired experiments showed infection rates of 0.9% and 0.5% in the serum replacement and whole blood experiments, respectively, with no significant difference (P = 0.738). Six Pfs47 haplotypes were identified from 24 sequenced infectious blood samples: Hap_1 (E27D and L240I), Hap_2 (S98T); Hap_3 (E27D); Hap_4 (L240I); Hap_5 (E188D); and Hap_6 without mutations. Haplotype 4 had the highest frequency of 29.2% followed by Hap_3 and Hap_6 at 20.8% each then Hap_1 with a frequency of 16.7%, whereas Hap_5 and Hap_2 had frequencies of 8.3% and 4.2% respectively. Varying frequencies of Pfs47 haplotypes observed from genetically heterogeneous parasite populations in endemic regions illuminates vector compatibility to refracting</w:t>
      </w:r>
      <w:r w:rsidRPr="00FE5D1C">
        <w:rPr>
          <w:rFonts w:ascii="Calibri" w:eastAsia="Times New Roman" w:hAnsi="Calibri" w:cs="Calibri"/>
          <w:i/>
          <w:iCs/>
          <w:color w:val="000000"/>
          <w:kern w:val="0"/>
          <w:sz w:val="22"/>
          <w:szCs w:val="22"/>
          <w14:ligatures w14:val="none"/>
        </w:rPr>
        <w:t> P. falciparum</w:t>
      </w:r>
      <w:r w:rsidRPr="00FE5D1C">
        <w:rPr>
          <w:rFonts w:ascii="Calibri" w:eastAsia="Times New Roman" w:hAnsi="Calibri" w:cs="Calibri"/>
          <w:color w:val="000000"/>
          <w:kern w:val="0"/>
          <w:sz w:val="22"/>
          <w:szCs w:val="22"/>
          <w14:ligatures w14:val="none"/>
        </w:rPr>
        <w:t> using the hypothesized lock and key analogy. This acts as a bottleneck that increases the frequency of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haplotypes that escape elimination by vector immune responses. The interaction can be used as a potential target for transmission blocking through a refractory host.</w:t>
      </w:r>
    </w:p>
    <w:p w14:paraId="199CE08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25-A-2492-ASTMH</w:t>
      </w:r>
    </w:p>
    <w:p w14:paraId="325DE74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577E0833" w14:textId="1F08DFE6"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IMPACTx: A robust dynamic web-based application for measuring the impact of capacity strengthening initiatives</w:t>
      </w:r>
    </w:p>
    <w:p w14:paraId="190D66F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the global fight against infectious diseases, capacity strengthening is no longer optional—it’s essential. The World Health Organization (WHO) emphasizes the need for resilient, skilled research ecosystems, particularly in low- and middle-income countries. In response, substantial funding has been allocated to grow and strengthen capacity. Yet, a major challenge remains: the absence of a standardized, user-friendly system to track progress and assess long-term outcomes of training and mentorship initiatives. To address this, we developed IMPACTx (Impact Monitoring Platform for Advancing Capacity &amp; Training)—a web-based platform designed to support and enhance research capacity-strengthening efforts. Built with flexibility and functionality in mind, IMPACTx allows stakeholders to track progress across three core lenses: Outcomes, Outputs, and Impact. Outcomes capture individual growth—skills gained, ability to present at scientific forums, and real-world application of new knowledge. Outputs reflect tangible results like publications, data products, and collaborations. Impact measures broader effects—how training benefits communities, transforms institutions, or drives innovation. Key indicators include skills acquired, knowledge translation, stakeholder collaboration, and institutional recognition. IMPACTx aggregates and visualizes these metrics to reflect the overall program impact. The platform also allows principal investigators to assign access levels, ensuring secure, role-based data sharing. IMPACTx is piloted within the Data Science &amp; Mathematical Capacity Building team at Ifakara Health Institute (IHI) and offers a flexible, dynamic tool for evaluating the team's growth and impact. The system is ideal for use by research institutions, funders, universities, evaluators, and implementing partners.</w:t>
      </w:r>
    </w:p>
    <w:p w14:paraId="3233F4C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25-A-2494-ASTMH</w:t>
      </w:r>
    </w:p>
    <w:p w14:paraId="0E42A1C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2D462D0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Effect of intermittent preventive treatment in school-age children on malaria incidence in above fifteen years old population in rural Burkina Faso</w:t>
      </w:r>
    </w:p>
    <w:p w14:paraId="783B6E6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seasonal malaria chemoprevention (SMC) in children under five has allowed reducing the burden of malaria. The World Health Organization (WHO) recently recommended SMC in school-age children (5-14). We carried out a cluster randomized trial in 2024 in school-age children in Boussé health district, Burkina Faso, aiming to assess the efficacy of SMC using sulfadoxine-pyrimethamine plus amodiaquine (SPAQ) and dihydroartemisinin-piperaquine plus ivermectine (DP+IVM). The current analysis aims to assess the effect of these interventions on individuals above 15 years. We conducted a three-arm cluster randomized study in fifteen villages, five villages per arm. Villages were randomly allocated to two intervention arms (SPAQ and DP+IVM) and a control arm. In the intervention arm, all school-age children received monthly drug administration from July to October 2024, while in the control arm, only routine care was carried out. Health facilities aggregated routine data in individuals above 15 years were collected. Malaria incidence based on positive rapid diagnostic tests in the three arms was compared using an incidence ratio. The population of individuals above 15 years was estimated at 5137, 4833, and 9073 in the SPAQ, DP+IVM, and Control arms, respectively. Malaria incidence in individuals above 15 years after the SMC deployment in school-age children was 216, 341, and 294 cases per 1000 persons in the SPAQ, DP+IVM, and control arms, respectively. The incidence ratio of malaria in the SPAQ arm compared to the control arm was significantly lower, IR = 0.74 (IC95%:0.62 – 0.78), p-value &lt;0.001. However, no difference was observed in the incidence ratio of malaria in the DP+IVM arm compared to the control arm, IR = 1.13 (IC95%:0.96 – 1.33), p-value=0.14. Study results suggest that preventing malaria with the SPAQ, in contrast to the DP+IVM, in school-age children, in addition to the SMC in children under five years, reduces malaria incidence significantly in individuals above 15 years.</w:t>
      </w:r>
    </w:p>
    <w:p w14:paraId="1B06D94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25-A-2495-ASTMH</w:t>
      </w:r>
    </w:p>
    <w:p w14:paraId="70CA68C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2023BC3F" w14:textId="32822A49"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Consistent low utilization of ITNs for males, adolescents, and in areas with high temperatures: Implications for optimizations of control strategies in Tanzania.</w:t>
      </w:r>
    </w:p>
    <w:p w14:paraId="15F977D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Insecticide-treated bednets (ITNs) are highly effective tools that have been proven to reduce malaria transmission and related deaths across malaria-endemic countries. While there is widespread use of ITNs, transmission persists and underlying reasons are not clearly understood. The drivers for persistence are likely to be locally variable, thus characterization becomes essential to develop locally tailored control strategies. Questionnaires were administered countywide in Tanzania across 25 districts representing climatically distinct locations and across different socioeconomic and demographic groups. Data were analyzed using R software, and multivariable logistic regression models by treating the use of nets as a response variable, with gender, age, districts, and weather data fitted as predictables while adjusting for rounds and quality of housing as random effects. There were 60% lower odds of ITNs use for males compared to females (OR = 0.40, 95% CI: [0.29, 0.55], p &lt; 0.05). Likewise, adolescents (age 13-17) were less likely to use ITNs compared to other age groups (OR = 0.34, 95% CI: [0.19, 0.58], p &lt; 0.05). Additionally, each 1°C increase in temperature was associated with a 15% reduction in bednet use (OR = 0.85, 95% CI: [0.73, 0.98], p &lt; 0.05). District-level usage rates varied widely (40% to 100%), with hotspots of low adherence in the Lake and Southern zone districts. These findings highlight the importance of implementing gender- and age-sensitive interventions, such as school-based net distribution and awareness programs targeting adolescents, as well as community-led campaigns aimed at engaging men. We recommend prioritizing and intensifying social and behavior change (SBC) campaigns in districts where net usage remains low.</w:t>
      </w:r>
    </w:p>
    <w:p w14:paraId="1E77E48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25-A-2496-ASTMH</w:t>
      </w:r>
    </w:p>
    <w:p w14:paraId="7886CBF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664B69B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CLIMATIC CLUSTERING AND ITS INFLUENCE ON MALARIA VECTOR ABUNDANCE ACROSS MAINLAND TANZANIA</w:t>
      </w:r>
    </w:p>
    <w:p w14:paraId="7622968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Climate strongly influences the abundance and distribution of malaria vectors. This study applied unsupervised machine learning to identify climatic clusters across mainland Tanzania and assess their effects on vector abundance. Mosquitoes were sampled from 25 districts, with one village selected per district. In each village, three sub-villages and four households per sub-village were chosen, totaling 12 households. Mosquitoes were collected on three occasions using eight Mosquito Electrocuting Traps per village (four indoors, four outdoors), operated overnight from 6:00 PM to 7:00 AM. Specimens were morphologically identified and stored for molecular analysis. Climate data (1992–2022), including temperature, humidity, and precipitation, were obtained from NASA and aggregated by district. K-means and hierarchical clustering were used to define climatic clusters based on temperature, humidity, and altitude. Optimal clusters were selected using Silhouette Scores and Davies-Bouldin Indices. Entomological data were overlaid on these clusters to assess their effects on vector abundance using Generalized Linear Mixed Models. Three clusters were identified: Tropical/Coastal, Highland/Temperate, and Semi-arid/Dry. Of 3,294 </w:t>
      </w:r>
      <w:r w:rsidRPr="00AF28B8">
        <w:rPr>
          <w:rFonts w:ascii="Calibri" w:hAnsi="Calibri" w:cs="Calibri"/>
          <w:i/>
          <w:iCs/>
          <w:color w:val="000000"/>
          <w:sz w:val="22"/>
          <w:szCs w:val="22"/>
        </w:rPr>
        <w:t>Anopheles</w:t>
      </w:r>
      <w:r w:rsidRPr="00AF28B8">
        <w:rPr>
          <w:rFonts w:ascii="Calibri" w:hAnsi="Calibri" w:cs="Calibri"/>
          <w:color w:val="000000"/>
          <w:sz w:val="22"/>
          <w:szCs w:val="22"/>
        </w:rPr>
        <w:t> mosquitoes, </w:t>
      </w:r>
      <w:r w:rsidRPr="00AF28B8">
        <w:rPr>
          <w:rFonts w:ascii="Calibri" w:hAnsi="Calibri" w:cs="Calibri"/>
          <w:i/>
          <w:iCs/>
          <w:color w:val="000000"/>
          <w:sz w:val="22"/>
          <w:szCs w:val="22"/>
        </w:rPr>
        <w:t>An. arabiensis</w:t>
      </w:r>
      <w:r w:rsidRPr="00AF28B8">
        <w:rPr>
          <w:rFonts w:ascii="Calibri" w:hAnsi="Calibri" w:cs="Calibri"/>
          <w:color w:val="000000"/>
          <w:sz w:val="22"/>
          <w:szCs w:val="22"/>
        </w:rPr>
        <w:t> comprised 58.7%, </w:t>
      </w:r>
      <w:r w:rsidRPr="00AF28B8">
        <w:rPr>
          <w:rFonts w:ascii="Calibri" w:hAnsi="Calibri" w:cs="Calibri"/>
          <w:i/>
          <w:iCs/>
          <w:color w:val="000000"/>
          <w:sz w:val="22"/>
          <w:szCs w:val="22"/>
        </w:rPr>
        <w:t>An. funestus</w:t>
      </w:r>
      <w:r w:rsidRPr="00AF28B8">
        <w:rPr>
          <w:rFonts w:ascii="Calibri" w:hAnsi="Calibri" w:cs="Calibri"/>
          <w:color w:val="000000"/>
          <w:sz w:val="22"/>
          <w:szCs w:val="22"/>
        </w:rPr>
        <w:t> 34%, and </w:t>
      </w:r>
      <w:r w:rsidRPr="00AF28B8">
        <w:rPr>
          <w:rFonts w:ascii="Calibri" w:hAnsi="Calibri" w:cs="Calibri"/>
          <w:i/>
          <w:iCs/>
          <w:color w:val="000000"/>
          <w:sz w:val="22"/>
          <w:szCs w:val="22"/>
        </w:rPr>
        <w:t>An. gambiae s.s.</w:t>
      </w:r>
      <w:r w:rsidRPr="00AF28B8">
        <w:rPr>
          <w:rFonts w:ascii="Calibri" w:hAnsi="Calibri" w:cs="Calibri"/>
          <w:color w:val="000000"/>
          <w:sz w:val="22"/>
          <w:szCs w:val="22"/>
        </w:rPr>
        <w:t> 7%. The Tropical/Coastal zone had the highest abundance (55%). Compared to this zone, abundance was 38% lower in Highland/Temperate and 11% lower in Semi-arid/Dry zones. </w:t>
      </w:r>
      <w:r w:rsidRPr="00AF28B8">
        <w:rPr>
          <w:rFonts w:ascii="Calibri" w:hAnsi="Calibri" w:cs="Calibri"/>
          <w:i/>
          <w:iCs/>
          <w:color w:val="000000"/>
          <w:sz w:val="22"/>
          <w:szCs w:val="22"/>
        </w:rPr>
        <w:t>An. arabiensis</w:t>
      </w:r>
      <w:r w:rsidRPr="00AF28B8">
        <w:rPr>
          <w:rFonts w:ascii="Calibri" w:hAnsi="Calibri" w:cs="Calibri"/>
          <w:color w:val="000000"/>
          <w:sz w:val="22"/>
          <w:szCs w:val="22"/>
        </w:rPr>
        <w:t> declined 40% in Highland/Temperate but increased 2.25-fold in Semi-arid zones. </w:t>
      </w:r>
      <w:r w:rsidRPr="00AF28B8">
        <w:rPr>
          <w:rFonts w:ascii="Calibri" w:hAnsi="Calibri" w:cs="Calibri"/>
          <w:i/>
          <w:iCs/>
          <w:color w:val="000000"/>
          <w:sz w:val="22"/>
          <w:szCs w:val="22"/>
        </w:rPr>
        <w:t>An. gambiae s.s.</w:t>
      </w:r>
      <w:r w:rsidRPr="00AF28B8">
        <w:rPr>
          <w:rFonts w:ascii="Calibri" w:hAnsi="Calibri" w:cs="Calibri"/>
          <w:color w:val="000000"/>
          <w:sz w:val="22"/>
          <w:szCs w:val="22"/>
        </w:rPr>
        <w:t> was 2.11 times more abundant in Highland/Temperate but declined 93% in Semi-arid zones. </w:t>
      </w:r>
      <w:r w:rsidRPr="00AF28B8">
        <w:rPr>
          <w:rFonts w:ascii="Calibri" w:hAnsi="Calibri" w:cs="Calibri"/>
          <w:i/>
          <w:iCs/>
          <w:color w:val="000000"/>
          <w:sz w:val="22"/>
          <w:szCs w:val="22"/>
        </w:rPr>
        <w:t>An. funestus</w:t>
      </w:r>
      <w:r w:rsidRPr="00AF28B8">
        <w:rPr>
          <w:rFonts w:ascii="Calibri" w:hAnsi="Calibri" w:cs="Calibri"/>
          <w:color w:val="000000"/>
          <w:sz w:val="22"/>
          <w:szCs w:val="22"/>
        </w:rPr>
        <w:t> declined by 96% in Semi-arid areas. These findings support climate-informed malaria control strategies.</w:t>
      </w:r>
    </w:p>
    <w:p w14:paraId="27F569C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25-A-2497-ASTMH</w:t>
      </w:r>
    </w:p>
    <w:p w14:paraId="0CE6A0E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06B86417" w14:textId="469D010B"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Perspectives of Key Stakeholders on the Use of Infrared Spectroscopy for Malaria Surveillance</w:t>
      </w:r>
    </w:p>
    <w:p w14:paraId="6AE47E7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 malaria endemic countries advance toward elimination, assessing intervention efficacy and optimizing resource allocation are critical. The WHO Global Technical Strategy for Malaria Elimination prioritizes integrating surveillance with vector control and case management. However, limited vector surveillance capacity and the diverse ecological and biological traits of African malaria vectors complicate detailed monitoring, which is vital for effective control. To address these gaps, near-infrared (NIR) and mid-infrared (MIR) spectroscopy, coupled with machine learning, offer a rapid, cost-effective alternative to polymerase chain reaction (PCR) for mosquito identification, age grading, sporozoite detection, and insecticide resistance profiling without costly reagents. We conducted in-depth interviews with key stakeholders including policymakers, researchers, laboratory technicians across multiple African institutions as well as leading funders around the globe. The study aimed to explore their awareness, experiences, and perceptions of infrared spectroscopy as a malaria surveillance tool and assess perceived feasibility for adoption and scale-up. While initial awareness of spectroscopic applications for malaria surveillance was low, most stakeholders expressed interest after learning about its potential. Key concerns included the need for rigorous validation, sensitivity to low parasitemia, and sustainability and maintenance of equipment. Funders appreciated the potential for high-throughput surveillance but emphasized the need for strong empirical evidence to justify investment. Model generalizability, scalability across regions, and risks from staff turnover were highlighted as barriers to implementation.Stakeholders stressed the importance of evidence-based advocacy and long-term capacity strengthening to support adoption of spectroscopy in malaria surveillance. Findings highlight the need for operational validation, regional adaptability, and institutional support to enable sustainable integration of this rapid, cost-effective tool into malaria elimination efforts.</w:t>
      </w:r>
    </w:p>
    <w:p w14:paraId="5AD4EA0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25-A-2498-ASTMH</w:t>
      </w:r>
    </w:p>
    <w:p w14:paraId="35231B5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1EDC715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Impact of intermittent preventive treatment for malaria during pregnancy with dihydroartemisinin-piperaquine, sulfadoxine-pyrimethamine, and their combination on infant malaria burden and growth: A randomized controlled trial</w:t>
      </w:r>
    </w:p>
    <w:p w14:paraId="09F4A17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Intermittent preventive treatment in pregnancy (IPTp) with dihydroartemisinin-piperaquine (IPTp-DP) is more effective than IPTp with sulfadoxine-pyrimethamine (IPTp-SP) at reducing the burden of malaria in pregnancy in settings with high SP resistance. Paradoxically, IPTp-SP has been associated with improved birth weights compared with IPTp-DP. Whether these benefits extend after birth is unknown. We evaluated the impact of IPTp-SP, IPTp-DP, or the combination of IPTp-DP+SP on malaria burden and infant growth during the first year of life. We enrolled 871 infants born to HIV uninfected mothers participating in a three-arm double-blinded IPTp trial (NCT 04336189). Mothers were randomized 1:1:1 to receive monthly IPTp-SP, IPTp-DP, or IPTp-DP+SP. Study drugs were administered every 4 weeks, starting at 16-20 weeks gestation until delivery. At 4-8 weeks postpartum, infants were screened and enrolled in the child study. Infants were followed by passive and active surveillance every 4 weeks until one year of age. The primary outcome was malaria incidence during the first year of life; secondary outcomes included parasite prevalence as measured by microscopy and quantitative PCR, and infant growth outcomes. Overall, there were 667 episodes of malaria, with 13 episodes of complicated malaria, and parasite prevalence at routine visits was 2178/9989 (21.8%). Compared to infants whose mothers received IPTp-SP, the incidence of malaria was similar in infants whose mothers received IPTp-DP (incidence rate ratio [IRR] 1.04, 95% confidence interval (CI) 0.78-1.38) or IPTp-DP+SP (IRR=0.93, 95% CI 0.68-1.26). Parasite prevalence was also similar between groups. At birth, the prevalence of wasting was higher in infants whose mothers who received IPTp-DP+SP (RR=2.27, 95% CI 1.10- 4.70) or IPTp-DP (RR=1.95, 95% CI 0.94-4.08) than those that received IPTp-SP, but these differences resolved within 3 months of age. There were no differences in incidence of stunting in the first three months of life. Together, more effective prevention of malaria in pregnancy with IPTp-DP does not impact malaria risk in infants but has short-term impacts on wasting.</w:t>
      </w:r>
    </w:p>
    <w:p w14:paraId="08E35F6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25-A-2500-ASTMH</w:t>
      </w:r>
    </w:p>
    <w:p w14:paraId="15CF87A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5592C81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Invasion of </w:t>
      </w:r>
      <w:r w:rsidRPr="00AF28B8">
        <w:rPr>
          <w:rFonts w:ascii="Calibri" w:hAnsi="Calibri" w:cs="Calibri"/>
          <w:b/>
          <w:bCs/>
          <w:i/>
          <w:iCs/>
          <w:color w:val="000000"/>
          <w:sz w:val="22"/>
          <w:szCs w:val="22"/>
        </w:rPr>
        <w:t>Anopheles stephensi</w:t>
      </w:r>
      <w:r w:rsidRPr="00AF28B8">
        <w:rPr>
          <w:rFonts w:ascii="Calibri" w:hAnsi="Calibri" w:cs="Calibri"/>
          <w:b/>
          <w:bCs/>
          <w:color w:val="000000"/>
          <w:sz w:val="22"/>
          <w:szCs w:val="22"/>
        </w:rPr>
        <w:t> Liston in Rural and Peri-Urban Areas A Growing Challenge for Malaria Elimination in India</w:t>
      </w:r>
    </w:p>
    <w:p w14:paraId="7B13C2D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Invasion of </w:t>
      </w:r>
      <w:r w:rsidRPr="00AF28B8">
        <w:rPr>
          <w:rFonts w:ascii="Calibri" w:hAnsi="Calibri" w:cs="Calibri"/>
          <w:b/>
          <w:bCs/>
          <w:i/>
          <w:iCs/>
          <w:color w:val="000000"/>
          <w:sz w:val="22"/>
          <w:szCs w:val="22"/>
        </w:rPr>
        <w:t>Anopheles stephensi</w:t>
      </w:r>
      <w:r w:rsidRPr="00AF28B8">
        <w:rPr>
          <w:rFonts w:ascii="Calibri" w:hAnsi="Calibri" w:cs="Calibri"/>
          <w:b/>
          <w:bCs/>
          <w:color w:val="000000"/>
          <w:sz w:val="22"/>
          <w:szCs w:val="22"/>
        </w:rPr>
        <w:t> Liston in Rural and Peri-Urban Areas: A Growing Challenge for Malaria Elimination in India</w:t>
      </w:r>
      <w:r w:rsidRPr="00AF28B8">
        <w:rPr>
          <w:rFonts w:ascii="Calibri" w:hAnsi="Calibri" w:cs="Calibri"/>
          <w:color w:val="000000"/>
          <w:sz w:val="22"/>
          <w:szCs w:val="22"/>
        </w:rPr>
        <w:t> The spread of Anopheles stephensi Liston-a mosquito species traditionally associated with urban malaria into rural and peri-urban areas of India poses a serious challenge to the country’s malaria elimination goals. This study aims to document the spread, ecological adaptability, and insecticide resistance profile of An. stephensi in non-urban settings, with a focus on its potential impact on malaria transmission. Recent entomological surveillance across varied eco-epidemiological contexts has confirmed the presence of An. stephensi in areas once considered low-risk or non-endemic. Field investigations in selected rural and peri-urban sites of Koraput District, Odisha, highlight key findings on vector density, breeding behaviour, and susceptibility to commonly used insecticides. The presence of the 'type form' of An. stephensi, known for its higher vectorial capacity compared to intermediate and mysorensis forms, marks a particularly alarming trend. Quantitative data reveal a rapid colonization pattern, especially in areas undergoing urbanization-linked shifts in housing structures and water storage practices. Cemented tanks and water containers in peri-domestic environments have emerged as ideal breeding sites. The implications of this invasion are profound, as current vector control strategies are not fully equipped to address the unique challenges posed by An. stephensi in non-urban environments. The findings underscore the urgent need for enhanced entomological surveillance, targeted vector control interventions, and integration of An. stephensi-specific strategies within the national malaria elimination framework. Potential solutions include larval source management, novel insecticides, and targeted community interventions. Addressing this emerging threat is essential to prevent setbacks and to achieve India's malaria-free targets by 2030.</w:t>
      </w:r>
    </w:p>
    <w:p w14:paraId="4026CF2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25-A-2501-ASTMH</w:t>
      </w:r>
    </w:p>
    <w:p w14:paraId="2BE6009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31B11FC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Understanding Treatment Practices of Caregivers of Under-Five Children with Diarrhea in Urban Blantyre, Malawi: A Qualitative Study</w:t>
      </w:r>
    </w:p>
    <w:p w14:paraId="731E0D3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Diarrhea remains a leading cause of morbidity and mortality among children under five, with inappropriate antibiotic use contributing to antimicrobial resistance (AMR). This study explored treatment practices and decision-making among caregivers in urban Blantyre, Malawi, within the context of the Enterics for Global Health (EFGH) Shigella surveillance project.Using a qualitative case study design, we conducted 27 in-depth interviews with caregivers of under-five children who either sought care at Ndirande Health Centre or managed diarrhea episodes at home. The “drug bag” method facilitated discussions on antibiotic recognition and use. Interview transcripts were thematically analyzed using NVivo 12.Findings revealed that while most caregivers accurately identified diarrhea symptoms and causes, misconceptions—such as attributing diarrhea to teething—persisted. Self-medication with antibiotics like metronidazole, amoxicillin, and doxycycline was widespread, often driven by drug stockouts, financial constraints, and perceived inadequacies in formal healthcare. Caregivers frequently sourced antibiotics from informal vendors or social networks. Lack of trust in health worker prescriptions and inconsistent availability of oral rehydration salts (ORS) and zinc further shaped treatment practices.These findings underscore the need for targeted community education, improved access to recommended treatments, and stronger regulation of antibiotic sales. Addressing these barriers is critical to promoting rational treatment, reducing AMR, and improving child health outcomes in low-resource settings.</w:t>
      </w:r>
    </w:p>
    <w:p w14:paraId="62ED8F4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25-A-2502-ASTMH</w:t>
      </w:r>
    </w:p>
    <w:p w14:paraId="4E9DAB1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11BA9D6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Estimating probabilities of malaria importation in southern Mozambique through P. falciparum genomics and mobility patterns</w:t>
      </w:r>
    </w:p>
    <w:p w14:paraId="3F363E4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Characterising malaria transmission sources through human mobility and parasite genomics holds great potential to inform elimination strategies, yet tools combining both data types remain scarce. We present a novel Bayesian mathematical approach to provide, for the first time, individual-level probabilistic classifications of malaria infections as either local or imported by integrating human mobility, epidemiological and </w:t>
      </w:r>
      <w:r w:rsidRPr="00AF28B8">
        <w:rPr>
          <w:rFonts w:ascii="Calibri" w:hAnsi="Calibri" w:cs="Calibri"/>
          <w:i/>
          <w:iCs/>
          <w:color w:val="000000"/>
          <w:sz w:val="22"/>
          <w:szCs w:val="22"/>
        </w:rPr>
        <w:t>P. falciparum</w:t>
      </w:r>
      <w:r w:rsidRPr="00AF28B8">
        <w:rPr>
          <w:rFonts w:ascii="Calibri" w:hAnsi="Calibri" w:cs="Calibri"/>
          <w:color w:val="000000"/>
          <w:sz w:val="22"/>
          <w:szCs w:val="22"/>
        </w:rPr>
        <w:t> genetic data. We applied this new method to quantify the contribution of malaria importation in two very-low transmission areas in southern Mozambique, Magude and Matatuine, that are actively pursuing elimination. We collected data and samples from</w:t>
      </w:r>
      <w:r w:rsidRPr="00AF28B8">
        <w:rPr>
          <w:rFonts w:ascii="Calibri" w:hAnsi="Calibri" w:cs="Calibri"/>
          <w:i/>
          <w:iCs/>
          <w:color w:val="000000"/>
          <w:sz w:val="22"/>
          <w:szCs w:val="22"/>
        </w:rPr>
        <w:t> P. falciparum</w:t>
      </w:r>
      <w:r w:rsidRPr="00AF28B8">
        <w:rPr>
          <w:rFonts w:ascii="Calibri" w:hAnsi="Calibri" w:cs="Calibri"/>
          <w:color w:val="000000"/>
          <w:sz w:val="22"/>
          <w:szCs w:val="22"/>
        </w:rPr>
        <w:t> positive cases for rapid diagnostic tests (RDTs) in Magude and Matutuine districts (Maputo province) and in 9 (out of 11) provinces of Mozambique during 2022. We used a novel amplicon sequencing panel to target 165 microhaplotypes that are highly informative of genetic diversity. Individual probabilities of importation combining travel reports, epidemiological data (RDT positivity rates) and estimates of pairwise genetic relatedness (identity-by-descent) using our new method were calculated. We found that 42% of infections in elimination-targeted districts were imported, had a higher genetic complexity (OR=1.3) and originated mainly from Inhambane province (63%). There was a significant correlation between parasite genetic relatedness and reported travel history (dates and destinations), proving that importation leaves a detectable imprint in parasite genetic populations. Importation rates varied significantly between the districts (10.7% in Magude, 48.6% in Matutuine, OR=6.6) highlighting the need for fine-scale analysis to tailor cost-effective elimination strategies. The results show that importation plays a key role in sustaining transmission in Matutuine, and increasing efforts to reduce malaria burden in their transmission sources (particularly in the Inhambane province), as well as targeting travellers to central and northern Mozambique, could significantly accelerate malaria elimination in the south.</w:t>
      </w:r>
    </w:p>
    <w:p w14:paraId="1F00284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25-A-2503-ASTMH</w:t>
      </w:r>
    </w:p>
    <w:p w14:paraId="6415D04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33E4459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Novel design and analysis strategies that can be employed to minimise between-cluster heterogeneity and maintain power in malaria cluster randomised trials</w:t>
      </w:r>
    </w:p>
    <w:p w14:paraId="574F10E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Cluster randomised trials (CRTs) are the gold-standard for evaluating the community-wide effects of malaria interventions such as bed nets, IRS strategies and chemoprevention. Results from these trials feed into a body of evidence that the WHO utilises to inform policy recommendations. Trialing interventions across communities however is expensive, logistically challenging, and curtailed by variation in malaria outcomes observed at the cluster level. Our previous work has demonstrated that large between-cluster heterogeneity in malaria outcomes compromises study power in CRTs and thus increases the probability of generating null results. We therefore investigated novel design and analysis strategies that can be employed to minimize the impacts of large-between cluster variability in malaria CRTs. We examined whether strategies including stratified randomisation of clusters, pre-specified cluster exclusion/weighting and covariate adjustment maintains power based on simulation studies and used a database of 25 previously conducted malaria CRTs to test our findings. In addition, we explored how best to maintain power according to the type of trial outcome (epidemiological or entomological) and the endemicity of the trial setting. Our results demonstrate that altering design and analysis strategies can assist in reducing the detrimental effects of large-between cluster variability This work will contribute to a new design and analysis framework that can inform future malaria CRTs to ensure novel interventions are robustly evaluated.</w:t>
      </w:r>
    </w:p>
    <w:p w14:paraId="0F48D76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25-A-2508-ASTMH</w:t>
      </w:r>
    </w:p>
    <w:p w14:paraId="787C173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Molecular Biology, Population Genetics and Genomics</w:t>
      </w:r>
    </w:p>
    <w:p w14:paraId="4B940E9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Intronic Homing Gene Drives: A Novel Strategy for female-specific lethality or sterility based population suppression gene drives</w:t>
      </w:r>
    </w:p>
    <w:p w14:paraId="0A00C73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Homing Endonuclease Gene Drives (HEGs) are among the most advanced genetic strategies for mosquito population suppression. The doublesex (dsx) homing gene drive remains the most effective, collapsing Anopheles gambiae populations in the lab by inducing dsDNA breaks at an ultraconserved site. However, the rarity of such ultraconserved haplosufficient targets and the emergence of resistance alleles due to sequence polymorphisms limit broader deployment. To address these challenges, we developed a novel intronic Homing Endonuclease Gene Drives (iHEGs) strategy that leverages sex-specific alternative splicing to convert bisexual trait to female specific traits. This increases the number of potential HEG targets to the most conserved regions of mosquito genome and evade the requirement of targeting a limited number of genes that confer recessive female-lethality or female-sterility phenotype upon disruption. As a proof-of-concept, we leveraged a sex-specifically spliced module to convert a bisexually expressed fluorescence marker to a male-specifically expressed phenotype. Briefly, the intron disrupted the coding sequence of the fluorescence marker, resulting in the selective splicing of the intron in males and its retention in females. Males showed strong 3xP3 RFP fluorescence, while females had significantly reduced fluorescence both in larval and pupal stages, also confirmed by western blotting. Crucially, the intron also served as a cargo site for a sex-ratio-distorting sgRNA transgene, which successfully biased progeny sex ratios toward males in drive-carrying individuals. This dual function sex-specific expression and drive capacity demonstrates the feasibility of using regulatory introns for novel HEGs. Comparative genomic analysis of the A. gambiae genome identified multiple ultraconserved regions suitable for iHEG targeting. These targets offer expanded opportunities for gene drives with greater evolutionary stability and reduced risk of resistance. Our findings establish a novel and versatile gene drive architecture with significant implications for the next generation of malaria vector control tools.</w:t>
      </w:r>
    </w:p>
    <w:p w14:paraId="5AE8702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25-A-2510-ASTMH</w:t>
      </w:r>
    </w:p>
    <w:p w14:paraId="2224B30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74F532B0" w14:textId="103DEAA0"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Strengthening Clinical Trial Capacity for Epidemic Preparedness in West Africa: The ARC-WA Project</w:t>
      </w:r>
    </w:p>
    <w:p w14:paraId="7DA682A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The Advancing Research Capacity in West Africa (ARC-WA) is a CEPI-funded initiative to prepare clinical trial sites for a future GCP-compliant Phase 3 Lassa fever vaccine efficacy trial and ensure long-term epidemic research preparedness in West Africa. The implementation is led by a technical coordinating partner comprising the International Vaccine Institute (IVI) and the MRC The Gambia and supported by MMARCRO, BNITM, and an independent consortium management group with deep regional expertise. ARC-WA has two main components. </w:t>
      </w:r>
      <w:r w:rsidRPr="00AF28B8">
        <w:rPr>
          <w:rFonts w:ascii="Calibri" w:hAnsi="Calibri" w:cs="Calibri"/>
          <w:b/>
          <w:bCs/>
          <w:color w:val="000000"/>
          <w:sz w:val="22"/>
          <w:szCs w:val="22"/>
        </w:rPr>
        <w:t>Track A</w:t>
      </w:r>
      <w:r w:rsidRPr="00AF28B8">
        <w:rPr>
          <w:rFonts w:ascii="Calibri" w:hAnsi="Calibri" w:cs="Calibri"/>
          <w:color w:val="000000"/>
          <w:sz w:val="22"/>
          <w:szCs w:val="22"/>
        </w:rPr>
        <w:t> focuses on strengthening site-level capacity to conduct GCP-compliant trials. To date, six sites across Nigeria, Liberia, and Sierra Leone are receiving targeted support in infrastructure upgrades, quality management systems, SOP development, and staff training in clinical operations, laboratory systems, data and finance management, and regulatory interactions. In addition, 35 sites across five countries have been assessed, and 15 are being selected for tailored capacity-building plans. </w:t>
      </w:r>
      <w:r w:rsidRPr="00AF28B8">
        <w:rPr>
          <w:rFonts w:ascii="Calibri" w:hAnsi="Calibri" w:cs="Calibri"/>
          <w:b/>
          <w:bCs/>
          <w:color w:val="000000"/>
          <w:sz w:val="22"/>
          <w:szCs w:val="22"/>
        </w:rPr>
        <w:t>Track B</w:t>
      </w:r>
      <w:r w:rsidRPr="00AF28B8">
        <w:rPr>
          <w:rFonts w:ascii="Calibri" w:hAnsi="Calibri" w:cs="Calibri"/>
          <w:color w:val="000000"/>
          <w:sz w:val="22"/>
          <w:szCs w:val="22"/>
        </w:rPr>
        <w:t> addresses broader regional preparedness. It has involved stakeholder mapping, regional consultations, and workshops involving 15 West African countries to identify key gaps and define actions needed to ensure West Africa’s readiness for future outbreaks. These activities promote national ownership, foster regional alignment, and contribute to sustainable epidemic preparedness.</w:t>
      </w:r>
    </w:p>
    <w:p w14:paraId="77EEE5C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25-A-2511-ASTMH</w:t>
      </w:r>
    </w:p>
    <w:p w14:paraId="22F11A0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168003D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i/>
          <w:iCs/>
          <w:color w:val="000000"/>
          <w:sz w:val="22"/>
          <w:szCs w:val="22"/>
        </w:rPr>
        <w:t>Plasmodium falciparum</w:t>
      </w:r>
      <w:r w:rsidRPr="00AF28B8">
        <w:rPr>
          <w:rFonts w:ascii="Calibri" w:hAnsi="Calibri" w:cs="Calibri"/>
          <w:b/>
          <w:bCs/>
          <w:color w:val="000000"/>
          <w:sz w:val="22"/>
          <w:szCs w:val="22"/>
        </w:rPr>
        <w:t>Ubiquitin-proteasome system (UPS) modulating antimalarial resistance</w:t>
      </w:r>
    </w:p>
    <w:p w14:paraId="48210B2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emergence of drug resistance in malaria parasites poses a significant challenge to global malaria control efforts. Although clinical artemisinin resistance has been primarily associated with mutations in the </w:t>
      </w:r>
      <w:r w:rsidRPr="00AF28B8">
        <w:rPr>
          <w:rFonts w:ascii="Calibri" w:hAnsi="Calibri" w:cs="Calibri"/>
          <w:i/>
          <w:iCs/>
          <w:color w:val="000000"/>
          <w:sz w:val="22"/>
          <w:szCs w:val="22"/>
        </w:rPr>
        <w:t>k13</w:t>
      </w:r>
      <w:r w:rsidRPr="00AF28B8">
        <w:rPr>
          <w:rFonts w:ascii="Calibri" w:hAnsi="Calibri" w:cs="Calibri"/>
          <w:color w:val="000000"/>
          <w:sz w:val="22"/>
          <w:szCs w:val="22"/>
        </w:rPr>
        <w:t> gene, growing evidence indicates that other ubiquitin-proteasome system (UPS) components also modulate parasite susceptibility to artemisinin. Artemisinin exerts its antimalarial effect by inducing widespread intracellular protein damage. Damaged proteins are tagged with ubiquitin and subsequently degraded by the 26S proteasome. Given its central role in protein homeostasis throughout the parasite life cycle, the UPS has emerged as a promising therapeutic target. Notably, proteasome inhibitors synergize with artemisinin, suggesting their potential as partner drugs. The first step in the UPS involves the recognition of ubiquitylated substrates by ubiquitin receptors in the base subcomplex of the 19S regulatory particle, including the subunit RPN2. We investigated the functional relevance of an E738K variant in the rpn2 gene, previously identified in an artemisinin-resistant </w:t>
      </w:r>
      <w:r w:rsidRPr="00AF28B8">
        <w:rPr>
          <w:rFonts w:ascii="Calibri" w:hAnsi="Calibri" w:cs="Calibri"/>
          <w:i/>
          <w:iCs/>
          <w:color w:val="000000"/>
          <w:sz w:val="22"/>
          <w:szCs w:val="22"/>
        </w:rPr>
        <w:t>Plasmodium chabaudi</w:t>
      </w:r>
      <w:r w:rsidRPr="00AF28B8">
        <w:rPr>
          <w:rFonts w:ascii="Calibri" w:hAnsi="Calibri" w:cs="Calibri"/>
          <w:color w:val="000000"/>
          <w:sz w:val="22"/>
          <w:szCs w:val="22"/>
        </w:rPr>
        <w:t> line. Using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as a model, we demonstrate that the E738K mutation confers resistance to dihydroartemisinin (DHA) by stabilizing proteasome activity during drug exposure. Interestingly, when introduced into a </w:t>
      </w:r>
      <w:r w:rsidRPr="00AF28B8">
        <w:rPr>
          <w:rFonts w:ascii="Calibri" w:hAnsi="Calibri" w:cs="Calibri"/>
          <w:i/>
          <w:iCs/>
          <w:color w:val="000000"/>
          <w:sz w:val="22"/>
          <w:szCs w:val="22"/>
        </w:rPr>
        <w:t>k13</w:t>
      </w:r>
      <w:r w:rsidRPr="00AF28B8">
        <w:rPr>
          <w:rFonts w:ascii="Calibri" w:hAnsi="Calibri" w:cs="Calibri"/>
          <w:color w:val="000000"/>
          <w:sz w:val="22"/>
          <w:szCs w:val="22"/>
        </w:rPr>
        <w:t>-mutant background (C580Y), the resistance phenotype of rpn2</w:t>
      </w:r>
      <w:r w:rsidRPr="00AF28B8">
        <w:rPr>
          <w:rFonts w:ascii="Calibri" w:hAnsi="Calibri" w:cs="Calibri"/>
          <w:color w:val="000000"/>
          <w:sz w:val="22"/>
          <w:szCs w:val="22"/>
          <w:vertAlign w:val="superscript"/>
        </w:rPr>
        <w:t>738K</w:t>
      </w:r>
      <w:r w:rsidRPr="00AF28B8">
        <w:rPr>
          <w:rFonts w:ascii="Calibri" w:hAnsi="Calibri" w:cs="Calibri"/>
          <w:color w:val="000000"/>
          <w:sz w:val="22"/>
          <w:szCs w:val="22"/>
        </w:rPr>
        <w:t> is partially reduced. Despite the increased survival of </w:t>
      </w:r>
      <w:r w:rsidRPr="00AF28B8">
        <w:rPr>
          <w:rFonts w:ascii="Calibri" w:hAnsi="Calibri" w:cs="Calibri"/>
          <w:i/>
          <w:iCs/>
          <w:color w:val="000000"/>
          <w:sz w:val="22"/>
          <w:szCs w:val="22"/>
        </w:rPr>
        <w:t>k13</w:t>
      </w:r>
      <w:r w:rsidRPr="00AF28B8">
        <w:rPr>
          <w:rFonts w:ascii="Calibri" w:hAnsi="Calibri" w:cs="Calibri"/>
          <w:color w:val="000000"/>
          <w:sz w:val="22"/>
          <w:szCs w:val="22"/>
        </w:rPr>
        <w:t>-mutant parasites in drug susceptibility assays, functional tests revealed no changes in the proteasome function, confirming that k13-mutations regulate artemisinin resistance upstream of the proteasome. Additionally, we observed a pleiotropic effect of this mutation on the resistance to other antimalarial drugs, highlighting its broader implications in parasite drug resistance. Altogether, our findings offer new insights into the role of the UPS in antimalarial action and resistance in </w:t>
      </w:r>
      <w:r w:rsidRPr="00AF28B8">
        <w:rPr>
          <w:rFonts w:ascii="Calibri" w:hAnsi="Calibri" w:cs="Calibri"/>
          <w:i/>
          <w:iCs/>
          <w:color w:val="000000"/>
          <w:sz w:val="22"/>
          <w:szCs w:val="22"/>
        </w:rPr>
        <w:t>Plasmodium spp</w:t>
      </w:r>
      <w:r w:rsidRPr="00AF28B8">
        <w:rPr>
          <w:rFonts w:ascii="Calibri" w:hAnsi="Calibri" w:cs="Calibri"/>
          <w:color w:val="000000"/>
          <w:sz w:val="22"/>
          <w:szCs w:val="22"/>
        </w:rPr>
        <w:t>. This work underscores the therapeutic potential of targeting the UPS in malaria treatment strategies.</w:t>
      </w:r>
    </w:p>
    <w:p w14:paraId="36B5B72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25-A-2512-ASTMH</w:t>
      </w:r>
    </w:p>
    <w:p w14:paraId="744020C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Planetary Health including Climate Change</w:t>
      </w:r>
    </w:p>
    <w:p w14:paraId="5B36EC7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Dengue Fever Trends in Kathmandu, Nepal: A Decade of Epidemiological Insights from a High Altitude Region (2014-2024)</w:t>
      </w:r>
    </w:p>
    <w:p w14:paraId="651AF15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is commonly seen in lowland, tropical regions, but in recent years, cases have emerged in higher altitude areas. The Kathmandu Valley, located at approximately 1,400 meters above sea level, was previously considered a low risk region for dengue transmission. However, pediatric cases are now being observed with increasing frequency in clinical settings. This study aims to review the trend of laboratory confirmed dengue cases in children admitted to a tertiary hospital in Kathmandu over the past decade. </w:t>
      </w:r>
      <w:r w:rsidRPr="00AF28B8">
        <w:rPr>
          <w:rFonts w:ascii="Calibri" w:hAnsi="Calibri" w:cs="Calibri"/>
          <w:color w:val="000000"/>
          <w:sz w:val="22"/>
          <w:szCs w:val="22"/>
        </w:rPr>
        <w:lastRenderedPageBreak/>
        <w:t>We conducted a retrospective review of all confirmed pediatric dengue admissions at Patan Hospital, a tertiary care center in Nepal, from 2014 to 2024. Data on annual case numbers and patient gender were collected to assess trends. Between 2014 and 2024, 223 pediatric dengue cases were recorded. Case numbers were minimal between 2014 and 2018 (0–4 cases/year), with no cases in 2015 and 2016. A notable increase was observed starting in 2019 (24 cases), coinciding with a major outbreak in the valley. The highest number of cases was recorded in 2022 (138), followed by another surge in early 2024 (42 cases). Males were more affected than females (145 males, 78 females). The majority of cases occurred during and after the monsoon season, indicating a seasonal pattern. The increasing incidence of dengue in a previously non endemic high altitude region highlights a changing epidemiological landscape and points to the potential influence of climate change, urbanization, and vector adaptation. These findings underscore the importance of enhanced surveillance, clinical preparedness, and public health interventions in emerging risk zones.</w:t>
      </w:r>
    </w:p>
    <w:p w14:paraId="55A97B7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25-A-2514-ASTMH</w:t>
      </w:r>
    </w:p>
    <w:p w14:paraId="61F2241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215ECE5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of Pfdhps and Pfdhfr genetic markers associated with antimalarial drug resistance in two temporal cohorts in the Democratic Republic of Congo and implications for chemoprevention</w:t>
      </w:r>
    </w:p>
    <w:p w14:paraId="4D1D8BA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Democratic Republic of Congo (DRC) has substantial geographic heterogeneity in both malaria transmission dynamics and diversity of P. falciparum antimalarial drug resistance markers. Thus, the protective efficacy (PE) of the perennial malaria chemoprevention (PMC) strategy using sulfadoxine-pyrimethamine (SP) is expected to vary regionally based on distribution of mutations in the P. falciparum dhfr and dhps genes. This study explores geographic and temporal variations in Pfdhps and Pfdhfr profiles across DRC and investigates predicted changes in PE of SP-PMC, as well as relatedness and genetic exchange amongst P. falciparum strains. Sequencing data were obtained from samples collected across all DRC provinces (2013-2024), including both published and unpublished data. Data was divided into samples collected 2013-2017 and &gt;2017. Resistance allele sharing between neighboring provinces was quantified using phylogenetic relationship analysis, to describe clusters of provinces with higher allele sharing. The Pfdhfr, triple-mutant IRNI increased from 48.4–100% (mean 77.2%) to 60.9–100% (mean 88.3%). Pfdhps marker frequencies varied across DRC with more resistant haplotypes, harboring more mutations, generally more commonly recorded in provinces in Eastern DRC. In 2013-17, dominant Pfdhps haplotypes were ISGEAA (0–77.3%, mean 20.5%) and ISGEGA (0–54.2%, mean 11.8%). After 2017, their mean frequencies rose to 27.9% and 15.4%, respectively. We estimate lower protective efficacy in Eastern DRC (Nord- and Sud-Kivu), where Pfdhfr IRNI commonly co-occurs with Pfdhps ISGEAA or ISGEGA, reducing the SP protective window (median duration of protection appr. 13.7 days in both provinces, in comparison to e.g. 29.4 days in Kinshasa, west DRC). This analysis highlights a reduction in efficacy after 2017 (relative reduction range: median duration of protection: -18.1% to 45.8%, 30-day PE: -8.3% to 15.1%) across DRC provinces. These results have important implications for the likely efficacy of SP-PMC, and demonstrate the utility of genetic surveillance in supporting evidence based decision-making on malaria chemoprevention.</w:t>
      </w:r>
    </w:p>
    <w:p w14:paraId="0182A50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25-A-2515-ASTMH</w:t>
      </w:r>
    </w:p>
    <w:p w14:paraId="0C0131C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24DFFA1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Predicting novel molecular markers associated with reduced sensitivity of </w:t>
      </w:r>
      <w:r w:rsidRPr="00AF28B8">
        <w:rPr>
          <w:rFonts w:ascii="Calibri" w:hAnsi="Calibri" w:cs="Calibri"/>
          <w:b/>
          <w:bCs/>
          <w:i/>
          <w:iCs/>
          <w:color w:val="000000"/>
          <w:sz w:val="22"/>
          <w:szCs w:val="22"/>
        </w:rPr>
        <w:t>Plasmodium falciparum</w:t>
      </w:r>
      <w:r w:rsidRPr="00AF28B8">
        <w:rPr>
          <w:rFonts w:ascii="Calibri" w:hAnsi="Calibri" w:cs="Calibri"/>
          <w:b/>
          <w:bCs/>
          <w:color w:val="000000"/>
          <w:sz w:val="22"/>
          <w:szCs w:val="22"/>
        </w:rPr>
        <w:t> to dihydroartemisinin in Uganda</w:t>
      </w:r>
    </w:p>
    <w:p w14:paraId="3F89EBF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Artemisinin-based combination therapies(ACTs) remain the cornerstone of malaria treatment globally. However, the emergence of artemisinin partial resistance initially reported in Southeast Asia, and more recently in East Africa, threatens malaria control efforts. Resistance of </w:t>
      </w:r>
      <w:r w:rsidRPr="00AF28B8">
        <w:rPr>
          <w:rFonts w:ascii="Calibri" w:hAnsi="Calibri" w:cs="Calibri"/>
          <w:i/>
          <w:iCs/>
          <w:color w:val="000000"/>
          <w:sz w:val="22"/>
          <w:szCs w:val="22"/>
        </w:rPr>
        <w:t>P. falciparum</w:t>
      </w:r>
      <w:r w:rsidRPr="00AF28B8">
        <w:rPr>
          <w:rFonts w:ascii="Calibri" w:hAnsi="Calibri" w:cs="Calibri"/>
          <w:color w:val="000000"/>
          <w:sz w:val="22"/>
          <w:szCs w:val="22"/>
        </w:rPr>
        <w:t> to artemisinin is partially attributed to single nucleotide polymorphisms (SNPs) in the </w:t>
      </w:r>
      <w:r w:rsidRPr="00AF28B8">
        <w:rPr>
          <w:rFonts w:ascii="Calibri" w:hAnsi="Calibri" w:cs="Calibri"/>
          <w:i/>
          <w:iCs/>
          <w:color w:val="000000"/>
          <w:sz w:val="22"/>
          <w:szCs w:val="22"/>
        </w:rPr>
        <w:t>PfK13</w:t>
      </w:r>
      <w:r w:rsidRPr="00AF28B8">
        <w:rPr>
          <w:rFonts w:ascii="Calibri" w:hAnsi="Calibri" w:cs="Calibri"/>
          <w:color w:val="000000"/>
          <w:sz w:val="22"/>
          <w:szCs w:val="22"/>
        </w:rPr>
        <w:t> gene. While some of these mutations are validated, many potential markers remain unidentified. We aimed to discover novel molecular markers associated with reduced susceptibility of </w:t>
      </w:r>
      <w:r w:rsidRPr="00AF28B8">
        <w:rPr>
          <w:rFonts w:ascii="Calibri" w:hAnsi="Calibri" w:cs="Calibri"/>
          <w:i/>
          <w:iCs/>
          <w:color w:val="000000"/>
          <w:sz w:val="22"/>
          <w:szCs w:val="22"/>
        </w:rPr>
        <w:t>P. falciparum</w:t>
      </w:r>
      <w:r w:rsidRPr="00AF28B8">
        <w:rPr>
          <w:rFonts w:ascii="Calibri" w:hAnsi="Calibri" w:cs="Calibri"/>
          <w:color w:val="000000"/>
          <w:sz w:val="22"/>
          <w:szCs w:val="22"/>
        </w:rPr>
        <w:t xml:space="preserve"> to dihydroartemisinin (DHA). </w:t>
      </w:r>
      <w:r w:rsidRPr="00AF28B8">
        <w:rPr>
          <w:rFonts w:ascii="Calibri" w:hAnsi="Calibri" w:cs="Calibri"/>
          <w:color w:val="000000"/>
          <w:sz w:val="22"/>
          <w:szCs w:val="22"/>
        </w:rPr>
        <w:lastRenderedPageBreak/>
        <w:t>1081 samples from patients presenting with uncomplicated malaria were collected from 2019 to 2024 across northern and eastern Uganda. Ex vivo drug susceptibilities were determined with a 72 h growth inhibition assay (IC</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with SYBR Green detection. Sequences were determined with molecular inversion probe deep sequencing. We used bioinformatics and deep-learning to analyze genotype-phenotype associations. A deep learning autoencoder model was used to reduce the dimensionality of genotype data (6,000 SNPs), and extract latent features to capture complex nonlinear patterns. Using automatic feature selection of the L1-penalized regression (Lasso), we identified SNPs that were associated with elevated DHA IC₅₀ values. Fourteen SNPs were associated with ≥10% increases in DHA IC₅₀, suggesting reduced susceptibility. These included mutations in </w:t>
      </w:r>
      <w:r w:rsidRPr="00AF28B8">
        <w:rPr>
          <w:rFonts w:ascii="Calibri" w:hAnsi="Calibri" w:cs="Calibri"/>
          <w:i/>
          <w:iCs/>
          <w:color w:val="000000"/>
          <w:sz w:val="22"/>
          <w:szCs w:val="22"/>
        </w:rPr>
        <w:t>ApiAP2</w:t>
      </w:r>
      <w:r w:rsidRPr="00AF28B8">
        <w:rPr>
          <w:rFonts w:ascii="Calibri" w:hAnsi="Calibri" w:cs="Calibri"/>
          <w:color w:val="000000"/>
          <w:sz w:val="22"/>
          <w:szCs w:val="22"/>
        </w:rPr>
        <w:t> (E1946D, D3217N, D1516N), </w:t>
      </w:r>
      <w:r w:rsidRPr="00AF28B8">
        <w:rPr>
          <w:rFonts w:ascii="Calibri" w:hAnsi="Calibri" w:cs="Calibri"/>
          <w:i/>
          <w:iCs/>
          <w:color w:val="000000"/>
          <w:sz w:val="22"/>
          <w:szCs w:val="22"/>
        </w:rPr>
        <w:t>FP2B</w:t>
      </w:r>
      <w:r w:rsidRPr="00AF28B8">
        <w:rPr>
          <w:rFonts w:ascii="Calibri" w:hAnsi="Calibri" w:cs="Calibri"/>
          <w:color w:val="000000"/>
          <w:sz w:val="22"/>
          <w:szCs w:val="22"/>
        </w:rPr>
        <w:t> (E141K, T165M), </w:t>
      </w:r>
      <w:r w:rsidRPr="00AF28B8">
        <w:rPr>
          <w:rFonts w:ascii="Calibri" w:hAnsi="Calibri" w:cs="Calibri"/>
          <w:i/>
          <w:iCs/>
          <w:color w:val="000000"/>
          <w:sz w:val="22"/>
          <w:szCs w:val="22"/>
        </w:rPr>
        <w:t>MDR1</w:t>
      </w:r>
      <w:r w:rsidRPr="00AF28B8">
        <w:rPr>
          <w:rFonts w:ascii="Calibri" w:hAnsi="Calibri" w:cs="Calibri"/>
          <w:color w:val="000000"/>
          <w:sz w:val="22"/>
          <w:szCs w:val="22"/>
        </w:rPr>
        <w:t> (D1246Y), </w:t>
      </w:r>
      <w:r w:rsidRPr="00AF28B8">
        <w:rPr>
          <w:rFonts w:ascii="Calibri" w:hAnsi="Calibri" w:cs="Calibri"/>
          <w:i/>
          <w:iCs/>
          <w:color w:val="000000"/>
          <w:sz w:val="22"/>
          <w:szCs w:val="22"/>
        </w:rPr>
        <w:t>K13</w:t>
      </w:r>
      <w:r w:rsidRPr="00AF28B8">
        <w:rPr>
          <w:rFonts w:ascii="Calibri" w:hAnsi="Calibri" w:cs="Calibri"/>
          <w:color w:val="000000"/>
          <w:sz w:val="22"/>
          <w:szCs w:val="22"/>
        </w:rPr>
        <w:t> (A675V), </w:t>
      </w:r>
      <w:r w:rsidRPr="00AF28B8">
        <w:rPr>
          <w:rFonts w:ascii="Calibri" w:hAnsi="Calibri" w:cs="Calibri"/>
          <w:i/>
          <w:iCs/>
          <w:color w:val="000000"/>
          <w:sz w:val="22"/>
          <w:szCs w:val="22"/>
        </w:rPr>
        <w:t>GWT1(R93I),</w:t>
      </w:r>
      <w:r w:rsidRPr="00AF28B8">
        <w:rPr>
          <w:rFonts w:ascii="Calibri" w:hAnsi="Calibri" w:cs="Calibri"/>
          <w:color w:val="000000"/>
          <w:sz w:val="22"/>
          <w:szCs w:val="22"/>
        </w:rPr>
        <w:t> </w:t>
      </w:r>
      <w:r w:rsidRPr="00AF28B8">
        <w:rPr>
          <w:rFonts w:ascii="Calibri" w:hAnsi="Calibri" w:cs="Calibri"/>
          <w:i/>
          <w:iCs/>
          <w:color w:val="000000"/>
          <w:sz w:val="22"/>
          <w:szCs w:val="22"/>
        </w:rPr>
        <w:t>P47</w:t>
      </w:r>
      <w:r w:rsidRPr="00AF28B8">
        <w:rPr>
          <w:rFonts w:ascii="Calibri" w:hAnsi="Calibri" w:cs="Calibri"/>
          <w:color w:val="000000"/>
          <w:sz w:val="22"/>
          <w:szCs w:val="22"/>
        </w:rPr>
        <w:t> (I248L), </w:t>
      </w:r>
      <w:r w:rsidRPr="00AF28B8">
        <w:rPr>
          <w:rFonts w:ascii="Calibri" w:hAnsi="Calibri" w:cs="Calibri"/>
          <w:i/>
          <w:iCs/>
          <w:color w:val="000000"/>
          <w:sz w:val="22"/>
          <w:szCs w:val="22"/>
        </w:rPr>
        <w:t>SUB1</w:t>
      </w:r>
      <w:r w:rsidRPr="00AF28B8">
        <w:rPr>
          <w:rFonts w:ascii="Calibri" w:hAnsi="Calibri" w:cs="Calibri"/>
          <w:color w:val="000000"/>
          <w:sz w:val="22"/>
          <w:szCs w:val="22"/>
        </w:rPr>
        <w:t> (S627L), </w:t>
      </w:r>
      <w:r w:rsidRPr="00AF28B8">
        <w:rPr>
          <w:rFonts w:ascii="Calibri" w:hAnsi="Calibri" w:cs="Calibri"/>
          <w:i/>
          <w:iCs/>
          <w:color w:val="000000"/>
          <w:sz w:val="22"/>
          <w:szCs w:val="22"/>
        </w:rPr>
        <w:t>AAT1</w:t>
      </w:r>
      <w:r w:rsidRPr="00AF28B8">
        <w:rPr>
          <w:rFonts w:ascii="Calibri" w:hAnsi="Calibri" w:cs="Calibri"/>
          <w:color w:val="000000"/>
          <w:sz w:val="22"/>
          <w:szCs w:val="22"/>
        </w:rPr>
        <w:t> (S202N), </w:t>
      </w:r>
      <w:r w:rsidRPr="00AF28B8">
        <w:rPr>
          <w:rFonts w:ascii="Calibri" w:hAnsi="Calibri" w:cs="Calibri"/>
          <w:i/>
          <w:iCs/>
          <w:color w:val="000000"/>
          <w:sz w:val="22"/>
          <w:szCs w:val="22"/>
        </w:rPr>
        <w:t>PRS</w:t>
      </w:r>
      <w:r w:rsidRPr="00AF28B8">
        <w:rPr>
          <w:rFonts w:ascii="Calibri" w:hAnsi="Calibri" w:cs="Calibri"/>
          <w:color w:val="000000"/>
          <w:sz w:val="22"/>
          <w:szCs w:val="22"/>
        </w:rPr>
        <w:t> (G483E), </w:t>
      </w:r>
      <w:r w:rsidRPr="00AF28B8">
        <w:rPr>
          <w:rFonts w:ascii="Calibri" w:hAnsi="Calibri" w:cs="Calibri"/>
          <w:i/>
          <w:iCs/>
          <w:color w:val="000000"/>
          <w:sz w:val="22"/>
          <w:szCs w:val="22"/>
        </w:rPr>
        <w:t>MRP2</w:t>
      </w:r>
      <w:r w:rsidRPr="00AF28B8">
        <w:rPr>
          <w:rFonts w:ascii="Calibri" w:hAnsi="Calibri" w:cs="Calibri"/>
          <w:color w:val="000000"/>
          <w:sz w:val="22"/>
          <w:szCs w:val="22"/>
        </w:rPr>
        <w:t> (H320Y), and </w:t>
      </w:r>
      <w:r w:rsidRPr="00AF28B8">
        <w:rPr>
          <w:rFonts w:ascii="Calibri" w:hAnsi="Calibri" w:cs="Calibri"/>
          <w:i/>
          <w:iCs/>
          <w:color w:val="000000"/>
          <w:sz w:val="22"/>
          <w:szCs w:val="22"/>
        </w:rPr>
        <w:t>UGT</w:t>
      </w:r>
      <w:r w:rsidRPr="00AF28B8">
        <w:rPr>
          <w:rFonts w:ascii="Calibri" w:hAnsi="Calibri" w:cs="Calibri"/>
          <w:color w:val="000000"/>
          <w:sz w:val="22"/>
          <w:szCs w:val="22"/>
        </w:rPr>
        <w:t> (V266I) genes. Among these, </w:t>
      </w:r>
      <w:r w:rsidRPr="00AF28B8">
        <w:rPr>
          <w:rFonts w:ascii="Calibri" w:hAnsi="Calibri" w:cs="Calibri"/>
          <w:i/>
          <w:iCs/>
          <w:color w:val="000000"/>
          <w:sz w:val="22"/>
          <w:szCs w:val="22"/>
        </w:rPr>
        <w:t>K13</w:t>
      </w:r>
      <w:r w:rsidRPr="00AF28B8">
        <w:rPr>
          <w:rFonts w:ascii="Calibri" w:hAnsi="Calibri" w:cs="Calibri"/>
          <w:color w:val="000000"/>
          <w:sz w:val="22"/>
          <w:szCs w:val="22"/>
        </w:rPr>
        <w:t> A675V is a known marker of artemisinin partial resistance, while </w:t>
      </w:r>
      <w:r w:rsidRPr="00AF28B8">
        <w:rPr>
          <w:rFonts w:ascii="Calibri" w:hAnsi="Calibri" w:cs="Calibri"/>
          <w:i/>
          <w:iCs/>
          <w:color w:val="000000"/>
          <w:sz w:val="22"/>
          <w:szCs w:val="22"/>
        </w:rPr>
        <w:t>MDR1</w:t>
      </w:r>
      <w:r w:rsidRPr="00AF28B8">
        <w:rPr>
          <w:rFonts w:ascii="Calibri" w:hAnsi="Calibri" w:cs="Calibri"/>
          <w:color w:val="000000"/>
          <w:sz w:val="22"/>
          <w:szCs w:val="22"/>
        </w:rPr>
        <w:t> and </w:t>
      </w:r>
      <w:r w:rsidRPr="00AF28B8">
        <w:rPr>
          <w:rFonts w:ascii="Calibri" w:hAnsi="Calibri" w:cs="Calibri"/>
          <w:i/>
          <w:iCs/>
          <w:color w:val="000000"/>
          <w:sz w:val="22"/>
          <w:szCs w:val="22"/>
        </w:rPr>
        <w:t>MRP2</w:t>
      </w:r>
      <w:r w:rsidRPr="00AF28B8">
        <w:rPr>
          <w:rFonts w:ascii="Calibri" w:hAnsi="Calibri" w:cs="Calibri"/>
          <w:color w:val="000000"/>
          <w:sz w:val="22"/>
          <w:szCs w:val="22"/>
        </w:rPr>
        <w:t> mutations have been implicated in multidrug resistance. The remaining variants represent novel candidate markers of reduced susceptibility to DHA. Our deep learning approach identified known and novel genetic polymorphisms associated with reduced artemisinin sensitivity in Uganda, offering new insights into emerging resistance mechanisms and potential molecular markers for surveillance.</w:t>
      </w:r>
    </w:p>
    <w:p w14:paraId="292DDC8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25-A-2516-ASTMH</w:t>
      </w:r>
    </w:p>
    <w:p w14:paraId="5F72D46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534B62B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Role of Improved Housing in Reducing Malaria Prevalence Among School-Aged Children in Mainland Tanzania</w:t>
      </w:r>
    </w:p>
    <w:p w14:paraId="0E15C9A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major public health concern in Tanzania, with school-aged children (SAC) carrying a significant burden. This study assesses the relationship between housing structure and malaria prevalence to better understand their impact on malaria transmission among SAC. A cross-sectional survey is conducted among 6,554 SAC and their households across 184 councils in 26 regions of mainland Tanzania in 2021. SAC are randomly selected through school-based sampling, ten percent among those SAC were visited to their households are included if directly connected to the selected SAC. A multi-stage cluster sampling utilized to ensures geographical and demographic representation. The generalized linear mixed model was utilized to adjusting for potential confounders. Malaria infections among SAC are influenced by housing quality, with significantly lower prevalence among those living in improved houses (aOR: 0.48, CI: 0.33-0.70, p &lt; 0.001). Female SAC had reduced odds of infection compared to males (aOR: 1.40, CI: 1.14-1.72, p = 0.001). SAC at elevations 1,250-1,750 m had 53% lower odds (aOR: 0.47, CI: 0.29-0.78, p = 0.003), while those above 1,750 m had a 93% reduction (aOR: 0.07, CI: 0.01-0.36, p = 0.002). Sleeping under an ITN the previous night was associated with a 51% lower malaria risk (aOR: 0.49, CI: 0.34-0.71, p &lt; 0.001). SAC in urban areas were 63% less likely to have malaria compared to those in rural settings (aOR: 0.37, CI: 0.21-0.68, p = 0.001). Anemia was a strong predictor of malaria risk, with SAC showing progressively higher odds of infection as anemia severity increased. This study provides robust evidence that improved housing reduces malaria risk among school-aged children. This study evaluates housing conditions alongside ITN use, offering a more comprehensive understanding of malaria prevention. The findings highlight the need for integrated, targeted interventions, especially in rural areas with poor housing.</w:t>
      </w:r>
    </w:p>
    <w:p w14:paraId="74E63C6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25-A-2517-ASTMH</w:t>
      </w:r>
    </w:p>
    <w:p w14:paraId="3FA8E7E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4DD48B4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Risks of Haemolysis Following High-Dose Primaquine for </w:t>
      </w:r>
      <w:r w:rsidRPr="00AF28B8">
        <w:rPr>
          <w:rFonts w:ascii="Calibri" w:hAnsi="Calibri" w:cs="Calibri"/>
          <w:b/>
          <w:bCs/>
          <w:i/>
          <w:iCs/>
          <w:color w:val="000000"/>
          <w:sz w:val="22"/>
          <w:szCs w:val="22"/>
        </w:rPr>
        <w:t>Plasmodium vivax</w:t>
      </w:r>
      <w:r w:rsidRPr="00AF28B8">
        <w:rPr>
          <w:rFonts w:ascii="Calibri" w:hAnsi="Calibri" w:cs="Calibri"/>
          <w:b/>
          <w:bCs/>
          <w:color w:val="000000"/>
          <w:sz w:val="22"/>
          <w:szCs w:val="22"/>
        </w:rPr>
        <w:t> Malaria: Findings from the SCOPE Stage 1 Study in Indonesia</w:t>
      </w:r>
    </w:p>
    <w:p w14:paraId="6DEF721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WHO recently recommended a higher total dose of primaquine (7mg/kg) administered over 7 days (PQ7) to improve adherence in Glucose-6-Phosphate Dehydrogenase (G6PD) normal patients with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xml:space="preserve"> malaria. A semi-quantitative G6PD point-of-care diagnostic STANDARD G6PD (SD Biosensor™, Republic of Korea) had recently been pre-qualified by the WHO. The SCOPE Stage 1 study </w:t>
      </w:r>
      <w:r w:rsidRPr="00AF28B8">
        <w:rPr>
          <w:rFonts w:ascii="Calibri" w:hAnsi="Calibri" w:cs="Calibri"/>
          <w:color w:val="000000"/>
          <w:sz w:val="22"/>
          <w:szCs w:val="22"/>
        </w:rPr>
        <w:lastRenderedPageBreak/>
        <w:t>assessed the safety of PQ7 and G6PD testing at two Indonesian clinics. Patients with </w:t>
      </w:r>
      <w:r w:rsidRPr="00AF28B8">
        <w:rPr>
          <w:rFonts w:ascii="Calibri" w:hAnsi="Calibri" w:cs="Calibri"/>
          <w:i/>
          <w:iCs/>
          <w:color w:val="000000"/>
          <w:sz w:val="22"/>
          <w:szCs w:val="22"/>
        </w:rPr>
        <w:t>P. vivax</w:t>
      </w:r>
      <w:r w:rsidRPr="00AF28B8">
        <w:rPr>
          <w:rFonts w:ascii="Calibri" w:hAnsi="Calibri" w:cs="Calibri"/>
          <w:color w:val="000000"/>
          <w:sz w:val="22"/>
          <w:szCs w:val="22"/>
        </w:rPr>
        <w:t> malaria were screened for G6PD activity and treated accordingly: PQ7 (1mg/kg/day for 7 days) if G6PD normal (&gt;70%), PQ14 (0.5mg/kg/day for 14 days) if intermediate (30-70%), and PQ8w (0.75mg/kg/week for 8 weeks) if deficient (&lt;30%). Haemoglobin (Hb) concentrations were monitored on days 3 and 7 using STANDARD G6PD. Measurement of Hb from HemoCue 201 (HemoCue AB, Sweden) was also available. Adverse Events of Special Interest (AESIs) and Severe Adverse Events (SAEs) were recorded. Between October 2023 and September 2024, 500 patients were enrolled at two clinics in Timika, Indonesia: 347 (69.4%) received PQ7, 134 (26.8%) PQ14, and 19 (3.8%) PQ8W. Follow-up was completed for 485 (97%) of patients on day 3 and 479 (95.8%) on day 7. The mean maximum drop in Hb was 1.2 g/dL (range: 0.1-4.1) in the PQ7 group, 1.5 g/dL (range: 0.2-4.6) in the PQ14 group and 1.3 g/dL (range: 0.4-5.1) in the PQ8W group. Paired Hb measurements of Biosensor and HemoCue were available for 484 patients on day 3 and 479 on day 7. The mean difference between Hb recordings (Biosensor minus HemoCue) was +0.83 (95% CI: 0.75-0.92) on day 3 and +0.92 (95% CI: 0.84-1.00) on day 7. Of the 11 AESIs reported, 10 were related to haemolysis; all of whom had a fall in Hb &gt;3 g/dL, but without clinical compromise. The risk of haemolysis was 0.9% (3/347) following PQ7, 3.7% (5/134) after PQ14 and 10.5% (2/19) after PQ8W. All completed primaquine treatment with a rapid recovery of Hb. In patients with normal G6PD activity, high-dose primaquine was not associated with an increased risk of haemolysis. The G6PD STANDARD is a reliable method for monitoring changes in Hb following initial screening for G6PD status.</w:t>
      </w:r>
    </w:p>
    <w:p w14:paraId="15F8B3A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25-A-2518-ASTMH</w:t>
      </w:r>
    </w:p>
    <w:p w14:paraId="0110B25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89553B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Declining Malaria Trends in the Andaman and Nicobar Islands A Forecasting Study Using Time Series Models</w:t>
      </w:r>
    </w:p>
    <w:p w14:paraId="13B99D9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major public health concern in India, with 95% of the population at risk in endemic regions. About 80% of cases occur among 20% of the population, primarily in tribal, hilly, and remote areas. The Andaman and Nicobar Islands (ANI) have historically experienced a high malaria burden, with cases reported since British rule. In recent years, however, malaria prevalence has declined due to strengthened vector control, including indoor residual spraying, larvicide use, and awareness campaigns promoting bed nets and repellents. This study examines recent malaria trends in ANI and forecasts future patterns using time series models to support continued elimination efforts. Monthly malaria data (2010-2023) were obtained from ANI’s primary health centers via the Directorate of Health Services, Port Blair. Key indicators such as Annual Parasitic Incidence (API) and Slide Positivity Rate (SPR) were calculated. Time series models, including ARIMA, SARIMA, exponential smoothing, and TBATS, were applied to forecast trends from 2024 to 2030. Malaria trends varied across districts. Nicobar consistently had the highest incidence, mostly from P. vivax, while North and Middle Andaman recorded the lowest cases and API. SARIMA(2,1,4)(2,0,1)[12] best fit the data, projecting continued declines in cases and API. Findings were consistent across models. Vector control efforts have driven the observed decline. Sustaining this trend will require continued surveillance, better intervention tracking, and enhanced forecasting using detailed data.</w:t>
      </w:r>
    </w:p>
    <w:p w14:paraId="52DEECC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25-A-2519-ASTMH</w:t>
      </w:r>
    </w:p>
    <w:p w14:paraId="4D2ED9C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19664DD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Evaluation of Atovaquone's Blocking Activity on Clinical Isolates of </w:t>
      </w:r>
      <w:r w:rsidRPr="00AF28B8">
        <w:rPr>
          <w:rFonts w:ascii="Calibri" w:hAnsi="Calibri" w:cs="Calibri"/>
          <w:b/>
          <w:bCs/>
          <w:i/>
          <w:iCs/>
          <w:color w:val="000000"/>
          <w:sz w:val="22"/>
          <w:szCs w:val="22"/>
        </w:rPr>
        <w:t>Plasmodium falciparum </w:t>
      </w:r>
      <w:r w:rsidRPr="00AF28B8">
        <w:rPr>
          <w:rFonts w:ascii="Calibri" w:hAnsi="Calibri" w:cs="Calibri"/>
          <w:b/>
          <w:bCs/>
          <w:color w:val="000000"/>
          <w:sz w:val="22"/>
          <w:szCs w:val="22"/>
        </w:rPr>
        <w:t>Gametocytes and Sporogony</w:t>
      </w:r>
    </w:p>
    <w:p w14:paraId="04C4E5B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elimination requires antimalarials that target the sexual stages of </w:t>
      </w:r>
      <w:r w:rsidRPr="00AF28B8">
        <w:rPr>
          <w:rFonts w:ascii="Calibri" w:hAnsi="Calibri" w:cs="Calibri"/>
          <w:i/>
          <w:iCs/>
          <w:color w:val="000000"/>
          <w:sz w:val="22"/>
          <w:szCs w:val="22"/>
        </w:rPr>
        <w:t>Plasmodium</w:t>
      </w:r>
      <w:r w:rsidRPr="00AF28B8">
        <w:rPr>
          <w:rFonts w:ascii="Calibri" w:hAnsi="Calibri" w:cs="Calibri"/>
          <w:color w:val="000000"/>
          <w:sz w:val="22"/>
          <w:szCs w:val="22"/>
        </w:rPr>
        <w:t> to prevent transmission. We developed an optimized protocol to evaluate the blocking activity of drugs on clinical isolates of gametocytes through </w:t>
      </w:r>
      <w:r w:rsidRPr="00AF28B8">
        <w:rPr>
          <w:rFonts w:ascii="Calibri" w:hAnsi="Calibri" w:cs="Calibri"/>
          <w:i/>
          <w:iCs/>
          <w:color w:val="000000"/>
          <w:sz w:val="22"/>
          <w:szCs w:val="22"/>
        </w:rPr>
        <w:t>ex vivo </w:t>
      </w:r>
      <w:r w:rsidRPr="00AF28B8">
        <w:rPr>
          <w:rFonts w:ascii="Calibri" w:hAnsi="Calibri" w:cs="Calibri"/>
          <w:color w:val="000000"/>
          <w:sz w:val="22"/>
          <w:szCs w:val="22"/>
        </w:rPr>
        <w:t>testing. This approach offers the advantage of assessing preclinically the sensitivity of circulating clinical isolates to antimalarial drugs without the need for a clinical trial.</w:t>
      </w:r>
      <w:r w:rsidRPr="00AF28B8">
        <w:rPr>
          <w:rFonts w:ascii="Calibri" w:hAnsi="Calibri" w:cs="Calibri"/>
          <w:color w:val="000000"/>
          <w:sz w:val="22"/>
          <w:szCs w:val="22"/>
        </w:rPr>
        <w:br/>
        <w:t xml:space="preserve">The objective of our study was to characterize, the blocking activity of atovaquone on the transmission </w:t>
      </w:r>
      <w:r w:rsidRPr="00AF28B8">
        <w:rPr>
          <w:rFonts w:ascii="Calibri" w:hAnsi="Calibri" w:cs="Calibri"/>
          <w:color w:val="000000"/>
          <w:sz w:val="22"/>
          <w:szCs w:val="22"/>
        </w:rPr>
        <w:lastRenderedPageBreak/>
        <w:t>of clinical isolates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gametocytes and sporogony.</w:t>
      </w:r>
      <w:r w:rsidRPr="00AF28B8">
        <w:rPr>
          <w:rFonts w:ascii="Calibri" w:hAnsi="Calibri" w:cs="Calibri"/>
          <w:color w:val="000000"/>
          <w:sz w:val="22"/>
          <w:szCs w:val="22"/>
        </w:rPr>
        <w:br/>
        <w:t>Asymptomatic carriers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gametocytes, aged 6 years or older, residing in Faladie, were included in a cross-sectional study conducted from October to December 2023. </w:t>
      </w:r>
      <w:r w:rsidRPr="00AF28B8">
        <w:rPr>
          <w:rFonts w:ascii="Calibri" w:hAnsi="Calibri" w:cs="Calibri"/>
          <w:i/>
          <w:iCs/>
          <w:color w:val="000000"/>
          <w:sz w:val="22"/>
          <w:szCs w:val="22"/>
        </w:rPr>
        <w:t>Plasmodium</w:t>
      </w:r>
      <w:r w:rsidRPr="00AF28B8">
        <w:rPr>
          <w:rFonts w:ascii="Calibri" w:hAnsi="Calibri" w:cs="Calibri"/>
          <w:color w:val="000000"/>
          <w:sz w:val="22"/>
          <w:szCs w:val="22"/>
        </w:rPr>
        <w:t> species and gametocyte density were determined by microscopy. Venous blood sample was collected for </w:t>
      </w:r>
      <w:r w:rsidRPr="00AF28B8">
        <w:rPr>
          <w:rFonts w:ascii="Calibri" w:hAnsi="Calibri" w:cs="Calibri"/>
          <w:i/>
          <w:iCs/>
          <w:color w:val="000000"/>
          <w:sz w:val="22"/>
          <w:szCs w:val="22"/>
        </w:rPr>
        <w:t>ex vivo</w:t>
      </w:r>
      <w:r w:rsidRPr="00AF28B8">
        <w:rPr>
          <w:rFonts w:ascii="Calibri" w:hAnsi="Calibri" w:cs="Calibri"/>
          <w:color w:val="000000"/>
          <w:sz w:val="22"/>
          <w:szCs w:val="22"/>
        </w:rPr>
        <w:t> experimentation. To assess blocking activity, clinical gametocyte isolates were exposed to atovaquone for 48 hours under optimized</w:t>
      </w:r>
      <w:r w:rsidRPr="00AF28B8">
        <w:rPr>
          <w:rFonts w:ascii="Calibri" w:hAnsi="Calibri" w:cs="Calibri"/>
          <w:i/>
          <w:iCs/>
          <w:color w:val="000000"/>
          <w:sz w:val="22"/>
          <w:szCs w:val="22"/>
        </w:rPr>
        <w:t> ex vivo</w:t>
      </w:r>
      <w:r w:rsidRPr="00AF28B8">
        <w:rPr>
          <w:rFonts w:ascii="Calibri" w:hAnsi="Calibri" w:cs="Calibri"/>
          <w:color w:val="000000"/>
          <w:sz w:val="22"/>
          <w:szCs w:val="22"/>
        </w:rPr>
        <w:t> culture conditions. Following this treatment, the gametocytes were subjected to DMFA. Additionally, we evaluated the effect of atovaquone on gametocyte morphology after the 48-hour exposure. The effect of atovaquone on sporogony was assessed by performing a DMFA with freshly collected gametocyte isolates in the presence of a defined concentration of atovaquone. Oocyst prevalence was determined eight days after the infectious blood meal for all DMFA.</w:t>
      </w:r>
      <w:r w:rsidRPr="00AF28B8">
        <w:rPr>
          <w:rFonts w:ascii="Calibri" w:hAnsi="Calibri" w:cs="Calibri"/>
          <w:color w:val="000000"/>
          <w:sz w:val="22"/>
          <w:szCs w:val="22"/>
        </w:rPr>
        <w:br/>
        <w:t>We measured the transmission-blocking activity and the effect on sporogony using gametocyte isolates from 10 and 3 carriers, respectively. The </w:t>
      </w:r>
      <w:r w:rsidRPr="00AF28B8">
        <w:rPr>
          <w:rFonts w:ascii="Calibri" w:hAnsi="Calibri" w:cs="Calibri"/>
          <w:i/>
          <w:iCs/>
          <w:color w:val="000000"/>
          <w:sz w:val="22"/>
          <w:szCs w:val="22"/>
        </w:rPr>
        <w:t>ex vivo</w:t>
      </w:r>
      <w:r w:rsidRPr="00AF28B8">
        <w:rPr>
          <w:rFonts w:ascii="Calibri" w:hAnsi="Calibri" w:cs="Calibri"/>
          <w:color w:val="000000"/>
          <w:sz w:val="22"/>
          <w:szCs w:val="22"/>
        </w:rPr>
        <w:t> tests revealed 100% blocking activity on transmission at a concentration of 10nM atovaquone. Gametocyte morphology was disturbed, characterized by an increased volume of the gametocyte at 10nm, changes in nuclear organization at 100nm, fragmentation, and vesiculation at 1µM.In the sporogony tests, we observed complete inhibition of oocyst development in the mosquito gut at 100nM atovaquone.</w:t>
      </w:r>
      <w:r w:rsidRPr="00AF28B8">
        <w:rPr>
          <w:rFonts w:ascii="Calibri" w:hAnsi="Calibri" w:cs="Calibri"/>
          <w:color w:val="000000"/>
          <w:sz w:val="22"/>
          <w:szCs w:val="22"/>
        </w:rPr>
        <w:br/>
        <w:t>Atovaquone exhibits potent activity against gametocytes and inhibits sporogony in the mosquito vector.</w:t>
      </w:r>
    </w:p>
    <w:p w14:paraId="10AD17D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25-A-2520-ASTMH</w:t>
      </w:r>
    </w:p>
    <w:p w14:paraId="5B793B3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54E1CD8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Toward Enhancement of Tuberculosis Detection: Evaluating LAM POC Tests with Exhaled Breath Condensate Sampling</w:t>
      </w:r>
    </w:p>
    <w:p w14:paraId="75977DE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There is an estimated 30% gap between incident cases (10.6 million) and notified cases (7.5 million) of tuberculosis (TB), according to the WHO. As current screening approaches miss a significant number of cases, the development of a sputum-free biomarker test for TB has become a priority for the WHO. The Lipoarabinomannan (LAM) point-of-care (POC) tests have been used to detect TB in HIV patients using urine samples, where performance was found to be acceptable for people living with HIV (PLHIV) but not for those without HIV. Recent findings reveal that the concentration of LAM in exhaled breath condensate (EBC) is many times higher than in urine when using non-POC testing methods, which could pave the way for LAM POC testing among people without HIV. In our study, we collected EBC and urine samples from 614 participants with signs and symptoms of pulmonary TB, along with 30 healthy controls, at the TB Screening and Treatment Centre of icddr,b. EBC was collected using low-cost, disposable collection devices (DECCS 14 ST device, Medivac, Italy; and a prototype provided by FIND, Switzerland), and tested using Determine TB-LAM Ag (Abbott, USA). Sputum samples were also collected from symptomatic participants to confirm TB through GeneXpert MTB/RIF Ultra and culture testing. We found that the sensitivity of the TB LAM Ag test using EBC collected with the FIND device (33.3%) was almost 2-fold higher than its sensitivity using urine (18.0%) and 1.5-fold higher than its sensitivity using EBC collected with the DECCS 14 ST device. Specificity using both sample types, EBC and urine, and both devices was over 90%. However, the performance observed does not currently meet WHO's requirements. Nevertheless, performance could improve with future generations of LAM POC assays. Furthermore, the performance of EBC with LAM POC also needs to be evaluated among PLHIV, as similar increases in sensitivity over urine testing would represent a remarkable advancement in combating TB among PLHIV.</w:t>
      </w:r>
    </w:p>
    <w:p w14:paraId="4FC4EA8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25-A-2521-ASTMH</w:t>
      </w:r>
    </w:p>
    <w:p w14:paraId="5066AD3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0E0EEA5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Spatial Transcriptomics and Multiplex Imaging Reveal Distinct Blood-Brain Barrier Signatures in Cerebral Malaria</w:t>
      </w:r>
    </w:p>
    <w:p w14:paraId="6D411EF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Cerebral malaria (CM) is a life-threatening complication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infection. It is a leading cause of disability and death in African children despite highly effective antimalarial treatment. The specific cellular and molecular pathways involved in human CM pathogenesis remain elusive; however, numerous studies have implicated blood-brain barrier (BBB) breakdown. Post-mortem studies provide the only means to investigate the brain directly in human CM, but studying the biological processes in the brain is complex. Rapid advances in spatial biology have transformed our understanding of such complex processes. We conducted spatial transcriptomics on post-mortem brain tissue from fatal paediatric CM (</w:t>
      </w:r>
      <w:r w:rsidRPr="00AF28B8">
        <w:rPr>
          <w:rFonts w:ascii="Calibri" w:hAnsi="Calibri" w:cs="Calibri"/>
          <w:i/>
          <w:iCs/>
          <w:color w:val="000000"/>
          <w:sz w:val="22"/>
          <w:szCs w:val="22"/>
        </w:rPr>
        <w:t>n = 16</w:t>
      </w:r>
      <w:r w:rsidRPr="00AF28B8">
        <w:rPr>
          <w:rFonts w:ascii="Calibri" w:hAnsi="Calibri" w:cs="Calibri"/>
          <w:color w:val="000000"/>
          <w:sz w:val="22"/>
          <w:szCs w:val="22"/>
        </w:rPr>
        <w:t>) and non-malaria central nervous system (CNS) infection (</w:t>
      </w:r>
      <w:r w:rsidRPr="00AF28B8">
        <w:rPr>
          <w:rFonts w:ascii="Calibri" w:hAnsi="Calibri" w:cs="Calibri"/>
          <w:i/>
          <w:iCs/>
          <w:color w:val="000000"/>
          <w:sz w:val="22"/>
          <w:szCs w:val="22"/>
        </w:rPr>
        <w:t>n = 6</w:t>
      </w:r>
      <w:r w:rsidRPr="00AF28B8">
        <w:rPr>
          <w:rFonts w:ascii="Calibri" w:hAnsi="Calibri" w:cs="Calibri"/>
          <w:color w:val="000000"/>
          <w:sz w:val="22"/>
          <w:szCs w:val="22"/>
        </w:rPr>
        <w:t>) cases in a Malawian population. GeoMx digital spatial profiling revealed reduced junction protein gene expression and a lower composition of endothelial cells in regions of BBB breakdown in CM cases. Furthermore, we found a significant upregulation of secreted phosphoprotein 1 (SPP1; log</w:t>
      </w:r>
      <w:r w:rsidRPr="00AF28B8">
        <w:rPr>
          <w:rFonts w:ascii="Calibri" w:hAnsi="Calibri" w:cs="Calibri"/>
          <w:color w:val="000000"/>
          <w:sz w:val="22"/>
          <w:szCs w:val="22"/>
          <w:vertAlign w:val="subscript"/>
        </w:rPr>
        <w:t>2</w:t>
      </w:r>
      <w:r w:rsidRPr="00AF28B8">
        <w:rPr>
          <w:rFonts w:ascii="Calibri" w:hAnsi="Calibri" w:cs="Calibri"/>
          <w:color w:val="000000"/>
          <w:sz w:val="22"/>
          <w:szCs w:val="22"/>
        </w:rPr>
        <w:t>FC &gt; 1; adj. p &lt; 0.0001) in these regions. We confirmed these findings through histology and imaging mass cytometry (IMC; 40-colour panel). In CM cases, we observed SPP1 colocalising with regions of endothelial damage. To further understand this, single-cell spatial transcriptomic data (CosMx Spatial Molecular Imager; 6,000 gene panel) of 221,011 cells from 508 representative fields of view (FOV) were generated. Initial analyses identified distinct blood-brain barrier signatures in CM cases. We aim to identify which cell type SPP1 is localised to and understand its effect through spatial analysis of cellular neighbourhoods. Additionally, we are validating these findings using in vitro mechanistic studies. Our data provide a spatially resolved atlas of the brain in CM, offering insights into the vascular and brain-associated changes underlying BBB breakdown. These data highlight that SPP1 may serve as a potential therapeutic target in CM.</w:t>
      </w:r>
    </w:p>
    <w:p w14:paraId="764EB4C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25-A-2522-ASTMH</w:t>
      </w:r>
    </w:p>
    <w:p w14:paraId="4479899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059F225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Rickettsial Infections in Indonesia: Serological Evidence and Spatial Epidemiology</w:t>
      </w:r>
    </w:p>
    <w:p w14:paraId="44F64DC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Rickettsial diseases are a group of potentially fatal bacterial febrile illnesses, with scrub typhus and murine typhus being significant public health concerns in Indonesia. These diseases are difficult to diagnose due to their non-specific symptoms and lack of accurate and accessible point-of-care tests. Therefore, despite their potentially high disease burden and major contribution to the aetiology of undifferentiated acute febrile illness, they are understudied, under-recognised, and under-treated. Historical evidence indicates scrub typhus circulation in North Sumatra, alongside confirmed cases in neighbouring areas of Malaysia, however recent data on the geographical extent and intensity of transmission are lacking. This study aims to investigate the seroprevalence of rickettsial pathogens exposure in this region by analysing 2,400 stored sera from non-febrile participants across six districts in North Sumatra and North Kalimantan, collected as part of cross-sectional health-facility surveys between February 2022 and March 2023. We will determine the seroprevalence using IgG enzyme-linked immunosorbent assays (ELISA) against scrub typhus, typhus, and spotted fever group pathogens. The association of seropositivity and potential drivers i.e. individual risk factors (e.g. age, sex, outdoor activities, animal contact) and spatial environmental covariates (e.g. climate variables, topographic measures, land cover, and population density) will be explored. Statistical analysis and spatial modelling using Integrated Nested Laplace Approximation (INLA) within R will be performed, with results to be presented at the ASTMH annual meeting. Study findings will help to address the knowledge gaps in the distribution and drivers of rickettsial infections in North Sumatra and North Kalimantan, including transmission hotspots, and inform public health approaches on rickettsial diseases control and management in Indonesia.</w:t>
      </w:r>
    </w:p>
    <w:p w14:paraId="3813D9F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25-A-2523-ASTMH</w:t>
      </w:r>
    </w:p>
    <w:p w14:paraId="6C9E85F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18854FE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Model-based assessment of chlorfenapyr-alpha-cypermethrin nets versus standard pyrethroid nets for malaria control in Tanzania</w:t>
      </w:r>
    </w:p>
    <w:p w14:paraId="4D56692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Residual malaria transmission is experienced in many parts of sub-Saharan Africa (SSA), partly due to insecticide resistance in mosquito populations and short durability of the pyrethroid nets that are distributed in different delivery channels such as targeted mass campaigns (TMC), school net program and reproductive and child health (RCH). Next-generation insecticide-treated nets with dual active ingredients specifically for this study (chlorfenapyr and alpha-cypermethrin) have been developed to counteract durability and resistance, but their effectiveness compared to pyrethroid and pyrethroid-piperonyl butoxide (PBO) nets in varied transmission settings remains under evaluation. This study assesses the epidemiological impact of chlorfenapyr and alpha-cypermethrin nets in Tanzania, considering different transmission intensities and delivery channels. The OpenMalaria model was used to simulate the reduction in clinical incidence due to the distribution of three types of nets in two channels of TMC and RCH, incorporating entomological parameters from experimental hut trials data in Bagamoyo, Tanzania. Net distributions were simulated across varied coverages and baseline entomological inoculation rates (EIR). Chlorfenapyr and alpha-cypermethrin nets demonstrated superior effectiveness, for one-round mass distribution, averting an average of 16 additional malaria episodes per person compared to PBO nets. Seasonal analysis indicated chlorfenapyr and alpha-cypermethrin net distribution to kids during RCH, and PBO nets through mass distribution significantly suppressed peak malaria incidences, maintaining lower case counts compared to PBO nets only. The impacts of the chlorfenapyr and alpha-cypermethrin nets remained high through the third year after mass distribution, indicating its long-term impact. The results highlight the importance of targeting next-generation nets to sustain impact, offering crucial guidance for policymakers in optimizing resource allocation and refining vector control strategies.</w:t>
      </w:r>
    </w:p>
    <w:p w14:paraId="070C745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25-A-2524-ASTMH</w:t>
      </w:r>
    </w:p>
    <w:p w14:paraId="03D783B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DE5157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Identifying and Characterizing Hotspot Districts of </w:t>
      </w:r>
      <w:r w:rsidRPr="00AF28B8">
        <w:rPr>
          <w:rFonts w:ascii="Calibri" w:hAnsi="Calibri" w:cs="Calibri"/>
          <w:b/>
          <w:bCs/>
          <w:i/>
          <w:iCs/>
          <w:color w:val="000000"/>
          <w:sz w:val="22"/>
          <w:szCs w:val="22"/>
        </w:rPr>
        <w:t>Plasmodium vivax</w:t>
      </w:r>
      <w:r w:rsidRPr="00AF28B8">
        <w:rPr>
          <w:rFonts w:ascii="Calibri" w:hAnsi="Calibri" w:cs="Calibri"/>
          <w:b/>
          <w:bCs/>
          <w:color w:val="000000"/>
          <w:sz w:val="22"/>
          <w:szCs w:val="22"/>
        </w:rPr>
        <w:t> Malaria in India Implications for Elimination by 2030</w:t>
      </w:r>
    </w:p>
    <w:p w14:paraId="5874639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major public health issue in India, with significant variation in disease burden across regions. Plasmodium vivax (P. vivax) accounts for 30-55% of malaria cases annually, due to its ability to relapse from dormant liver stages. Despite progress in malaria control, P. vivax continues to pose challenges. This study analyzed surveillance data from 2000-2023 to identify ‘hotspot districts’ for P. vivax, based on the number of cases and Slide Positivity Rate (SPR). Districts ranked in the top 5% nationally for both indicators in at least half of the study years were classified as hotspots. Thirteen such districts were identified: Kolkata (West Bengal); Chennai (Tamil Nadu); Bijapur (Chhattisgarh); Nuapada (Odisha); and eight contiguous districts across Jharkhand and Uttar Pradesh. Together, these hotspots accounted for nearly 20% of India’s total P. vivax cases, with Kolkata ranking highest. To assess intervention impact, Interrupted Time Series (ITS) analyses examined the effects of the 14-day primaquine regimen (PQ-14) from 2007 and long-lasting insecticidal nets (LLINs). PQ-14 reduced cases by 9.8% annually, while LLINs saw a 22.0% drop. While these interventions are effective, persistent hotspots highlight the need for targeted efforts. High-resolution surveillance, sustained funding, radical cure access, and vector control are essential. As India aims for malaria elimination by 2030, these findings underscore the need for region-specific strategies focusing on P. vivax.</w:t>
      </w:r>
    </w:p>
    <w:p w14:paraId="041DAC7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25-A-2525-ASTMH</w:t>
      </w:r>
    </w:p>
    <w:p w14:paraId="016D25F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535585E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Improving Vector Surveillance through Digital Innovation: Impact and Lessons from VBDs360 in Rwanda</w:t>
      </w:r>
    </w:p>
    <w:p w14:paraId="12FF230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Rwanda started routine entomology monitoring at 12 sites in 2009. The main challenge encountered was the lack of a reliable electronic system for data management. The introduction of Vector Borne Diseases Platform (VBDs360) formerly known as MosquitoDB in 2022 aimed at managing field and laboratory vector data, enabling real-time access to reports through an interactive dashboard and </w:t>
      </w:r>
      <w:r w:rsidRPr="00AF28B8">
        <w:rPr>
          <w:rFonts w:ascii="Calibri" w:hAnsi="Calibri" w:cs="Calibri"/>
          <w:color w:val="000000"/>
          <w:sz w:val="22"/>
          <w:szCs w:val="22"/>
        </w:rPr>
        <w:lastRenderedPageBreak/>
        <w:t>linkage to other malaria data systems. The entomology technicians from 12 sentinel sites received a series of trainings focusing on the implementation of the VBDs360, then technicians were able to record household information making it easier to record data at the household level. The system comes with pre-populated sentinel site information and provides a dropdown menu option for mosquito data, incorporating quality control checks to ensure data accuracy. Data in the field are recorded offline and then uploaded into the system via the phone network. The field and laboratory data is linked using barcode approach based on the labels attached to mosquito samples. Household (HH) registration was successfully completed at all sentinel sites and each HH was assigned a unique code, which is consistently used to record entomological data on a monthly basis. The management of entomological data has significantly improved—saving time, enhancing data quality, and enabling real-time access through a centralized system. The system provides interactive dashboards featuring line graphs, bar charts, and maps to support timely and informed decision-making. The central database now contains comprehensive data on adult mosquitoes, including details on when, how, and where mosquitoes were collected, as well as species composition, density and infectious status. The use of VBDs in Rwanda has significantly improved the management of routine entomological data. Additionally, the system's flexibility can effectively manage other vector-borne diseases and guide the deployment of appropriate vector control strategies. The experiences gained from Rwanda's system adaptation offer valuable lessons that can support its implementation in other countries.</w:t>
      </w:r>
    </w:p>
    <w:p w14:paraId="60F05BC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25-A-2528-ASTMH</w:t>
      </w:r>
    </w:p>
    <w:p w14:paraId="7FFDA1A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402F84F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Phase Ib trial to assess the safety and tolerability of the blood-stage malaria vaccine candidate RH5.2 virus-like particle (VLP) in Matrix-M™ and the pre-erythrocytic stage vaccine R21 in Matrix-M™, both alone and in combination, in adults and children in The Gambia</w:t>
      </w:r>
    </w:p>
    <w:p w14:paraId="7A0DF1E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Current WHO-approved malaria vaccines are only effective against the pre-erythrocytic stage of malaria. The combination of pre-erythrocytic with blood stage vaccines in a single dose may improve vaccine efficacy. We conducted</w:t>
      </w:r>
      <w:r w:rsidRPr="00AF28B8">
        <w:rPr>
          <w:rFonts w:ascii="Calibri" w:hAnsi="Calibri" w:cs="Calibri"/>
          <w:b/>
          <w:bCs/>
          <w:color w:val="000000"/>
          <w:sz w:val="22"/>
          <w:szCs w:val="22"/>
        </w:rPr>
        <w:t> </w:t>
      </w:r>
      <w:r w:rsidRPr="00AF28B8">
        <w:rPr>
          <w:rFonts w:ascii="Calibri" w:hAnsi="Calibri" w:cs="Calibri"/>
          <w:color w:val="000000"/>
          <w:sz w:val="22"/>
          <w:szCs w:val="22"/>
        </w:rPr>
        <w:t>a phase Ib, age de-escalation, first-in-human trial to determine safety and tolerability of the novel blood-stage vaccine candidate, RH5.2 virus-like particle (VLP), both alone and combined with the pre-erythrocytic stage vaccine, R21. Healthy participants were recruited sequentially into nine groups: six groups of children (5-17 months) and three of adults (18-45 years). Adults received 3 doses of RH5.2-VLP in a 0-1-2-month regimen; 10µg (low dose); 50µg (high dose); or a combination of 10µg RH5.2-VLP + 10µg R21. Children received 3 doses (in a 0-1-2- or 0-1-6-month regimen) of 5µg R21 alone, 5µg RH5.2-VLP alone or 5µg RH5.2-VLP + 5µg R21. All vaccinations were formulated in 50µg Matrix-M™. The primary outcomes were occurrence of solicited adverse events (AEs) for 7 days post vaccination, unsolicited AEs for 28 days post vaccination and serious adverse events (SAE) throughout the study. Between 31 July 2023 and 20 Nov. 2024, we recruited 107 participants. Among the 795 AEs observed, 754 events (95%) were grades 1 to 2. The most common solicited AEs were pain and swelling at injection site, headaches and fatigue in adults, and fever and irritability in children. Injection site swelling accounted for 38/41 (93%) grade 3 events observed. The most common unsolicited AEs possibly related to vaccination were common cold, somnolence and loss of appetite in adults, and diarrhoea in children. There were eight SAEs among seven children, all unrelated to vaccination. One SUSAR was reported for a child due to a non-specific rash 5 days after receiving the combination of R21+RH5.2-VLP/Matrix-M™, although the DSMB considered this to most likely represent an unconfirmed viral infection given a history of similar rash in the community. RH5.2-VLP/Matrix-M™, given alone or combined with R21, had a favorable safety profile and was well tolerated. These results pave the way for further studies to assess vaccine immunogenicity.</w:t>
      </w:r>
    </w:p>
    <w:p w14:paraId="0405AE1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25-A-2529-ASTMH</w:t>
      </w:r>
    </w:p>
    <w:p w14:paraId="68F38DE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6298AF7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Application of Digital-Based Vector Borne Diseases Surveillance Platform (VBDs360) as an advanced system for managing Malaria Vector Entomological Surveillance in Mainland Tanzania</w:t>
      </w:r>
    </w:p>
    <w:p w14:paraId="168F3C9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Over the past decade, the National Malaria Control Program (NMCP) under the Ministry of Health in mainland Tanzania has implemented longitudinal Malaria Vector Entomological Surveillance (MVES) in 34 district councils to monitor vector bionomics and infectivity. However, the program has encountered challenges in electronic data collection and management. To overcome these, NMCP adopted the Vector Borne Diseases Platform (VBDs360), formerly MosquitoDB—a free, innovative system that standardizes the collection, storage, sharing, analysis, and reporting of vector-borne diseases data. In partnership with the President's Office - Regional Administration and Local Government (PO-RALG), Ifakara Health Institute (IHI), and National Institute for Medical Research (NIMR), the system was tailored to support MVES. Key features include an interactive dashboard, trend analysis, CSV uploads, custom reporting, and interoperability with digital systems like DHIS2. VBDs360 also ensures secure automatic matching of field and lab mosquito data. Training for 34 District Malaria Vector Surveillance Officers included both classroom and field practicals, enabling them to enter real-time baseline data, including entomological site details. A total of 34 districts, 70 wards, and 210 households were registered in the system, with GPS coordinates captured for household locations. The platform is integrated with the Ministry of Health's Composite Management Information System used for non-routine malaria data. This linkage improves data accessibility for strategic planning, enhances data accuracy, enables faster reporting, and allows automated pre-analysis. These improvements help identify and correct errors swiftly, contributing to more effective malaria surveillance and timely response nationwide.</w:t>
      </w:r>
    </w:p>
    <w:p w14:paraId="1013819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25-A-2530-ASTMH</w:t>
      </w:r>
    </w:p>
    <w:p w14:paraId="575E209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5115324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Identification of potential vectors and detection of Rift Valley fever virus in mosquitoes collected before and during the 2022 outbreak in Rwanda</w:t>
      </w:r>
    </w:p>
    <w:p w14:paraId="3537679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Rift Valley fever virus (RVFV) is an emerging mosquito-borne arbovirus of One Health importance that caused two major outbreaks in Rwanda in 2018 and 2022. Information on vector species with a role in RVFV eco-epidemiology in Rwanda is scarce. Here we sought to identify potential mosquito vectors of RVFV in Rwanda, their distribution and abundance, as well as their infection status. Five districts of the eastern province of Rwanda were prospected using a combination of unbaited light traps and artificial human scent-baited Biogents traps. Collections were conducted prior to the second RVF outbreak, from August to December 2021, and during the outbreak, from April to May 2022. Trapped mosquitoes were morphologically identified and tested for viral evidence using both RT-PCR and virus isolation methods on a Vero cell line. A total of 14,815 adult mosquitoes, belonging to five genera and at least 17 species, were collected and tested as 765 monospecific pools. </w:t>
      </w:r>
      <w:r w:rsidRPr="00AF28B8">
        <w:rPr>
          <w:rFonts w:ascii="Calibri" w:hAnsi="Calibri" w:cs="Calibri"/>
          <w:i/>
          <w:iCs/>
          <w:color w:val="000000"/>
          <w:sz w:val="22"/>
          <w:szCs w:val="22"/>
        </w:rPr>
        <w:t>Culex quinquefasciatus</w:t>
      </w:r>
      <w:r w:rsidRPr="00AF28B8">
        <w:rPr>
          <w:rFonts w:ascii="Calibri" w:hAnsi="Calibri" w:cs="Calibri"/>
          <w:color w:val="000000"/>
          <w:sz w:val="22"/>
          <w:szCs w:val="22"/>
        </w:rPr>
        <w:t> was the predominant species representing 72.7% of total counts. Of 527 mosquito pools collected before the 2022 outbreak, a single pool of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showed evidence of RVFV RNA. Of 238 pools collected during the outbreak, RVFV was detected molecularly from five pools (two pools of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two pools of </w:t>
      </w:r>
      <w:r w:rsidRPr="00AF28B8">
        <w:rPr>
          <w:rFonts w:ascii="Calibri" w:hAnsi="Calibri" w:cs="Calibri"/>
          <w:i/>
          <w:iCs/>
          <w:color w:val="000000"/>
          <w:sz w:val="22"/>
          <w:szCs w:val="22"/>
        </w:rPr>
        <w:t>Anopheles ziemanni</w:t>
      </w:r>
      <w:r w:rsidRPr="00AF28B8">
        <w:rPr>
          <w:rFonts w:ascii="Calibri" w:hAnsi="Calibri" w:cs="Calibri"/>
          <w:color w:val="000000"/>
          <w:sz w:val="22"/>
          <w:szCs w:val="22"/>
        </w:rPr>
        <w:t>, and one pool of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sensu lato), and RVFV was isolated from both pools of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from Kayonza and Rwamagana districts, respectively. Maximum-likelihood phylogenetic analysis indicates that RVFV detected in these mosquitoes is closely related to viral strains that circulated in livestock in Rwanda during the same RVF outbreak in 2022. The findings reveal initial evidence for the incrimination of several mosquito species in RVFV maintenance in Rwanda and highlight the need to understand the role of each species in supporting the transmission and persistence of RVFV in the country.</w:t>
      </w:r>
    </w:p>
    <w:p w14:paraId="298E383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25-A-2531-ASTMH</w:t>
      </w:r>
    </w:p>
    <w:p w14:paraId="500E80F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Molecular Biology, Population Genetics and Genomics</w:t>
      </w:r>
    </w:p>
    <w:p w14:paraId="5775B94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Abstract reference 245: Impact of vector species diversity on malaria elimination efforts in Kasese district flood-prone catchments, Uganda</w:t>
      </w:r>
    </w:p>
    <w:p w14:paraId="5A50B75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Uganda is among the highly malaria-burdened countries, ranked third worldwide, contributing5.40% to malaria cases as a global problem. Understanding malaria vector genetic diversity and ecology is vital in influencing the efficacy of any vector control intervention. To provide a baseline of mosquito activity prior to community wide interventions, we sampled</w:t>
      </w:r>
      <w:r w:rsidRPr="00AF28B8">
        <w:rPr>
          <w:rFonts w:ascii="Calibri" w:hAnsi="Calibri" w:cs="Calibri"/>
          <w:i/>
          <w:iCs/>
          <w:color w:val="000000"/>
          <w:sz w:val="22"/>
          <w:szCs w:val="22"/>
        </w:rPr>
        <w:t> Anopheles</w:t>
      </w:r>
      <w:r w:rsidRPr="00AF28B8">
        <w:rPr>
          <w:rFonts w:ascii="Calibri" w:hAnsi="Calibri" w:cs="Calibri"/>
          <w:color w:val="000000"/>
          <w:sz w:val="22"/>
          <w:szCs w:val="22"/>
        </w:rPr>
        <w:t> mosquitoes using CDC light traps and Prokopack aspirators from indoor and outdoor peri-domestic environments from 20 sentinel households across different sub-counties in Kasese district along three major rivers. Samples were sorted in the field in mosquito/non-mosquito and later identified to species in the laboratory. In total, we captured 95</w:t>
      </w:r>
      <w:r w:rsidRPr="00AF28B8">
        <w:rPr>
          <w:rFonts w:ascii="Calibri" w:hAnsi="Calibri" w:cs="Calibri"/>
          <w:i/>
          <w:iCs/>
          <w:color w:val="000000"/>
          <w:sz w:val="22"/>
          <w:szCs w:val="22"/>
        </w:rPr>
        <w:t> Anopheles</w:t>
      </w:r>
      <w:r w:rsidRPr="00AF28B8">
        <w:rPr>
          <w:rFonts w:ascii="Calibri" w:hAnsi="Calibri" w:cs="Calibri"/>
          <w:color w:val="000000"/>
          <w:sz w:val="22"/>
          <w:szCs w:val="22"/>
        </w:rPr>
        <w:t> mosquitoes, with the majority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(81.05%), and fewer</w:t>
      </w:r>
      <w:r w:rsidRPr="00AF28B8">
        <w:rPr>
          <w:rFonts w:ascii="Calibri" w:hAnsi="Calibri" w:cs="Calibri"/>
          <w:i/>
          <w:iCs/>
          <w:color w:val="000000"/>
          <w:sz w:val="22"/>
          <w:szCs w:val="22"/>
        </w:rPr>
        <w:t> Anopheles funestus</w:t>
      </w:r>
      <w:r w:rsidRPr="00AF28B8">
        <w:rPr>
          <w:rFonts w:ascii="Calibri" w:hAnsi="Calibri" w:cs="Calibri"/>
          <w:color w:val="000000"/>
          <w:sz w:val="22"/>
          <w:szCs w:val="22"/>
        </w:rPr>
        <w:t> (8.42%),</w:t>
      </w:r>
      <w:r w:rsidRPr="00AF28B8">
        <w:rPr>
          <w:rFonts w:ascii="Calibri" w:hAnsi="Calibri" w:cs="Calibri"/>
          <w:i/>
          <w:iCs/>
          <w:color w:val="000000"/>
          <w:sz w:val="22"/>
          <w:szCs w:val="22"/>
        </w:rPr>
        <w:t> Anopheles pretoriensis</w:t>
      </w:r>
      <w:r w:rsidRPr="00AF28B8">
        <w:rPr>
          <w:rFonts w:ascii="Calibri" w:hAnsi="Calibri" w:cs="Calibri"/>
          <w:color w:val="000000"/>
          <w:sz w:val="22"/>
          <w:szCs w:val="22"/>
        </w:rPr>
        <w:t>(7.37%),</w:t>
      </w:r>
      <w:r w:rsidRPr="00AF28B8">
        <w:rPr>
          <w:rFonts w:ascii="Calibri" w:hAnsi="Calibri" w:cs="Calibri"/>
          <w:i/>
          <w:iCs/>
          <w:color w:val="000000"/>
          <w:sz w:val="22"/>
          <w:szCs w:val="22"/>
        </w:rPr>
        <w:t> Anopheles moucheti</w:t>
      </w:r>
      <w:r w:rsidRPr="00AF28B8">
        <w:rPr>
          <w:rFonts w:ascii="Calibri" w:hAnsi="Calibri" w:cs="Calibri"/>
          <w:color w:val="000000"/>
          <w:sz w:val="22"/>
          <w:szCs w:val="22"/>
        </w:rPr>
        <w:t> (2.11%), and</w:t>
      </w:r>
      <w:r w:rsidRPr="00AF28B8">
        <w:rPr>
          <w:rFonts w:ascii="Calibri" w:hAnsi="Calibri" w:cs="Calibri"/>
          <w:i/>
          <w:iCs/>
          <w:color w:val="000000"/>
          <w:sz w:val="22"/>
          <w:szCs w:val="22"/>
        </w:rPr>
        <w:t> Anopheles coustani</w:t>
      </w:r>
      <w:r w:rsidRPr="00AF28B8">
        <w:rPr>
          <w:rFonts w:ascii="Calibri" w:hAnsi="Calibri" w:cs="Calibri"/>
          <w:color w:val="000000"/>
          <w:sz w:val="22"/>
          <w:szCs w:val="22"/>
        </w:rPr>
        <w:t> (1.05%).The topographic features, including lower altitude, presence of breeding sites adjacent to major river banks, valleys, and distance between the household and the river, affect the establishment and distribution of</w:t>
      </w:r>
      <w:r w:rsidRPr="00AF28B8">
        <w:rPr>
          <w:rFonts w:ascii="Calibri" w:hAnsi="Calibri" w:cs="Calibri"/>
          <w:i/>
          <w:iCs/>
          <w:color w:val="000000"/>
          <w:sz w:val="22"/>
          <w:szCs w:val="22"/>
        </w:rPr>
        <w:t> An. gambiae</w:t>
      </w:r>
      <w:r w:rsidRPr="00AF28B8">
        <w:rPr>
          <w:rFonts w:ascii="Calibri" w:hAnsi="Calibri" w:cs="Calibri"/>
          <w:color w:val="000000"/>
          <w:sz w:val="22"/>
          <w:szCs w:val="22"/>
        </w:rPr>
        <w:t> (primary malaria vector in Kasese) and malaria transmission, whereas high altitude, presence of ponds, and presence of other permanent water bodies affect the distribution of</w:t>
      </w:r>
      <w:r w:rsidRPr="00AF28B8">
        <w:rPr>
          <w:rFonts w:ascii="Calibri" w:hAnsi="Calibri" w:cs="Calibri"/>
          <w:i/>
          <w:iCs/>
          <w:color w:val="000000"/>
          <w:sz w:val="22"/>
          <w:szCs w:val="22"/>
        </w:rPr>
        <w:t> An. funestus</w:t>
      </w:r>
      <w:r w:rsidRPr="00AF28B8">
        <w:rPr>
          <w:rFonts w:ascii="Calibri" w:hAnsi="Calibri" w:cs="Calibri"/>
          <w:color w:val="000000"/>
          <w:sz w:val="22"/>
          <w:szCs w:val="22"/>
        </w:rPr>
        <w:t> (secondary malaria vector)</w:t>
      </w:r>
      <w:r w:rsidRPr="00AF28B8">
        <w:rPr>
          <w:rFonts w:ascii="Calibri" w:hAnsi="Calibri" w:cs="Calibri"/>
          <w:i/>
          <w:iCs/>
          <w:color w:val="000000"/>
          <w:sz w:val="22"/>
          <w:szCs w:val="22"/>
        </w:rPr>
        <w:t>.</w:t>
      </w:r>
      <w:r w:rsidRPr="00AF28B8">
        <w:rPr>
          <w:rFonts w:ascii="Calibri" w:hAnsi="Calibri" w:cs="Calibri"/>
          <w:color w:val="000000"/>
          <w:sz w:val="22"/>
          <w:szCs w:val="22"/>
        </w:rPr>
        <w:t> The presence of</w:t>
      </w:r>
      <w:r w:rsidRPr="00AF28B8">
        <w:rPr>
          <w:rFonts w:ascii="Calibri" w:hAnsi="Calibri" w:cs="Calibri"/>
          <w:i/>
          <w:iCs/>
          <w:color w:val="000000"/>
          <w:sz w:val="22"/>
          <w:szCs w:val="22"/>
        </w:rPr>
        <w:t> An. coustani,</w:t>
      </w:r>
      <w:r w:rsidRPr="00AF28B8">
        <w:rPr>
          <w:rFonts w:ascii="Calibri" w:hAnsi="Calibri" w:cs="Calibri"/>
          <w:color w:val="000000"/>
          <w:sz w:val="22"/>
          <w:szCs w:val="22"/>
        </w:rPr>
        <w:t> a zoo-anthropophilic species, poses a risk of spreading zoonotic</w:t>
      </w:r>
      <w:r w:rsidRPr="00AF28B8">
        <w:rPr>
          <w:rFonts w:ascii="Calibri" w:hAnsi="Calibri" w:cs="Calibri"/>
          <w:i/>
          <w:iCs/>
          <w:color w:val="000000"/>
          <w:sz w:val="22"/>
          <w:szCs w:val="22"/>
        </w:rPr>
        <w:t> Plasmodium</w:t>
      </w:r>
      <w:r w:rsidRPr="00AF28B8">
        <w:rPr>
          <w:rFonts w:ascii="Calibri" w:hAnsi="Calibri" w:cs="Calibri"/>
          <w:color w:val="000000"/>
          <w:sz w:val="22"/>
          <w:szCs w:val="22"/>
        </w:rPr>
        <w:t> spp. if targeted vector control interventions are not timely and efficient. These findings help inform successful planning and the implementation of targeted vector control interventions in malaria hotspot areas, including the adoption of</w:t>
      </w:r>
      <w:r w:rsidRPr="00AF28B8">
        <w:rPr>
          <w:rFonts w:ascii="Calibri" w:hAnsi="Calibri" w:cs="Calibri"/>
          <w:i/>
          <w:iCs/>
          <w:color w:val="000000"/>
          <w:sz w:val="22"/>
          <w:szCs w:val="22"/>
        </w:rPr>
        <w:t> Bacillus thuringiensis israelensis </w:t>
      </w:r>
      <w:r w:rsidRPr="00AF28B8">
        <w:rPr>
          <w:rFonts w:ascii="Calibri" w:hAnsi="Calibri" w:cs="Calibri"/>
          <w:color w:val="000000"/>
          <w:sz w:val="22"/>
          <w:szCs w:val="22"/>
        </w:rPr>
        <w:t>for larval management and efficient chemoprevention approaches for malaria prevention in children. Understanding the relationship between the distribution of</w:t>
      </w:r>
      <w:r w:rsidRPr="00AF28B8">
        <w:rPr>
          <w:rFonts w:ascii="Calibri" w:hAnsi="Calibri" w:cs="Calibri"/>
          <w:i/>
          <w:iCs/>
          <w:color w:val="000000"/>
          <w:sz w:val="22"/>
          <w:szCs w:val="22"/>
        </w:rPr>
        <w:t> Anopheles</w:t>
      </w:r>
      <w:r w:rsidRPr="00AF28B8">
        <w:rPr>
          <w:rFonts w:ascii="Calibri" w:hAnsi="Calibri" w:cs="Calibri"/>
          <w:color w:val="000000"/>
          <w:sz w:val="22"/>
          <w:szCs w:val="22"/>
        </w:rPr>
        <w:t> mosquitoes and environmental parameters is essential for the effective implementation of integrated vector control programs, and monitoring the relative species composition can aid in risk quantification.</w:t>
      </w:r>
    </w:p>
    <w:p w14:paraId="6595B44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25-A-2532-ASTMH</w:t>
      </w:r>
    </w:p>
    <w:p w14:paraId="3B3212C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0B0780B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Potent Multiple-Stage Anthelmintic Agent for the Treatment and Prevention of Schistosomiasis</w:t>
      </w:r>
    </w:p>
    <w:p w14:paraId="39E0A75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There is an urgent need for alternatives to praziquantel to treat schistosomiasis. An agent with broad therapeutic activity and novel mode of action would be required to overcome potential emergence of drug resistance as well as to reach elimination goals. Half a century after the discovery of praziquantel, a novel and potent anthelmintic agent with activity against multiple life-cycle stages of the schistosome worm, with adequate pharmacokinetic properties and an acceptable preliminary safety profile is presented. The new agent demonstrates potential to address a variety of clinical needs, including single-dose treatment, transmission blocking potential and chemoprevention. The candidate was discovered from a phenotypic screening program against schistosome parasites, and its molecular target has now been identified. The new agent causes loss of viability of the parasite at both immature and mature stages. Studies are ongoing to ascertain the candidate’s suitability to enter human clinical studies.</w:t>
      </w:r>
    </w:p>
    <w:p w14:paraId="7A80B8C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25-A-2533-ASTMH</w:t>
      </w:r>
    </w:p>
    <w:p w14:paraId="373D940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506442A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Assessment Of Chelex And CTAB-based Method For The Extraction Of </w:t>
      </w:r>
      <w:r w:rsidRPr="00AF28B8">
        <w:rPr>
          <w:rFonts w:ascii="Calibri" w:hAnsi="Calibri" w:cs="Calibri"/>
          <w:b/>
          <w:bCs/>
          <w:i/>
          <w:iCs/>
          <w:color w:val="000000"/>
          <w:sz w:val="22"/>
          <w:szCs w:val="22"/>
        </w:rPr>
        <w:t>Schistosoma haematobium </w:t>
      </w:r>
      <w:r w:rsidRPr="00AF28B8">
        <w:rPr>
          <w:rFonts w:ascii="Calibri" w:hAnsi="Calibri" w:cs="Calibri"/>
          <w:b/>
          <w:bCs/>
          <w:color w:val="000000"/>
          <w:sz w:val="22"/>
          <w:szCs w:val="22"/>
        </w:rPr>
        <w:t>Cell-free DNA In urine Samples Stored on Filter Papers For Molecular Diagnostics Of Urinary Schistosomiasis: Implication In The Disease Control</w:t>
      </w:r>
    </w:p>
    <w:p w14:paraId="315EF64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Storage of urine samples as well as the need of obtaining DNA extracts free from PCR-inhibitors remains challenging for the molecular diagnostic of </w:t>
      </w:r>
      <w:r w:rsidRPr="00AF28B8">
        <w:rPr>
          <w:rFonts w:ascii="Calibri" w:hAnsi="Calibri" w:cs="Calibri"/>
          <w:i/>
          <w:iCs/>
          <w:color w:val="000000"/>
          <w:sz w:val="22"/>
          <w:szCs w:val="22"/>
        </w:rPr>
        <w:t>Schistosoma haematobium </w:t>
      </w:r>
      <w:r w:rsidRPr="00AF28B8">
        <w:rPr>
          <w:rFonts w:ascii="Calibri" w:hAnsi="Calibri" w:cs="Calibri"/>
          <w:color w:val="000000"/>
          <w:sz w:val="22"/>
          <w:szCs w:val="22"/>
        </w:rPr>
        <w:t>(</w:t>
      </w:r>
      <w:r w:rsidRPr="00AF28B8">
        <w:rPr>
          <w:rFonts w:ascii="Calibri" w:hAnsi="Calibri" w:cs="Calibri"/>
          <w:i/>
          <w:iCs/>
          <w:color w:val="000000"/>
          <w:sz w:val="22"/>
          <w:szCs w:val="22"/>
        </w:rPr>
        <w:t>S. haematobium</w:t>
      </w:r>
      <w:r w:rsidRPr="00AF28B8">
        <w:rPr>
          <w:rFonts w:ascii="Calibri" w:hAnsi="Calibri" w:cs="Calibri"/>
          <w:color w:val="000000"/>
          <w:sz w:val="22"/>
          <w:szCs w:val="22"/>
        </w:rPr>
        <w:t>)</w:t>
      </w:r>
      <w:r w:rsidRPr="00AF28B8">
        <w:rPr>
          <w:rFonts w:ascii="Calibri" w:hAnsi="Calibri" w:cs="Calibri"/>
          <w:i/>
          <w:iCs/>
          <w:color w:val="000000"/>
          <w:sz w:val="22"/>
          <w:szCs w:val="22"/>
        </w:rPr>
        <w:t> </w:t>
      </w:r>
      <w:r w:rsidRPr="00AF28B8">
        <w:rPr>
          <w:rFonts w:ascii="Calibri" w:hAnsi="Calibri" w:cs="Calibri"/>
          <w:color w:val="000000"/>
          <w:sz w:val="22"/>
          <w:szCs w:val="22"/>
        </w:rPr>
        <w:t>infections. This study aimed to assess a DNA extraction method for efficient detection of </w:t>
      </w:r>
      <w:r w:rsidRPr="00AF28B8">
        <w:rPr>
          <w:rFonts w:ascii="Calibri" w:hAnsi="Calibri" w:cs="Calibri"/>
          <w:i/>
          <w:iCs/>
          <w:color w:val="000000"/>
          <w:sz w:val="22"/>
          <w:szCs w:val="22"/>
        </w:rPr>
        <w:t>S. haematobium </w:t>
      </w:r>
      <w:r w:rsidRPr="00AF28B8">
        <w:rPr>
          <w:rFonts w:ascii="Calibri" w:hAnsi="Calibri" w:cs="Calibri"/>
          <w:color w:val="000000"/>
          <w:sz w:val="22"/>
          <w:szCs w:val="22"/>
        </w:rPr>
        <w:t>cell-free (cf) DNA as well as the capacity of whatman filter papers to store urine samples for the molecular detection of </w:t>
      </w:r>
      <w:r w:rsidRPr="00AF28B8">
        <w:rPr>
          <w:rFonts w:ascii="Calibri" w:hAnsi="Calibri" w:cs="Calibri"/>
          <w:i/>
          <w:iCs/>
          <w:color w:val="000000"/>
          <w:sz w:val="22"/>
          <w:szCs w:val="22"/>
        </w:rPr>
        <w:t>S. haematobium</w:t>
      </w:r>
      <w:r w:rsidRPr="00AF28B8">
        <w:rPr>
          <w:rFonts w:ascii="Calibri" w:hAnsi="Calibri" w:cs="Calibri"/>
          <w:color w:val="000000"/>
          <w:sz w:val="22"/>
          <w:szCs w:val="22"/>
        </w:rPr>
        <w:t>. Urine samples were collected from school-aged children and analyzed using urine filtration test to search for </w:t>
      </w:r>
      <w:r w:rsidRPr="00AF28B8">
        <w:rPr>
          <w:rFonts w:ascii="Calibri" w:hAnsi="Calibri" w:cs="Calibri"/>
          <w:i/>
          <w:iCs/>
          <w:color w:val="000000"/>
          <w:sz w:val="22"/>
          <w:szCs w:val="22"/>
        </w:rPr>
        <w:t>S. haematobium</w:t>
      </w:r>
      <w:r w:rsidRPr="00AF28B8">
        <w:rPr>
          <w:rFonts w:ascii="Calibri" w:hAnsi="Calibri" w:cs="Calibri"/>
          <w:color w:val="000000"/>
          <w:sz w:val="22"/>
          <w:szCs w:val="22"/>
        </w:rPr>
        <w:t> eggs. For this study 120 and 54 urine samples respectively with and without </w:t>
      </w:r>
      <w:r w:rsidRPr="00AF28B8">
        <w:rPr>
          <w:rFonts w:ascii="Calibri" w:hAnsi="Calibri" w:cs="Calibri"/>
          <w:i/>
          <w:iCs/>
          <w:color w:val="000000"/>
          <w:sz w:val="22"/>
          <w:szCs w:val="22"/>
        </w:rPr>
        <w:t>S. haematobium eggs</w:t>
      </w:r>
      <w:r w:rsidRPr="00AF28B8">
        <w:rPr>
          <w:rFonts w:ascii="Calibri" w:hAnsi="Calibri" w:cs="Calibri"/>
          <w:color w:val="000000"/>
          <w:sz w:val="22"/>
          <w:szCs w:val="22"/>
        </w:rPr>
        <w:t xml:space="preserve"> were filtered through punched whatman filter papers (13mm of diameter) and stored for up to 20 weeks. DNA was extracted from these filter papers at different time </w:t>
      </w:r>
      <w:r w:rsidRPr="00AF28B8">
        <w:rPr>
          <w:rFonts w:ascii="Calibri" w:hAnsi="Calibri" w:cs="Calibri"/>
          <w:color w:val="000000"/>
          <w:sz w:val="22"/>
          <w:szCs w:val="22"/>
        </w:rPr>
        <w:lastRenderedPageBreak/>
        <w:t>points using three DNA extraction methods. Performance of the DNA extraction methods and the capacity of filter papers to store </w:t>
      </w:r>
      <w:r w:rsidRPr="00AF28B8">
        <w:rPr>
          <w:rFonts w:ascii="Calibri" w:hAnsi="Calibri" w:cs="Calibri"/>
          <w:i/>
          <w:iCs/>
          <w:color w:val="000000"/>
          <w:sz w:val="22"/>
          <w:szCs w:val="22"/>
        </w:rPr>
        <w:t>S. haematobium</w:t>
      </w:r>
      <w:r w:rsidRPr="00AF28B8">
        <w:rPr>
          <w:rFonts w:ascii="Calibri" w:hAnsi="Calibri" w:cs="Calibri"/>
          <w:color w:val="000000"/>
          <w:sz w:val="22"/>
          <w:szCs w:val="22"/>
        </w:rPr>
        <w:t> cfDNA for several weeks were assessed by amplifying a specific fragment of </w:t>
      </w:r>
      <w:r w:rsidRPr="00AF28B8">
        <w:rPr>
          <w:rFonts w:ascii="Calibri" w:hAnsi="Calibri" w:cs="Calibri"/>
          <w:i/>
          <w:iCs/>
          <w:color w:val="000000"/>
          <w:sz w:val="22"/>
          <w:szCs w:val="22"/>
        </w:rPr>
        <w:t>S. haematobium</w:t>
      </w:r>
      <w:r w:rsidRPr="00AF28B8">
        <w:rPr>
          <w:rFonts w:ascii="Calibri" w:hAnsi="Calibri" w:cs="Calibri"/>
          <w:color w:val="000000"/>
          <w:sz w:val="22"/>
          <w:szCs w:val="22"/>
        </w:rPr>
        <w:t>. The cost linked to each DNA extraction was estimated. </w:t>
      </w:r>
      <w:r w:rsidRPr="00AF28B8">
        <w:rPr>
          <w:rFonts w:ascii="Calibri" w:hAnsi="Calibri" w:cs="Calibri"/>
          <w:i/>
          <w:iCs/>
          <w:color w:val="000000"/>
          <w:sz w:val="22"/>
          <w:szCs w:val="22"/>
        </w:rPr>
        <w:t>Schistosoma haematobium</w:t>
      </w:r>
      <w:r w:rsidRPr="00AF28B8">
        <w:rPr>
          <w:rFonts w:ascii="Calibri" w:hAnsi="Calibri" w:cs="Calibri"/>
          <w:color w:val="000000"/>
          <w:sz w:val="22"/>
          <w:szCs w:val="22"/>
        </w:rPr>
        <w:t> cfDNA were significantly more amplified with DNA extract from the chelex-based methods after 12 and 20 weeks (</w:t>
      </w:r>
      <w:r w:rsidRPr="00AF28B8">
        <w:rPr>
          <w:rFonts w:ascii="Calibri" w:hAnsi="Calibri" w:cs="Calibri"/>
          <w:i/>
          <w:iCs/>
          <w:color w:val="000000"/>
          <w:sz w:val="22"/>
          <w:szCs w:val="22"/>
        </w:rPr>
        <w:t>P = 0.0007</w:t>
      </w:r>
      <w:r w:rsidRPr="00AF28B8">
        <w:rPr>
          <w:rFonts w:ascii="Calibri" w:hAnsi="Calibri" w:cs="Calibri"/>
          <w:color w:val="000000"/>
          <w:sz w:val="22"/>
          <w:szCs w:val="22"/>
        </w:rPr>
        <w:t> and </w:t>
      </w:r>
      <w:r w:rsidRPr="00AF28B8">
        <w:rPr>
          <w:rFonts w:ascii="Calibri" w:hAnsi="Calibri" w:cs="Calibri"/>
          <w:i/>
          <w:iCs/>
          <w:color w:val="000000"/>
          <w:sz w:val="22"/>
          <w:szCs w:val="22"/>
        </w:rPr>
        <w:t>P &lt;0.0001 </w:t>
      </w:r>
      <w:r w:rsidRPr="00AF28B8">
        <w:rPr>
          <w:rFonts w:ascii="Calibri" w:hAnsi="Calibri" w:cs="Calibri"/>
          <w:color w:val="000000"/>
          <w:sz w:val="22"/>
          <w:szCs w:val="22"/>
        </w:rPr>
        <w:t>respectively) of urine sample preservation on whatman filter paper compared to other DNA extraction methods. PCR amplification result show that </w:t>
      </w:r>
      <w:r w:rsidRPr="00AF28B8">
        <w:rPr>
          <w:rFonts w:ascii="Calibri" w:hAnsi="Calibri" w:cs="Calibri"/>
          <w:i/>
          <w:iCs/>
          <w:color w:val="000000"/>
          <w:sz w:val="22"/>
          <w:szCs w:val="22"/>
        </w:rPr>
        <w:t>S. haematobium</w:t>
      </w:r>
      <w:r w:rsidRPr="00AF28B8">
        <w:rPr>
          <w:rFonts w:ascii="Calibri" w:hAnsi="Calibri" w:cs="Calibri"/>
          <w:color w:val="000000"/>
          <w:sz w:val="22"/>
          <w:szCs w:val="22"/>
        </w:rPr>
        <w:t> cfDNA are storable on whatman filter paper for up to 20 weeks as more than 80% of positive samples preserved on filter papers successfully amplified over time of conservation using different DNA extraction methods. Using the chelex-based method the sensitivity and specificity of PCR varied respectively from 99.2% to 100% and 77.8% to 83.3% at different time points of urine storage. The chelex-based method (0.27$) was respectively 3 times and 13 times cheaper than the CTAB-based method and the commercial kit. Its combination with urine storage on whatman paper highlighted it ability for the molecular diagnostic of </w:t>
      </w:r>
      <w:r w:rsidRPr="00AF28B8">
        <w:rPr>
          <w:rFonts w:ascii="Calibri" w:hAnsi="Calibri" w:cs="Calibri"/>
          <w:i/>
          <w:iCs/>
          <w:color w:val="000000"/>
          <w:sz w:val="22"/>
          <w:szCs w:val="22"/>
        </w:rPr>
        <w:t>S. haematobium</w:t>
      </w:r>
      <w:r w:rsidRPr="00AF28B8">
        <w:rPr>
          <w:rFonts w:ascii="Calibri" w:hAnsi="Calibri" w:cs="Calibri"/>
          <w:color w:val="000000"/>
          <w:sz w:val="22"/>
          <w:szCs w:val="22"/>
        </w:rPr>
        <w:t> when monitoring and evaluating control programs as well as during the elimination and post-elimination context.</w:t>
      </w:r>
    </w:p>
    <w:p w14:paraId="231A352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25-A-2534-ASTMH</w:t>
      </w:r>
    </w:p>
    <w:p w14:paraId="3F7586E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Babesiosis and Lyme Disease</w:t>
      </w:r>
    </w:p>
    <w:p w14:paraId="1AC48005" w14:textId="325EB79F"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First report of human babesiosis in the Tibati Health District, Adamawa Region, Cameroon: insights into a zoonotic disease and one health management approach?</w:t>
      </w:r>
    </w:p>
    <w:p w14:paraId="7F6FF33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Babesia</w:t>
      </w:r>
      <w:r w:rsidRPr="00AF28B8">
        <w:rPr>
          <w:rFonts w:ascii="Calibri" w:hAnsi="Calibri" w:cs="Calibri"/>
          <w:color w:val="000000"/>
          <w:sz w:val="22"/>
          <w:szCs w:val="22"/>
        </w:rPr>
        <w:t> spp. and </w:t>
      </w:r>
      <w:r w:rsidRPr="00AF28B8">
        <w:rPr>
          <w:rFonts w:ascii="Calibri" w:hAnsi="Calibri" w:cs="Calibri"/>
          <w:i/>
          <w:iCs/>
          <w:color w:val="000000"/>
          <w:sz w:val="22"/>
          <w:szCs w:val="22"/>
        </w:rPr>
        <w:t>Plasmodium</w:t>
      </w:r>
      <w:r w:rsidRPr="00AF28B8">
        <w:rPr>
          <w:rFonts w:ascii="Calibri" w:hAnsi="Calibri" w:cs="Calibri"/>
          <w:color w:val="000000"/>
          <w:sz w:val="22"/>
          <w:szCs w:val="22"/>
        </w:rPr>
        <w:t xml:space="preserve"> are two protozoans that cause babesiosis and malaria, respectively, often exhibiting overlapping distribution, particularly in regions where cattle breed. Despite differing transmission vectors, the diseases share similar physio-pathological features in the course of human infections, including intra-erythrocytic and hepatic stages, leading to comparable clinical manifestations (fever, headache, myalgia </w:t>
      </w:r>
      <w:r w:rsidRPr="00AF28B8">
        <w:rPr>
          <w:rFonts w:ascii="Cambria Math" w:hAnsi="Cambria Math" w:cs="Cambria Math"/>
          <w:color w:val="000000"/>
          <w:sz w:val="22"/>
          <w:szCs w:val="22"/>
        </w:rPr>
        <w:t>⋯</w:t>
      </w:r>
      <w:r w:rsidRPr="00AF28B8">
        <w:rPr>
          <w:rFonts w:ascii="Calibri" w:hAnsi="Calibri" w:cs="Calibri"/>
          <w:color w:val="000000"/>
          <w:sz w:val="22"/>
          <w:szCs w:val="22"/>
        </w:rPr>
        <w:t>). Because of their morphological similarities, it can be difficult to differentiate these parasites, especially during parasitological tests commonly used in resource-limited settings. This is problematic since </w:t>
      </w:r>
      <w:r w:rsidRPr="00AF28B8">
        <w:rPr>
          <w:rFonts w:ascii="Calibri" w:hAnsi="Calibri" w:cs="Calibri"/>
          <w:i/>
          <w:iCs/>
          <w:color w:val="000000"/>
          <w:sz w:val="22"/>
          <w:szCs w:val="22"/>
        </w:rPr>
        <w:t>Babesia</w:t>
      </w:r>
      <w:r w:rsidRPr="00AF28B8">
        <w:rPr>
          <w:rFonts w:ascii="Calibri" w:hAnsi="Calibri" w:cs="Calibri"/>
          <w:color w:val="000000"/>
          <w:sz w:val="22"/>
          <w:szCs w:val="22"/>
        </w:rPr>
        <w:t> sp is resistant to antimalarial treatments, highlighting the need to investigate the impact of misdiagnosis on malaria control in co-endemic areas. This project aims to investigate the endemicity of human babesiosis in the Tibati health district and assess its potential impact on malaria misdiagnosis. A cross-sectional survey was conducted in 11 communities of the Tibati Health District, Adamawa Region, Cameroon. Thick blood smears were prepared for the diagnosis of malaria and human babesiosis and examined by experienced Lab technicians. Genomic DNA was purified from dried blood spots (DBS) prepared from capillary blood and submitted to polymerase chain reactions using Babesia specific primers. A total of 400 individuals were samples and examined for malaria and babesia parasites. Examination of thick blood smears revealed 70 cases of asymptomatic malaria (17.5%; 95% CI: 13.9% to 21.5%), but no Babesia parasite reported. PCR amplification of </w:t>
      </w:r>
      <w:r w:rsidRPr="00AF28B8">
        <w:rPr>
          <w:rFonts w:ascii="Calibri" w:hAnsi="Calibri" w:cs="Calibri"/>
          <w:i/>
          <w:iCs/>
          <w:color w:val="000000"/>
          <w:sz w:val="22"/>
          <w:szCs w:val="22"/>
        </w:rPr>
        <w:t>Babesia</w:t>
      </w:r>
      <w:r w:rsidRPr="00AF28B8">
        <w:rPr>
          <w:rFonts w:ascii="Calibri" w:hAnsi="Calibri" w:cs="Calibri"/>
          <w:color w:val="000000"/>
          <w:sz w:val="22"/>
          <w:szCs w:val="22"/>
        </w:rPr>
        <w:t> sp revealed that the overall prevalence of babesia infection among human population of the Tibati Health District was 2.5% (95% CI: 1.4%-4.5%), significantly higher among males compared to females. These findings highlight the misdiagnosis of </w:t>
      </w:r>
      <w:r w:rsidRPr="00AF28B8">
        <w:rPr>
          <w:rFonts w:ascii="Calibri" w:hAnsi="Calibri" w:cs="Calibri"/>
          <w:i/>
          <w:iCs/>
          <w:color w:val="000000"/>
          <w:sz w:val="22"/>
          <w:szCs w:val="22"/>
        </w:rPr>
        <w:t>Babesia</w:t>
      </w:r>
      <w:r w:rsidRPr="00AF28B8">
        <w:rPr>
          <w:rFonts w:ascii="Calibri" w:hAnsi="Calibri" w:cs="Calibri"/>
          <w:color w:val="000000"/>
          <w:sz w:val="22"/>
          <w:szCs w:val="22"/>
        </w:rPr>
        <w:t> sp by experienced Lab technicians, with potential implications on treatment failures and emergence of antimalarial resistance.</w:t>
      </w:r>
    </w:p>
    <w:p w14:paraId="04D2760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25-A-2535-ASTMH</w:t>
      </w:r>
    </w:p>
    <w:p w14:paraId="190787F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50F723BB" w14:textId="76B70AC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Persistence of onchocerciasis in Cameroon 5 years from the 2030 roadmap goal: urgent alternatives needed</w:t>
      </w:r>
    </w:p>
    <w:p w14:paraId="3422AE7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Despite success of annual mass drug administration (MDA) with ivermectin (IVM), onchocerciasis persists in Cameroon, especially in Yabassi and Massangam Health Districts (HDs). Although Yabassi was still relying solely on IVM-based MDA, Alternative Treatment Strategies (ATS) were piloted in Massangam in 2017 and 2018, in response to WHO recommendations to accelerate elimination, resulting in a significant reduction in infection prevalence, shifting from hyper- and meso-endemic to hypo-endemic levels. To refine control strategies and move towards elimination, this study aimed to </w:t>
      </w:r>
      <w:r w:rsidRPr="00AF28B8">
        <w:rPr>
          <w:rFonts w:ascii="Calibri" w:hAnsi="Calibri" w:cs="Calibri"/>
          <w:color w:val="000000"/>
          <w:sz w:val="22"/>
          <w:szCs w:val="22"/>
        </w:rPr>
        <w:lastRenderedPageBreak/>
        <w:t>assess onchocerciasis situation in hotspot communities five years after ATS cessation in Massangam and following ten additional rounds of MDA in Yabassi. A quantitative cross-sectional survey was conducted in December 2023 in Massangamand February 2024 in Yabassi. Participants underwent comprehensive assessments, including parasitological examinations (skin snipping) to assess </w:t>
      </w:r>
      <w:r w:rsidRPr="00AF28B8">
        <w:rPr>
          <w:rFonts w:ascii="Calibri" w:hAnsi="Calibri" w:cs="Calibri"/>
          <w:i/>
          <w:iCs/>
          <w:color w:val="000000"/>
          <w:sz w:val="22"/>
          <w:szCs w:val="22"/>
        </w:rPr>
        <w:t>Onchocerca volvulus</w:t>
      </w:r>
      <w:r w:rsidRPr="00AF28B8">
        <w:rPr>
          <w:rFonts w:ascii="Calibri" w:hAnsi="Calibri" w:cs="Calibri"/>
          <w:color w:val="000000"/>
          <w:sz w:val="22"/>
          <w:szCs w:val="22"/>
        </w:rPr>
        <w:t> microfilaridermia. The overall prevalence of </w:t>
      </w:r>
      <w:r w:rsidRPr="00AF28B8">
        <w:rPr>
          <w:rFonts w:ascii="Calibri" w:hAnsi="Calibri" w:cs="Calibri"/>
          <w:i/>
          <w:iCs/>
          <w:color w:val="000000"/>
          <w:sz w:val="22"/>
          <w:szCs w:val="22"/>
        </w:rPr>
        <w:t>O. volvulus</w:t>
      </w:r>
      <w:r w:rsidRPr="00AF28B8">
        <w:rPr>
          <w:rFonts w:ascii="Calibri" w:hAnsi="Calibri" w:cs="Calibri"/>
          <w:color w:val="000000"/>
          <w:sz w:val="22"/>
          <w:szCs w:val="22"/>
        </w:rPr>
        <w:t> infection was 18.8% (95% CI: 13.8–24.3) in Massangam and 31.6% (95% CI: 28.0%–35.6%) in Yabassi. The intensity of infection was 3.136 (SD: 19.3) mf/ss in Massangam and 8.13 (SD: 34.5) mf/ss in Yabassi. No significant association was observed between compliance to interventions and rates and intensities of infection both in Massangam (Rho: 0.011; p=0.967) and Yabassi (Rho: 0.017; p=2.914). A marked rebound in parasitological indicators was observed in hotspot communities in Massangam five years post-ATS cessation compared to baseline levels (p: 0.04), and in sentinel communities in Yabassi, the prevalence remained almost unchanged after ten additional rounds of ivermectin treatment, decreasing from 43.8% (95% CI: 37.7% – 50.1%) to 38.8% (95% CI: 33.0% – 45.0%) (p: 0.222). These findings raise concerns about the potential resistance of </w:t>
      </w:r>
      <w:r w:rsidRPr="00AF28B8">
        <w:rPr>
          <w:rFonts w:ascii="Calibri" w:hAnsi="Calibri" w:cs="Calibri"/>
          <w:i/>
          <w:iCs/>
          <w:color w:val="000000"/>
          <w:sz w:val="22"/>
          <w:szCs w:val="22"/>
        </w:rPr>
        <w:t>O. volvulus</w:t>
      </w:r>
      <w:r w:rsidRPr="00AF28B8">
        <w:rPr>
          <w:rFonts w:ascii="Calibri" w:hAnsi="Calibri" w:cs="Calibri"/>
          <w:color w:val="000000"/>
          <w:sz w:val="22"/>
          <w:szCs w:val="22"/>
        </w:rPr>
        <w:t> and suggest that ivermectin alone may not be enough to achieve elimination goals, calling for the introduction of targeted, coordinated and sustained ATS to reach the 2030 goals.</w:t>
      </w:r>
    </w:p>
    <w:p w14:paraId="318B52B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25-A-2536-ASTMH</w:t>
      </w:r>
    </w:p>
    <w:p w14:paraId="48F1D1C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0009DD8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Reducing Antibiotics use in Fish and Shrimp Farming: A Mixed Social Marketing Approach in Central Vietnam</w:t>
      </w:r>
    </w:p>
    <w:p w14:paraId="1584E8F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Antibiotics are widely used in aquaculture to prevent and treat fish and shrimp diseases. However, overuse fosters antibiotic-resistant bacteria, threatening human health and the environment. This study aimed to assess the impact of social marketing interventions on antibiotic use knowledge, attitudes, and practices (KAP) among fish and shrimp farmers in central Vietnam. A baseline survey will be conducted to assess farmers’ knowledge, attitudes, and practices regarding antibiotics use in aquaculture. Based on the survey findings, social marketing interventions was implemented to encourage the adoption of alternative products and best practices for antibiotics use. The interventions were designed using the 4Ps framework (Product, Price, Place, and Promotion) and targeted aquaculture farmers (150 engaged in fish and shrimp farming) in 2 local areas of central Vietnam. In result, at baseline, roughly half the participants used antibiotics for both prevention and treatment in the previous year. Most used 1-2 types of antibiotics (65.8%) at the correct dosage (87.3%). Penicillin (37.5%) and Tetracyclines (35.0%) were most common. The average antibiotic use per ton of fish/shrimp was 641±378.9 kg. Food distributors were the primary source (93.7%). The baseline study identified low KAP. Compared to pre-intervention, the proportion of participants with good KAP scores increased significantly: knowledge (58.7% vs. 45.3%), attitude (51.3% vs. 23.0%), and practice (72.2% vs. 43.0%). This study suggests that social marketing interventions using the 4P framework with a One Health approach can effectively address antibiotic use and promote better practices in local aquaculture. </w:t>
      </w:r>
    </w:p>
    <w:p w14:paraId="26E988B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25-A-2537-ASTMH</w:t>
      </w:r>
    </w:p>
    <w:p w14:paraId="682FE00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0FB2F9C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Exploring Stakeholder Views on the Role of Substandard and Falsified Antimicrobials as potential Drivers of antimicrobial resistance in Sub-Saharan Africa</w:t>
      </w:r>
    </w:p>
    <w:p w14:paraId="602479A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Substandard and falsified (SF) medicines are a growing concern in low- and middle-income countries, where they pose a threat to public health and may contribute to antimicrobial resistance (AMR). However, the perceived contribution of this driver to AMR and the level of priority it receives from stakeholders remain unclear, especially in Sub-Saharan Africa (SSA), where the burden of both AMR and SF medicines is particularly high. The aim of this study was to investigate how key stakeholders within SSA perceive the relationship between AMR and SF antimicrobials, and how they rank the importance of this driver relative to other known drivers of AMR. We conducted in-depth interviews with 37 key stakeholders from nine countries across SSA, including policymakers, regulators, healthcare </w:t>
      </w:r>
      <w:r w:rsidRPr="00AF28B8">
        <w:rPr>
          <w:rFonts w:ascii="Calibri" w:hAnsi="Calibri" w:cs="Calibri"/>
          <w:color w:val="000000"/>
          <w:sz w:val="22"/>
          <w:szCs w:val="22"/>
        </w:rPr>
        <w:lastRenderedPageBreak/>
        <w:t>professionals, civil society representatives, implementing partners, academics, and researchers. Interviews were guided by a semi-structured tool and analysed using thematic analysis. Participants were also asked to rank various AMR drivers, including SF antimicrobials, based on their perceived significance in their local context. Stakeholders consistently acknowledged a credible link between SF antimicrobials and the emergence and spread of AMR. However, views on the relative importance of this driver varied. While some ranked SF antimicrobials among the top contributors to AMR, others prioritized more established drivers, such as the overuse and misuse of antimicrobials in human health, citing limited evidence on the prevalence and specific impact of SF antimicrobials in driving AMR. Perceptions were shaped by stakeholders’ professional roles, country-specific contexts, and levels of exposure to medicine quality issues. Additionally, political factors such as insecurity and broader socioeconomic challenges further influenced how the significance of SF antimicrobials as a driver of AMR was perceived. The findings highlight a recognition of the relevance of SF antimicrobials in the AMR landscape in SSA, but also reveal heterogeneity in how this driver is prioritized. Integrating medicine quality into AMR plans ensures stronger AMR response.</w:t>
      </w:r>
    </w:p>
    <w:p w14:paraId="725C681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25-A-2540-ASTMH</w:t>
      </w:r>
    </w:p>
    <w:p w14:paraId="5E1130E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and Genetics of Insecticide Resistance</w:t>
      </w:r>
    </w:p>
    <w:p w14:paraId="548F3C3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Vector competence of Permethrin resistant and susceptible </w:t>
      </w:r>
      <w:r w:rsidRPr="00AF28B8">
        <w:rPr>
          <w:rFonts w:ascii="Calibri" w:hAnsi="Calibri" w:cs="Calibri"/>
          <w:b/>
          <w:bCs/>
          <w:i/>
          <w:iCs/>
          <w:color w:val="000000"/>
          <w:sz w:val="22"/>
          <w:szCs w:val="22"/>
        </w:rPr>
        <w:t>Aedes aegypti</w:t>
      </w:r>
      <w:r w:rsidRPr="00AF28B8">
        <w:rPr>
          <w:rFonts w:ascii="Calibri" w:hAnsi="Calibri" w:cs="Calibri"/>
          <w:b/>
          <w:bCs/>
          <w:color w:val="000000"/>
          <w:sz w:val="22"/>
          <w:szCs w:val="22"/>
        </w:rPr>
        <w:t> sub-populations from Lamu county, Kenya, for Dengue-2 virus</w:t>
      </w:r>
    </w:p>
    <w:p w14:paraId="1606837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(DENV) which is primarily transmitted by </w:t>
      </w:r>
      <w:r w:rsidRPr="00AF28B8">
        <w:rPr>
          <w:rFonts w:ascii="Calibri" w:hAnsi="Calibri" w:cs="Calibri"/>
          <w:i/>
          <w:iCs/>
          <w:color w:val="000000"/>
          <w:sz w:val="22"/>
          <w:szCs w:val="22"/>
        </w:rPr>
        <w:t>Aedes aegypti</w:t>
      </w:r>
      <w:r w:rsidRPr="00AF28B8">
        <w:rPr>
          <w:rFonts w:ascii="Calibri" w:hAnsi="Calibri" w:cs="Calibri"/>
          <w:color w:val="000000"/>
          <w:sz w:val="22"/>
          <w:szCs w:val="22"/>
        </w:rPr>
        <w:t> mosquitoes, is responsible for significant morbidity globally. In Kenya, dengue fever is now endemic in two (Lamu and Mombasa) of the six coastal counties, with the most recent outbreak being in 2021. There is currently no definitive treatment for DENV therefore vector control remains the most effective method of curbing transmission. This is commonly done via permethrin insecticides. Prolonged use of this insecticide may have led to permethrin resistance among </w:t>
      </w:r>
      <w:r w:rsidRPr="00AF28B8">
        <w:rPr>
          <w:rFonts w:ascii="Calibri" w:hAnsi="Calibri" w:cs="Calibri"/>
          <w:i/>
          <w:iCs/>
          <w:color w:val="000000"/>
          <w:sz w:val="22"/>
          <w:szCs w:val="22"/>
        </w:rPr>
        <w:t>Ae. aegypti</w:t>
      </w:r>
      <w:r w:rsidRPr="00AF28B8">
        <w:rPr>
          <w:rFonts w:ascii="Calibri" w:hAnsi="Calibri" w:cs="Calibri"/>
          <w:color w:val="000000"/>
          <w:sz w:val="22"/>
          <w:szCs w:val="22"/>
        </w:rPr>
        <w:t> populations. We conducted a study to establish levels of insecticide resistance among three mosquito sub-populations in Lamu County and also compared the vectorial competence of resistant vs susceptible populations for DENV-2. Ae. aegypti mosquitoes were collected from three sites in Lamu (Shela, Hindi and Mokowe) using ovitraps and assayed for permethrin resistance/ susceptibility. 145 WHO insecticide resistance tube assays were conducted utilizing a total of 3525 emerged Ae. aegypti mosquitoes, n=1575 each from Hindi and Mokowe, and n=375 from Shela. These mosquitoes were reared to F2 generation and exposed to DENV-2 infectious blood meals. Fully engorged mosquitoes were selected, incubated for 21 days and tested for infection and dissemination by cell culture where dissemination was used as proxy for transmission. The Shela sub-population displayed significantly lower resistance (1%) compared to Hindi and Mokowe sub-populations at 53% and 62.4%, respectively. Of the mosquitoes, from Hindi (n=60); Mokowe (n=90); and Shela (n=130) that were exposed to DENV-2, n=14 (23%), n=24 (27%) and n=40 (31%) respectively, had midgut infections; while n=12 (20%), n=11 (12%), and n=21 (16%) respectively had disseminated infections. The analysis showed that the </w:t>
      </w:r>
      <w:r w:rsidRPr="00AF28B8">
        <w:rPr>
          <w:rFonts w:ascii="Calibri" w:hAnsi="Calibri" w:cs="Calibri"/>
          <w:i/>
          <w:iCs/>
          <w:color w:val="000000"/>
          <w:sz w:val="22"/>
          <w:szCs w:val="22"/>
        </w:rPr>
        <w:t>Ae. aegypti </w:t>
      </w:r>
      <w:r w:rsidRPr="00AF28B8">
        <w:rPr>
          <w:rFonts w:ascii="Calibri" w:hAnsi="Calibri" w:cs="Calibri"/>
          <w:color w:val="000000"/>
          <w:sz w:val="22"/>
          <w:szCs w:val="22"/>
        </w:rPr>
        <w:t>mosquitoes have high infection and dissemination rates where Dengue virus is concerned. Statistically, there was no significant difference in the infection and dissemination rates of dengue in all sub-populations. Therefore, all the study areas are at equal risk of dengue transmission.</w:t>
      </w:r>
    </w:p>
    <w:p w14:paraId="12EF4D5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25-A-2541-ASTMH</w:t>
      </w:r>
    </w:p>
    <w:p w14:paraId="0177EBC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709C5EC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Drug susceptibility and PfK13 mutations in </w:t>
      </w:r>
      <w:r w:rsidRPr="00AF28B8">
        <w:rPr>
          <w:rFonts w:ascii="Calibri" w:hAnsi="Calibri" w:cs="Calibri"/>
          <w:b/>
          <w:bCs/>
          <w:i/>
          <w:iCs/>
          <w:color w:val="000000"/>
          <w:sz w:val="22"/>
          <w:szCs w:val="22"/>
        </w:rPr>
        <w:t>Plasmodium falciparum </w:t>
      </w:r>
      <w:r w:rsidRPr="00AF28B8">
        <w:rPr>
          <w:rFonts w:ascii="Calibri" w:hAnsi="Calibri" w:cs="Calibri"/>
          <w:b/>
          <w:bCs/>
          <w:color w:val="000000"/>
          <w:sz w:val="22"/>
          <w:szCs w:val="22"/>
        </w:rPr>
        <w:t>isolates from severe and uncomplicated malaria patients in northern Uganda</w:t>
      </w:r>
    </w:p>
    <w:p w14:paraId="39ED927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Artemisinin partial resistance (ART-R) has emerged, with the resistance-associated </w:t>
      </w:r>
      <w:r w:rsidRPr="00AF28B8">
        <w:rPr>
          <w:rFonts w:ascii="Calibri" w:hAnsi="Calibri" w:cs="Calibri"/>
          <w:i/>
          <w:iCs/>
          <w:color w:val="000000"/>
          <w:sz w:val="22"/>
          <w:szCs w:val="22"/>
        </w:rPr>
        <w:t>P. falciparum</w:t>
      </w:r>
      <w:r w:rsidRPr="00AF28B8">
        <w:rPr>
          <w:rFonts w:ascii="Calibri" w:hAnsi="Calibri" w:cs="Calibri"/>
          <w:color w:val="000000"/>
          <w:sz w:val="22"/>
          <w:szCs w:val="22"/>
        </w:rPr>
        <w:t xml:space="preserve"> kelch 13 (PfK13) C469Y and A675V mutations at high prevalence in northern and eastern Uganda. These mutations have been associated with decreased ex vivo susceptibility to dihydroartemisinin (DHA) and lumefantrine, but associations with disease severity are uncertain. We evaluated ex vivo susceptibilities </w:t>
      </w:r>
      <w:r w:rsidRPr="00AF28B8">
        <w:rPr>
          <w:rFonts w:ascii="Calibri" w:hAnsi="Calibri" w:cs="Calibri"/>
          <w:color w:val="000000"/>
          <w:sz w:val="22"/>
          <w:szCs w:val="22"/>
        </w:rPr>
        <w:lastRenderedPageBreak/>
        <w:t>to antimalarial drugs and prevalences of ART-R-associated mutations in 99 </w:t>
      </w:r>
      <w:r w:rsidRPr="00AF28B8">
        <w:rPr>
          <w:rFonts w:ascii="Calibri" w:hAnsi="Calibri" w:cs="Calibri"/>
          <w:i/>
          <w:iCs/>
          <w:color w:val="000000"/>
          <w:sz w:val="22"/>
          <w:szCs w:val="22"/>
        </w:rPr>
        <w:t>P. falciparum</w:t>
      </w:r>
      <w:r w:rsidRPr="00AF28B8">
        <w:rPr>
          <w:rFonts w:ascii="Calibri" w:hAnsi="Calibri" w:cs="Calibri"/>
          <w:color w:val="000000"/>
          <w:sz w:val="22"/>
          <w:szCs w:val="22"/>
        </w:rPr>
        <w:t> isolates from patients presenting with uncomplicated malaria at Patongo Health Centre and Dr. Ambrosoli Memorial Hospital (AMH), Kalongo, both in Agago District, northern Uganda, and 69 isolates from children with severe malaria (diagnosed by WHO criteria) at AMH from February-September, 2024. Susceptibility to 9 antimalarials was determined using a 72 h growth inhibition assay (IC</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with SYBR Green detection, and the ex vivo ring-stage survival assay (RSA; % survival, relative to controls, 66 h after a 6 h 700 nM pulse of DHA). Sequencing of </w:t>
      </w:r>
      <w:r w:rsidRPr="00AF28B8">
        <w:rPr>
          <w:rFonts w:ascii="Calibri" w:hAnsi="Calibri" w:cs="Calibri"/>
          <w:i/>
          <w:iCs/>
          <w:color w:val="000000"/>
          <w:sz w:val="22"/>
          <w:szCs w:val="22"/>
        </w:rPr>
        <w:t>Pfk13</w:t>
      </w:r>
      <w:r w:rsidRPr="00AF28B8">
        <w:rPr>
          <w:rFonts w:ascii="Calibri" w:hAnsi="Calibri" w:cs="Calibri"/>
          <w:color w:val="000000"/>
          <w:sz w:val="22"/>
          <w:szCs w:val="22"/>
        </w:rPr>
        <w:t> utilized molecular inversion probe technology. Susceptibility to all 9 drugs was similar for isolates collected from severe and uncomplicated malaria patients by IC</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(median: DHA 3.9 nM vs 3.6 nM, lumefantrine 13.8 vs 16.8, piperaquine 3.8 vs 4.7, pyronaridine 0.6 vs 0.8, mefloquine 13.5 vs 15.9, monodesethylamodiaquine 6.1 vs 7.3, chloroquine 14.3 vs 11.3, quinine 78.9 vs 92.2, and pyrimethamine 26,369 vs 26,548) and DHA RSA (median survival 2.4% vs 2.4%). The prevalence of the PfK13 C469Y and A675V mutations was greater among isolates from severe compared to uncomplicated malaria patients (42.9% vs 27.7%, p = 0.036). In summary, </w:t>
      </w:r>
      <w:r w:rsidRPr="00AF28B8">
        <w:rPr>
          <w:rFonts w:ascii="Calibri" w:hAnsi="Calibri" w:cs="Calibri"/>
          <w:i/>
          <w:iCs/>
          <w:color w:val="000000"/>
          <w:sz w:val="22"/>
          <w:szCs w:val="22"/>
        </w:rPr>
        <w:t>P. falciparum</w:t>
      </w:r>
      <w:r w:rsidRPr="00AF28B8">
        <w:rPr>
          <w:rFonts w:ascii="Calibri" w:hAnsi="Calibri" w:cs="Calibri"/>
          <w:color w:val="000000"/>
          <w:sz w:val="22"/>
          <w:szCs w:val="22"/>
        </w:rPr>
        <w:t> susceptibility to standard antimalarials did not differ between patients with uncomplicated or severe malaria, but ART-R-mediating PfK13 mutations were more prevalent in severe malaria isolates. These results might be explained by enhanced virulence of mutant parasites or an increased likelihood of recent treatment, selecting for PfK13 mutations, in those presenting with severe compared to uncomplicated malaria.</w:t>
      </w:r>
    </w:p>
    <w:p w14:paraId="6A19139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25-A-2542-ASTMH</w:t>
      </w:r>
    </w:p>
    <w:p w14:paraId="5F111CF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2E91D1E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Genomic characterization of </w:t>
      </w:r>
      <w:r w:rsidRPr="00AF28B8">
        <w:rPr>
          <w:rFonts w:ascii="Calibri" w:hAnsi="Calibri" w:cs="Calibri"/>
          <w:b/>
          <w:bCs/>
          <w:i/>
          <w:iCs/>
          <w:color w:val="000000"/>
          <w:sz w:val="22"/>
          <w:szCs w:val="22"/>
        </w:rPr>
        <w:t>Enteropathogenic Escherichia Coli</w:t>
      </w:r>
      <w:r w:rsidRPr="00AF28B8">
        <w:rPr>
          <w:rFonts w:ascii="Calibri" w:hAnsi="Calibri" w:cs="Calibri"/>
          <w:b/>
          <w:bCs/>
          <w:color w:val="000000"/>
          <w:sz w:val="22"/>
          <w:szCs w:val="22"/>
        </w:rPr>
        <w:t> (EPEC) strains from the Egyptian fruit bat, </w:t>
      </w:r>
      <w:r w:rsidRPr="00AF28B8">
        <w:rPr>
          <w:rFonts w:ascii="Calibri" w:hAnsi="Calibri" w:cs="Calibri"/>
          <w:b/>
          <w:bCs/>
          <w:i/>
          <w:iCs/>
          <w:color w:val="000000"/>
          <w:sz w:val="22"/>
          <w:szCs w:val="22"/>
        </w:rPr>
        <w:t>Rousettus aegyptiacus</w:t>
      </w:r>
      <w:r w:rsidRPr="00AF28B8">
        <w:rPr>
          <w:rFonts w:ascii="Calibri" w:hAnsi="Calibri" w:cs="Calibri"/>
          <w:b/>
          <w:bCs/>
          <w:color w:val="000000"/>
          <w:sz w:val="22"/>
          <w:szCs w:val="22"/>
        </w:rPr>
        <w:t>, from coastal Kenya</w:t>
      </w:r>
    </w:p>
    <w:p w14:paraId="2B2F5DE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Enteropathogenic </w:t>
      </w:r>
      <w:r w:rsidRPr="00AF28B8">
        <w:rPr>
          <w:rFonts w:ascii="Calibri" w:hAnsi="Calibri" w:cs="Calibri"/>
          <w:i/>
          <w:iCs/>
          <w:color w:val="000000"/>
          <w:sz w:val="22"/>
          <w:szCs w:val="22"/>
        </w:rPr>
        <w:t>Escherichia coli</w:t>
      </w:r>
      <w:r w:rsidRPr="00AF28B8">
        <w:rPr>
          <w:rFonts w:ascii="Calibri" w:hAnsi="Calibri" w:cs="Calibri"/>
          <w:color w:val="000000"/>
          <w:sz w:val="22"/>
          <w:szCs w:val="22"/>
        </w:rPr>
        <w:t> (EPEC) strains are significant contributors to acute diarrhea. While typical EPEC strains are human-specific, atypical strains, considered as emerging pathogens, have broader reservoirs. We investigated the zoonotic potential of EPEC strains isolated from bats, to understand their potential role in public health. Forty-six bats were captured in Kikambala, Kilifi County. Oral and rectal swabs were obtained, transported in AMIES media and cultured on 5% Sheep Blood Agar and MacConkey Agar. Pure isolates were identified on MacConkey Agar. DNA was extracted using the Zymo Quick-DNA Fungal/Bacterial Miniprep Kit (Orange, California). Libraries were prepared using Illumina DNA Prep (M) Tagmentation Kit (San Diego, California), and sequenced on the NextSeq 1000 platform. Bioinformatics analysis included taxonomy via Kraken2, sequence typing using MLST, serotyping with ABRicate, and comparative genomic analysis using MUMmer and Galaxy tools.</w:t>
      </w:r>
      <w:r w:rsidRPr="00AF28B8">
        <w:rPr>
          <w:rFonts w:ascii="Calibri" w:hAnsi="Calibri" w:cs="Calibri"/>
          <w:b/>
          <w:bCs/>
          <w:color w:val="000000"/>
          <w:sz w:val="22"/>
          <w:szCs w:val="22"/>
        </w:rPr>
        <w:t> </w:t>
      </w:r>
      <w:r w:rsidRPr="00AF28B8">
        <w:rPr>
          <w:rFonts w:ascii="Calibri" w:hAnsi="Calibri" w:cs="Calibri"/>
          <w:color w:val="000000"/>
          <w:sz w:val="22"/>
          <w:szCs w:val="22"/>
        </w:rPr>
        <w:t>Three isolates were classified as EPEC, out of 18 </w:t>
      </w:r>
      <w:r w:rsidRPr="00AF28B8">
        <w:rPr>
          <w:rFonts w:ascii="Calibri" w:hAnsi="Calibri" w:cs="Calibri"/>
          <w:i/>
          <w:iCs/>
          <w:color w:val="000000"/>
          <w:sz w:val="22"/>
          <w:szCs w:val="22"/>
        </w:rPr>
        <w:t>E. coli</w:t>
      </w:r>
      <w:r w:rsidRPr="00AF28B8">
        <w:rPr>
          <w:rFonts w:ascii="Calibri" w:hAnsi="Calibri" w:cs="Calibri"/>
          <w:color w:val="000000"/>
          <w:sz w:val="22"/>
          <w:szCs w:val="22"/>
        </w:rPr>
        <w:t> isolates belonging to 14 serotypes, and 3 pathoytypes. Analyses revealed that bat-derived EPEC strains had the </w:t>
      </w:r>
      <w:r w:rsidRPr="00AF28B8">
        <w:rPr>
          <w:rFonts w:ascii="Calibri" w:hAnsi="Calibri" w:cs="Calibri"/>
          <w:i/>
          <w:iCs/>
          <w:color w:val="000000"/>
          <w:sz w:val="22"/>
          <w:szCs w:val="22"/>
        </w:rPr>
        <w:t>eae, </w:t>
      </w:r>
      <w:r w:rsidRPr="00AF28B8">
        <w:rPr>
          <w:rFonts w:ascii="Calibri" w:hAnsi="Calibri" w:cs="Calibri"/>
          <w:color w:val="000000"/>
          <w:sz w:val="22"/>
          <w:szCs w:val="22"/>
        </w:rPr>
        <w:t>Intimin gene, in addition to other genes located within the locus of enterocyte effacement (LEE). Accessory genome analysis identified plasmid-encoded toxins, such as </w:t>
      </w:r>
      <w:r w:rsidRPr="00AF28B8">
        <w:rPr>
          <w:rFonts w:ascii="Calibri" w:hAnsi="Calibri" w:cs="Calibri"/>
          <w:i/>
          <w:iCs/>
          <w:color w:val="000000"/>
          <w:sz w:val="22"/>
          <w:szCs w:val="22"/>
        </w:rPr>
        <w:t>astA</w:t>
      </w:r>
      <w:r w:rsidRPr="00AF28B8">
        <w:rPr>
          <w:rFonts w:ascii="Calibri" w:hAnsi="Calibri" w:cs="Calibri"/>
          <w:color w:val="000000"/>
          <w:sz w:val="22"/>
          <w:szCs w:val="22"/>
        </w:rPr>
        <w:t>, which also contribute to diarrhea. Phylogenetic analysis showed the bat-derived EPEC strains were related to human-pathogenic EPEC, indicating zoonotic potential.</w:t>
      </w:r>
      <w:r w:rsidRPr="00AF28B8">
        <w:rPr>
          <w:rFonts w:ascii="Calibri" w:hAnsi="Calibri" w:cs="Calibri"/>
          <w:b/>
          <w:bCs/>
          <w:color w:val="000000"/>
          <w:sz w:val="22"/>
          <w:szCs w:val="22"/>
        </w:rPr>
        <w:t> </w:t>
      </w:r>
      <w:r w:rsidRPr="00AF28B8">
        <w:rPr>
          <w:rFonts w:ascii="Calibri" w:hAnsi="Calibri" w:cs="Calibri"/>
          <w:color w:val="000000"/>
          <w:sz w:val="22"/>
          <w:szCs w:val="22"/>
        </w:rPr>
        <w:t>The ability of EPEC strains to cause diarrhea through attaching-effacing lesions, and plasmid-mediated adherence mechanisms remains clinically significant. This distinguishes them from other </w:t>
      </w:r>
      <w:r w:rsidRPr="00AF28B8">
        <w:rPr>
          <w:rFonts w:ascii="Calibri" w:hAnsi="Calibri" w:cs="Calibri"/>
          <w:i/>
          <w:iCs/>
          <w:color w:val="000000"/>
          <w:sz w:val="22"/>
          <w:szCs w:val="22"/>
        </w:rPr>
        <w:t>E. coli</w:t>
      </w:r>
      <w:r w:rsidRPr="00AF28B8">
        <w:rPr>
          <w:rFonts w:ascii="Calibri" w:hAnsi="Calibri" w:cs="Calibri"/>
          <w:color w:val="000000"/>
          <w:sz w:val="22"/>
          <w:szCs w:val="22"/>
        </w:rPr>
        <w:t> pathotypes. This study highlights the potential of bats as carriers of diarrhea-causing bacteria, underscoring the importance of bat surveillance for emerging zoonotic threats.</w:t>
      </w:r>
    </w:p>
    <w:p w14:paraId="5331EA2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25-A-2543-ASTMH</w:t>
      </w:r>
    </w:p>
    <w:p w14:paraId="3CF039A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66E0759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Tfh cell and atypical B-cell subsets in individuals with persistent antibody response to </w:t>
      </w:r>
      <w:r w:rsidRPr="00AF28B8">
        <w:rPr>
          <w:rFonts w:ascii="Calibri" w:hAnsi="Calibri" w:cs="Calibri"/>
          <w:b/>
          <w:bCs/>
          <w:i/>
          <w:iCs/>
          <w:color w:val="000000"/>
          <w:sz w:val="22"/>
          <w:szCs w:val="22"/>
        </w:rPr>
        <w:t>Plasmodium vivax</w:t>
      </w:r>
      <w:r w:rsidRPr="00AF28B8">
        <w:rPr>
          <w:rFonts w:ascii="Calibri" w:hAnsi="Calibri" w:cs="Calibri"/>
          <w:b/>
          <w:bCs/>
          <w:color w:val="000000"/>
          <w:sz w:val="22"/>
          <w:szCs w:val="22"/>
        </w:rPr>
        <w:t> Duffy binding protein II</w:t>
      </w:r>
    </w:p>
    <w:p w14:paraId="4C0BE4F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Duffy Binding Protein region II (DBPII) is a leading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blood-stage vaccine candidate. However, variations in its B-cell epitopes contribute to strain-specific immunity. The engineered vaccine DEKnull-2 has successfully elicited broadly inhibitory IgG antibodies that block </w:t>
      </w:r>
      <w:r w:rsidRPr="00AF28B8">
        <w:rPr>
          <w:rFonts w:ascii="Calibri" w:hAnsi="Calibri" w:cs="Calibri"/>
          <w:i/>
          <w:iCs/>
          <w:color w:val="000000"/>
          <w:sz w:val="22"/>
          <w:szCs w:val="22"/>
        </w:rPr>
        <w:t>P. vivax</w:t>
      </w:r>
      <w:r w:rsidRPr="00AF28B8">
        <w:rPr>
          <w:rFonts w:ascii="Calibri" w:hAnsi="Calibri" w:cs="Calibri"/>
          <w:color w:val="000000"/>
          <w:sz w:val="22"/>
          <w:szCs w:val="22"/>
        </w:rPr>
        <w:t xml:space="preserve"> reticulocyte invasion. Take advantage of a 15-Years follow-up study in the Brazilian Amazon, we identified individuals </w:t>
      </w:r>
      <w:r w:rsidRPr="00AF28B8">
        <w:rPr>
          <w:rFonts w:ascii="Calibri" w:hAnsi="Calibri" w:cs="Calibri"/>
          <w:color w:val="000000"/>
          <w:sz w:val="22"/>
          <w:szCs w:val="22"/>
        </w:rPr>
        <w:lastRenderedPageBreak/>
        <w:t>with long-lasting strain-transcending DBPII antibody response, termed elite-responder (ER). We hypothesize that the interaction between follicular T helper cells (Tfh) and B-cells is more efficient in ER that drives to stable strain-transcending DBPII antibody response. This study characterized phenotypically Tfh cells and B cell subsets in ER to identify which cells are associated with immune response found in ER and, optimizing DEKnull-2 as vaccine target. For that, PBMC samples were isolated from Elite Responder as well as from individuals with negative IgG response (NR, Non-Responder) over 15-Year follow-up study. These PBMC were stimulated with DBPII and DEKnull-2 for 6 days at 37°C in 5% CO₂. Following stimulation, live cells were stained with a panel of antibodies to identify Tfh cells and B cell subsets using flow cytometry. There was no significant difference in frequencies of total Tfh cells, and classical memory B-cell between ER and NR groups. However, Th2-like Tfh cell subsets and Tbet+ atypical B cells were increased in ER for both DBPII and DEKnull-2. In summary, these results highlight the importance of these subset cells associated with individuals with a stable, strain-transcending DBPII antibody response, providing insights for vaccine design. Furthermore, the findings reinforce the potential of DEKnull-2 as a component of a multi-stage, multivalent vaccine against </w:t>
      </w:r>
      <w:r w:rsidRPr="00AF28B8">
        <w:rPr>
          <w:rFonts w:ascii="Calibri" w:hAnsi="Calibri" w:cs="Calibri"/>
          <w:i/>
          <w:iCs/>
          <w:color w:val="000000"/>
          <w:sz w:val="22"/>
          <w:szCs w:val="22"/>
        </w:rPr>
        <w:t>P. vivax</w:t>
      </w:r>
      <w:r w:rsidRPr="00AF28B8">
        <w:rPr>
          <w:rFonts w:ascii="Calibri" w:hAnsi="Calibri" w:cs="Calibri"/>
          <w:color w:val="000000"/>
          <w:sz w:val="22"/>
          <w:szCs w:val="22"/>
        </w:rPr>
        <w:t> malaria.</w:t>
      </w:r>
    </w:p>
    <w:p w14:paraId="7F5CB48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25-A-2544-ASTMH</w:t>
      </w:r>
    </w:p>
    <w:p w14:paraId="228640C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136F48C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Silent Spillover? Seroepidemiology of Mojiang-Like Henipavirus in Bangladesh</w:t>
      </w:r>
    </w:p>
    <w:p w14:paraId="2F483FF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Nipah virus (NiV) has caused fatal encephalitis outbreaks in Bangladesh since 2001. Recently, we detected a Langya-like virus in shrews, underscoring the need for henipavirus surveillance. However, spillovers of novel henipaviruses remain poorly understood. We conducted serology-based biosurveillance to assess if other henipavirus strains have spilled over to humans. Serum samples from 1,320 individuals were tested using a multiplex microsphere immunoassay for IgG reactivity against the soluble envelope glycoprotein (GP) ectodomain trimers of henipaviruses. Antigen-antibody complexes were detected using Luminex Bio-Plex technology, with IgG levels expressed as median fluorescence intensity (MFI). We used a linear mixed-effects model to explore risk factors for higher MFI values, selecting variables based on Mojiang virus epidemiology: sex, occupation, district, age, and self-reported rodent exposure. Age and occupation were significantly associated with increased MFI. On average, each additional year of age correlated with a modest increase in Mojiang reactivity, potentially reflecting long-term immunity. Participants in agricultural occupations showed higher Mojiang reactivity than other groups, likely due to greater exposure to rodents or their excreta. Self-reported rodent exposure may be unreliable, as rodents are common and indirect exposure often goes unnoticed. Our findings suggest substantial Mojiang-like henipavirus exposure in the population, with age and agricultural work as key risk factors. This study highlights the need for targeted viral surveillance and refined behavioral risk assessments for henipavirus exposure in Bangladesh.</w:t>
      </w:r>
    </w:p>
    <w:p w14:paraId="01CA53E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25-A-2545-ASTMH</w:t>
      </w:r>
    </w:p>
    <w:p w14:paraId="4A026E3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5A4BC40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Nationwide Surveillance of Molecular Markers of Antimalarial Resistance in Ghana</w:t>
      </w:r>
    </w:p>
    <w:p w14:paraId="27ACDF7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Antimalarial resistance is a key challenge to malaria control and elimination efforts. In Ghana, artemisinin-based combination therapy (ACT) remains the first-line treatment for uncomplicated malaria. Perennial and seasonal malaria chemoprevention (PMC and SMC) are key strategies in malaria control efforts. However, the emergence of artemisinin partial resistance and mutations associated with sulfadoxine-pyrimethamine (SP) and amodiaquine (AQ) resistance across Africa, threatens these drug-based strategies. This study aims to map the distribution of antimalarial resistance markers to inform sub-national tailoring of malaria drug treatment and chemoprevention strategies. We collected 1,100 dried blood spots in 2024 from symptomatic malaria patients across 24 national sentinel sites in 14 regions of Ghana (74 was the median number of samples per region). Parasite positivity was confirmed using a sensitive cytb-based qPCR assay. Genetic polymorphisms associated with resistance to antimalarial drugs in the </w:t>
      </w:r>
      <w:r w:rsidRPr="00AF28B8">
        <w:rPr>
          <w:rFonts w:ascii="Calibri" w:hAnsi="Calibri" w:cs="Calibri"/>
          <w:i/>
          <w:iCs/>
          <w:color w:val="000000"/>
          <w:sz w:val="22"/>
          <w:szCs w:val="22"/>
        </w:rPr>
        <w:t>Pfdhfr</w:t>
      </w:r>
      <w:r w:rsidRPr="00AF28B8">
        <w:rPr>
          <w:rFonts w:ascii="Calibri" w:hAnsi="Calibri" w:cs="Calibri"/>
          <w:color w:val="000000"/>
          <w:sz w:val="22"/>
          <w:szCs w:val="22"/>
        </w:rPr>
        <w:t>, </w:t>
      </w:r>
      <w:r w:rsidRPr="00AF28B8">
        <w:rPr>
          <w:rFonts w:ascii="Calibri" w:hAnsi="Calibri" w:cs="Calibri"/>
          <w:i/>
          <w:iCs/>
          <w:color w:val="000000"/>
          <w:sz w:val="22"/>
          <w:szCs w:val="22"/>
        </w:rPr>
        <w:t>Pfdhps, Pfcrt</w:t>
      </w:r>
      <w:r w:rsidRPr="00AF28B8">
        <w:rPr>
          <w:rFonts w:ascii="Calibri" w:hAnsi="Calibri" w:cs="Calibri"/>
          <w:color w:val="000000"/>
          <w:sz w:val="22"/>
          <w:szCs w:val="22"/>
        </w:rPr>
        <w:t>, </w:t>
      </w:r>
      <w:r w:rsidRPr="00AF28B8">
        <w:rPr>
          <w:rFonts w:ascii="Calibri" w:hAnsi="Calibri" w:cs="Calibri"/>
          <w:i/>
          <w:iCs/>
          <w:color w:val="000000"/>
          <w:sz w:val="22"/>
          <w:szCs w:val="22"/>
        </w:rPr>
        <w:t>Pfmdr1</w:t>
      </w:r>
      <w:r w:rsidRPr="00AF28B8">
        <w:rPr>
          <w:rFonts w:ascii="Calibri" w:hAnsi="Calibri" w:cs="Calibri"/>
          <w:color w:val="000000"/>
          <w:sz w:val="22"/>
          <w:szCs w:val="22"/>
        </w:rPr>
        <w:t>, </w:t>
      </w:r>
      <w:r w:rsidRPr="00AF28B8">
        <w:rPr>
          <w:rFonts w:ascii="Calibri" w:hAnsi="Calibri" w:cs="Calibri"/>
          <w:i/>
          <w:iCs/>
          <w:color w:val="000000"/>
          <w:sz w:val="22"/>
          <w:szCs w:val="22"/>
        </w:rPr>
        <w:t>Pfkelch13</w:t>
      </w:r>
      <w:r w:rsidRPr="00AF28B8">
        <w:rPr>
          <w:rFonts w:ascii="Calibri" w:hAnsi="Calibri" w:cs="Calibri"/>
          <w:color w:val="000000"/>
          <w:sz w:val="22"/>
          <w:szCs w:val="22"/>
        </w:rPr>
        <w:t>, </w:t>
      </w:r>
      <w:r w:rsidRPr="00AF28B8">
        <w:rPr>
          <w:rFonts w:ascii="Calibri" w:hAnsi="Calibri" w:cs="Calibri"/>
          <w:i/>
          <w:iCs/>
          <w:color w:val="000000"/>
          <w:sz w:val="22"/>
          <w:szCs w:val="22"/>
        </w:rPr>
        <w:t>Pfcoronin</w:t>
      </w:r>
      <w:r w:rsidRPr="00AF28B8">
        <w:rPr>
          <w:rFonts w:ascii="Calibri" w:hAnsi="Calibri" w:cs="Calibri"/>
          <w:color w:val="000000"/>
          <w:sz w:val="22"/>
          <w:szCs w:val="22"/>
        </w:rPr>
        <w:t> and </w:t>
      </w:r>
      <w:r w:rsidRPr="00AF28B8">
        <w:rPr>
          <w:rFonts w:ascii="Calibri" w:hAnsi="Calibri" w:cs="Calibri"/>
          <w:i/>
          <w:iCs/>
          <w:color w:val="000000"/>
          <w:sz w:val="22"/>
          <w:szCs w:val="22"/>
        </w:rPr>
        <w:t>Pfubp1 </w:t>
      </w:r>
      <w:r w:rsidRPr="00AF28B8">
        <w:rPr>
          <w:rFonts w:ascii="Calibri" w:hAnsi="Calibri" w:cs="Calibri"/>
          <w:color w:val="000000"/>
          <w:sz w:val="22"/>
          <w:szCs w:val="22"/>
        </w:rPr>
        <w:t xml:space="preserve">genes were </w:t>
      </w:r>
      <w:r w:rsidRPr="00AF28B8">
        <w:rPr>
          <w:rFonts w:ascii="Calibri" w:hAnsi="Calibri" w:cs="Calibri"/>
          <w:color w:val="000000"/>
          <w:sz w:val="22"/>
          <w:szCs w:val="22"/>
        </w:rPr>
        <w:lastRenderedPageBreak/>
        <w:t>genotyped using a high-throughput Illumina sequencing platform. The </w:t>
      </w:r>
      <w:r w:rsidRPr="00AF28B8">
        <w:rPr>
          <w:rFonts w:ascii="Calibri" w:hAnsi="Calibri" w:cs="Calibri"/>
          <w:i/>
          <w:iCs/>
          <w:color w:val="000000"/>
          <w:sz w:val="22"/>
          <w:szCs w:val="22"/>
        </w:rPr>
        <w:t>Pfdhfr</w:t>
      </w:r>
      <w:r w:rsidRPr="00AF28B8">
        <w:rPr>
          <w:rFonts w:ascii="Calibri" w:hAnsi="Calibri" w:cs="Calibri"/>
          <w:color w:val="000000"/>
          <w:sz w:val="22"/>
          <w:szCs w:val="22"/>
        </w:rPr>
        <w:t> triple mutation (N51I/C59R/S108N) was highly prevalent across all regions (&gt;91.5%). The </w:t>
      </w:r>
      <w:r w:rsidRPr="00AF28B8">
        <w:rPr>
          <w:rFonts w:ascii="Calibri" w:hAnsi="Calibri" w:cs="Calibri"/>
          <w:i/>
          <w:iCs/>
          <w:color w:val="000000"/>
          <w:sz w:val="22"/>
          <w:szCs w:val="22"/>
        </w:rPr>
        <w:t>Pfdhps</w:t>
      </w:r>
      <w:r w:rsidRPr="00AF28B8">
        <w:rPr>
          <w:rFonts w:ascii="Calibri" w:hAnsi="Calibri" w:cs="Calibri"/>
          <w:color w:val="000000"/>
          <w:sz w:val="22"/>
          <w:szCs w:val="22"/>
        </w:rPr>
        <w:t> </w:t>
      </w:r>
      <w:r w:rsidRPr="00AF28B8">
        <w:rPr>
          <w:rFonts w:ascii="Calibri" w:hAnsi="Calibri" w:cs="Calibri"/>
          <w:b/>
          <w:bCs/>
          <w:color w:val="000000"/>
          <w:sz w:val="22"/>
          <w:szCs w:val="22"/>
        </w:rPr>
        <w:t>VAG</w:t>
      </w:r>
      <w:r w:rsidRPr="00AF28B8">
        <w:rPr>
          <w:rFonts w:ascii="Calibri" w:hAnsi="Calibri" w:cs="Calibri"/>
          <w:color w:val="000000"/>
          <w:sz w:val="22"/>
          <w:szCs w:val="22"/>
        </w:rPr>
        <w:t>K</w:t>
      </w:r>
      <w:r w:rsidRPr="00AF28B8">
        <w:rPr>
          <w:rFonts w:ascii="Calibri" w:hAnsi="Calibri" w:cs="Calibri"/>
          <w:b/>
          <w:bCs/>
          <w:color w:val="000000"/>
          <w:sz w:val="22"/>
          <w:szCs w:val="22"/>
        </w:rPr>
        <w:t>GS</w:t>
      </w:r>
      <w:r w:rsidRPr="00AF28B8">
        <w:rPr>
          <w:rFonts w:ascii="Calibri" w:hAnsi="Calibri" w:cs="Calibri"/>
          <w:color w:val="000000"/>
          <w:sz w:val="22"/>
          <w:szCs w:val="22"/>
        </w:rPr>
        <w:t> haplotype (431Val-436Ala-437Gly-540Lys-581Gly-613Ser), which has increasingly been observed in West Africa, was found at low prevalence across the country with slightly higher prevalence in the Upper East Region (4%). Low prevalence of </w:t>
      </w:r>
      <w:r w:rsidRPr="00AF28B8">
        <w:rPr>
          <w:rFonts w:ascii="Calibri" w:hAnsi="Calibri" w:cs="Calibri"/>
          <w:i/>
          <w:iCs/>
          <w:color w:val="000000"/>
          <w:sz w:val="22"/>
          <w:szCs w:val="22"/>
        </w:rPr>
        <w:t>Pfdhps540E,</w:t>
      </w:r>
      <w:r w:rsidRPr="00AF28B8">
        <w:rPr>
          <w:rFonts w:ascii="Calibri" w:hAnsi="Calibri" w:cs="Calibri"/>
          <w:color w:val="000000"/>
          <w:sz w:val="22"/>
          <w:szCs w:val="22"/>
        </w:rPr>
        <w:t> </w:t>
      </w:r>
      <w:r w:rsidRPr="00AF28B8">
        <w:rPr>
          <w:rFonts w:ascii="Calibri" w:hAnsi="Calibri" w:cs="Calibri"/>
          <w:i/>
          <w:iCs/>
          <w:color w:val="000000"/>
          <w:sz w:val="22"/>
          <w:szCs w:val="22"/>
        </w:rPr>
        <w:t>pfmdr1</w:t>
      </w:r>
      <w:r w:rsidRPr="00AF28B8">
        <w:rPr>
          <w:rFonts w:ascii="Calibri" w:hAnsi="Calibri" w:cs="Calibri"/>
          <w:color w:val="000000"/>
          <w:sz w:val="22"/>
          <w:szCs w:val="22"/>
        </w:rPr>
        <w:t>86Y, </w:t>
      </w:r>
      <w:r w:rsidRPr="00AF28B8">
        <w:rPr>
          <w:rFonts w:ascii="Calibri" w:hAnsi="Calibri" w:cs="Calibri"/>
          <w:i/>
          <w:iCs/>
          <w:color w:val="000000"/>
          <w:sz w:val="22"/>
          <w:szCs w:val="22"/>
        </w:rPr>
        <w:t>Pfmdr1</w:t>
      </w:r>
      <w:r w:rsidRPr="00AF28B8">
        <w:rPr>
          <w:rFonts w:ascii="Calibri" w:hAnsi="Calibri" w:cs="Calibri"/>
          <w:color w:val="000000"/>
          <w:sz w:val="22"/>
          <w:szCs w:val="22"/>
        </w:rPr>
        <w:t>1246Y and </w:t>
      </w:r>
      <w:r w:rsidRPr="00AF28B8">
        <w:rPr>
          <w:rFonts w:ascii="Calibri" w:hAnsi="Calibri" w:cs="Calibri"/>
          <w:i/>
          <w:iCs/>
          <w:color w:val="000000"/>
          <w:sz w:val="22"/>
          <w:szCs w:val="22"/>
        </w:rPr>
        <w:t>pfmdr1</w:t>
      </w:r>
      <w:r w:rsidRPr="00AF28B8">
        <w:rPr>
          <w:rFonts w:ascii="Calibri" w:hAnsi="Calibri" w:cs="Calibri"/>
          <w:color w:val="000000"/>
          <w:sz w:val="22"/>
          <w:szCs w:val="22"/>
        </w:rPr>
        <w:t>-</w:t>
      </w:r>
      <w:r w:rsidRPr="00AF28B8">
        <w:rPr>
          <w:rFonts w:ascii="Calibri" w:hAnsi="Calibri" w:cs="Calibri"/>
          <w:b/>
          <w:bCs/>
          <w:color w:val="000000"/>
          <w:sz w:val="22"/>
          <w:szCs w:val="22"/>
        </w:rPr>
        <w:t>Y</w:t>
      </w:r>
      <w:r w:rsidRPr="00AF28B8">
        <w:rPr>
          <w:rFonts w:ascii="Calibri" w:hAnsi="Calibri" w:cs="Calibri"/>
          <w:color w:val="000000"/>
          <w:sz w:val="22"/>
          <w:szCs w:val="22"/>
        </w:rPr>
        <w:t>YD were observed in some sites. The </w:t>
      </w:r>
      <w:r w:rsidRPr="00AF28B8">
        <w:rPr>
          <w:rFonts w:ascii="Calibri" w:hAnsi="Calibri" w:cs="Calibri"/>
          <w:i/>
          <w:iCs/>
          <w:color w:val="000000"/>
          <w:sz w:val="22"/>
          <w:szCs w:val="22"/>
        </w:rPr>
        <w:t>Pfmdr1</w:t>
      </w:r>
      <w:r w:rsidRPr="00AF28B8">
        <w:rPr>
          <w:rFonts w:ascii="Calibri" w:hAnsi="Calibri" w:cs="Calibri"/>
          <w:color w:val="000000"/>
          <w:sz w:val="22"/>
          <w:szCs w:val="22"/>
        </w:rPr>
        <w:t> 184Y mutation was found in most regions (35.4%). Several established and novel mutations were also found in </w:t>
      </w:r>
      <w:r w:rsidRPr="00AF28B8">
        <w:rPr>
          <w:rFonts w:ascii="Calibri" w:hAnsi="Calibri" w:cs="Calibri"/>
          <w:i/>
          <w:iCs/>
          <w:color w:val="000000"/>
          <w:sz w:val="22"/>
          <w:szCs w:val="22"/>
        </w:rPr>
        <w:t>Pfdhps</w:t>
      </w:r>
      <w:r w:rsidRPr="00AF28B8">
        <w:rPr>
          <w:rFonts w:ascii="Calibri" w:hAnsi="Calibri" w:cs="Calibri"/>
          <w:color w:val="000000"/>
          <w:sz w:val="22"/>
          <w:szCs w:val="22"/>
        </w:rPr>
        <w:t>, </w:t>
      </w:r>
      <w:r w:rsidRPr="00AF28B8">
        <w:rPr>
          <w:rFonts w:ascii="Calibri" w:hAnsi="Calibri" w:cs="Calibri"/>
          <w:i/>
          <w:iCs/>
          <w:color w:val="000000"/>
          <w:sz w:val="22"/>
          <w:szCs w:val="22"/>
        </w:rPr>
        <w:t>Pfkelch13</w:t>
      </w:r>
      <w:r w:rsidRPr="00AF28B8">
        <w:rPr>
          <w:rFonts w:ascii="Calibri" w:hAnsi="Calibri" w:cs="Calibri"/>
          <w:color w:val="000000"/>
          <w:sz w:val="22"/>
          <w:szCs w:val="22"/>
        </w:rPr>
        <w:t>, </w:t>
      </w:r>
      <w:r w:rsidRPr="00AF28B8">
        <w:rPr>
          <w:rFonts w:ascii="Calibri" w:hAnsi="Calibri" w:cs="Calibri"/>
          <w:i/>
          <w:iCs/>
          <w:color w:val="000000"/>
          <w:sz w:val="22"/>
          <w:szCs w:val="22"/>
        </w:rPr>
        <w:t>Pfcoronin</w:t>
      </w:r>
      <w:r w:rsidRPr="00AF28B8">
        <w:rPr>
          <w:rFonts w:ascii="Calibri" w:hAnsi="Calibri" w:cs="Calibri"/>
          <w:color w:val="000000"/>
          <w:sz w:val="22"/>
          <w:szCs w:val="22"/>
        </w:rPr>
        <w:t> and </w:t>
      </w:r>
      <w:r w:rsidRPr="00AF28B8">
        <w:rPr>
          <w:rFonts w:ascii="Calibri" w:hAnsi="Calibri" w:cs="Calibri"/>
          <w:i/>
          <w:iCs/>
          <w:color w:val="000000"/>
          <w:sz w:val="22"/>
          <w:szCs w:val="22"/>
        </w:rPr>
        <w:t>Pfubp1</w:t>
      </w:r>
      <w:r w:rsidRPr="00AF28B8">
        <w:rPr>
          <w:rFonts w:ascii="Calibri" w:hAnsi="Calibri" w:cs="Calibri"/>
          <w:color w:val="000000"/>
          <w:sz w:val="22"/>
          <w:szCs w:val="22"/>
        </w:rPr>
        <w:t>. Details of these different mutations and their implications for malaria chemoprevention and treatment strategies in Ghana will be presented.</w:t>
      </w:r>
    </w:p>
    <w:p w14:paraId="2E04DF2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25-A-2546-ASTMH</w:t>
      </w:r>
    </w:p>
    <w:p w14:paraId="0BF17A4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49EC44C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Do three additional PMC doses affect uptake of vitamin A supplementation in Cameroon? A novel comparative-interrupted time series analysis</w:t>
      </w:r>
    </w:p>
    <w:p w14:paraId="0817DB2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Vitamin A (Vit A) is crucial for child development, with deficiency linked to increased morbidity and mortality. In Cameroon, four Vit A doses are recommended as part of the Essential Program on Immunization (EPI) but uptake is poor, especially in the second year of life. In July 2023, Cameroon’s national malaria program (NMP) began administering sulfadoxine-pyrimethamine (SP) for perennial malaria chemoprevention (PMC) during the 6-month EPI Vit A visit, potentially incentivizing EPI visits. We report the association between the addition of PMC to Vit A uptake at the 12, 18, and 24 months, EPI contact points. In the intervention site (Soa), children were eligible for up to eight PMC doses co-delivered with four Vit A contacts. In the control site (Mbankomo) children were eligible for up to five PMC doses. We used data from a cohort of 8,342 children recruited in both sites beginning May 2023 and monitored passively through December 2024. Pre-PMC we captured EPI data from children’s immunization cards and post-PMC start we captured EPI data from distribution tally sheets at health facilities. The dates of SP and Vit A distribution from both data sources were combined to estimate the change in uptake of Vit A when PMC started. An interrupted time series model (with generalized additive models) was used to perform a comparative- analysis of monthly Vit A uptake in intervention and control sites. Models were selected to flexibly capture non-linear outcome trends while preserving interpretability of key effects. In the intervention site, Vit A uptake was 10.7% pre-PMC vs. 17% post-PMC, a 59.5% increase. In the control site, the uptake was less from 8% to 12% but also a 60% increase. PMC was associated with a higher odds of Vit A receipt (OR=1.25, p=0.033). This effect was sustained over time with an additional 21% increase in odds (OR=1.21, p=0.042) over the post-intervention period. In the intervention site there was a higher odds of Vit A uptake compared to the control site (OR=1.45, p&lt;0.001). This novel approach with data from Cameroon suggest the addition of three PMC doses may improve vitamin A uptake.</w:t>
      </w:r>
    </w:p>
    <w:p w14:paraId="163FB5A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25-A-2549-ASTMH</w:t>
      </w:r>
    </w:p>
    <w:p w14:paraId="2529520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Systemic Infections</w:t>
      </w:r>
    </w:p>
    <w:p w14:paraId="3D3D193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Burden of Late Onset Sepsis among Low Birth Weight Neonates in South Africa, 2013-2020</w:t>
      </w:r>
    </w:p>
    <w:p w14:paraId="6BFCDC5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Late-onset sepsis (LOS) is a major cause of morbidity and mortality in neonates, often leading to neurological complications. This study aimed to determine the incidence, short-term outcomes, and risk factors associated with LOS.</w:t>
      </w:r>
      <w:r w:rsidRPr="00AF28B8">
        <w:rPr>
          <w:rFonts w:ascii="Calibri" w:hAnsi="Calibri" w:cs="Calibri"/>
          <w:b/>
          <w:bCs/>
          <w:color w:val="000000"/>
          <w:sz w:val="22"/>
          <w:szCs w:val="22"/>
        </w:rPr>
        <w:t> </w:t>
      </w:r>
      <w:r w:rsidRPr="00AF28B8">
        <w:rPr>
          <w:rFonts w:ascii="Calibri" w:hAnsi="Calibri" w:cs="Calibri"/>
          <w:color w:val="000000"/>
          <w:sz w:val="22"/>
          <w:szCs w:val="22"/>
        </w:rPr>
        <w:t>This retrospective study analysed data from the neonatal unit at Charlotte Maxeke Johannesburg Academic Hospital, South Africa, between 2013 and 2020. Descriptive statistics were used, and multivariable logistic regression identified risk factors for LOS.</w:t>
      </w:r>
      <w:r w:rsidRPr="00AF28B8">
        <w:rPr>
          <w:rFonts w:ascii="Calibri" w:hAnsi="Calibri" w:cs="Calibri"/>
          <w:b/>
          <w:bCs/>
          <w:color w:val="000000"/>
          <w:sz w:val="22"/>
          <w:szCs w:val="22"/>
        </w:rPr>
        <w:t> </w:t>
      </w:r>
      <w:r w:rsidRPr="00AF28B8">
        <w:rPr>
          <w:rFonts w:ascii="Calibri" w:hAnsi="Calibri" w:cs="Calibri"/>
          <w:color w:val="000000"/>
          <w:sz w:val="22"/>
          <w:szCs w:val="22"/>
        </w:rPr>
        <w:t xml:space="preserve">Among 7468 neonates, 1454 (19.46%) developed late onset sepsis (LOS), while 310 (4.15%) had early-onset sepsis (EOS). The most common pathogen was coagulase-negative Staphylococcus (CoNS) (36.86%), followed by Extended Spectrum Beta lactamase (ESBL) Klebsiella (13.16%), Actinobacter species (11.44%), and MRSA (10.39%). The incidence of LOS in 2020 was 22%. The median maternal age was 29 years, birth weight 1500 g, and gestational age 31 weeks. LOS was most common (37.35%) in neonates born at 23–27 weeks. </w:t>
      </w:r>
      <w:r w:rsidRPr="00AF28B8">
        <w:rPr>
          <w:rFonts w:ascii="Calibri" w:hAnsi="Calibri" w:cs="Calibri"/>
          <w:color w:val="000000"/>
          <w:sz w:val="22"/>
          <w:szCs w:val="22"/>
        </w:rPr>
        <w:lastRenderedPageBreak/>
        <w:t>Multivariate analysis identified hospital stay ≥11 days (OR = 3.5, p = 0.001), mechanical ventilation ≥10 days (OR = 2.3, p = 0.014), and hyperglycaemia (OR = 2.0, p = 0.005) as risk factors. Higher gestational age (OR = 0.7, p = 0.041) and antenatal steroid use (OR = 0.9, p = 0.019) were protective.</w:t>
      </w:r>
      <w:r w:rsidRPr="00AF28B8">
        <w:rPr>
          <w:rFonts w:ascii="Calibri" w:hAnsi="Calibri" w:cs="Calibri"/>
          <w:b/>
          <w:bCs/>
          <w:color w:val="000000"/>
          <w:sz w:val="22"/>
          <w:szCs w:val="22"/>
        </w:rPr>
        <w:t> </w:t>
      </w:r>
      <w:r w:rsidRPr="00AF28B8">
        <w:rPr>
          <w:rFonts w:ascii="Calibri" w:hAnsi="Calibri" w:cs="Calibri"/>
          <w:color w:val="000000"/>
          <w:sz w:val="22"/>
          <w:szCs w:val="22"/>
        </w:rPr>
        <w:t>Prolonged hospitalization and mechanical ventilation increased LOS risk, while antenatal steroid use and higher gestational age were protective. Targeted interventions are essential to reduce LOS in neonates.</w:t>
      </w:r>
    </w:p>
    <w:p w14:paraId="5E9E10D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25-A-2550-ASTMH</w:t>
      </w:r>
    </w:p>
    <w:p w14:paraId="70F9892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3010B1EF" w14:textId="67256116"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From Lice to Lethality: The Emerging Spread of Bartonella quintana Across Canada</w:t>
      </w:r>
    </w:p>
    <w:p w14:paraId="0B86D9F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epidemiology of louse-borne </w:t>
      </w:r>
      <w:r w:rsidRPr="00AF28B8">
        <w:rPr>
          <w:rFonts w:ascii="Calibri" w:hAnsi="Calibri" w:cs="Calibri"/>
          <w:i/>
          <w:iCs/>
          <w:color w:val="000000"/>
          <w:sz w:val="22"/>
          <w:szCs w:val="22"/>
        </w:rPr>
        <w:t>Bartonella quintana</w:t>
      </w:r>
      <w:r w:rsidRPr="00AF28B8">
        <w:rPr>
          <w:rFonts w:ascii="Calibri" w:hAnsi="Calibri" w:cs="Calibri"/>
          <w:color w:val="000000"/>
          <w:sz w:val="22"/>
          <w:szCs w:val="22"/>
        </w:rPr>
        <w:t> in Canada remains poorly characterized. This study integrates human and vector data to provide a comprehensive overview of </w:t>
      </w:r>
      <w:r w:rsidRPr="00AF28B8">
        <w:rPr>
          <w:rFonts w:ascii="Calibri" w:hAnsi="Calibri" w:cs="Calibri"/>
          <w:i/>
          <w:iCs/>
          <w:color w:val="000000"/>
          <w:sz w:val="22"/>
          <w:szCs w:val="22"/>
        </w:rPr>
        <w:t>B. quintana</w:t>
      </w:r>
      <w:r w:rsidRPr="00AF28B8">
        <w:rPr>
          <w:rFonts w:ascii="Calibri" w:hAnsi="Calibri" w:cs="Calibri"/>
          <w:color w:val="000000"/>
          <w:sz w:val="22"/>
          <w:szCs w:val="22"/>
        </w:rPr>
        <w:t> distribution and transmission in Canada. We combined data from three sources: (1) laboratory testing conducted at the National Microbiology Laboratory (NML), (2) a systematic review of the literature, and (3) a prospective study of body lice. Laboratory analyses included quantitative polymerase chain reaction (qPCR) cycle threshold values, indirect immunofluorescence antibody (IFA) titers, and whole genome sequencing (WGS) using nanopore sequencing with adaptive sampling. For the systematic review, PubMed, Embase, Scopus, and Web of Science were searched using terms related to </w:t>
      </w:r>
      <w:r w:rsidRPr="00AF28B8">
        <w:rPr>
          <w:rFonts w:ascii="Calibri" w:hAnsi="Calibri" w:cs="Calibri"/>
          <w:i/>
          <w:iCs/>
          <w:color w:val="000000"/>
          <w:sz w:val="22"/>
          <w:szCs w:val="22"/>
        </w:rPr>
        <w:t>B. quintana</w:t>
      </w:r>
      <w:r w:rsidRPr="00AF28B8">
        <w:rPr>
          <w:rFonts w:ascii="Calibri" w:hAnsi="Calibri" w:cs="Calibri"/>
          <w:color w:val="000000"/>
          <w:sz w:val="22"/>
          <w:szCs w:val="22"/>
        </w:rPr>
        <w:t> in Canada. A total of 34 individuals with qPCR-confirmed </w:t>
      </w:r>
      <w:r w:rsidRPr="00AF28B8">
        <w:rPr>
          <w:rFonts w:ascii="Calibri" w:hAnsi="Calibri" w:cs="Calibri"/>
          <w:i/>
          <w:iCs/>
          <w:color w:val="000000"/>
          <w:sz w:val="22"/>
          <w:szCs w:val="22"/>
        </w:rPr>
        <w:t>B. quintana</w:t>
      </w:r>
      <w:r w:rsidRPr="00AF28B8">
        <w:rPr>
          <w:rFonts w:ascii="Calibri" w:hAnsi="Calibri" w:cs="Calibri"/>
          <w:color w:val="000000"/>
          <w:sz w:val="22"/>
          <w:szCs w:val="22"/>
        </w:rPr>
        <w:t> infection were identified across seven provinces, one territory and six indigenous communities. There were 26 cases of endocarditis. The number of cases significantly increased over time (p = 0.005), with the highest case counts reported since 2022. The positivity rate for </w:t>
      </w:r>
      <w:r w:rsidRPr="00AF28B8">
        <w:rPr>
          <w:rFonts w:ascii="Calibri" w:hAnsi="Calibri" w:cs="Calibri"/>
          <w:i/>
          <w:iCs/>
          <w:color w:val="000000"/>
          <w:sz w:val="22"/>
          <w:szCs w:val="22"/>
        </w:rPr>
        <w:t>B. quintana</w:t>
      </w:r>
      <w:r w:rsidRPr="00AF28B8">
        <w:rPr>
          <w:rFonts w:ascii="Calibri" w:hAnsi="Calibri" w:cs="Calibri"/>
          <w:color w:val="000000"/>
          <w:sz w:val="22"/>
          <w:szCs w:val="22"/>
        </w:rPr>
        <w:t> qPCR at the NML also showed a significant upward trend (p = 0.036). The systematic review identified an additional 15 qPCR-confirmed cases and 7 probable cases. Of these 21individuals with mortality data, 19% died, all due to endocarditis. A cluster of transplant donor-derived infections occurred between 2021 and 2023, with six transplant recipients developing </w:t>
      </w:r>
      <w:r w:rsidRPr="00AF28B8">
        <w:rPr>
          <w:rFonts w:ascii="Calibri" w:hAnsi="Calibri" w:cs="Calibri"/>
          <w:i/>
          <w:iCs/>
          <w:color w:val="000000"/>
          <w:sz w:val="22"/>
          <w:szCs w:val="22"/>
        </w:rPr>
        <w:t>B. quintana</w:t>
      </w:r>
      <w:r w:rsidRPr="00AF28B8">
        <w:rPr>
          <w:rFonts w:ascii="Calibri" w:hAnsi="Calibri" w:cs="Calibri"/>
          <w:color w:val="000000"/>
          <w:sz w:val="22"/>
          <w:szCs w:val="22"/>
        </w:rPr>
        <w:t> disease. In the vector study, 556 body lice were collected from 7 individuals; 218 lice from one individual tested positive for </w:t>
      </w:r>
      <w:r w:rsidRPr="00AF28B8">
        <w:rPr>
          <w:rFonts w:ascii="Calibri" w:hAnsi="Calibri" w:cs="Calibri"/>
          <w:i/>
          <w:iCs/>
          <w:color w:val="000000"/>
          <w:sz w:val="22"/>
          <w:szCs w:val="22"/>
        </w:rPr>
        <w:t>B. quintana</w:t>
      </w:r>
      <w:r w:rsidRPr="00AF28B8">
        <w:rPr>
          <w:rFonts w:ascii="Calibri" w:hAnsi="Calibri" w:cs="Calibri"/>
          <w:color w:val="000000"/>
          <w:sz w:val="22"/>
          <w:szCs w:val="22"/>
        </w:rPr>
        <w:t>. Preliminary WGS findings will be presented at the conference. The presence of </w:t>
      </w:r>
      <w:r w:rsidRPr="00AF28B8">
        <w:rPr>
          <w:rFonts w:ascii="Calibri" w:hAnsi="Calibri" w:cs="Calibri"/>
          <w:i/>
          <w:iCs/>
          <w:color w:val="000000"/>
          <w:sz w:val="22"/>
          <w:szCs w:val="22"/>
        </w:rPr>
        <w:t>B. quintana</w:t>
      </w:r>
      <w:r w:rsidRPr="00AF28B8">
        <w:rPr>
          <w:rFonts w:ascii="Calibri" w:hAnsi="Calibri" w:cs="Calibri"/>
          <w:color w:val="000000"/>
          <w:sz w:val="22"/>
          <w:szCs w:val="22"/>
        </w:rPr>
        <w:t> in multiple provinces and a territory indicates a broad, national distribution in Canada, with at least 20 distinct urban and rural foci of transmission. The increasing number of diagnoses, emergence of novel transmission routes, and detection in body lice underscore the need for heightened surveillance and public health awareness.</w:t>
      </w:r>
    </w:p>
    <w:p w14:paraId="4F65B9A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25-A-2551-ASTMH</w:t>
      </w:r>
    </w:p>
    <w:p w14:paraId="0C8FB6A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05ED1A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secondary benefits of providing malaria chemoprevention to infants and children</w:t>
      </w:r>
    </w:p>
    <w:p w14:paraId="509CC05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World Health Organization (WHO) recommended malaria chemoprevention strategies reduce the burden of malaria among infants and children in endemic areas, typically with SP or SP combined with another drug. Depending on delivery platform and drug combination, these interventions may offer secondary benefits—either programmatic, by increased uptake of health services, or biological, via impacting measurable health outcomes beyond malaria prevention. This systematic review of published literature summarizes the programmatic and biological secondary benefits providing malaria chemoprevention to infants and children. We searched SCOPUS, MEDLINE, Web of Science core collection, and CINAHL for articles published between 1 January 2000 and 7 February 2025. Criteria for inclusion were interventions meeting WHO recommendations for malaria chemoprevention focused on prevention in malaria-endemic areas with outcomes related to secondary effects. We reviewed records by title, abstract, and full-text, and assessed risk of bias using National Institutes of Health tools based on study design. PROSPERO registration is CRD42023459399. We identified 12,858 records, 9,987 after deduplication and 71 articles met inclusion criteria. Preliminary findings for programmatic effects suggest improved vaccination coverage among children aged 9-23 months when co-administered with PMC and increased Vitamin A distribution among 6-59 month olds when paired with seasonal malaria chemoprevention. Preliminary findings for other secondary benefits suggest improvements in sustained </w:t>
      </w:r>
      <w:r w:rsidRPr="00AF28B8">
        <w:rPr>
          <w:rFonts w:ascii="Calibri" w:hAnsi="Calibri" w:cs="Calibri"/>
          <w:color w:val="000000"/>
          <w:sz w:val="22"/>
          <w:szCs w:val="22"/>
        </w:rPr>
        <w:lastRenderedPageBreak/>
        <w:t>attention among school-aged children (5-18 and 9-12 years), though findings for other cognitive outcomes are less consistent. SP plus amodiaquine (SP+AQ) may reduce immune exhaustion and inflammation among children 12-59 months of age. There is also growing evidence SP may be associated with lower incidence of respiratory tract infections, with mixed findings for diarrheal illnesses. Several studies report greater weight gain with SP or SP+AQ, while evidence for reduced wasting is mixed, and no adverse effects on other measures of child growth have been observed.</w:t>
      </w:r>
    </w:p>
    <w:p w14:paraId="288C967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25-A-2552-ASTMH</w:t>
      </w:r>
    </w:p>
    <w:p w14:paraId="3474291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67585DF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Rapidly containing cholera outbreaks with case area targeted intervention and cholera vaccination: a spatial modelling study</w:t>
      </w:r>
    </w:p>
    <w:p w14:paraId="4419E96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Cholera transmission has increased globally, particularly in countries where it has disappeared for years, while vaccine supply has become severely constrained. Strategies to control small outbreaks before they enlarge are now critical. Case-area targeted interventions (CATI) describe where single-dose vaccination, point-of-use water treatment (POUWT), hygiene promotion, and antibiotic chemoprophylaxis are administered to households encircling the index case who are at high risk of infection. To quantify CATI’s potential impact in reducing outbreak size in the early phase, we developed a spatially explicit metapopulation ‘patch’ model of cholera transmission. We parameterised the model using data from Uvira, South Kivu, Democratic Republic of the Congo and used a force of infection that declined with increasing distance from patches with infections. We simulated CATI in approximate 150m radii around new cases, as they presented to care. We used the model to assess the impact of variation in transmission rate, delays to response, and vaccine availability on containment (i.e., local elimination of cases). We compared these strategies to mass vaccination and POUWT campaigns. Under the base scenario (effective reproduction number of 1.5 and delay to response of 2 days), CATI with single-dose vaccination, antibiotics, and POUWT had 94.8% of simulations resulting in containment in a median time of 34 days (IQR 27—42), compared with mass campaigns (45.8% of simulations contained in 53 median days (IQR 47—56)) while targeting less than 6% of its beneficiaries. CATI without vaccination reduced transmission, but not spatial propagation, and resulted in a lower probability of containment (27.4% of simulations). Our model demonstrates the potential for early control using CATI with vaccination with fewer resources used to achieve containment, as compared to mass campaigns. In an era of a severely-limited global cholera vaccine supply, these results suggest the viability of a localized strategy to rapidly contain or suppress transmission, while preparing for larger-scale mass campaigns.</w:t>
      </w:r>
    </w:p>
    <w:p w14:paraId="311C0D5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25-A-2554-ASTMH</w:t>
      </w:r>
    </w:p>
    <w:p w14:paraId="1C3915F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50D015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Integrated health camps for polio and routine immunization: a model for improving vaccination coverage in Pakistan’s high risk polio-endemic regions</w:t>
      </w:r>
    </w:p>
    <w:p w14:paraId="6EF8770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Introduction: </w:t>
      </w:r>
      <w:r w:rsidRPr="00AF28B8">
        <w:rPr>
          <w:rFonts w:ascii="Calibri" w:hAnsi="Calibri" w:cs="Calibri"/>
          <w:color w:val="000000"/>
          <w:sz w:val="22"/>
          <w:szCs w:val="22"/>
        </w:rPr>
        <w:t>Despite the robust polio eradication efforts, Pakistan remains a polio-endemic nation. To address the persistent poliovirus transmission, the Aga Khan University, Pakistan, in collaboration with the National and Provincial Governments and with financial support from the Gates Foundation, conducted the health camps in high-risk, hard-to-reach areas of Khyber Pakhtunkhwa (KP) and Balochistan. Given persistent poliovirus transmission and security-related disruptions in polio campaigns and low routine vaccination coverage, 23 high-risk districts (06 in KP and 17 in Balochistan) were prioritized. The health camps are meant to deliver basic health services, including routine immunisation to children under five years of age, with a emphasis on priority children (zero dose, missed, defaulters and refusal children) from the polio campaigns. </w:t>
      </w:r>
      <w:r w:rsidRPr="00AF28B8">
        <w:rPr>
          <w:rFonts w:ascii="Calibri" w:hAnsi="Calibri" w:cs="Calibri"/>
          <w:b/>
          <w:bCs/>
          <w:color w:val="000000"/>
          <w:sz w:val="22"/>
          <w:szCs w:val="22"/>
        </w:rPr>
        <w:t>Methods:</w:t>
      </w:r>
      <w:r w:rsidRPr="00AF28B8">
        <w:rPr>
          <w:rFonts w:ascii="Calibri" w:hAnsi="Calibri" w:cs="Calibri"/>
          <w:color w:val="000000"/>
          <w:sz w:val="22"/>
          <w:szCs w:val="22"/>
        </w:rPr>
        <w:t xml:space="preserve"> To address gaps in polio and routine immunization in high-risk areas, 23 priority districts (6 in KP, 17 in Balochistan) were selected across southern KP and Balochistan. Post-campaign health camps were systematically organized in rotation, with locations identified by provincial and district teams. In Balochistan, camps targeted active virus transmission zones, while KP focused on security-compromised areas to vaccinate missed children and </w:t>
      </w:r>
      <w:r w:rsidRPr="00AF28B8">
        <w:rPr>
          <w:rFonts w:ascii="Calibri" w:hAnsi="Calibri" w:cs="Calibri"/>
          <w:color w:val="000000"/>
          <w:sz w:val="22"/>
          <w:szCs w:val="22"/>
        </w:rPr>
        <w:lastRenderedPageBreak/>
        <w:t>rebuild community trust in immunization services. </w:t>
      </w:r>
      <w:r w:rsidRPr="00AF28B8">
        <w:rPr>
          <w:rFonts w:ascii="Calibri" w:hAnsi="Calibri" w:cs="Calibri"/>
          <w:b/>
          <w:bCs/>
          <w:color w:val="000000"/>
          <w:sz w:val="22"/>
          <w:szCs w:val="22"/>
        </w:rPr>
        <w:t>Results:</w:t>
      </w:r>
      <w:r w:rsidRPr="00AF28B8">
        <w:rPr>
          <w:rFonts w:ascii="Calibri" w:hAnsi="Calibri" w:cs="Calibri"/>
          <w:color w:val="000000"/>
          <w:sz w:val="22"/>
          <w:szCs w:val="22"/>
        </w:rPr>
        <w:t> In 2024, a total of 1,427 health camps were conducted across 23 districts on a rotational basis. These camps provided outpatient (OPD) services to 420,280 individuals, including 105,533 children under five and 26,409 pregnant and lactating women (PLW). The camps covered 15,210 priority children under the age of five who received essential vaccinations. Among them, 3,981 were zero-dose children, 3,331 had been missed in previous campaigns, 5,962 were defaulters, 981 persistently missed and 955 refusal children were vaccinated at health camps. </w:t>
      </w:r>
      <w:r w:rsidRPr="00AF28B8">
        <w:rPr>
          <w:rFonts w:ascii="Calibri" w:hAnsi="Calibri" w:cs="Calibri"/>
          <w:b/>
          <w:bCs/>
          <w:color w:val="000000"/>
          <w:sz w:val="22"/>
          <w:szCs w:val="22"/>
        </w:rPr>
        <w:t>Conclusion: </w:t>
      </w:r>
      <w:r w:rsidRPr="00AF28B8">
        <w:rPr>
          <w:rFonts w:ascii="Calibri" w:hAnsi="Calibri" w:cs="Calibri"/>
          <w:color w:val="000000"/>
          <w:sz w:val="22"/>
          <w:szCs w:val="22"/>
        </w:rPr>
        <w:t>The health camp model, as an outreach strategy, is an effective approach for delivering vaccination services to migrant and marginalized populations in the polio high-risk and hard-to-reach areas in the country</w:t>
      </w:r>
    </w:p>
    <w:p w14:paraId="4CFB82B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25-A-2556-ASTMH</w:t>
      </w:r>
    </w:p>
    <w:p w14:paraId="67D2766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10162C8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Vaccination hesitancy and access barriers: a behavioral and social drivers analysis of routine immunization in high-risk polio endemic districts of Pakistan</w:t>
      </w:r>
    </w:p>
    <w:p w14:paraId="3DB73DB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Behavioral and social drivers of vaccination (BeSD) are people’s beliefs, experiences, and circumstances influencing vaccination decisions. BeSD are categorized into four domains: attitudes towards vaccines, social influences, motivation to vaccinate, and practical considerations. This study examines BeSD factors affecting routine immunization in two districts of Khyber Pakhtunkhwa's Newly Merged Districts (KP-NMDs) - a conflict-affected region that continues to report polio cases in Pakistan. </w:t>
      </w:r>
      <w:r w:rsidRPr="00AF28B8">
        <w:rPr>
          <w:rFonts w:ascii="Calibri" w:hAnsi="Calibri" w:cs="Calibri"/>
          <w:b/>
          <w:bCs/>
          <w:color w:val="000000"/>
          <w:sz w:val="22"/>
          <w:szCs w:val="22"/>
        </w:rPr>
        <w:t>Methodology:</w:t>
      </w:r>
      <w:r w:rsidRPr="00AF28B8">
        <w:rPr>
          <w:rFonts w:ascii="Calibri" w:hAnsi="Calibri" w:cs="Calibri"/>
          <w:color w:val="000000"/>
          <w:sz w:val="22"/>
          <w:szCs w:val="22"/>
        </w:rPr>
        <w:t> A cross-sectional survey was conducted in 2024 in two districts - Dera Ismail Khan (DI Khan) and Tank using a two-stage stratified cluster sampling technique. Altogether, 1,268 caregivers across the districts responded to the BeSD vaccination survey for caregivers, designed to assess the drivers of vaccination for children aged 12-23 months. </w:t>
      </w:r>
      <w:r w:rsidRPr="00AF28B8">
        <w:rPr>
          <w:rFonts w:ascii="Calibri" w:hAnsi="Calibri" w:cs="Calibri"/>
          <w:b/>
          <w:bCs/>
          <w:color w:val="000000"/>
          <w:sz w:val="22"/>
          <w:szCs w:val="22"/>
        </w:rPr>
        <w:t>Results:</w:t>
      </w:r>
      <w:r w:rsidRPr="00AF28B8">
        <w:rPr>
          <w:rFonts w:ascii="Calibri" w:hAnsi="Calibri" w:cs="Calibri"/>
          <w:color w:val="000000"/>
          <w:sz w:val="22"/>
          <w:szCs w:val="22"/>
        </w:rPr>
        <w:t> Of the respondents, 77.2% wanted their child to receive all vaccines, with notable differences across the districts: 84.5% in DI Khan, and 65.4% in Tank. Around 73.4% considered vaccines to be very important for their child's health, but opinions varied by district (82.3% DI Khan and 59.2% Tank). Altogether, 88.1% (94.29% DI Khan, 77.0% Tank) reported encouragement from family and friends to vaccinate their child, and 82.9% ( 80.6% DI Khan, 86.7% Tank) knew where to access vaccination services. However, 67.5% reported it was easy to get their child vaccinated (83.8% DI Khan, 41.6% Tank). Affordability varied greatly, with 83.5% in DI Khan finding it very easy compared to 39.3% in Tank. 73% of respondents express their satisfaction with vaccination services varied across the districts (88.3% DI Khan, 48.6% Tank). Non-availability of vaccine and long waiting time at the clinic were reported as the causes of dissatisfaction. </w:t>
      </w:r>
      <w:r w:rsidRPr="00AF28B8">
        <w:rPr>
          <w:rFonts w:ascii="Calibri" w:hAnsi="Calibri" w:cs="Calibri"/>
          <w:b/>
          <w:bCs/>
          <w:color w:val="000000"/>
          <w:sz w:val="22"/>
          <w:szCs w:val="22"/>
        </w:rPr>
        <w:t>Conclusion:</w:t>
      </w:r>
      <w:r w:rsidRPr="00AF28B8">
        <w:rPr>
          <w:rFonts w:ascii="Calibri" w:hAnsi="Calibri" w:cs="Calibri"/>
          <w:color w:val="000000"/>
          <w:sz w:val="22"/>
          <w:szCs w:val="22"/>
        </w:rPr>
        <w:t> Despite caregivers' willingness, access and affordability barriers remain, including vaccine availability and long wait times. Targeted interventions addressing these issues are crucial to improving vaccination coverage.</w:t>
      </w:r>
    </w:p>
    <w:p w14:paraId="39C6727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25-A-2557-ASTMH</w:t>
      </w:r>
    </w:p>
    <w:p w14:paraId="0D2102F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467A794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Weekly probabilistic epidemic bands for dengue monitoring: a statistical modeling tool</w:t>
      </w:r>
    </w:p>
    <w:p w14:paraId="638B1BD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is a vector-borne disease and a major public health concern in Brazil. Its continuing and rising burden has led the Brazilian Ministry of Health to request for modeling tools to support preparedness and response efforts. We propose a Bayesian forecasting model based on historical surveillance data to predict weekly dengue cases 52 weeks ahead for the 118 health districts of Brazil. We build probabilistic epidemics bands defined by the percentiles of the forecast distributions: ≤50%, (50%-75%], (75%-90%], and ≥90%. Each band is interpreted according to the historical number of cases and past occurrence probability: “below median, typical”, “moderately high, fairly typical”, “fairly high, atypical”, and “exceptionally high, very atypical”. We conducted out-of-sample validations for the 2022-2023 and 2023-2024 seasons and forecasted 2024-2025. In the first two seasons, the epidemic bands followed the observed cases’ curve shape, with a sharp increase after January and a decline after the peak around April. In 2022-2023, the observed number of cases (1,436,034) slightly exceeded the 75th percentile </w:t>
      </w:r>
      <w:r w:rsidRPr="00AF28B8">
        <w:rPr>
          <w:rFonts w:ascii="Calibri" w:hAnsi="Calibri" w:cs="Calibri"/>
          <w:color w:val="000000"/>
          <w:sz w:val="22"/>
          <w:szCs w:val="22"/>
        </w:rPr>
        <w:lastRenderedPageBreak/>
        <w:t>(1,405,191), classifying the season as "fairly high, atypical". Most health districts in South Brazil experienced exceptionally high cases counts during this period. The 2023-2024 season was considerably more severe, with over 6.4 million cases observed - far above the 90th percentile - characterizing an "exceptionally high, very atypical” season. For the 2024-2025 season, we forecast a median case count 1,526,523 (maximum value for the "below median, typical" band), with the upper band thresholds reaching 2,213,282 ("moderately high, fairly typical") and 3,803,898 ("fairly high, atypical"). These probabilistic epidemic bands provide a practical tool for real-time dengue monitoring, enabling early outbreak detection. By quantifying the uncertainty in case forecasts, they support proactive decision-making in resource allocation, vector control, and other integrated public health measures to mitigate the impact of dengue. Our model relies solely on historical case data, making it applicable even in data-limited regions.</w:t>
      </w:r>
    </w:p>
    <w:p w14:paraId="6AB8D84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25-A-2558-ASTMH</w:t>
      </w:r>
    </w:p>
    <w:p w14:paraId="504E2AA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Genomics, Proteomics and Metabolomics, Molecular Therapeutic Targets (Including Leishmania and Trypanosomes)</w:t>
      </w:r>
    </w:p>
    <w:p w14:paraId="61C83DF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Diversity of RNA viruses in trypanosomatids</w:t>
      </w:r>
    </w:p>
    <w:p w14:paraId="59FDDDA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About a decade ago, the knowledge about RNA viruses in trypanosomatid flagellates was limited to just two species of </w:t>
      </w:r>
      <w:r w:rsidRPr="00AF28B8">
        <w:rPr>
          <w:rFonts w:ascii="Calibri" w:hAnsi="Calibri" w:cs="Calibri"/>
          <w:i/>
          <w:iCs/>
          <w:color w:val="000000"/>
          <w:sz w:val="22"/>
          <w:szCs w:val="22"/>
        </w:rPr>
        <w:t>Leishmaniavirus </w:t>
      </w:r>
      <w:r w:rsidRPr="00AF28B8">
        <w:rPr>
          <w:rFonts w:ascii="Calibri" w:hAnsi="Calibri" w:cs="Calibri"/>
          <w:color w:val="000000"/>
          <w:sz w:val="22"/>
          <w:szCs w:val="22"/>
        </w:rPr>
        <w:t>(double-stranded (ds)RNA viruses of the family </w:t>
      </w:r>
      <w:r w:rsidRPr="00AF28B8">
        <w:rPr>
          <w:rFonts w:ascii="Calibri" w:hAnsi="Calibri" w:cs="Calibri"/>
          <w:i/>
          <w:iCs/>
          <w:color w:val="000000"/>
          <w:sz w:val="22"/>
          <w:szCs w:val="22"/>
        </w:rPr>
        <w:t>Pseudototiviridae</w:t>
      </w:r>
      <w:r w:rsidRPr="00AF28B8">
        <w:rPr>
          <w:rFonts w:ascii="Calibri" w:hAnsi="Calibri" w:cs="Calibri"/>
          <w:color w:val="000000"/>
          <w:sz w:val="22"/>
          <w:szCs w:val="22"/>
        </w:rPr>
        <w:t>, order </w:t>
      </w:r>
      <w:r w:rsidRPr="00AF28B8">
        <w:rPr>
          <w:rFonts w:ascii="Calibri" w:hAnsi="Calibri" w:cs="Calibri"/>
          <w:i/>
          <w:iCs/>
          <w:color w:val="000000"/>
          <w:sz w:val="22"/>
          <w:szCs w:val="22"/>
        </w:rPr>
        <w:t>Ghabrivirales</w:t>
      </w:r>
      <w:r w:rsidRPr="00AF28B8">
        <w:rPr>
          <w:rFonts w:ascii="Calibri" w:hAnsi="Calibri" w:cs="Calibri"/>
          <w:color w:val="000000"/>
          <w:sz w:val="22"/>
          <w:szCs w:val="22"/>
        </w:rPr>
        <w:t>), namely </w:t>
      </w:r>
      <w:r w:rsidRPr="00AF28B8">
        <w:rPr>
          <w:rFonts w:ascii="Calibri" w:hAnsi="Calibri" w:cs="Calibri"/>
          <w:i/>
          <w:iCs/>
          <w:color w:val="000000"/>
          <w:sz w:val="22"/>
          <w:szCs w:val="22"/>
        </w:rPr>
        <w:t>Leishmania RNA virus 1 </w:t>
      </w:r>
      <w:r w:rsidRPr="00AF28B8">
        <w:rPr>
          <w:rFonts w:ascii="Calibri" w:hAnsi="Calibri" w:cs="Calibri"/>
          <w:color w:val="000000"/>
          <w:sz w:val="22"/>
          <w:szCs w:val="22"/>
        </w:rPr>
        <w:t>(LRV-1, </w:t>
      </w:r>
      <w:r w:rsidRPr="00AF28B8">
        <w:rPr>
          <w:rFonts w:ascii="Calibri" w:hAnsi="Calibri" w:cs="Calibri"/>
          <w:i/>
          <w:iCs/>
          <w:color w:val="000000"/>
          <w:sz w:val="22"/>
          <w:szCs w:val="22"/>
        </w:rPr>
        <w:t>Leishmaniavirus ichi</w:t>
      </w:r>
      <w:r w:rsidRPr="00AF28B8">
        <w:rPr>
          <w:rFonts w:ascii="Calibri" w:hAnsi="Calibri" w:cs="Calibri"/>
          <w:color w:val="000000"/>
          <w:sz w:val="22"/>
          <w:szCs w:val="22"/>
        </w:rPr>
        <w:t>)</w:t>
      </w:r>
      <w:r w:rsidRPr="00AF28B8">
        <w:rPr>
          <w:rFonts w:ascii="Calibri" w:hAnsi="Calibri" w:cs="Calibri"/>
          <w:i/>
          <w:iCs/>
          <w:color w:val="000000"/>
          <w:sz w:val="22"/>
          <w:szCs w:val="22"/>
        </w:rPr>
        <w:t> </w:t>
      </w:r>
      <w:r w:rsidRPr="00AF28B8">
        <w:rPr>
          <w:rFonts w:ascii="Calibri" w:hAnsi="Calibri" w:cs="Calibri"/>
          <w:color w:val="000000"/>
          <w:sz w:val="22"/>
          <w:szCs w:val="22"/>
        </w:rPr>
        <w:t>and </w:t>
      </w:r>
      <w:r w:rsidRPr="00AF28B8">
        <w:rPr>
          <w:rFonts w:ascii="Calibri" w:hAnsi="Calibri" w:cs="Calibri"/>
          <w:i/>
          <w:iCs/>
          <w:color w:val="000000"/>
          <w:sz w:val="22"/>
          <w:szCs w:val="22"/>
        </w:rPr>
        <w:t>Leishmania RNA virus 2 </w:t>
      </w:r>
      <w:r w:rsidRPr="00AF28B8">
        <w:rPr>
          <w:rFonts w:ascii="Calibri" w:hAnsi="Calibri" w:cs="Calibri"/>
          <w:color w:val="000000"/>
          <w:sz w:val="22"/>
          <w:szCs w:val="22"/>
        </w:rPr>
        <w:t>(LRV-2, </w:t>
      </w:r>
      <w:r w:rsidRPr="00AF28B8">
        <w:rPr>
          <w:rFonts w:ascii="Calibri" w:hAnsi="Calibri" w:cs="Calibri"/>
          <w:i/>
          <w:iCs/>
          <w:color w:val="000000"/>
          <w:sz w:val="22"/>
          <w:szCs w:val="22"/>
        </w:rPr>
        <w:t>Leishmaniavirus ni</w:t>
      </w:r>
      <w:r w:rsidRPr="00AF28B8">
        <w:rPr>
          <w:rFonts w:ascii="Calibri" w:hAnsi="Calibri" w:cs="Calibri"/>
          <w:color w:val="000000"/>
          <w:sz w:val="22"/>
          <w:szCs w:val="22"/>
        </w:rPr>
        <w:t>) infecting members of the two </w:t>
      </w:r>
      <w:r w:rsidRPr="00AF28B8">
        <w:rPr>
          <w:rFonts w:ascii="Calibri" w:hAnsi="Calibri" w:cs="Calibri"/>
          <w:i/>
          <w:iCs/>
          <w:color w:val="000000"/>
          <w:sz w:val="22"/>
          <w:szCs w:val="22"/>
        </w:rPr>
        <w:t>Leishmania </w:t>
      </w:r>
      <w:r w:rsidRPr="00AF28B8">
        <w:rPr>
          <w:rFonts w:ascii="Calibri" w:hAnsi="Calibri" w:cs="Calibri"/>
          <w:color w:val="000000"/>
          <w:sz w:val="22"/>
          <w:szCs w:val="22"/>
        </w:rPr>
        <w:t>subgenera - </w:t>
      </w:r>
      <w:r w:rsidRPr="00AF28B8">
        <w:rPr>
          <w:rFonts w:ascii="Calibri" w:hAnsi="Calibri" w:cs="Calibri"/>
          <w:i/>
          <w:iCs/>
          <w:color w:val="000000"/>
          <w:sz w:val="22"/>
          <w:szCs w:val="22"/>
        </w:rPr>
        <w:t>Leishmania</w:t>
      </w:r>
      <w:r w:rsidRPr="00AF28B8">
        <w:rPr>
          <w:rFonts w:ascii="Calibri" w:hAnsi="Calibri" w:cs="Calibri"/>
          <w:color w:val="000000"/>
          <w:sz w:val="22"/>
          <w:szCs w:val="22"/>
        </w:rPr>
        <w:t> and </w:t>
      </w:r>
      <w:r w:rsidRPr="00AF28B8">
        <w:rPr>
          <w:rFonts w:ascii="Calibri" w:hAnsi="Calibri" w:cs="Calibri"/>
          <w:i/>
          <w:iCs/>
          <w:color w:val="000000"/>
          <w:sz w:val="22"/>
          <w:szCs w:val="22"/>
        </w:rPr>
        <w:t>Viannia</w:t>
      </w:r>
      <w:r w:rsidRPr="00AF28B8">
        <w:rPr>
          <w:rFonts w:ascii="Calibri" w:hAnsi="Calibri" w:cs="Calibri"/>
          <w:color w:val="000000"/>
          <w:sz w:val="22"/>
          <w:szCs w:val="22"/>
        </w:rPr>
        <w:t>, respectively. Our studies dramatically increased the number of known viral taxa infecting trypanosomatids. In addition to the new members of </w:t>
      </w:r>
      <w:r w:rsidRPr="00AF28B8">
        <w:rPr>
          <w:rFonts w:ascii="Calibri" w:hAnsi="Calibri" w:cs="Calibri"/>
          <w:i/>
          <w:iCs/>
          <w:color w:val="000000"/>
          <w:sz w:val="22"/>
          <w:szCs w:val="22"/>
        </w:rPr>
        <w:t>Leishmaniavirus</w:t>
      </w:r>
      <w:r w:rsidRPr="00AF28B8">
        <w:rPr>
          <w:rFonts w:ascii="Calibri" w:hAnsi="Calibri" w:cs="Calibri"/>
          <w:color w:val="000000"/>
          <w:sz w:val="22"/>
          <w:szCs w:val="22"/>
        </w:rPr>
        <w:t> infecting both dixenous [</w:t>
      </w:r>
      <w:r w:rsidRPr="00AF28B8">
        <w:rPr>
          <w:rFonts w:ascii="Calibri" w:hAnsi="Calibri" w:cs="Calibri"/>
          <w:i/>
          <w:iCs/>
          <w:color w:val="000000"/>
          <w:sz w:val="22"/>
          <w:szCs w:val="22"/>
        </w:rPr>
        <w:t>L. </w:t>
      </w:r>
      <w:r w:rsidRPr="00AF28B8">
        <w:rPr>
          <w:rFonts w:ascii="Calibri" w:hAnsi="Calibri" w:cs="Calibri"/>
          <w:color w:val="000000"/>
          <w:sz w:val="22"/>
          <w:szCs w:val="22"/>
        </w:rPr>
        <w:t>(</w:t>
      </w:r>
      <w:r w:rsidRPr="00AF28B8">
        <w:rPr>
          <w:rFonts w:ascii="Calibri" w:hAnsi="Calibri" w:cs="Calibri"/>
          <w:i/>
          <w:iCs/>
          <w:color w:val="000000"/>
          <w:sz w:val="22"/>
          <w:szCs w:val="22"/>
        </w:rPr>
        <w:t>Sauroleishmania</w:t>
      </w:r>
      <w:r w:rsidRPr="00AF28B8">
        <w:rPr>
          <w:rFonts w:ascii="Calibri" w:hAnsi="Calibri" w:cs="Calibri"/>
          <w:color w:val="000000"/>
          <w:sz w:val="22"/>
          <w:szCs w:val="22"/>
        </w:rPr>
        <w:t>)] and monoxenous [</w:t>
      </w:r>
      <w:r w:rsidRPr="00AF28B8">
        <w:rPr>
          <w:rFonts w:ascii="Calibri" w:hAnsi="Calibri" w:cs="Calibri"/>
          <w:i/>
          <w:iCs/>
          <w:color w:val="000000"/>
          <w:sz w:val="22"/>
          <w:szCs w:val="22"/>
        </w:rPr>
        <w:t>Blechomonas</w:t>
      </w:r>
      <w:r w:rsidRPr="00AF28B8">
        <w:rPr>
          <w:rFonts w:ascii="Calibri" w:hAnsi="Calibri" w:cs="Calibri"/>
          <w:color w:val="000000"/>
          <w:sz w:val="22"/>
          <w:szCs w:val="22"/>
        </w:rPr>
        <w:t>] flagellate species, we discovered numerous representatives of a trypanosomatid-specific family </w:t>
      </w:r>
      <w:r w:rsidRPr="00AF28B8">
        <w:rPr>
          <w:rFonts w:ascii="Calibri" w:hAnsi="Calibri" w:cs="Calibri"/>
          <w:i/>
          <w:iCs/>
          <w:color w:val="000000"/>
          <w:sz w:val="22"/>
          <w:szCs w:val="22"/>
        </w:rPr>
        <w:t>Leishbuviridae </w:t>
      </w:r>
      <w:r w:rsidRPr="00AF28B8">
        <w:rPr>
          <w:rFonts w:ascii="Calibri" w:hAnsi="Calibri" w:cs="Calibri"/>
          <w:color w:val="000000"/>
          <w:sz w:val="22"/>
          <w:szCs w:val="22"/>
        </w:rPr>
        <w:t>(-ss RNA viruses) in different host species including a patient-derived isolate of </w:t>
      </w:r>
      <w:r w:rsidRPr="00AF28B8">
        <w:rPr>
          <w:rFonts w:ascii="Calibri" w:hAnsi="Calibri" w:cs="Calibri"/>
          <w:i/>
          <w:iCs/>
          <w:color w:val="000000"/>
          <w:sz w:val="22"/>
          <w:szCs w:val="22"/>
        </w:rPr>
        <w:t>Leishmania braziliensis</w:t>
      </w:r>
      <w:r w:rsidRPr="00AF28B8">
        <w:rPr>
          <w:rFonts w:ascii="Calibri" w:hAnsi="Calibri" w:cs="Calibri"/>
          <w:color w:val="000000"/>
          <w:sz w:val="22"/>
          <w:szCs w:val="22"/>
        </w:rPr>
        <w:t>. Of special interest are tombus-like viruses (+ss RNA), so far found to be highly prevalent only in a single trypanosomatid species - </w:t>
      </w:r>
      <w:r w:rsidRPr="00AF28B8">
        <w:rPr>
          <w:rFonts w:ascii="Calibri" w:hAnsi="Calibri" w:cs="Calibri"/>
          <w:i/>
          <w:iCs/>
          <w:color w:val="000000"/>
          <w:sz w:val="22"/>
          <w:szCs w:val="22"/>
        </w:rPr>
        <w:t>Leptomonas pyrrhocoris</w:t>
      </w:r>
      <w:r w:rsidRPr="00AF28B8">
        <w:rPr>
          <w:rFonts w:ascii="Calibri" w:hAnsi="Calibri" w:cs="Calibri"/>
          <w:color w:val="000000"/>
          <w:sz w:val="22"/>
          <w:szCs w:val="22"/>
        </w:rPr>
        <w:t>, yet detected as endogenous viral elements in both </w:t>
      </w:r>
      <w:r w:rsidRPr="00AF28B8">
        <w:rPr>
          <w:rFonts w:ascii="Calibri" w:hAnsi="Calibri" w:cs="Calibri"/>
          <w:i/>
          <w:iCs/>
          <w:color w:val="000000"/>
          <w:sz w:val="22"/>
          <w:szCs w:val="22"/>
        </w:rPr>
        <w:t>L. pyrrhocoris </w:t>
      </w:r>
      <w:r w:rsidRPr="00AF28B8">
        <w:rPr>
          <w:rFonts w:ascii="Calibri" w:hAnsi="Calibri" w:cs="Calibri"/>
          <w:color w:val="000000"/>
          <w:sz w:val="22"/>
          <w:szCs w:val="22"/>
        </w:rPr>
        <w:t>and </w:t>
      </w:r>
      <w:r w:rsidRPr="00AF28B8">
        <w:rPr>
          <w:rFonts w:ascii="Calibri" w:hAnsi="Calibri" w:cs="Calibri"/>
          <w:i/>
          <w:iCs/>
          <w:color w:val="000000"/>
          <w:sz w:val="22"/>
          <w:szCs w:val="22"/>
        </w:rPr>
        <w:t>Blastocrithidia triatomae</w:t>
      </w:r>
      <w:r w:rsidRPr="00AF28B8">
        <w:rPr>
          <w:rFonts w:ascii="Calibri" w:hAnsi="Calibri" w:cs="Calibri"/>
          <w:color w:val="000000"/>
          <w:sz w:val="22"/>
          <w:szCs w:val="22"/>
        </w:rPr>
        <w:t>. Other viral groups encountered in trypanosomatids are poorly studied </w:t>
      </w:r>
      <w:r w:rsidRPr="00AF28B8">
        <w:rPr>
          <w:rFonts w:ascii="Calibri" w:hAnsi="Calibri" w:cs="Calibri"/>
          <w:i/>
          <w:iCs/>
          <w:color w:val="000000"/>
          <w:sz w:val="22"/>
          <w:szCs w:val="22"/>
        </w:rPr>
        <w:t>Qinviridae </w:t>
      </w:r>
      <w:r w:rsidRPr="00AF28B8">
        <w:rPr>
          <w:rFonts w:ascii="Calibri" w:hAnsi="Calibri" w:cs="Calibri"/>
          <w:color w:val="000000"/>
          <w:sz w:val="22"/>
          <w:szCs w:val="22"/>
        </w:rPr>
        <w:t>(-ss RNA) previously associated only with insects, as well as two related families of capsid-less +ss RNA viruses - </w:t>
      </w:r>
      <w:r w:rsidRPr="00AF28B8">
        <w:rPr>
          <w:rFonts w:ascii="Calibri" w:hAnsi="Calibri" w:cs="Calibri"/>
          <w:i/>
          <w:iCs/>
          <w:color w:val="000000"/>
          <w:sz w:val="22"/>
          <w:szCs w:val="22"/>
        </w:rPr>
        <w:t>Narnaviridae </w:t>
      </w:r>
      <w:r w:rsidRPr="00AF28B8">
        <w:rPr>
          <w:rFonts w:ascii="Calibri" w:hAnsi="Calibri" w:cs="Calibri"/>
          <w:color w:val="000000"/>
          <w:sz w:val="22"/>
          <w:szCs w:val="22"/>
        </w:rPr>
        <w:t>and </w:t>
      </w:r>
      <w:r w:rsidRPr="00AF28B8">
        <w:rPr>
          <w:rFonts w:ascii="Calibri" w:hAnsi="Calibri" w:cs="Calibri"/>
          <w:i/>
          <w:iCs/>
          <w:color w:val="000000"/>
          <w:sz w:val="22"/>
          <w:szCs w:val="22"/>
        </w:rPr>
        <w:t>Mitoviridae</w:t>
      </w:r>
      <w:r w:rsidRPr="00AF28B8">
        <w:rPr>
          <w:rFonts w:ascii="Calibri" w:hAnsi="Calibri" w:cs="Calibri"/>
          <w:color w:val="000000"/>
          <w:sz w:val="22"/>
          <w:szCs w:val="22"/>
        </w:rPr>
        <w:t>, which are most prevalent in fungi. The last but not least is the enigmatic Ostravirus, which could not be so far associated with any of the known viral groups. This virus has been repeatedly documented in </w:t>
      </w:r>
      <w:r w:rsidRPr="00AF28B8">
        <w:rPr>
          <w:rFonts w:ascii="Calibri" w:hAnsi="Calibri" w:cs="Calibri"/>
          <w:i/>
          <w:iCs/>
          <w:color w:val="000000"/>
          <w:sz w:val="22"/>
          <w:szCs w:val="22"/>
        </w:rPr>
        <w:t>L. pyrrhocoris </w:t>
      </w:r>
      <w:r w:rsidRPr="00AF28B8">
        <w:rPr>
          <w:rFonts w:ascii="Calibri" w:hAnsi="Calibri" w:cs="Calibri"/>
          <w:color w:val="000000"/>
          <w:sz w:val="22"/>
          <w:szCs w:val="22"/>
        </w:rPr>
        <w:t>and appears to be a satellite of the tombus-like virus of this trypanosomatid, despite possessing a fairly large genome (seven segments with the total length exceeding 20 kb). We think that the emerging picture is just the proverbial “tip of the iceberg” as the true diversity of viruses infecting trypanosomatids might be substantially higher warranting their further investigation.</w:t>
      </w:r>
    </w:p>
    <w:p w14:paraId="7B2D675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25-A-2559-ASTMH</w:t>
      </w:r>
    </w:p>
    <w:p w14:paraId="17E1A73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Opportunistic and Anaerobic Protozoa - Immunology (Including Leishmania and Trypanosomes)</w:t>
      </w:r>
    </w:p>
    <w:p w14:paraId="46D85DD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Characterization and Immune Response profile of Cutaneous Leishmaniasis Patients in the oti-region - Ghana</w:t>
      </w:r>
    </w:p>
    <w:p w14:paraId="7593F24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 cross-sectional case-control study was conducted in six communities within Nkwanta North and South districts of Ghana. A total of 139 participants presenting lesions characteristic of leishmaniasis were included through community-based and health facility surveys. Cutaneous leishmaniasis (CL) cases were identified and confirmed using conventional PCR. Seventeen Plasma cytokine levels (including IFN-γ, TNF-α, IL-10, and IL-17) were quantified using a Luminex multiplex assay. Peripheral Blood Mononuclear Cells (PBMCs) were analyzed via flow cytometry to assess immune cell populations (CD3+, CD4+, CD8+, CD19+, CD56+, and CD14+) and activation/exhaustion markers (CD38, HLA-DR, and PD-1). Sociodemographic and clinical data were collected using structured questionnaires, and statistical </w:t>
      </w:r>
      <w:r w:rsidRPr="00AF28B8">
        <w:rPr>
          <w:rFonts w:ascii="Calibri" w:hAnsi="Calibri" w:cs="Calibri"/>
          <w:color w:val="000000"/>
          <w:sz w:val="22"/>
          <w:szCs w:val="22"/>
        </w:rPr>
        <w:lastRenderedPageBreak/>
        <w:t>analyses were conducted using SPSS and STATA, with significance set at p&lt;0.05. Ethical approval was obtained, and informed consent was secured from all participants. The prevalence of Cutaneous Leishmaniasis (CL) in the study population was 11.51%, with males (62.5%) exhibiting a higher infection rate than females (37.5%). Cytokine profiling showed significantly elevated levels of pro-inflammatory cytokines IFN-γ and TNF-α in infected individuals, while IL-10 and VEGF levels remained comparable between infected and uninfected groups. T-cell analysis revealed a higher proportion of CD4+ T cells than CD8+ T cells. However, there were no significant differences in the proportions of CD3+, CD4+, CD8+, or CD19+ B cells between CL patients and uninfected individuals. Correlation analysis indicated a positive association between IL-10 and pro-inflammatory cytokines IFN-γ and IL-17, suggesting complex immune regulatory mechanisms in CL. This study presents the first immune profiling of CL patients in Ghana.</w:t>
      </w:r>
    </w:p>
    <w:p w14:paraId="47C2F92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25-A-2561-ASTMH</w:t>
      </w:r>
    </w:p>
    <w:p w14:paraId="1DDCC87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3A02AC9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Tracing hidden pathways: Genomic insights into malaria persistence in a pre-elimination setting</w:t>
      </w:r>
    </w:p>
    <w:p w14:paraId="13A4A56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 malaria burden has markedly declined in The Gambia, preventing local transmission is essential to further accelerate elimination efforts. However, cities within the region are highly interconnected due to human migration, facilitating the movement of parasites. Therefore, understanding </w:t>
      </w:r>
      <w:r w:rsidRPr="00AF28B8">
        <w:rPr>
          <w:rFonts w:ascii="Calibri" w:hAnsi="Calibri" w:cs="Calibri"/>
          <w:i/>
          <w:iCs/>
          <w:color w:val="000000"/>
          <w:sz w:val="22"/>
          <w:szCs w:val="22"/>
        </w:rPr>
        <w:t>P. falciparum</w:t>
      </w:r>
      <w:r w:rsidRPr="00AF28B8">
        <w:rPr>
          <w:rFonts w:ascii="Calibri" w:hAnsi="Calibri" w:cs="Calibri"/>
          <w:color w:val="000000"/>
          <w:sz w:val="22"/>
          <w:szCs w:val="22"/>
        </w:rPr>
        <w:t> transmission and identifying major parasite source and sink populations are essential. Genomic data, when integrated with geographic information, can reveal hotspots of transmission, identify clusters of parasite populations. A total of 1,247 </w:t>
      </w:r>
      <w:r w:rsidRPr="00AF28B8">
        <w:rPr>
          <w:rFonts w:ascii="Calibri" w:hAnsi="Calibri" w:cs="Calibri"/>
          <w:i/>
          <w:iCs/>
          <w:color w:val="000000"/>
          <w:sz w:val="22"/>
          <w:szCs w:val="22"/>
        </w:rPr>
        <w:t>P. falciparum</w:t>
      </w:r>
      <w:r w:rsidRPr="00AF28B8">
        <w:rPr>
          <w:rFonts w:ascii="Calibri" w:hAnsi="Calibri" w:cs="Calibri"/>
          <w:color w:val="000000"/>
          <w:sz w:val="22"/>
          <w:szCs w:val="22"/>
        </w:rPr>
        <w:t> samples were collected from 14 neighboring study sites across The Gambia. A substantial portion of these samples originated from a longitudinal study conducted during the 2013 malaria season, involving monthly collections from six pairs of villages spanning 300 km from West to East. After filtering for missingness, 720 samples and 16,930 SNPs were retained for downstream genomic analyses. Pairwise genetic relatedness between parasites was calculated using identity by descent (IBD). Our analyses showed that most of the infections were monoclonal (94%, </w:t>
      </w:r>
      <w:r w:rsidRPr="00AF28B8">
        <w:rPr>
          <w:rFonts w:ascii="Calibri" w:hAnsi="Calibri" w:cs="Calibri"/>
          <w:i/>
          <w:iCs/>
          <w:color w:val="000000"/>
          <w:sz w:val="22"/>
          <w:szCs w:val="22"/>
        </w:rPr>
        <w:t>n</w:t>
      </w:r>
      <w:r w:rsidRPr="00AF28B8">
        <w:rPr>
          <w:rFonts w:ascii="Calibri" w:hAnsi="Calibri" w:cs="Calibri"/>
          <w:color w:val="000000"/>
          <w:sz w:val="22"/>
          <w:szCs w:val="22"/>
        </w:rPr>
        <w:t> = 674), with some local variation suggesting low but heterogeneous malaria transmission. Three major genetic clusters were identified within the parasite population using DAPC. Genetic relatedness analysis also indicated that 0.5% of parasite pairs were highly related (IBD ≥ 0.25). The persistence of closely related parasite populations across multiple seasons indicates that symptomatic infections may play a key role in sustaining malaria transmission over time. There was also a spatial and temporal hierarchy in pairwise genetic relatedness, with highly related infections often found within the same household or village as well as patterns of long-distance sharing of closely related pairs. This study demonstrates the utility of integrating genomic data with traditional epidemiological approaches to enhance malaria surveillance and detect trends and patterns in transmission at both the community and household levels. These strategies can be scaled up to reinforce malaria control and elimination initiatives.</w:t>
      </w:r>
    </w:p>
    <w:p w14:paraId="2E6B2EC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25-A-2562-ASTMH</w:t>
      </w:r>
    </w:p>
    <w:p w14:paraId="60ED41A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08FCB5E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single presumptive deworming may not suffice to reduce the burden of intestinal parasitic infections during pregnancy in rural Amhara Ethiopia</w:t>
      </w:r>
    </w:p>
    <w:p w14:paraId="61DC348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Intestinal parasitic infections (IPIs) are a major concern for pregnant women in sub-Saharan Africa including Ethiopia. IPs in pregnancy are associated with anemia and nutrient malabsorption contributing to maternal morbidity and adverse pregnancy outcomes. The provision of a single dose of presumptive deworming is recommended to prevent negative health outcomes. However, there is limited evidence on whether this dose covers IPs. Thus, this study aimed to assess the prevalence of IPIs among pregnant women in the third trimester who received prior presumptive deworming in rural health centers in the Amhara region, Ethiopia. Eligible pregnant women with viable pregnancy and a gestational age of &lt;24 weeks were enrolled in the study in 12 rural health centers in West Gojjam and North Gondar zones. A </w:t>
      </w:r>
      <w:r w:rsidRPr="00AF28B8">
        <w:rPr>
          <w:rFonts w:ascii="Calibri" w:hAnsi="Calibri" w:cs="Calibri"/>
          <w:color w:val="000000"/>
          <w:sz w:val="22"/>
          <w:szCs w:val="22"/>
        </w:rPr>
        <w:lastRenderedPageBreak/>
        <w:t>total of 350 pregnant women were provided with 500 mg of presumptive mebendazole in the second trimester as a directly observed therapy. A month after the deworming (in the third trimester), the participants were screened for IPs using wet-mount microscopy regardless of their symptoms. One in three women (109/350, 31.0%) were found to have a parasitic stool infection after prior deworming and 15% of women reported gastrointestinal symptoms. The most common infections were </w:t>
      </w:r>
      <w:r w:rsidRPr="00AF28B8">
        <w:rPr>
          <w:rFonts w:ascii="Calibri" w:hAnsi="Calibri" w:cs="Calibri"/>
          <w:i/>
          <w:iCs/>
          <w:color w:val="000000"/>
          <w:sz w:val="22"/>
          <w:szCs w:val="22"/>
        </w:rPr>
        <w:t>Giardia lamblia (n=</w:t>
      </w:r>
      <w:r w:rsidRPr="00AF28B8">
        <w:rPr>
          <w:rFonts w:ascii="Calibri" w:hAnsi="Calibri" w:cs="Calibri"/>
          <w:color w:val="000000"/>
          <w:sz w:val="22"/>
          <w:szCs w:val="22"/>
        </w:rPr>
        <w:t>43, 37.4%), </w:t>
      </w:r>
      <w:r w:rsidRPr="00AF28B8">
        <w:rPr>
          <w:rFonts w:ascii="Calibri" w:hAnsi="Calibri" w:cs="Calibri"/>
          <w:i/>
          <w:iCs/>
          <w:color w:val="000000"/>
          <w:sz w:val="22"/>
          <w:szCs w:val="22"/>
        </w:rPr>
        <w:t>Entamoeba histolytica (n=</w:t>
      </w:r>
      <w:r w:rsidRPr="00AF28B8">
        <w:rPr>
          <w:rFonts w:ascii="Calibri" w:hAnsi="Calibri" w:cs="Calibri"/>
          <w:color w:val="000000"/>
          <w:sz w:val="22"/>
          <w:szCs w:val="22"/>
        </w:rPr>
        <w:t>40, 34.8%), and </w:t>
      </w:r>
      <w:r w:rsidRPr="00AF28B8">
        <w:rPr>
          <w:rFonts w:ascii="Calibri" w:hAnsi="Calibri" w:cs="Calibri"/>
          <w:i/>
          <w:iCs/>
          <w:color w:val="000000"/>
          <w:sz w:val="22"/>
          <w:szCs w:val="22"/>
        </w:rPr>
        <w:t>Hookworm (n=</w:t>
      </w:r>
      <w:r w:rsidRPr="00AF28B8">
        <w:rPr>
          <w:rFonts w:ascii="Calibri" w:hAnsi="Calibri" w:cs="Calibri"/>
          <w:color w:val="000000"/>
          <w:sz w:val="22"/>
          <w:szCs w:val="22"/>
        </w:rPr>
        <w:t>25, 21.7%). Six mothers had co-infections with at least two parasites with trophozoites of </w:t>
      </w:r>
      <w:r w:rsidRPr="00AF28B8">
        <w:rPr>
          <w:rFonts w:ascii="Calibri" w:hAnsi="Calibri" w:cs="Calibri"/>
          <w:i/>
          <w:iCs/>
          <w:color w:val="000000"/>
          <w:sz w:val="22"/>
          <w:szCs w:val="22"/>
        </w:rPr>
        <w:t>Giardia lamblia </w:t>
      </w:r>
      <w:r w:rsidRPr="00AF28B8">
        <w:rPr>
          <w:rFonts w:ascii="Calibri" w:hAnsi="Calibri" w:cs="Calibri"/>
          <w:color w:val="000000"/>
          <w:sz w:val="22"/>
          <w:szCs w:val="22"/>
        </w:rPr>
        <w:t>and</w:t>
      </w:r>
      <w:r w:rsidRPr="00AF28B8">
        <w:rPr>
          <w:rFonts w:ascii="Calibri" w:hAnsi="Calibri" w:cs="Calibri"/>
          <w:i/>
          <w:iCs/>
          <w:color w:val="000000"/>
          <w:sz w:val="22"/>
          <w:szCs w:val="22"/>
        </w:rPr>
        <w:t> Entamoeba histolytica </w:t>
      </w:r>
      <w:r w:rsidRPr="00AF28B8">
        <w:rPr>
          <w:rFonts w:ascii="Calibri" w:hAnsi="Calibri" w:cs="Calibri"/>
          <w:color w:val="000000"/>
          <w:sz w:val="22"/>
          <w:szCs w:val="22"/>
        </w:rPr>
        <w:t>co-infection being dominant. The burden of intestinal parasite infection among third-trimester pregnant women in rural Amhara, Ethiopia remained high after a single presumptive treatment with 500 mg mebendazole in the second trimester and protozoal infections were most prevalent. Presumably a single dose was inadequate to treat the existing pathogens, and/or rates of reinfection were high.</w:t>
      </w:r>
    </w:p>
    <w:p w14:paraId="57D7899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25-A-2563-ASTMH</w:t>
      </w:r>
    </w:p>
    <w:p w14:paraId="02C727D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Diagnosis and New Detection Tools (Including Leishmania and Trypanosomes)</w:t>
      </w:r>
    </w:p>
    <w:p w14:paraId="2D4F90B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Longitudinal Evaluation of Leishmania donovani Transmission Dynamics in India During the Visceral Leishmaniasis Elimination Campaign: A 10-Year Follow-Up Study</w:t>
      </w:r>
    </w:p>
    <w:p w14:paraId="606E6AE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Visceral leishmaniasis has long posed a significant public health challenge in Bihar, India. In 2005, the country initiated the VL Elimination Program, make parallel with WHO recommendations, to systematically control disease transmission. This study sought to analyze shifts in visceral leishmaniasis transmission following the execution of the elimination program and to determine the reliability of DAT and rK39 as diagnostic markers for future surveillance efforts. Moreover, the research examined the impact of coinfections, particularly lymphatic filariasis, on disease progression.A follow-up serological survey was conducted in Muzaffarpur, Bihar, aiming individuals aged ≥2 years, using 2009 as the baseline. Infection prevalence was assessed via rK39-ELISA and DAT, with seroprevalence in 2020 analyzed across age groups and clusters using χ² tests, particularly focusing on children born after 2009. A Poisson regression model assessed the adjusted risk ratio for seropositivity, while LF coinfection was assessed using the Filarial Strip Test.Between 2009 and 2020, 18,066 individuals were assessed for Leishmania donovani infection. In children under 10, seroprevalence was 3.6% (DAT) and 4.31% (rK39) in 2009, declining to 0.4% and 0.7% in 2020 (p&lt;0.0001). Seropositivity reduced across all demographic groups and geographic clusters. The adjusted risk ratio for infection in 2020 against 2009 was 0.49 overall (95% CI 0.32-0.51) and 0.03 (95% CI 0.01-0.14) in children under 10. Furthermore, 4% of those at risk exhibited lymphatic filariasis coinfection, increasing susceptibility to disease progression.The findings reveal a marked decline in Leishmania donovani transmission, highlighting the efficacy of the visceral leishmaniasis elimination program. The DAT and rK39 diagnostic assays continue to serve as robust epidemiological tools for surveillance of infection dynamics. Achieving VL elimination in Bihar remains feasible through sustained interventions and rigorously monitored control strategies.</w:t>
      </w:r>
    </w:p>
    <w:p w14:paraId="0708354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25-A-2564-ASTMH</w:t>
      </w:r>
    </w:p>
    <w:p w14:paraId="60EFB27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669E4D6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Diagnosis and epidemiology of arbovirus infections in Grenada, 2023-2025</w:t>
      </w:r>
    </w:p>
    <w:p w14:paraId="620B6D6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Arboviral infections constitute a major cause of acute febrile illness (AFI) in the tropics but are generally diagnosed clinically due to limited diagnostics. In Grenada all four dengue virus (DENV) serotypes are known to circulate, and Grenada has experienced explosive chikungunya (CHIKV) and Zika (ZIKV) virus epidemics previously. This project aims to better understand the arboviral causes of AFI in Grenada. To accomplish this, we collected serum from persons reporting fever across Grenada from June 2023 - March 2025 and tested these samples using RT-PCR for common arboviral infections. Of 567 samples tested, 93 (16%) were positive for DENV, 1 (0.2%) for CHIKV, and 0 for ZIKV. All DENV infections were diagnosed during the rainy season (June-October), with a large outbreak detected August-October 2024. A subset of samples was also tested using rapid DENV IgM lateral flow assays, with 26% sensitivity for </w:t>
      </w:r>
      <w:r w:rsidRPr="00AF28B8">
        <w:rPr>
          <w:rFonts w:ascii="Calibri" w:hAnsi="Calibri" w:cs="Calibri"/>
          <w:color w:val="000000"/>
          <w:sz w:val="22"/>
          <w:szCs w:val="22"/>
        </w:rPr>
        <w:lastRenderedPageBreak/>
        <w:t>RT-PCR positive infections, further re-enforcing the limited accuracy of these tests. In patients with fever, symptoms of chills and arthralgias were associated with DENV (OR-1.91 and 1.98, respectively), while respiratory symptoms were negatively associated (OR-0.4). Univariate analysis of epidemiologic risk factors revealed Afro-Caribbean race as a protective factor (OR- 0.25), while higher education (OR 1.91), living in a house (vs apartment) (OR-3.52), concrete housing (OR-2.91), presence of air conditioning (OR- 3.25), window screens (OR-3.21), travel to North America (OR-4.85), or collection at the university clinic (OR-8.32) were associated with DENV infection. These findings suggest higher socio-economic status correlated with DENV infection and are likely due to the increased risk of acute infection among immunologically naïve visitors, including university students and staff at our study site compared to the local population during outbreak transmission periods. Further multivariate analysis adjusting for these different populations will follow to determine risk factors among local persons, and future testing will expand to include other virus exposure including hantaviruses, Oropouche, and Mayaro viruses.</w:t>
      </w:r>
    </w:p>
    <w:p w14:paraId="6B703F1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25-A-2565-ASTMH</w:t>
      </w:r>
    </w:p>
    <w:p w14:paraId="4C30295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and Genetics of Insecticide Resistance</w:t>
      </w:r>
    </w:p>
    <w:p w14:paraId="6EAE06D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Understanding the </w:t>
      </w:r>
      <w:r w:rsidRPr="00AF28B8">
        <w:rPr>
          <w:rFonts w:ascii="Calibri" w:hAnsi="Calibri" w:cs="Calibri"/>
          <w:i/>
          <w:iCs/>
          <w:color w:val="000000"/>
          <w:sz w:val="22"/>
          <w:szCs w:val="22"/>
        </w:rPr>
        <w:t>Aedes aegypti </w:t>
      </w:r>
      <w:r w:rsidRPr="00AF28B8">
        <w:rPr>
          <w:rFonts w:ascii="Calibri" w:hAnsi="Calibri" w:cs="Calibri"/>
          <w:color w:val="000000"/>
          <w:sz w:val="22"/>
          <w:szCs w:val="22"/>
        </w:rPr>
        <w:t>mosquito ecology to reduce dengue transmission in Tanzania</w:t>
      </w:r>
    </w:p>
    <w:p w14:paraId="2548DD4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the past half-century, dengue has increased by 30-fold worldwide. The financial capital city of Tanzania, (Dar es Salaam), is now experiencing dengue outbreaks nearly every year. Therefore, this study intended to determine the primary characteristics and dengue transmission risk of </w:t>
      </w:r>
      <w:r w:rsidRPr="00AF28B8">
        <w:rPr>
          <w:rFonts w:ascii="Calibri" w:hAnsi="Calibri" w:cs="Calibri"/>
          <w:i/>
          <w:iCs/>
          <w:color w:val="000000"/>
          <w:sz w:val="22"/>
          <w:szCs w:val="22"/>
        </w:rPr>
        <w:t>Aedes aegypti </w:t>
      </w:r>
      <w:r w:rsidRPr="00AF28B8">
        <w:rPr>
          <w:rFonts w:ascii="Calibri" w:hAnsi="Calibri" w:cs="Calibri"/>
          <w:color w:val="000000"/>
          <w:sz w:val="22"/>
          <w:szCs w:val="22"/>
        </w:rPr>
        <w:t>mosquitoes in the city. A two-years longitudinal survey was conducted in the Ilala, Kinondoni, and Temeke districts of Dar es Salaam city to sample </w:t>
      </w:r>
      <w:r w:rsidRPr="00AF28B8">
        <w:rPr>
          <w:rFonts w:ascii="Calibri" w:hAnsi="Calibri" w:cs="Calibri"/>
          <w:i/>
          <w:iCs/>
          <w:color w:val="000000"/>
          <w:sz w:val="22"/>
          <w:szCs w:val="22"/>
        </w:rPr>
        <w:t>Ae. aegypti</w:t>
      </w:r>
      <w:r w:rsidRPr="00AF28B8">
        <w:rPr>
          <w:rFonts w:ascii="Calibri" w:hAnsi="Calibri" w:cs="Calibri"/>
          <w:color w:val="000000"/>
          <w:sz w:val="22"/>
          <w:szCs w:val="22"/>
        </w:rPr>
        <w:t> mosquitoes using four mosquito sampling methods: i) Mosquito dipper, ii) Prokopack aspiration, iii) Ovitrap iv) Biogent Sentinel trap. The collected </w:t>
      </w:r>
      <w:r w:rsidRPr="00AF28B8">
        <w:rPr>
          <w:rFonts w:ascii="Calibri" w:hAnsi="Calibri" w:cs="Calibri"/>
          <w:i/>
          <w:iCs/>
          <w:color w:val="000000"/>
          <w:sz w:val="22"/>
          <w:szCs w:val="22"/>
        </w:rPr>
        <w:t>Ae. aegypti</w:t>
      </w:r>
      <w:r w:rsidRPr="00AF28B8">
        <w:rPr>
          <w:rFonts w:ascii="Calibri" w:hAnsi="Calibri" w:cs="Calibri"/>
          <w:color w:val="000000"/>
          <w:sz w:val="22"/>
          <w:szCs w:val="22"/>
        </w:rPr>
        <w:t> mosquitoes were pooled in groups of 10 individuals and tested for DENV1-4 serotypes using qRT-PCR. Field larvae were collected and reared to F1 generation, and tested for phenotypic resistance to insecticides and larvicides used in public health, following WHO guidelines and genotypic resistance using qRT-PCR. 4.8% (n = 8503) of collected mosquitoes were </w:t>
      </w:r>
      <w:r w:rsidRPr="00AF28B8">
        <w:rPr>
          <w:rFonts w:ascii="Calibri" w:hAnsi="Calibri" w:cs="Calibri"/>
          <w:i/>
          <w:iCs/>
          <w:color w:val="000000"/>
          <w:sz w:val="22"/>
          <w:szCs w:val="22"/>
        </w:rPr>
        <w:t>Ae. aegypti</w:t>
      </w:r>
      <w:r w:rsidRPr="00AF28B8">
        <w:rPr>
          <w:rFonts w:ascii="Calibri" w:hAnsi="Calibri" w:cs="Calibri"/>
          <w:color w:val="000000"/>
          <w:sz w:val="22"/>
          <w:szCs w:val="22"/>
        </w:rPr>
        <w:t> with Temeke district accounted for 46.3%(n=3937) </w:t>
      </w:r>
      <w:r w:rsidRPr="00AF28B8">
        <w:rPr>
          <w:rFonts w:ascii="Calibri" w:hAnsi="Calibri" w:cs="Calibri"/>
          <w:i/>
          <w:iCs/>
          <w:color w:val="000000"/>
          <w:sz w:val="22"/>
          <w:szCs w:val="22"/>
        </w:rPr>
        <w:t>Ae. aegypti</w:t>
      </w:r>
      <w:r w:rsidRPr="00AF28B8">
        <w:rPr>
          <w:rFonts w:ascii="Calibri" w:hAnsi="Calibri" w:cs="Calibri"/>
          <w:color w:val="000000"/>
          <w:sz w:val="22"/>
          <w:szCs w:val="22"/>
        </w:rPr>
        <w:t> population</w:t>
      </w:r>
      <w:r w:rsidRPr="00AF28B8">
        <w:rPr>
          <w:rFonts w:ascii="Calibri" w:hAnsi="Calibri" w:cs="Calibri"/>
          <w:i/>
          <w:iCs/>
          <w:color w:val="000000"/>
          <w:sz w:val="22"/>
          <w:szCs w:val="22"/>
        </w:rPr>
        <w:t>. </w:t>
      </w:r>
      <w:r w:rsidRPr="00AF28B8">
        <w:rPr>
          <w:rFonts w:ascii="Calibri" w:hAnsi="Calibri" w:cs="Calibri"/>
          <w:color w:val="000000"/>
          <w:sz w:val="22"/>
          <w:szCs w:val="22"/>
        </w:rPr>
        <w:t>Approximately 20% of all host seeking </w:t>
      </w:r>
      <w:r w:rsidRPr="00AF28B8">
        <w:rPr>
          <w:rFonts w:ascii="Calibri" w:hAnsi="Calibri" w:cs="Calibri"/>
          <w:i/>
          <w:iCs/>
          <w:color w:val="000000"/>
          <w:sz w:val="22"/>
          <w:szCs w:val="22"/>
        </w:rPr>
        <w:t>Aedes aegypti</w:t>
      </w:r>
      <w:r w:rsidRPr="00AF28B8">
        <w:rPr>
          <w:rFonts w:ascii="Calibri" w:hAnsi="Calibri" w:cs="Calibri"/>
          <w:color w:val="000000"/>
          <w:sz w:val="22"/>
          <w:szCs w:val="22"/>
        </w:rPr>
        <w:t> were collected indoors and the rest outdoors. 854 mosquito pools of 10 individuals per pool were obtained, with 371, 206 and 277 pools from Temeke, Ilala, and Kinondoni districts respectively. DENV-2 serotype was detected in all districts with Temeke district exhibiting the highest infection rate of 0.81 per 1000 mosquitoes. </w:t>
      </w:r>
      <w:r w:rsidRPr="00AF28B8">
        <w:rPr>
          <w:rFonts w:ascii="Calibri" w:hAnsi="Calibri" w:cs="Calibri"/>
          <w:i/>
          <w:iCs/>
          <w:color w:val="000000"/>
          <w:sz w:val="22"/>
          <w:szCs w:val="22"/>
        </w:rPr>
        <w:t>Ae. aegypti</w:t>
      </w:r>
      <w:r w:rsidRPr="00AF28B8">
        <w:rPr>
          <w:rFonts w:ascii="Calibri" w:hAnsi="Calibri" w:cs="Calibri"/>
          <w:color w:val="000000"/>
          <w:sz w:val="22"/>
          <w:szCs w:val="22"/>
        </w:rPr>
        <w:t> from all three districts were phenotypically resistant to pyrethroid and organochlorine insecticides, with &lt;20% mortality but were fully susceptible to carbamates. In larval bioassay, mosquitoes from Kinondoni demonstrated the highest resistance to </w:t>
      </w:r>
      <w:r w:rsidRPr="00AF28B8">
        <w:rPr>
          <w:rFonts w:ascii="Calibri" w:hAnsi="Calibri" w:cs="Calibri"/>
          <w:i/>
          <w:iCs/>
          <w:color w:val="000000"/>
          <w:sz w:val="22"/>
          <w:szCs w:val="22"/>
        </w:rPr>
        <w:t>Bacillus thuringiensis israelensis </w:t>
      </w:r>
      <w:r w:rsidRPr="00AF28B8">
        <w:rPr>
          <w:rFonts w:ascii="Calibri" w:hAnsi="Calibri" w:cs="Calibri"/>
          <w:color w:val="000000"/>
          <w:sz w:val="22"/>
          <w:szCs w:val="22"/>
        </w:rPr>
        <w:t>(</w:t>
      </w:r>
      <w:r w:rsidRPr="00AF28B8">
        <w:rPr>
          <w:rFonts w:ascii="Calibri" w:hAnsi="Calibri" w:cs="Calibri"/>
          <w:i/>
          <w:iCs/>
          <w:color w:val="000000"/>
          <w:sz w:val="22"/>
          <w:szCs w:val="22"/>
        </w:rPr>
        <w:t>Bti</w:t>
      </w:r>
      <w:r w:rsidRPr="00AF28B8">
        <w:rPr>
          <w:rFonts w:ascii="Calibri" w:hAnsi="Calibri" w:cs="Calibri"/>
          <w:color w:val="000000"/>
          <w:sz w:val="22"/>
          <w:szCs w:val="22"/>
        </w:rPr>
        <w:t>) (LD90=0.097) compared to Ilala (LD90=0.048) and Temeke (LD90=0.037). Additionally, mosquitoes from all districts showed a F1534C knock down resistance mutation. In Dar es Salaam City, Temeke district is at high risk of Dengue outbreak due to the high </w:t>
      </w:r>
      <w:r w:rsidRPr="00AF28B8">
        <w:rPr>
          <w:rFonts w:ascii="Calibri" w:hAnsi="Calibri" w:cs="Calibri"/>
          <w:i/>
          <w:iCs/>
          <w:color w:val="000000"/>
          <w:sz w:val="22"/>
          <w:szCs w:val="22"/>
        </w:rPr>
        <w:t>Ae. aegypti</w:t>
      </w:r>
      <w:r w:rsidRPr="00AF28B8">
        <w:rPr>
          <w:rFonts w:ascii="Calibri" w:hAnsi="Calibri" w:cs="Calibri"/>
          <w:color w:val="000000"/>
          <w:sz w:val="22"/>
          <w:szCs w:val="22"/>
        </w:rPr>
        <w:t> mosquito density and dengue infection rate, highlighting the need of continuous dengue xeno-monitoring.</w:t>
      </w:r>
    </w:p>
    <w:p w14:paraId="775D430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25-A-2566-ASTMH</w:t>
      </w:r>
    </w:p>
    <w:p w14:paraId="4FE2699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3BFAC43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Estimating dengue exposure dynamics and evaluating age-targeted vaccination strategies under spatial heterogeneity in Brazil</w:t>
      </w:r>
    </w:p>
    <w:p w14:paraId="1E46487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2024, Brazil experienced its largest dengue epidemic on record, with over 6 million suspected cases and more than 5,000 deaths. Current WHO guidelines prioritize vaccinating children aged 6-16 in high-burden settings, but the rise in severe cases and fatalities among elderly people has raised questions about whether this strategy remains optimal across all regions.We developed an age- and region-structured serocatalytic model to estimate historical dengue exposure, force of infection (FOI), and reporting ratios using national case data from 2000 to 2024. The model accounted for prior infection </w:t>
      </w:r>
      <w:r w:rsidRPr="00AF28B8">
        <w:rPr>
          <w:rFonts w:ascii="Calibri" w:hAnsi="Calibri" w:cs="Calibri"/>
          <w:color w:val="000000"/>
          <w:sz w:val="22"/>
          <w:szCs w:val="22"/>
        </w:rPr>
        <w:lastRenderedPageBreak/>
        <w:t>history (0-4 infections) and demographic transitions. To evaluate vaccination strategies, we used a compartmental SIR model that mirrors the structure of the serocatalytic model—sharing the same age and prior-exposure stratification—and initialized it with state-specific immunity.Model results revealed substantial heterogeneity in FOI across Brazilian states: for example, Rio de Janeiro maintained high FOI (~0.1), Santa Catarina exhibited increasing trends, while Roraima showed declines. By 2024, more than half the population in most states had prior dengue exposure. In hyperendemic states like Rio de Janeiro and Bahia, majority of elderly people have experienced two or more prior infections. In contrast, in states such as Sao Paulo— where relatively few elderly people have experienced multiple dengue infections —SIR model simulations showed that including the elderly in vaccination strategies reduced projected dengue mortality more than child-only approaches.These findings underscore the importance of tailoring dengue vaccination strategies to local immunity profiles. In settings where older adults have low prior exposure, expanding coverage beyond children may offer additional reductions in mortality and should be considered.</w:t>
      </w:r>
    </w:p>
    <w:p w14:paraId="09562EC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25-A-2567-ASTMH</w:t>
      </w:r>
    </w:p>
    <w:p w14:paraId="4A4D81A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1A74AD9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Interventions to improve hand hygiene in community settings - A systematic review of theories, barriers and enablers, behavior change techniques, and hand hygiene station design features</w:t>
      </w:r>
    </w:p>
    <w:p w14:paraId="0933D78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This systematic review identified and examined the theories, barriers and enablers, behaviour change techniques (BCTs), and design features of interventions that have been leveraged effectively to improve and sustain hand hygiene in community settings. It was conducted to support the development of the WHO Guidelines for Hand Hygiene in Community Settings. We searched PubMed, Web of Science, EMBASE, CINAHL, Global Health, Cochrane Library, Global Index Medicus, Scopus, PAIS Index, WHO IRIS, UN Digital Library and World Bank eLibrary for studies published through March 29, 2023, and consulted experts. Eligible studies had an intervention that targeted hand hygiene behaviour, quantitatively measured hand hygiene practice, were published in English after January 1, 1980, and were set in non-healthcare community settings. Two reviewers independently extracted data from each study and assessed risk of bias (Mixed Method Appraisal Tool). 223 eligible studies (including 247,398 participants) met inclusion criteria, 82% of which were reported to be effective at improving hand hygiene. A minority (28%) used theory to inform intervention design. Interventions did not always address identified barriers or enablers. Most interventions addressed ‘action knowledge’ (e.g. hand washing instruction), which was not a widely reported barrier or enabler. Interventions did not extensively address the physical environment (e.g., resource availability) despite its importance for hand hygiene. Interventions leveraged a variety of BCT combinations, limiting comparability. We did not conduct a meta-analysis on effectiveness due to heterogeneity across studies. Ten studies reported hand hygiene station design adaptation effectiveness, six examined variations in frequency or intensity of intervention delivery, and four focused on people with disabilities, revealing gaps in evidence. Findings are limited by inconsistent intervention reporting but more consistent identification and leveraging of barriers and enablers would likely improve effectiveness of hand hygiene interventions.</w:t>
      </w:r>
    </w:p>
    <w:p w14:paraId="24E09BA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25-A-2568-ASTMH</w:t>
      </w:r>
    </w:p>
    <w:p w14:paraId="57BF48C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6058CE1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the effect of pyriproxyfen on survival and predatory abilities of predators of </w:t>
      </w:r>
      <w:r w:rsidRPr="00AF28B8">
        <w:rPr>
          <w:rFonts w:ascii="Calibri" w:hAnsi="Calibri" w:cs="Calibri"/>
          <w:i/>
          <w:iCs/>
          <w:color w:val="000000"/>
          <w:sz w:val="22"/>
          <w:szCs w:val="22"/>
        </w:rPr>
        <w:t>Anopheles arabiensis</w:t>
      </w:r>
      <w:r w:rsidRPr="00AF28B8">
        <w:rPr>
          <w:rFonts w:ascii="Calibri" w:hAnsi="Calibri" w:cs="Calibri"/>
          <w:color w:val="000000"/>
          <w:sz w:val="22"/>
          <w:szCs w:val="22"/>
        </w:rPr>
        <w:t> larvae under semi-field settings</w:t>
      </w:r>
    </w:p>
    <w:p w14:paraId="49E73E9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Larviciding forms an integral part of larval source management, a supplementary intervention for malaria vector control. However, if chemical larvicides are not thoroughly evaluated, they may harm non-target organisms in aquatic habitats. This study assessed the effect of pyriproxyfen, an insect growth regulator and a promising candidate for an autodissemination approach for malaria and arboviral control, on the survival and predatory abilities of field-collected nymphs of dragonflies, damselflies, and backswimmers in semi-field settings. Nymphs were exposed to 300 ppb pyriproxyfen </w:t>
      </w:r>
      <w:r w:rsidRPr="00AF28B8">
        <w:rPr>
          <w:rFonts w:ascii="Calibri" w:hAnsi="Calibri" w:cs="Calibri"/>
          <w:color w:val="000000"/>
          <w:sz w:val="22"/>
          <w:szCs w:val="22"/>
        </w:rPr>
        <w:lastRenderedPageBreak/>
        <w:t>for 21 days to assess the effect of pyriproxyfen on survival, while emergence inhibition was evaluated by individually exposing dragonfly and damselfly nymphs to either 50 or 300 ppb with daily mosquito larval provisioning until emergence or death. Additionally, the ability of predators to prey on mosquito larvae was assessed at pyriproxyfen concentrations of 150 and 300 ppb and varying prey densities (3, 6, or 9 larvae per 200 ml) with short-term (recorded every 40 minutes over 6 hours) and long-term (recorded every 24 hours over 9 days) assessments, and the number of larvae was replenished after each evaluation interval to maintain the prey density. The results indicated that a 300  ppb dose did not compromise predators survival, although it significantly inhibited damselfly emergence without affecting dragonflies. Notably, pyriproxyfen enhanced the predation abilities of backswimmers and dragonflies, whereas damselflies remained unaffected. These findings underscore the safety of pyriproxyfen in aquatic ecosystems and may complement other mosquito control strategies such as biological control with naturally occurring predators. Based on our findings, autodissemination could be effectively integrated with existing interventions, providing a dual effect on immature mosquitoes through both the direct effects of pyriproxyfen and the enhanced predation activity of predators.</w:t>
      </w:r>
    </w:p>
    <w:p w14:paraId="475918D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25-A-2569-ASTMH</w:t>
      </w:r>
    </w:p>
    <w:p w14:paraId="401A14B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4398B36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Poliovirus immunity among children aged 6-11 and 12-23 months in polio high-risk districts of Pakistan: Results from a household cross-sectional survey</w:t>
      </w:r>
    </w:p>
    <w:p w14:paraId="5428305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Pakistan is one of two countries where wild poliovirus (WPV) type 1 remains endemic. In 2023, we conducted a household-based cross-sectional survey to assess the level of antibodies against poliovirus among two age groups of children (6-11 months and 12-23 months) in the 39 very high-risk polio districts in Pakistan. </w:t>
      </w:r>
      <w:r w:rsidRPr="00AF28B8">
        <w:rPr>
          <w:rFonts w:ascii="Calibri" w:hAnsi="Calibri" w:cs="Calibri"/>
          <w:b/>
          <w:bCs/>
          <w:color w:val="000000"/>
          <w:sz w:val="22"/>
          <w:szCs w:val="22"/>
        </w:rPr>
        <w:t>Methods:</w:t>
      </w:r>
      <w:r w:rsidRPr="00AF28B8">
        <w:rPr>
          <w:rFonts w:ascii="Calibri" w:hAnsi="Calibri" w:cs="Calibri"/>
          <w:color w:val="000000"/>
          <w:sz w:val="22"/>
          <w:szCs w:val="22"/>
        </w:rPr>
        <w:t> The lot quality assurance sampling cluster was used as the sampling frame. A two-stage cluster sampling technique was employed for the survey. We selected 25 primary sampling units from each district using a PPS approach. Venous blood samples were collected, and serum was isolated to conduct neutralization assays for detecting poliovirus-neutralizing antibodies. </w:t>
      </w:r>
      <w:r w:rsidRPr="00AF28B8">
        <w:rPr>
          <w:rFonts w:ascii="Calibri" w:hAnsi="Calibri" w:cs="Calibri"/>
          <w:b/>
          <w:bCs/>
          <w:color w:val="000000"/>
          <w:sz w:val="22"/>
          <w:szCs w:val="22"/>
        </w:rPr>
        <w:t>Results: </w:t>
      </w:r>
      <w:r w:rsidRPr="00AF28B8">
        <w:rPr>
          <w:rFonts w:ascii="Calibri" w:hAnsi="Calibri" w:cs="Calibri"/>
          <w:color w:val="000000"/>
          <w:sz w:val="22"/>
          <w:szCs w:val="22"/>
        </w:rPr>
        <w:t>A total of 16,893 children (8,218 aged 6-11 months and 8,675 aged 12-23 months) from the 39 districts were assessed for seroprevalence. In the children aged 6-11 months, seroprevalence to poliovirus type 1 (PV1) was 94.7%, and seroprevalence to poliovirus type 3 (PV3) was 88.6%; in children aged 12-23 months, seroprevalence to PV1 was 96.0%, and to PV3 was 91.4%. Anti-bodies prevalence for poliovirus type 2 (PV2) was 45.5% in the younger group compared with 54.7% in the older children. Children from districts of Punjab and Sindh had seroprevalence to PV1 ranging from 92% to 99%, and districts from Khyber Pakhtunkhwa (KP) and Balochistan also had high prevalence, ranging from 82% to 99.0%, with an exception for district Killa Abdullah in Balochistan (75%). A similar prevalence pattern was observed for antibodies against PV3, ranging from 80% to 98% by district. In contrast, antibodies to PV2 were low, ranging from 37% for children aged 6-11 months in the districts of Sindh to around 43% in the districts of Balochistan. For the older group of children, PV2 prevalence ranged from 45% in the districts of Balochistan to 60% in the districts of KP. </w:t>
      </w:r>
      <w:r w:rsidRPr="00AF28B8">
        <w:rPr>
          <w:rFonts w:ascii="Calibri" w:hAnsi="Calibri" w:cs="Calibri"/>
          <w:b/>
          <w:bCs/>
          <w:color w:val="000000"/>
          <w:sz w:val="22"/>
          <w:szCs w:val="22"/>
        </w:rPr>
        <w:t>Conclusion:</w:t>
      </w:r>
      <w:r w:rsidRPr="00AF28B8">
        <w:rPr>
          <w:rFonts w:ascii="Calibri" w:hAnsi="Calibri" w:cs="Calibri"/>
          <w:color w:val="000000"/>
          <w:sz w:val="22"/>
          <w:szCs w:val="22"/>
        </w:rPr>
        <w:t> Our study highlights high immunity levels against poliovirus types 1 and 3 among children in high-risk districts of Pakistan but reveals a need for improvement in immunity against type 2. Continued surveillance and vaccination efforts are crucial to maintain progress towards this goal.</w:t>
      </w:r>
    </w:p>
    <w:p w14:paraId="24D462D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25-A-2571-ASTMH</w:t>
      </w:r>
    </w:p>
    <w:p w14:paraId="02E079A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78A86B5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Zika Virus’s Impact on Fetal Development: Exploring the Use of Portable Ultrasound in Reinforcing Public Health Surveillance in Low Resources Settings</w:t>
      </w:r>
    </w:p>
    <w:p w14:paraId="702BAB3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Zika virus(ZIKV) infection during pregnancy has been associated with severe birth defects, primarily microcephaly. This study aims to examine the relationship between ZIKV serologic status and fetal biometric measurements in a cohort of Haitian pregnant women, and the implication for public health. From April 2018-August 2019, 74 of 216 (34%) pregnant women tested were seropositive for ZIKV using </w:t>
      </w:r>
      <w:r w:rsidRPr="00AF28B8">
        <w:rPr>
          <w:rFonts w:ascii="Calibri" w:hAnsi="Calibri" w:cs="Calibri"/>
          <w:color w:val="000000"/>
          <w:sz w:val="22"/>
          <w:szCs w:val="22"/>
        </w:rPr>
        <w:lastRenderedPageBreak/>
        <w:t>ELIZA or plaque reduction assays. Fetal biometric parameters (BPD, HC, AC, FL, and EFW) were obtained during antenatal visits. The deviations from expected gestational age norms were reported. Descriptive statistics, independent t-tests, and MANOVA, were employed for analysis using SAS 9.4., showed variances in fetal parameters between the two serologic groups. Notably, the HC parameter showed a statistically significant reduction in ZIKV seropositive patients (p = 0.0369). However, other parameters did not display significant associations with seropositivity. Further multivariate analysis, such as MANOVA, indicated no significant difference in fetal parameter centroids between serologic groups. This study demonstrates an association between ZIKV seropositivity and reduced head circumference, aligning with previous findings on the impact of ZIKV. To our knowledge, this is one of the first investigations in Haiti to correlate fetal biometric parameters with Zika seropositivity, emphasizing the need for increased surveillance and preventive strategies in this region. The specificity of HC reduction may provide healthcare practitioners with a focused parameter to monitor at-risk pregnancies. Currently available and affordable portable ultrasounds devices and appropriate training for healthcare personal in resources limited settings, could contribute in both preventing pregnancy-related complications and identifying fetuses with potential ZIKV exposure. NB: EFW (Estimated Fetal Weight), BPD (Biparietal Diameter), HC (Head Circumference), AC (Abdominal Circumference), Fl (Femur Length)</w:t>
      </w:r>
    </w:p>
    <w:p w14:paraId="5655865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25-A-2572-ASTMH</w:t>
      </w:r>
    </w:p>
    <w:p w14:paraId="2A0FE4E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3ECDC40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Enhancing detection and response capacities of national surveillance systems in a changing global health funding landscape: Learning from community-based surveillance (CBS) programs in Iraq and beyond</w:t>
      </w:r>
    </w:p>
    <w:p w14:paraId="76E5B39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funding cuts enacted by the U.S. Government are devastating health systems worldwide, including surveillance systems responsible for detecting and responding to outbreaks. Migrant populations often have difficulty accessing health services, preventing communicable disease detection by national surveillance systems. CBS can strengthen local disease surveillance and detection capacity. Here, we present findings from CBS programs employed in Iraq IDP camps and communities along the Libyan migration corridor. In CBS, an alert detected or identified in the community is investigated and reported. In response to COVID-19, International Organization for Migration (IOM) Iraq piloted a CBS program that expanded to include 7+ diseases, following 8 steps: pre-planning; defining the population; determining team size; defining community alerts, creating data collection tools and developing training materials; recruiting/training teams; planning CBS logistics; conducting CBS activities; and monitoring, evaluation, and information dissemination. IOM Iraq CBS teams collected community alert data on AFP, animal bites, AWD, COVID-19/URIs, CCHF, leishmaniasis, measles, and scabies. Acceptability, alert definition PPV, representativeness, and timeliness were selected indicators based on best practices for monitoring and evaluating public health surveillance systems. The Iraq CBS program camps was acceptable (&gt;98% participation), representative (covered all zones within camps), and timely (avg time from detection to clinical evaluation was &lt;1 day for COVID-19 and 4.27 days for other diseases). COVID-19-specific alert PPV=53.17%, scabies alert PPV&gt;90%, COVID-19/URIs alert PPV=39.02% and AWD alert PPV=20%. Following successful implementation in Iraq, findings and methodology were shared with IOM Libya to support national CBS activities along the Libyan migration corridor. Results from comprehensive assessments and CBS pilot in Libya will be available in October 2025. CBS can enhance detection and response capacities of national surveillance systems during this era of change to the global health funding landscape.</w:t>
      </w:r>
    </w:p>
    <w:p w14:paraId="652724B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25-A-2573-ASTMH</w:t>
      </w:r>
    </w:p>
    <w:p w14:paraId="29B81BF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1716391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Scrub typhus: A significant and underrecognized cause of acute febrile illness in Kathmandu</w:t>
      </w:r>
    </w:p>
    <w:p w14:paraId="4A97DC3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Scrub typhus is a severe febrile illness caused by the intracellular bacterium Rickettsiaceae, Orientia tsutsugamushi (OT). Scrub typhus is an emerging yet under-recognized cause of febrile illness in Nepal. </w:t>
      </w:r>
      <w:r w:rsidRPr="00AF28B8">
        <w:rPr>
          <w:rFonts w:ascii="Calibri" w:hAnsi="Calibri" w:cs="Calibri"/>
          <w:color w:val="000000"/>
          <w:sz w:val="22"/>
          <w:szCs w:val="22"/>
        </w:rPr>
        <w:lastRenderedPageBreak/>
        <w:t>We aimed to describe the occurrence and clinical characteristics of pediatric scrub typhus to inform management, diagnostic policy and implications for surveillance in Nepal and, more broadly, the region. We conducted prospective surveillance of pediatric scrub typhus from March 2024 to February 2025 at Kanti Children’s Hospital, a tertiary referral hospital. A total of 2861 children with self-reported fever lasting one day or more within the past 14 days residing in the Kathmandu Valley were enrolled. The median age was 10 years (range 5-10), and 64% were male. The overall rapid test positivity rate was 3.2%, with a significant seasonal surge between August and November. The highest positivity was observed in week 44, with 9.7%% (3/31) of children testing positive. Positivity was higher among inpatients than outpatients (4.3% vs 2.65%). The majority of positivity cases had sought care prior to visiting Kanti Children’s Hospital (46.74%, 43/92), and 65% had already received antibiotics before their hospital visit. Of the 92 children who tested positive for scrub typhus in our surveillance study, 26 did not have a scrub typhus investigation requested as part of their routine clinical care. most commonly reported symptoms included cough and vomiting, and upon physical examination, eschar was present in 8.7% (8/92) of the cases. Coinfection with dengue was noted in 12% (11/92). Azithromycin was the main prescribed antibiotic, followed by cefixime. The observed seasonal, climate-influenced trends and high rates of antibiotic use prior to diagnosis highlight the need for early clinical suspicion. Timely diagnosis and appropriate treatment may help reduce unnecessary antibiotic exposure and improve outcomes.</w:t>
      </w:r>
    </w:p>
    <w:p w14:paraId="3EE8668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25-A-2574-ASTMH</w:t>
      </w:r>
    </w:p>
    <w:p w14:paraId="74B116A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48BE58C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Resilience Under Pressure: Health System Response to the COVID 19 pandemic and the recurrent Cerebrospinal Meningitis Outbreak in the Upper West Region of Ghana.</w:t>
      </w:r>
    </w:p>
    <w:p w14:paraId="495FF9E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COVID 19 pandemic placed unprecedented strain on global health systems, particularly in resource-limited settings, exacerbating weaknesses in outbreak response systems. This study assesses the impact of COVID 19 on health system resilience during the cerebrospinal meningitis (CSM) outbreak in the Upper West Region of Ghana, a region with a recurrent burden of meningitis. Using a qualitative design, we purposively sampled clinical and public health staff, as well as community health volunteers, across five high-burden districts. Data were collected from October 2023 to January 2024 through semi-structured interviews and analyzed thematically using the new health systems resilience framework. Findings revealed significant disruptions across all six resilience domains, with major challenges including diverted resources and attention toward COVID 19, inequitable allocation of essential medical supplies, and delays in CSM outbreak detection and response. Despite these challenges, health workers employed adaptive strategies such as task shifting and community led surveillance to mitigate service disruptions. This study provides critical insights into the intersection of pandemic response and outbreak disease management in fragile health systems. Strengthening emergency preparedness, integrating outbreak response systems, engaging communities in surveillance activities, task shifting and establishing a dedicated public health emergency fund at national and subnational levels are imperative for enhancing resilience against concurrent health crises. These findings offer valuable lessons for policymakers and global health stakeholders to improve preparedness and response strategies during multiple crises.</w:t>
      </w:r>
    </w:p>
    <w:p w14:paraId="0202A3D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25-A-2575-ASTMH</w:t>
      </w:r>
    </w:p>
    <w:p w14:paraId="3A54BDF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6009339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Severe RSV infections among children in tertiary intensive care, Ghana</w:t>
      </w:r>
    </w:p>
    <w:p w14:paraId="5C0CAD1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Respiratory Syncytial Virus (RSV) infection is a seasonal illness that affects about 97% of children by the age of 2 years. Although RSV infection can be life-threatening, there are limited data available on the burden of RSV in critically ill children. This study aimed to assess the burden of RSV among children younger than 2 years receiving intensive care at a pediatric unit in Accra, Ghana. Children younger than 2 years with severe respiratory tract infection who were admitted at the Pediatric Intensive Care Unit (PICU) of the Korle Bu Teaching Hospital were enrolled with parental consent. Nasal swabs were </w:t>
      </w:r>
      <w:r w:rsidRPr="00AF28B8">
        <w:rPr>
          <w:rFonts w:ascii="Calibri" w:hAnsi="Calibri" w:cs="Calibri"/>
          <w:color w:val="000000"/>
          <w:sz w:val="22"/>
          <w:szCs w:val="22"/>
        </w:rPr>
        <w:lastRenderedPageBreak/>
        <w:t>obtained and screened for RSV and influenza virus using a point-of-care test and then confirmed by real-time PCR at the NMIMR. A total of 51 children were enrolled from July to November 2021 (28 patients) and August to December 2022 (23 patients). RSV was confirmed in 21/51 (41%) of the children, majority (76%) of whom were below age 12 months. Among the RSV-positive group, infants younger than 6 months had a higher incidence of infection (62%, </w:t>
      </w:r>
      <w:r w:rsidRPr="00AF28B8">
        <w:rPr>
          <w:rFonts w:ascii="Calibri" w:hAnsi="Calibri" w:cs="Calibri"/>
          <w:i/>
          <w:iCs/>
          <w:color w:val="000000"/>
          <w:sz w:val="22"/>
          <w:szCs w:val="22"/>
        </w:rPr>
        <w:t>p&lt;</w:t>
      </w:r>
      <w:r w:rsidRPr="00AF28B8">
        <w:rPr>
          <w:rFonts w:ascii="Calibri" w:hAnsi="Calibri" w:cs="Calibri"/>
          <w:color w:val="000000"/>
          <w:sz w:val="22"/>
          <w:szCs w:val="22"/>
        </w:rPr>
        <w:t>0.01). RSV A predominated in 19/21 (90%) patients. Three patients (14%) were preterm and 6 (29%) had congenital abnormalities. A case each for Covid-19 and influenza was recorded. The average length of stay was 13 days and 5 RSV death occurred. RSV remained an important cause of severe respiratory illness among young children. The disease burden was substantial on infants during the first six months of life. Age-targeted interventions are needed against severe RSV disease.</w:t>
      </w:r>
    </w:p>
    <w:p w14:paraId="6D598D5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25-A-2576-ASTMH</w:t>
      </w:r>
    </w:p>
    <w:p w14:paraId="1F904D1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7DE99F2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Characterization of DENV E-dimer-Specific Memory B cells and Antibodies</w:t>
      </w:r>
    </w:p>
    <w:p w14:paraId="068B7F6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Characterizing the specificity and quality of the B cell response during dengue virus (DENV) infection is important for advancing vaccine development and antibody-based therapeutic strategies. The viral envelope (E) protein is a key target of the humoral response, with a subset of antibodies recognizing a conformational structure known as the E-dimer epitope. However, the phenotype and functional properties of E-dimer-specific memory B cells (MBCs) and their B cell receptor (BCR) specificities remain poorly characterized. In this study, we investigated soluble (s)E-dimer-specific MBC responses in individuals with subclinical or hospitalized DENV2 infections. PBMCs were collected at 60 days (60 DPI) and 1 year post-infection (1 YPI). Immunophenotyping of 25 hospitalized and 14 subclinal patients was done utilizing stabilized E-dimer protein and B cell surface proteins and revealed sE-dimer-specific MBCs within the IgD⁻CD27⁺ compartment in both groups, comprising 0.6% (±0.1%) of total switched MBCs at 60 DPI and 1 YPI. At both timepoints, these cells were predominantly enriched in the activated and resting MBC subset. In 15 hospitalized and 9 subclinical individuals, antigen-specific cells were sorted and we performed single-cell RNA sequencing and B cell receptor repertoire analysis. Similar distribution of somatic hypermutation in VDJ and VJ genes were observed across both groups at 60 DPI. In parallel, sE-dimer-specific single B cells were cultured for 27 days to generate monoclonal antibody (mAbs) of the same specificity as the BCR. Of the 102 E-specific mAbs produced, 38% bound only to sE-dimer, not sE monomer. Neutralization assays revealed a subset of highly potent DENV2-specific mAbs derived from subclinical donors, along with a distinct group of mAbs that moderately neutralized DENV2 and cross-neutralized other DENV serotypes, originating from both subclinical and hospitalized individuals. These findings offer new insights into the sE-dimer-specific memory B cell responses in subclinical and hospitalized DENV2-infected patients, informing vaccine development and therapeutic antibody design.</w:t>
      </w:r>
    </w:p>
    <w:p w14:paraId="30A42D9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25-A-2577-ASTMH</w:t>
      </w:r>
    </w:p>
    <w:p w14:paraId="257523F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19F2749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From Strategy to Impact: Insights from the ARC-WA Program on Advancing Regional Health Emergency Evidence Preparedness</w:t>
      </w:r>
    </w:p>
    <w:p w14:paraId="0570340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Abstract Title: From Strategy to Impact: Insights from the ARC-WA Program on Advancing Regional Health Emergency Evidence Preparedness Recent outbreaks have exposed persistent challenges in emergency response and surge capacity across low-resource settings in Africa, underscoring the urgency of strengthening regional leadership and local systems for timely evidence generation. To address this, the Coalition for Epidemic Preparedness Innovations (CEPI) launched the Advancing Research Capacity in West Africa (ARC-WA) program, in partnership with the International Vaccine Institute (IVI) and the Medical Research Council Unit, The Gambia (MRCG), jointly serving as the Technical Coordinating Partner (TCP).  ARC-WA aims to strengthen regional readiness for health emergencies. The methods used to shape this effort were designed to ensure contextual understanding through a participatory, stepwise process integrating qualitative research and co-development. First, a stakeholder mapping and </w:t>
      </w:r>
      <w:r w:rsidRPr="00AF28B8">
        <w:rPr>
          <w:rFonts w:ascii="Calibri" w:hAnsi="Calibri" w:cs="Calibri"/>
          <w:color w:val="000000"/>
          <w:sz w:val="22"/>
          <w:szCs w:val="22"/>
        </w:rPr>
        <w:lastRenderedPageBreak/>
        <w:t>landscape assessment—based on desk reviews and key informant interviews—was conducted to map key actors, structures, and mechanisms in West Africa. This was followed by an initial consultative workshop in Dakar, Senegal, in June 2024 (54 participants) to validate findings and refine strategies for engagement. A second ecosystem engagement workshop, held in Accra, Ghana, in late 2024 (120 participants), led to the co-development of a regional vision and stakeholder plan. This process revealed six core gaps: limited prioritization of national research preparedness agendas; poor coordination at national and regional levels; inadequate clinical research infrastructure; weak regulatory and ethics systems; insufficient in-country and cross-border collaboration; and chronic underfunding. Stakeholders identified targeted strategies to overcome these barriers, advancing the ARC-WA agenda from strategy to action and setting a foundation for sustainable, locally led emergency evidence generation in West Africa.</w:t>
      </w:r>
    </w:p>
    <w:p w14:paraId="3C88C29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25-A-2579-ASTMH</w:t>
      </w:r>
    </w:p>
    <w:p w14:paraId="659DF0B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7728C93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Strongyloidiasis Epidemiology and Diagnostics in a Large U.S. Safety-Net Health System in the Southern US</w:t>
      </w:r>
    </w:p>
    <w:p w14:paraId="72BB2A6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Strongyloidiasis, with an estimated global burden of 300–600 million cases, is a common, potentially life-threatening neglected tropical disease caused by </w:t>
      </w:r>
      <w:r w:rsidRPr="00AF28B8">
        <w:rPr>
          <w:rFonts w:ascii="Calibri" w:hAnsi="Calibri" w:cs="Calibri"/>
          <w:i/>
          <w:iCs/>
          <w:color w:val="000000"/>
          <w:sz w:val="22"/>
          <w:szCs w:val="22"/>
        </w:rPr>
        <w:t>Strongyloides </w:t>
      </w:r>
      <w:r w:rsidRPr="00AF28B8">
        <w:rPr>
          <w:rFonts w:ascii="Calibri" w:hAnsi="Calibri" w:cs="Calibri"/>
          <w:color w:val="000000"/>
          <w:sz w:val="22"/>
          <w:szCs w:val="22"/>
        </w:rPr>
        <w:t>species, endemic in tropical and subtropical regions, including the southern US. It is underdiagnosed due to low provider awareness and imperfect diagnostics. The clinical standard diagnostic—multiple stool ova-and-parasite (O&amp;P) tests—has poor sensitivity and is difficult for patients and laboratories to complete correctly; consequently, serologic testing is widely used despite subpar performance, particularly in immunocompromised hosts. This study aims to characterize </w:t>
      </w:r>
      <w:r w:rsidRPr="00AF28B8">
        <w:rPr>
          <w:rFonts w:ascii="Calibri" w:hAnsi="Calibri" w:cs="Calibri"/>
          <w:i/>
          <w:iCs/>
          <w:color w:val="000000"/>
          <w:sz w:val="22"/>
          <w:szCs w:val="22"/>
        </w:rPr>
        <w:t>Strongyloides</w:t>
      </w:r>
      <w:r w:rsidRPr="00AF28B8">
        <w:rPr>
          <w:rFonts w:ascii="Calibri" w:hAnsi="Calibri" w:cs="Calibri"/>
          <w:color w:val="000000"/>
          <w:sz w:val="22"/>
          <w:szCs w:val="22"/>
        </w:rPr>
        <w:t> prevalence and diagnostic use in a US health system serving a large at-risk population. We conducted a retrospective analysis of all patients tested via </w:t>
      </w:r>
      <w:r w:rsidRPr="00AF28B8">
        <w:rPr>
          <w:rFonts w:ascii="Calibri" w:hAnsi="Calibri" w:cs="Calibri"/>
          <w:i/>
          <w:iCs/>
          <w:color w:val="000000"/>
          <w:sz w:val="22"/>
          <w:szCs w:val="22"/>
        </w:rPr>
        <w:t>Strongyloides</w:t>
      </w:r>
      <w:r w:rsidRPr="00AF28B8">
        <w:rPr>
          <w:rFonts w:ascii="Calibri" w:hAnsi="Calibri" w:cs="Calibri"/>
          <w:color w:val="000000"/>
          <w:sz w:val="22"/>
          <w:szCs w:val="22"/>
        </w:rPr>
        <w:t> IgG between January 2022 and December 2024 across a safety-net health system serving the residents of Harris County, TX (Harris Health). We used Epic SlicerDicer to extract deidentified electronic health data, including serology and stool O&amp;P results, demographics, and immunosuppressive medication use within 3 months of testing. We analyzed these data using descriptive statistics. 2,244 unique patients underwent </w:t>
      </w:r>
      <w:r w:rsidRPr="00AF28B8">
        <w:rPr>
          <w:rFonts w:ascii="Calibri" w:hAnsi="Calibri" w:cs="Calibri"/>
          <w:i/>
          <w:iCs/>
          <w:color w:val="000000"/>
          <w:sz w:val="22"/>
          <w:szCs w:val="22"/>
        </w:rPr>
        <w:t>Strongyloides</w:t>
      </w:r>
      <w:r w:rsidRPr="00AF28B8">
        <w:rPr>
          <w:rFonts w:ascii="Calibri" w:hAnsi="Calibri" w:cs="Calibri"/>
          <w:color w:val="000000"/>
          <w:sz w:val="22"/>
          <w:szCs w:val="22"/>
        </w:rPr>
        <w:t> IgG testing; 48.6% (1,091/2,244) of the cohort were women, the average age was 42.1 years, and 77.6% (1,741/2,244) of patients identified as Hispanic.18.2% (408/2,244) had a positive </w:t>
      </w:r>
      <w:r w:rsidRPr="00AF28B8">
        <w:rPr>
          <w:rFonts w:ascii="Calibri" w:hAnsi="Calibri" w:cs="Calibri"/>
          <w:i/>
          <w:iCs/>
          <w:color w:val="000000"/>
          <w:sz w:val="22"/>
          <w:szCs w:val="22"/>
        </w:rPr>
        <w:t>Strongyloides </w:t>
      </w:r>
      <w:r w:rsidRPr="00AF28B8">
        <w:rPr>
          <w:rFonts w:ascii="Calibri" w:hAnsi="Calibri" w:cs="Calibri"/>
          <w:color w:val="000000"/>
          <w:sz w:val="22"/>
          <w:szCs w:val="22"/>
        </w:rPr>
        <w:t>IgG result; of these, only 26.5% (108/408) had concomitant stool O&amp;P testing performed, of which only 2.8% (3/108) revealed </w:t>
      </w:r>
      <w:r w:rsidRPr="00AF28B8">
        <w:rPr>
          <w:rFonts w:ascii="Calibri" w:hAnsi="Calibri" w:cs="Calibri"/>
          <w:i/>
          <w:iCs/>
          <w:color w:val="000000"/>
          <w:sz w:val="22"/>
          <w:szCs w:val="22"/>
        </w:rPr>
        <w:t>Strongyloides </w:t>
      </w:r>
      <w:r w:rsidRPr="00AF28B8">
        <w:rPr>
          <w:rFonts w:ascii="Calibri" w:hAnsi="Calibri" w:cs="Calibri"/>
          <w:color w:val="000000"/>
          <w:sz w:val="22"/>
          <w:szCs w:val="22"/>
        </w:rPr>
        <w:t>larvae. Only 83.6% (341/408) of seropositive patients received standard-of-care treatment with ivermectin. 19.3% (79/408) of seropositive patients were prescribed an immunosuppressant within 3 months of the </w:t>
      </w:r>
      <w:r w:rsidRPr="00AF28B8">
        <w:rPr>
          <w:rFonts w:ascii="Calibri" w:hAnsi="Calibri" w:cs="Calibri"/>
          <w:i/>
          <w:iCs/>
          <w:color w:val="000000"/>
          <w:sz w:val="22"/>
          <w:szCs w:val="22"/>
        </w:rPr>
        <w:t>Strongyloides </w:t>
      </w:r>
      <w:r w:rsidRPr="00AF28B8">
        <w:rPr>
          <w:rFonts w:ascii="Calibri" w:hAnsi="Calibri" w:cs="Calibri"/>
          <w:color w:val="000000"/>
          <w:sz w:val="22"/>
          <w:szCs w:val="22"/>
        </w:rPr>
        <w:t>IgG testing encounter. Though strongyloidiasis is a common infection among Harris Health patients, stool O&amp;P, the clinical diagnostic standard, is infrequently ordered. As new generation tests become available, comparisons of old and new diagnostics will help identify a high-performing screening strategy for US patients.</w:t>
      </w:r>
    </w:p>
    <w:p w14:paraId="1157785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25-A-2580-ASTMH</w:t>
      </w:r>
    </w:p>
    <w:p w14:paraId="63B01B8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761D3B9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Supportive Care And Antibiotics For Severe Pneumonia Among Hospitalised Children (SEARCH): A Pragmatic Randomized Controlled Trial</w:t>
      </w:r>
    </w:p>
    <w:p w14:paraId="5A852F5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Pneumonia is a leading cause of death among children aged under 5. &gt;10% of severe cases die with majority of deaths occurring in low-middle income countries. SEARCH evaluated the effectiveness of different antibiotics and supportive care interventions for treatment of children hospitalised with severe pneumonia.</w:t>
      </w:r>
      <w:r w:rsidRPr="00AF28B8">
        <w:rPr>
          <w:rFonts w:ascii="Calibri" w:hAnsi="Calibri" w:cs="Calibri"/>
          <w:color w:val="000000"/>
          <w:sz w:val="22"/>
          <w:szCs w:val="22"/>
        </w:rPr>
        <w:br/>
      </w:r>
      <w:r w:rsidRPr="00AF28B8">
        <w:rPr>
          <w:rFonts w:ascii="Calibri" w:hAnsi="Calibri" w:cs="Calibri"/>
          <w:b/>
          <w:bCs/>
          <w:color w:val="000000"/>
          <w:sz w:val="22"/>
          <w:szCs w:val="22"/>
        </w:rPr>
        <w:t>Methods:</w:t>
      </w:r>
      <w:r w:rsidRPr="00AF28B8">
        <w:rPr>
          <w:rFonts w:ascii="Calibri" w:hAnsi="Calibri" w:cs="Calibri"/>
          <w:color w:val="000000"/>
          <w:sz w:val="22"/>
          <w:szCs w:val="22"/>
        </w:rPr>
        <w:t> SEARCH was 3x2 factorial multi-centre pragmatic RCT conducted in 16 hospitals in Kenya. 4,393 children (aged 2-59 months) hospitalised with severe pneumonia were randomised to receive one of 3 injectable antibiotics: benzylpenicillin plus gentamicin (standard of care), ceftriaxone or amoxicillin-</w:t>
      </w:r>
      <w:r w:rsidRPr="00AF28B8">
        <w:rPr>
          <w:rFonts w:ascii="Calibri" w:hAnsi="Calibri" w:cs="Calibri"/>
          <w:color w:val="000000"/>
          <w:sz w:val="22"/>
          <w:szCs w:val="22"/>
        </w:rPr>
        <w:lastRenderedPageBreak/>
        <w:t>clavulanic acid. Eligible children were also randomised into IV Fluids or nasogastric tube feeds. Primary outcome was mortality at day 5. Secondary outcomes were time taken to be able to drink, length of hospitalisation, serious adverse events and mortality at day 30.</w:t>
      </w:r>
      <w:r w:rsidRPr="00AF28B8">
        <w:rPr>
          <w:rFonts w:ascii="Calibri" w:hAnsi="Calibri" w:cs="Calibri"/>
          <w:color w:val="000000"/>
          <w:sz w:val="22"/>
          <w:szCs w:val="22"/>
        </w:rPr>
        <w:br/>
      </w:r>
      <w:r w:rsidRPr="00AF28B8">
        <w:rPr>
          <w:rFonts w:ascii="Calibri" w:hAnsi="Calibri" w:cs="Calibri"/>
          <w:b/>
          <w:bCs/>
          <w:color w:val="000000"/>
          <w:sz w:val="22"/>
          <w:szCs w:val="22"/>
        </w:rPr>
        <w:t>Results:</w:t>
      </w:r>
      <w:r w:rsidRPr="00AF28B8">
        <w:rPr>
          <w:rFonts w:ascii="Calibri" w:hAnsi="Calibri" w:cs="Calibri"/>
          <w:color w:val="000000"/>
          <w:sz w:val="22"/>
          <w:szCs w:val="22"/>
        </w:rPr>
        <w:t> No significant differences between the antibiotic and supportive care arms for all outcomes. Day 5 mortality was 87 (5.95%), 82 (5.62%) and 81 (5.54%) in the benzylpenicillin plus gentamicin, amoxicillin-clavulanic acid and ceftriaxone arms respectively. (adjusted risk ratios 0.94, 95% CI 0.67-1.31 for amoxicillin-clavulanic acid arm and 0.95, 95%CI 0.68-1.33, for ceftriaxone arm, both relative to the benzylpenicillin plus gentamicin, and 1.02, 95%CI 0.73-1.43 for ceftriaxone relative to amoxicillin-clavulanic acid. Day 5 mortality was 30 (5.65%) for nasogastric feeds and 35 (6.58%) for intravenous fluid therapy (adjusted relative risk of 1.13, 95%CI 0.71-1.79).</w:t>
      </w:r>
      <w:r w:rsidRPr="00AF28B8">
        <w:rPr>
          <w:rFonts w:ascii="Calibri" w:hAnsi="Calibri" w:cs="Calibri"/>
          <w:color w:val="000000"/>
          <w:sz w:val="22"/>
          <w:szCs w:val="22"/>
        </w:rPr>
        <w:br/>
      </w:r>
      <w:r w:rsidRPr="00AF28B8">
        <w:rPr>
          <w:rFonts w:ascii="Calibri" w:hAnsi="Calibri" w:cs="Calibri"/>
          <w:b/>
          <w:bCs/>
          <w:color w:val="000000"/>
          <w:sz w:val="22"/>
          <w:szCs w:val="22"/>
        </w:rPr>
        <w:t>Conclusions:</w:t>
      </w:r>
      <w:r w:rsidRPr="00AF28B8">
        <w:rPr>
          <w:rFonts w:ascii="Calibri" w:hAnsi="Calibri" w:cs="Calibri"/>
          <w:color w:val="000000"/>
          <w:sz w:val="22"/>
          <w:szCs w:val="22"/>
        </w:rPr>
        <w:t> Benzylpenicillin plus gentamicin achieved comparable outcomes to alternative antibiotic reinforcing its suitability as the first line treatment for severe pneumonia.</w:t>
      </w:r>
    </w:p>
    <w:p w14:paraId="4275B15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25-A-2581-ASTMH</w:t>
      </w:r>
    </w:p>
    <w:p w14:paraId="3821FC5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0AD9D73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Paradoxical effects of </w:t>
      </w:r>
      <w:r w:rsidRPr="00AF28B8">
        <w:rPr>
          <w:rFonts w:ascii="Calibri" w:hAnsi="Calibri" w:cs="Calibri"/>
          <w:b/>
          <w:bCs/>
          <w:i/>
          <w:iCs/>
          <w:color w:val="000000"/>
          <w:sz w:val="22"/>
          <w:szCs w:val="22"/>
        </w:rPr>
        <w:t>Ascaris</w:t>
      </w:r>
      <w:r w:rsidRPr="00AF28B8">
        <w:rPr>
          <w:rFonts w:ascii="Calibri" w:hAnsi="Calibri" w:cs="Calibri"/>
          <w:b/>
          <w:bCs/>
          <w:color w:val="000000"/>
          <w:sz w:val="22"/>
          <w:szCs w:val="22"/>
        </w:rPr>
        <w:t>-induced pyloric metaplasia: reducing </w:t>
      </w:r>
      <w:r w:rsidRPr="00AF28B8">
        <w:rPr>
          <w:rFonts w:ascii="Calibri" w:hAnsi="Calibri" w:cs="Calibri"/>
          <w:b/>
          <w:bCs/>
          <w:i/>
          <w:iCs/>
          <w:color w:val="000000"/>
          <w:sz w:val="22"/>
          <w:szCs w:val="22"/>
        </w:rPr>
        <w:t>Ascaris </w:t>
      </w:r>
      <w:r w:rsidRPr="00AF28B8">
        <w:rPr>
          <w:rFonts w:ascii="Calibri" w:hAnsi="Calibri" w:cs="Calibri"/>
          <w:b/>
          <w:bCs/>
          <w:color w:val="000000"/>
          <w:sz w:val="22"/>
          <w:szCs w:val="22"/>
        </w:rPr>
        <w:t>reinfection but creating </w:t>
      </w:r>
      <w:r w:rsidRPr="00AF28B8">
        <w:rPr>
          <w:rFonts w:ascii="Calibri" w:hAnsi="Calibri" w:cs="Calibri"/>
          <w:b/>
          <w:bCs/>
          <w:i/>
          <w:iCs/>
          <w:color w:val="000000"/>
          <w:sz w:val="22"/>
          <w:szCs w:val="22"/>
        </w:rPr>
        <w:t>Helicobacter pylori </w:t>
      </w:r>
      <w:r w:rsidRPr="00AF28B8">
        <w:rPr>
          <w:rFonts w:ascii="Calibri" w:hAnsi="Calibri" w:cs="Calibri"/>
          <w:b/>
          <w:bCs/>
          <w:color w:val="000000"/>
          <w:sz w:val="22"/>
          <w:szCs w:val="22"/>
        </w:rPr>
        <w:t>opportunity</w:t>
      </w:r>
    </w:p>
    <w:p w14:paraId="622140E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Ascaris</w:t>
      </w:r>
      <w:r w:rsidRPr="00AF28B8">
        <w:rPr>
          <w:rFonts w:ascii="Calibri" w:hAnsi="Calibri" w:cs="Calibri"/>
          <w:color w:val="000000"/>
          <w:sz w:val="22"/>
          <w:szCs w:val="22"/>
        </w:rPr>
        <w:t> roundworms infect over 700 million individuals globally and disproportionately affect low- and middle-income countries (LMICs). Reinfection in LMICs is common with an age-dependent phenomenon wherein children harbor heavier infectious burdens than adults. Our lab recently discovered that </w:t>
      </w:r>
      <w:r w:rsidRPr="00AF28B8">
        <w:rPr>
          <w:rFonts w:ascii="Calibri" w:hAnsi="Calibri" w:cs="Calibri"/>
          <w:i/>
          <w:iCs/>
          <w:color w:val="000000"/>
          <w:sz w:val="22"/>
          <w:szCs w:val="22"/>
        </w:rPr>
        <w:t>Ascaris </w:t>
      </w:r>
      <w:r w:rsidRPr="00AF28B8">
        <w:rPr>
          <w:rFonts w:ascii="Calibri" w:hAnsi="Calibri" w:cs="Calibri"/>
          <w:color w:val="000000"/>
          <w:sz w:val="22"/>
          <w:szCs w:val="22"/>
        </w:rPr>
        <w:t>infects the host by crossing the gastric epithelium - not the intestinal barrier as previously believed. Given that the stomach is a highly plastic environment, we hypothesized that age-dependent variability in </w:t>
      </w:r>
      <w:r w:rsidRPr="00AF28B8">
        <w:rPr>
          <w:rFonts w:ascii="Calibri" w:hAnsi="Calibri" w:cs="Calibri"/>
          <w:i/>
          <w:iCs/>
          <w:color w:val="000000"/>
          <w:sz w:val="22"/>
          <w:szCs w:val="22"/>
        </w:rPr>
        <w:t>Ascaris</w:t>
      </w:r>
      <w:r w:rsidRPr="00AF28B8">
        <w:rPr>
          <w:rFonts w:ascii="Calibri" w:hAnsi="Calibri" w:cs="Calibri"/>
          <w:color w:val="000000"/>
          <w:sz w:val="22"/>
          <w:szCs w:val="22"/>
        </w:rPr>
        <w:t> infectious burden was due to gastric mucosal reprogramming to protect against heavy reinfection. To answer this, we developed a novel murine model of repeated </w:t>
      </w:r>
      <w:r w:rsidRPr="00AF28B8">
        <w:rPr>
          <w:rFonts w:ascii="Calibri" w:hAnsi="Calibri" w:cs="Calibri"/>
          <w:i/>
          <w:iCs/>
          <w:color w:val="000000"/>
          <w:sz w:val="22"/>
          <w:szCs w:val="22"/>
        </w:rPr>
        <w:t>Ascaris</w:t>
      </w:r>
      <w:r w:rsidRPr="00AF28B8">
        <w:rPr>
          <w:rFonts w:ascii="Calibri" w:hAnsi="Calibri" w:cs="Calibri"/>
          <w:color w:val="000000"/>
          <w:sz w:val="22"/>
          <w:szCs w:val="22"/>
        </w:rPr>
        <w:t> infection to recapitulate the reinfection dynamics seen in LMICs. We found that repeated </w:t>
      </w:r>
      <w:r w:rsidRPr="00AF28B8">
        <w:rPr>
          <w:rFonts w:ascii="Calibri" w:hAnsi="Calibri" w:cs="Calibri"/>
          <w:i/>
          <w:iCs/>
          <w:color w:val="000000"/>
          <w:sz w:val="22"/>
          <w:szCs w:val="22"/>
        </w:rPr>
        <w:t>Ascaris </w:t>
      </w:r>
      <w:r w:rsidRPr="00AF28B8">
        <w:rPr>
          <w:rFonts w:ascii="Calibri" w:hAnsi="Calibri" w:cs="Calibri"/>
          <w:color w:val="000000"/>
          <w:sz w:val="22"/>
          <w:szCs w:val="22"/>
        </w:rPr>
        <w:t>challenge indeed lowered infectious burdens compared to single </w:t>
      </w:r>
      <w:r w:rsidRPr="00AF28B8">
        <w:rPr>
          <w:rFonts w:ascii="Calibri" w:hAnsi="Calibri" w:cs="Calibri"/>
          <w:i/>
          <w:iCs/>
          <w:color w:val="000000"/>
          <w:sz w:val="22"/>
          <w:szCs w:val="22"/>
        </w:rPr>
        <w:t>Ascaris </w:t>
      </w:r>
      <w:r w:rsidRPr="00AF28B8">
        <w:rPr>
          <w:rFonts w:ascii="Calibri" w:hAnsi="Calibri" w:cs="Calibri"/>
          <w:color w:val="000000"/>
          <w:sz w:val="22"/>
          <w:szCs w:val="22"/>
        </w:rPr>
        <w:t>challenge models, indicating that repeated </w:t>
      </w:r>
      <w:r w:rsidRPr="00AF28B8">
        <w:rPr>
          <w:rFonts w:ascii="Calibri" w:hAnsi="Calibri" w:cs="Calibri"/>
          <w:i/>
          <w:iCs/>
          <w:color w:val="000000"/>
          <w:sz w:val="22"/>
          <w:szCs w:val="22"/>
        </w:rPr>
        <w:t>Ascaris </w:t>
      </w:r>
      <w:r w:rsidRPr="00AF28B8">
        <w:rPr>
          <w:rFonts w:ascii="Calibri" w:hAnsi="Calibri" w:cs="Calibri"/>
          <w:color w:val="000000"/>
          <w:sz w:val="22"/>
          <w:szCs w:val="22"/>
        </w:rPr>
        <w:t>exposure conferred protection against heavy infection. Importantly, this protection was not due to adaptive immunity but rather </w:t>
      </w:r>
      <w:r w:rsidRPr="00AF28B8">
        <w:rPr>
          <w:rFonts w:ascii="Calibri" w:hAnsi="Calibri" w:cs="Calibri"/>
          <w:i/>
          <w:iCs/>
          <w:color w:val="000000"/>
          <w:sz w:val="22"/>
          <w:szCs w:val="22"/>
        </w:rPr>
        <w:t>Ascaris-</w:t>
      </w:r>
      <w:r w:rsidRPr="00AF28B8">
        <w:rPr>
          <w:rFonts w:ascii="Calibri" w:hAnsi="Calibri" w:cs="Calibri"/>
          <w:color w:val="000000"/>
          <w:sz w:val="22"/>
          <w:szCs w:val="22"/>
        </w:rPr>
        <w:t>induced pyloric metaplasia (AIPM) - a reparative phenotype characterized by parietal cell death, transdifferentiation of chief cells, and reduced gastric acid production. Despite the protection from heavy </w:t>
      </w:r>
      <w:r w:rsidRPr="00AF28B8">
        <w:rPr>
          <w:rFonts w:ascii="Calibri" w:hAnsi="Calibri" w:cs="Calibri"/>
          <w:i/>
          <w:iCs/>
          <w:color w:val="000000"/>
          <w:sz w:val="22"/>
          <w:szCs w:val="22"/>
        </w:rPr>
        <w:t>Ascaris </w:t>
      </w:r>
      <w:r w:rsidRPr="00AF28B8">
        <w:rPr>
          <w:rFonts w:ascii="Calibri" w:hAnsi="Calibri" w:cs="Calibri"/>
          <w:color w:val="000000"/>
          <w:sz w:val="22"/>
          <w:szCs w:val="22"/>
        </w:rPr>
        <w:t>reinfection conferred by AIPM, our data suggest that AIPM may create a niche for the co-endemic pathogen </w:t>
      </w:r>
      <w:r w:rsidRPr="00AF28B8">
        <w:rPr>
          <w:rFonts w:ascii="Calibri" w:hAnsi="Calibri" w:cs="Calibri"/>
          <w:i/>
          <w:iCs/>
          <w:color w:val="000000"/>
          <w:sz w:val="22"/>
          <w:szCs w:val="22"/>
        </w:rPr>
        <w:t>Helicobacter pylori</w:t>
      </w:r>
      <w:r w:rsidRPr="00AF28B8">
        <w:rPr>
          <w:rFonts w:ascii="Calibri" w:hAnsi="Calibri" w:cs="Calibri"/>
          <w:color w:val="000000"/>
          <w:sz w:val="22"/>
          <w:szCs w:val="22"/>
        </w:rPr>
        <w:t> by increasing expression of surface proteins used by </w:t>
      </w:r>
      <w:r w:rsidRPr="00AF28B8">
        <w:rPr>
          <w:rFonts w:ascii="Calibri" w:hAnsi="Calibri" w:cs="Calibri"/>
          <w:i/>
          <w:iCs/>
          <w:color w:val="000000"/>
          <w:sz w:val="22"/>
          <w:szCs w:val="22"/>
        </w:rPr>
        <w:t>H. pylori </w:t>
      </w:r>
      <w:r w:rsidRPr="00AF28B8">
        <w:rPr>
          <w:rFonts w:ascii="Calibri" w:hAnsi="Calibri" w:cs="Calibri"/>
          <w:color w:val="000000"/>
          <w:sz w:val="22"/>
          <w:szCs w:val="22"/>
        </w:rPr>
        <w:t>for adherence to the gastric mucosa (Fut4 selectin, α5 , sialyl-Lewis X receptor). </w:t>
      </w:r>
      <w:r w:rsidRPr="00AF28B8">
        <w:rPr>
          <w:rFonts w:ascii="Calibri" w:hAnsi="Calibri" w:cs="Calibri"/>
          <w:i/>
          <w:iCs/>
          <w:color w:val="000000"/>
          <w:sz w:val="22"/>
          <w:szCs w:val="22"/>
        </w:rPr>
        <w:t>H. pylori </w:t>
      </w:r>
      <w:r w:rsidRPr="00AF28B8">
        <w:rPr>
          <w:rFonts w:ascii="Calibri" w:hAnsi="Calibri" w:cs="Calibri"/>
          <w:color w:val="000000"/>
          <w:sz w:val="22"/>
          <w:szCs w:val="22"/>
        </w:rPr>
        <w:t>is a primary driver of chronic gastric disease and gastric cancer frequently found in LMICs. Given the geographic overlap between </w:t>
      </w:r>
      <w:r w:rsidRPr="00AF28B8">
        <w:rPr>
          <w:rFonts w:ascii="Calibri" w:hAnsi="Calibri" w:cs="Calibri"/>
          <w:i/>
          <w:iCs/>
          <w:color w:val="000000"/>
          <w:sz w:val="22"/>
          <w:szCs w:val="22"/>
        </w:rPr>
        <w:t>Ascaris </w:t>
      </w:r>
      <w:r w:rsidRPr="00AF28B8">
        <w:rPr>
          <w:rFonts w:ascii="Calibri" w:hAnsi="Calibri" w:cs="Calibri"/>
          <w:color w:val="000000"/>
          <w:sz w:val="22"/>
          <w:szCs w:val="22"/>
        </w:rPr>
        <w:t>and </w:t>
      </w:r>
      <w:r w:rsidRPr="00AF28B8">
        <w:rPr>
          <w:rFonts w:ascii="Calibri" w:hAnsi="Calibri" w:cs="Calibri"/>
          <w:i/>
          <w:iCs/>
          <w:color w:val="000000"/>
          <w:sz w:val="22"/>
          <w:szCs w:val="22"/>
        </w:rPr>
        <w:t>H. pylori </w:t>
      </w:r>
      <w:r w:rsidRPr="00AF28B8">
        <w:rPr>
          <w:rFonts w:ascii="Calibri" w:hAnsi="Calibri" w:cs="Calibri"/>
          <w:color w:val="000000"/>
          <w:sz w:val="22"/>
          <w:szCs w:val="22"/>
        </w:rPr>
        <w:t>and the preliminary data suggesting that AIPM may increase host susceptibility to </w:t>
      </w:r>
      <w:r w:rsidRPr="00AF28B8">
        <w:rPr>
          <w:rFonts w:ascii="Calibri" w:hAnsi="Calibri" w:cs="Calibri"/>
          <w:i/>
          <w:iCs/>
          <w:color w:val="000000"/>
          <w:sz w:val="22"/>
          <w:szCs w:val="22"/>
        </w:rPr>
        <w:t>H. pylori, </w:t>
      </w:r>
      <w:r w:rsidRPr="00AF28B8">
        <w:rPr>
          <w:rFonts w:ascii="Calibri" w:hAnsi="Calibri" w:cs="Calibri"/>
          <w:color w:val="000000"/>
          <w:sz w:val="22"/>
          <w:szCs w:val="22"/>
        </w:rPr>
        <w:t>studies to investigate the relationship between these two pathogens are ongoing. Overall, this research provides novel insights on the reinfection dynamics of </w:t>
      </w:r>
      <w:r w:rsidRPr="00AF28B8">
        <w:rPr>
          <w:rFonts w:ascii="Calibri" w:hAnsi="Calibri" w:cs="Calibri"/>
          <w:i/>
          <w:iCs/>
          <w:color w:val="000000"/>
          <w:sz w:val="22"/>
          <w:szCs w:val="22"/>
        </w:rPr>
        <w:t>Ascaris</w:t>
      </w:r>
      <w:r w:rsidRPr="00AF28B8">
        <w:rPr>
          <w:rFonts w:ascii="Calibri" w:hAnsi="Calibri" w:cs="Calibri"/>
          <w:color w:val="000000"/>
          <w:sz w:val="22"/>
          <w:szCs w:val="22"/>
        </w:rPr>
        <w:t> and suggests a previously unexplored link between </w:t>
      </w:r>
      <w:r w:rsidRPr="00AF28B8">
        <w:rPr>
          <w:rFonts w:ascii="Calibri" w:hAnsi="Calibri" w:cs="Calibri"/>
          <w:i/>
          <w:iCs/>
          <w:color w:val="000000"/>
          <w:sz w:val="22"/>
          <w:szCs w:val="22"/>
        </w:rPr>
        <w:t>Ascaris</w:t>
      </w:r>
      <w:r w:rsidRPr="00AF28B8">
        <w:rPr>
          <w:rFonts w:ascii="Calibri" w:hAnsi="Calibri" w:cs="Calibri"/>
          <w:color w:val="000000"/>
          <w:sz w:val="22"/>
          <w:szCs w:val="22"/>
        </w:rPr>
        <w:t> and </w:t>
      </w:r>
      <w:r w:rsidRPr="00AF28B8">
        <w:rPr>
          <w:rFonts w:ascii="Calibri" w:hAnsi="Calibri" w:cs="Calibri"/>
          <w:i/>
          <w:iCs/>
          <w:color w:val="000000"/>
          <w:sz w:val="22"/>
          <w:szCs w:val="22"/>
        </w:rPr>
        <w:t>H. pylori</w:t>
      </w:r>
      <w:r w:rsidRPr="00AF28B8">
        <w:rPr>
          <w:rFonts w:ascii="Calibri" w:hAnsi="Calibri" w:cs="Calibri"/>
          <w:color w:val="000000"/>
          <w:sz w:val="22"/>
          <w:szCs w:val="22"/>
        </w:rPr>
        <w:t> with significant implications for chronic gastric disease in LMICs.</w:t>
      </w:r>
    </w:p>
    <w:p w14:paraId="30C2B58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25-A-2582-ASTMH</w:t>
      </w:r>
    </w:p>
    <w:p w14:paraId="38BBDCC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and Genetics of Insecticide Resistance</w:t>
      </w:r>
    </w:p>
    <w:p w14:paraId="1A12AAF9" w14:textId="200A7F4E"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Monitoring results for insecticide resistance across Northeast and mid-Atlantic states in the United States: results from six years of submissions 2019-2024</w:t>
      </w:r>
    </w:p>
    <w:p w14:paraId="5935C7A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Northeast Regional Center for Excellence in Vector-Borne Diseases (NEVBD) initiated the first insecticide resistance monitoring program for the Northeast and Mid-Atlantic regions in the United States. From 2019-2024, NEVBD tested two key mosquito vector species, </w:t>
      </w:r>
      <w:r w:rsidRPr="00AF28B8">
        <w:rPr>
          <w:rFonts w:ascii="Calibri" w:hAnsi="Calibri" w:cs="Calibri"/>
          <w:i/>
          <w:iCs/>
          <w:color w:val="000000"/>
          <w:sz w:val="22"/>
          <w:szCs w:val="22"/>
        </w:rPr>
        <w:t>Ae. albopictus</w:t>
      </w:r>
      <w:r w:rsidRPr="00AF28B8">
        <w:rPr>
          <w:rFonts w:ascii="Calibri" w:hAnsi="Calibri" w:cs="Calibri"/>
          <w:color w:val="000000"/>
          <w:sz w:val="22"/>
          <w:szCs w:val="22"/>
        </w:rPr>
        <w:t> and </w:t>
      </w:r>
      <w:r w:rsidRPr="00AF28B8">
        <w:rPr>
          <w:rFonts w:ascii="Calibri" w:hAnsi="Calibri" w:cs="Calibri"/>
          <w:i/>
          <w:iCs/>
          <w:color w:val="000000"/>
          <w:sz w:val="22"/>
          <w:szCs w:val="22"/>
        </w:rPr>
        <w:t>Cx. pipiens</w:t>
      </w:r>
      <w:r w:rsidRPr="00AF28B8">
        <w:rPr>
          <w:rFonts w:ascii="Calibri" w:hAnsi="Calibri" w:cs="Calibri"/>
          <w:color w:val="000000"/>
          <w:sz w:val="22"/>
          <w:szCs w:val="22"/>
        </w:rPr>
        <w:t>, for resistance to larvicides and adulticides. Briefly, we developed a larval bioassay to test for larvicide resistance and performed CDC bottle bioassays to test for resistance to adulticides. Specimens were submitted from 44 regional partners. The majority of specimens submitted were </w:t>
      </w:r>
      <w:r w:rsidRPr="00AF28B8">
        <w:rPr>
          <w:rFonts w:ascii="Calibri" w:hAnsi="Calibri" w:cs="Calibri"/>
          <w:i/>
          <w:iCs/>
          <w:color w:val="000000"/>
          <w:sz w:val="22"/>
          <w:szCs w:val="22"/>
        </w:rPr>
        <w:t>Cx. pipiens</w:t>
      </w:r>
      <w:r w:rsidRPr="00AF28B8">
        <w:rPr>
          <w:rFonts w:ascii="Calibri" w:hAnsi="Calibri" w:cs="Calibri"/>
          <w:color w:val="000000"/>
          <w:sz w:val="22"/>
          <w:szCs w:val="22"/>
        </w:rPr>
        <w:t> (81%), followed by </w:t>
      </w:r>
      <w:r w:rsidRPr="00AF28B8">
        <w:rPr>
          <w:rFonts w:ascii="Calibri" w:hAnsi="Calibri" w:cs="Calibri"/>
          <w:i/>
          <w:iCs/>
          <w:color w:val="000000"/>
          <w:sz w:val="22"/>
          <w:szCs w:val="22"/>
        </w:rPr>
        <w:t>Ae. albopictus</w:t>
      </w:r>
      <w:r w:rsidRPr="00AF28B8">
        <w:rPr>
          <w:rFonts w:ascii="Calibri" w:hAnsi="Calibri" w:cs="Calibri"/>
          <w:color w:val="000000"/>
          <w:sz w:val="22"/>
          <w:szCs w:val="22"/>
        </w:rPr>
        <w:t> (11%) and </w:t>
      </w:r>
      <w:r w:rsidRPr="00AF28B8">
        <w:rPr>
          <w:rFonts w:ascii="Calibri" w:hAnsi="Calibri" w:cs="Calibri"/>
          <w:i/>
          <w:iCs/>
          <w:color w:val="000000"/>
          <w:sz w:val="22"/>
          <w:szCs w:val="22"/>
        </w:rPr>
        <w:t>Cx. restuans</w:t>
      </w:r>
      <w:r w:rsidRPr="00AF28B8">
        <w:rPr>
          <w:rFonts w:ascii="Calibri" w:hAnsi="Calibri" w:cs="Calibri"/>
          <w:color w:val="000000"/>
          <w:sz w:val="22"/>
          <w:szCs w:val="22"/>
        </w:rPr>
        <w:t> (9%). We identified </w:t>
      </w:r>
      <w:r w:rsidRPr="00AF28B8">
        <w:rPr>
          <w:rFonts w:ascii="Calibri" w:hAnsi="Calibri" w:cs="Calibri"/>
          <w:i/>
          <w:iCs/>
          <w:color w:val="000000"/>
          <w:sz w:val="22"/>
          <w:szCs w:val="22"/>
        </w:rPr>
        <w:t>Cx. pipiens </w:t>
      </w:r>
      <w:r w:rsidRPr="00AF28B8">
        <w:rPr>
          <w:rFonts w:ascii="Calibri" w:hAnsi="Calibri" w:cs="Calibri"/>
          <w:color w:val="000000"/>
          <w:sz w:val="22"/>
          <w:szCs w:val="22"/>
        </w:rPr>
        <w:t xml:space="preserve">populations with </w:t>
      </w:r>
      <w:r w:rsidRPr="00AF28B8">
        <w:rPr>
          <w:rFonts w:ascii="Calibri" w:hAnsi="Calibri" w:cs="Calibri"/>
          <w:color w:val="000000"/>
          <w:sz w:val="22"/>
          <w:szCs w:val="22"/>
        </w:rPr>
        <w:lastRenderedPageBreak/>
        <w:t>moderate to high resistance to pyrethroids in several locations and emerging resistance to organophosphates in the mid-Atlantic coastal region. Additionally, </w:t>
      </w:r>
      <w:r w:rsidRPr="00AF28B8">
        <w:rPr>
          <w:rFonts w:ascii="Calibri" w:hAnsi="Calibri" w:cs="Calibri"/>
          <w:i/>
          <w:iCs/>
          <w:color w:val="000000"/>
          <w:sz w:val="22"/>
          <w:szCs w:val="22"/>
        </w:rPr>
        <w:t>Cx. pipiens</w:t>
      </w:r>
      <w:r w:rsidRPr="00AF28B8">
        <w:rPr>
          <w:rFonts w:ascii="Calibri" w:hAnsi="Calibri" w:cs="Calibri"/>
          <w:color w:val="000000"/>
          <w:sz w:val="22"/>
          <w:szCs w:val="22"/>
        </w:rPr>
        <w:t> resistance to the larvicide methoprene was widespread throughout the region. These findings confirm the presence of insecticide resistance among medically relevant mosquitoes in the region necessitating the continued need for resistance monitoring to successfully protect public health.</w:t>
      </w:r>
    </w:p>
    <w:p w14:paraId="7F39508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25-A-2583-ASTMH</w:t>
      </w:r>
    </w:p>
    <w:p w14:paraId="54D2EC0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3AB505E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Community Readiness to Receive Topical Repellents for Malaria Prevention: Outcomes of a Ground Truthing Assessment, Mashonaland Central Province; Zimbabwe 2025</w:t>
      </w:r>
    </w:p>
    <w:p w14:paraId="4DB1694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Zimbabwe, outdoor nighttime activities increase malaria risk despite deployment of indoor residual spraying and Insecticide Treated Nets (ITNs). To prioritize areas for deployment of mosquito topical repellents in at risk populations, a ground truthing exercise was conducted at community level (</w:t>
      </w:r>
      <w:r w:rsidRPr="00AF28B8">
        <w:rPr>
          <w:rFonts w:ascii="Calibri" w:hAnsi="Calibri" w:cs="Calibri"/>
          <w:i/>
          <w:iCs/>
          <w:color w:val="000000"/>
          <w:sz w:val="22"/>
          <w:szCs w:val="22"/>
        </w:rPr>
        <w:t>i.e., Mbire Wards 2 and 11, and Centenary Ward 15</w:t>
      </w:r>
      <w:r w:rsidRPr="00AF28B8">
        <w:rPr>
          <w:rFonts w:ascii="Calibri" w:hAnsi="Calibri" w:cs="Calibri"/>
          <w:color w:val="000000"/>
          <w:sz w:val="22"/>
          <w:szCs w:val="22"/>
        </w:rPr>
        <w:t>) in Mashonaland Central Province October 2024. Key informants interviewed included </w:t>
      </w:r>
      <w:r w:rsidRPr="00AF28B8">
        <w:rPr>
          <w:rFonts w:ascii="Calibri" w:hAnsi="Calibri" w:cs="Calibri"/>
          <w:i/>
          <w:iCs/>
          <w:color w:val="000000"/>
          <w:sz w:val="22"/>
          <w:szCs w:val="22"/>
        </w:rPr>
        <w:t>community health workers (CHWs), village heads, church leaders and game scouts</w:t>
      </w:r>
      <w:r w:rsidRPr="00AF28B8">
        <w:rPr>
          <w:rFonts w:ascii="Calibri" w:hAnsi="Calibri" w:cs="Calibri"/>
          <w:color w:val="000000"/>
          <w:sz w:val="22"/>
          <w:szCs w:val="22"/>
        </w:rPr>
        <w:t> from 37 purposively selected high malaria burden villages. Verification of outdoor nighttime activities, estimation of households at risk, and community perceptions on receiving topical repellents were done. Findings were used to prioritize the wards for final deployment of topical repellents. Fourteen community dialogues were conducted, reaching 162 community members in Ward 11(55), Ward 2(57) and Ward 15(50). Perceived drivers for malaria in Ward 2 and 11were guarding fields from wild animals, artisanal gold mining, honey gathering, all-night church vigils, sleeping outdoors due to high temperatures and all-night cooking of a wild bean plant (</w:t>
      </w:r>
      <w:r w:rsidRPr="00AF28B8">
        <w:rPr>
          <w:rFonts w:ascii="Calibri" w:hAnsi="Calibri" w:cs="Calibri"/>
          <w:i/>
          <w:iCs/>
          <w:color w:val="000000"/>
          <w:sz w:val="22"/>
          <w:szCs w:val="22"/>
        </w:rPr>
        <w:t>Katungura</w:t>
      </w:r>
      <w:r w:rsidRPr="00AF28B8">
        <w:rPr>
          <w:rFonts w:ascii="Calibri" w:hAnsi="Calibri" w:cs="Calibri"/>
          <w:color w:val="000000"/>
          <w:sz w:val="22"/>
          <w:szCs w:val="22"/>
        </w:rPr>
        <w:t>) for food. Nearly every household had a garden or field that was guarded against wild animals at night thereby increasing vulnerability to mosquito bites. Most family members (i.e., </w:t>
      </w:r>
      <w:r w:rsidRPr="00AF28B8">
        <w:rPr>
          <w:rFonts w:ascii="Calibri" w:hAnsi="Calibri" w:cs="Calibri"/>
          <w:i/>
          <w:iCs/>
          <w:color w:val="000000"/>
          <w:sz w:val="22"/>
          <w:szCs w:val="22"/>
        </w:rPr>
        <w:t>children, pregnant women, men</w:t>
      </w:r>
      <w:r w:rsidRPr="00AF28B8">
        <w:rPr>
          <w:rFonts w:ascii="Calibri" w:hAnsi="Calibri" w:cs="Calibri"/>
          <w:color w:val="000000"/>
          <w:sz w:val="22"/>
          <w:szCs w:val="22"/>
        </w:rPr>
        <w:t>), guarded fields and gardens along the riverbanks at night for periods ranging from 9-11 months. In Ward 15, staying late into the night drinking alcohol, selling odds and ends, harvesting tobacco and all-night church vigils were reported drivers of malaria. More so, in Ward 15, not using ITNs given and residing close to water bodies were reported to increase the risk of contracting malaria. All the communities in the three wards were equally willing to use topical repellents and preferred collecting them from CHWs. Introduction of topical repellents to all eligible households in Mbire Ward 2 and 11 could interrupt malaria transmission. In Ward 15, promotion of behavior change, correct and consistent use of ITNs is essential before introducing topical repellents.</w:t>
      </w:r>
    </w:p>
    <w:p w14:paraId="2A21BA1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25-A-2585-ASTMH</w:t>
      </w:r>
    </w:p>
    <w:p w14:paraId="6AEDD02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4056B43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Engaging communities to address antimicrobial resistance from a one health perspective: results from a cluster randomized controlled trial in rural Bangladesh</w:t>
      </w:r>
    </w:p>
    <w:p w14:paraId="594D8D2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Antimicrobial resistance (AMR) is a critical public health challenge requiring a One Health approach (human, animal, and environmental focus) to tackle this complex situation. This study evaluates the effectiveness of the Community Dialogue Approach at improving community knowledge around appropriate antibiotic use and resistance in Cumilla, a rural district in Bangladesh. We conducted a two-arm, parallel-group, cluster-randomized controlled trial from September 2022-January 2024 across 50 clusters (25 clusters per treatment group, with each cluster being a group of 2-8 villages). Intervention clusters received 11 structured dialogues (including discussion, interactive information sharing, and action planning) over 12 months, led by trained volunteer facilitators from the communities. Two primary outcomes measured community members’ levels of appropriate AMR-related knowledge from a One Health perspective. The first measured appropriate knowledge about antibiotics, antibiotic resistance, and appropriate antibiotic practices related to human health, based on a sum of the correct number of responses to 25 questions. The second measured appropriate knowledge about antibiotic usage in relation to animal health and the environment, based on a sum of the correct responses to 20 </w:t>
      </w:r>
      <w:r w:rsidRPr="00AF28B8">
        <w:rPr>
          <w:rFonts w:ascii="Calibri" w:hAnsi="Calibri" w:cs="Calibri"/>
          <w:color w:val="000000"/>
          <w:sz w:val="22"/>
          <w:szCs w:val="22"/>
        </w:rPr>
        <w:lastRenderedPageBreak/>
        <w:t>questions. We collected representative data from community members using a questionnaire, via baseline and endline cross-sectional household surveys (individual n = 2,200 per round). We estimated cluster-average treatment effects, adjusted for the cluster-level mean outcome at baseline and other relevant covariates via a two-stage, stratified t-test approach. At endline the mean cluster-level knowledge scores were 16 (95% CI: 9, 22; p&lt;0.001) and 12 (95% CI: 5, 19; p&lt;0.001) percentage points higher in the intervention group compared to the control group for the first and second primary outcomes respectively. This study provides robust evidence for the feasibility and effectiveness of community-driven One Health AMR community engagement interventions in low-resource settings at scale.</w:t>
      </w:r>
    </w:p>
    <w:p w14:paraId="0F2D212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25-A-2586-ASTMH</w:t>
      </w:r>
    </w:p>
    <w:p w14:paraId="515EBFE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3AF49A6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Investigating the Role of Repeated Antigenic Exposure in Sustaining Dengue Virus Immunity in Multitypically Immune Individuals</w:t>
      </w:r>
    </w:p>
    <w:p w14:paraId="54D3E53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Infection with one of the four serotypes of dengue virus (DENV 1-4) is known to induce long-term immunity to the infecting serotype and a transient cross-protective immunity to heterologous serotypes that is durable for about 6-18 months. The breadth of this durable cross-protective immune profile can be subsequently expanded to all four DENV serotypes after a second sequential heterotypic DENV infection, a situation canonically thought to result in lifelong protection from subsequent clinically relevant DENV infections. Indeed, DENV-specific antibody titers are known to persist for decades at high titers following post-primary DENV infections. However, it is currently unclear if this immunologic profile persists in the absence of additional antigenic exposure, or if durable and protective immunity against DENV infection requires continuous low-level/asymptomatic exposure to DENV to boost immunity. Accordingly, we hypothesize that maintenance of DENV-specific antibodies in an endemic population requires constant sub-clinical infection that results in the antibody profile updating to reflect contemporaneous circulating strains of DENV, resulting in long-term and protective immunity</w:t>
      </w:r>
      <w:r w:rsidRPr="00AF28B8">
        <w:rPr>
          <w:rFonts w:ascii="Calibri" w:hAnsi="Calibri" w:cs="Calibri"/>
          <w:b/>
          <w:bCs/>
          <w:color w:val="000000"/>
          <w:sz w:val="22"/>
          <w:szCs w:val="22"/>
        </w:rPr>
        <w:t>.</w:t>
      </w:r>
      <w:r w:rsidRPr="00AF28B8">
        <w:rPr>
          <w:rFonts w:ascii="Calibri" w:hAnsi="Calibri" w:cs="Calibri"/>
          <w:color w:val="000000"/>
          <w:sz w:val="22"/>
          <w:szCs w:val="22"/>
        </w:rPr>
        <w:t> To address this knowledge gap, we are leveraging our team’s unique access to immunologic and virologic data from a longitudinal cohort based in Kamphaeng Phet, Thailand. We have developed a panel of chimeric DENV reporter virus particles (RVP) corresponding to the DENV strains in circulation at the time of sample collection. We will use these RVPs to conduct a high-throughput flow cytometry-based neutralization assay to assess the dynamics of neutralizing antibodies directed towards the DENV strain in circulation at the time of sample collection and compare with the neutralizing antibodies kinetics of our laboratory panels of viruses. This analysis will provide previously unachievable level of resolution of the antigenic evolution of anti-DENV immunity and provide mechanistic insight into the requirements for maintaining protective DENV immunity.</w:t>
      </w:r>
    </w:p>
    <w:p w14:paraId="600E391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25-A-2587-ASTMH</w:t>
      </w:r>
    </w:p>
    <w:p w14:paraId="1CB1F33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71CC4B1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Behind the Silence: Explore Mental Health Inequities and Human Rights Among Rural Women in Bangladesh</w:t>
      </w:r>
    </w:p>
    <w:p w14:paraId="456A71F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Abstract </w:t>
      </w:r>
      <w:r w:rsidRPr="00AF28B8">
        <w:rPr>
          <w:rFonts w:ascii="Calibri" w:hAnsi="Calibri" w:cs="Calibri"/>
          <w:color w:val="000000"/>
          <w:sz w:val="22"/>
          <w:szCs w:val="22"/>
        </w:rPr>
        <w:t xml:space="preserve">In Bangladesh, the reported prevalence of mental disorders among adults varies from 6.5% to 31.0%. This study aims to identify the socio-demographic factors associated with mental health disorders among rural women in Bangladesh. We enrolled 401 adult women from four sub-districts of Mymensingh district, Bangladesh. To determine the factors involved, we employed a modified version of the mental state examination (MSE) scale, in addition to questionnaires focusing on socio-demographic information, health, and well-being. The prevalence of mental health problems, measured by the MSE scale, was 28%. Even after controlling for potential confounders such as respondent's age, education level, spouse's schooling, family income, health status, domestic violence, family disharmony, social security, and support, household income remained significantly associated with behavioral problems. Individuals with higher incomes experience a lower prevalence of mental health disorders (PR = 0.48; </w:t>
      </w:r>
      <w:r w:rsidRPr="00AF28B8">
        <w:rPr>
          <w:rFonts w:ascii="Calibri" w:hAnsi="Calibri" w:cs="Calibri"/>
          <w:color w:val="000000"/>
          <w:sz w:val="22"/>
          <w:szCs w:val="22"/>
        </w:rPr>
        <w:lastRenderedPageBreak/>
        <w:t>95% CI 0.27-0.86). Poor physical health had significant associations with behavior and mood (PR = 0.77; 95% CI 0.61-0.98). Older respondents encountered more challenges related to memory (PR = 1.42; 95% CI 1.13-1.79). These findings highlight the crucial role of addressing socio-demographic factors, like income and physical health, when promoting mental health among rural women in Bangladesh. By acknowledging and targeting these factors, interventions can be more tailored and effective, ensuring improved well-being and resilience within this population.</w:t>
      </w:r>
    </w:p>
    <w:p w14:paraId="1FA3409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25-A-2588-ASTMH</w:t>
      </w:r>
    </w:p>
    <w:p w14:paraId="54F1A03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549D5DF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Inside Job: Targeted Assembly of Obligate Intracellular Bacterial Genomes</w:t>
      </w:r>
    </w:p>
    <w:p w14:paraId="342B893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Obligate intracellular bacteria (OIB), unlike other bacterial genera, are entirely dependent upon their eukaryotic hosts for survival. Members of this group include species from the </w:t>
      </w:r>
      <w:r w:rsidRPr="00AF28B8">
        <w:rPr>
          <w:rFonts w:ascii="Calibri" w:hAnsi="Calibri" w:cs="Calibri"/>
          <w:i/>
          <w:iCs/>
          <w:color w:val="000000"/>
          <w:sz w:val="22"/>
          <w:szCs w:val="22"/>
        </w:rPr>
        <w:t>Chlamydia</w:t>
      </w:r>
      <w:r w:rsidRPr="00AF28B8">
        <w:rPr>
          <w:rFonts w:ascii="Calibri" w:hAnsi="Calibri" w:cs="Calibri"/>
          <w:color w:val="000000"/>
          <w:sz w:val="22"/>
          <w:szCs w:val="22"/>
        </w:rPr>
        <w:t>, </w:t>
      </w:r>
      <w:r w:rsidRPr="00AF28B8">
        <w:rPr>
          <w:rFonts w:ascii="Calibri" w:hAnsi="Calibri" w:cs="Calibri"/>
          <w:i/>
          <w:iCs/>
          <w:color w:val="000000"/>
          <w:sz w:val="22"/>
          <w:szCs w:val="22"/>
        </w:rPr>
        <w:t>Anaplasma</w:t>
      </w:r>
      <w:r w:rsidRPr="00AF28B8">
        <w:rPr>
          <w:rFonts w:ascii="Calibri" w:hAnsi="Calibri" w:cs="Calibri"/>
          <w:color w:val="000000"/>
          <w:sz w:val="22"/>
          <w:szCs w:val="22"/>
        </w:rPr>
        <w:t>, </w:t>
      </w:r>
      <w:r w:rsidRPr="00AF28B8">
        <w:rPr>
          <w:rFonts w:ascii="Calibri" w:hAnsi="Calibri" w:cs="Calibri"/>
          <w:i/>
          <w:iCs/>
          <w:color w:val="000000"/>
          <w:sz w:val="22"/>
          <w:szCs w:val="22"/>
        </w:rPr>
        <w:t>Rickettsia</w:t>
      </w:r>
      <w:r w:rsidRPr="00AF28B8">
        <w:rPr>
          <w:rFonts w:ascii="Calibri" w:hAnsi="Calibri" w:cs="Calibri"/>
          <w:color w:val="000000"/>
          <w:sz w:val="22"/>
          <w:szCs w:val="22"/>
        </w:rPr>
        <w:t>, and </w:t>
      </w:r>
      <w:r w:rsidRPr="00AF28B8">
        <w:rPr>
          <w:rFonts w:ascii="Calibri" w:hAnsi="Calibri" w:cs="Calibri"/>
          <w:i/>
          <w:iCs/>
          <w:color w:val="000000"/>
          <w:sz w:val="22"/>
          <w:szCs w:val="22"/>
        </w:rPr>
        <w:t>Coxiella</w:t>
      </w:r>
      <w:r w:rsidRPr="00AF28B8">
        <w:rPr>
          <w:rFonts w:ascii="Calibri" w:hAnsi="Calibri" w:cs="Calibri"/>
          <w:color w:val="000000"/>
          <w:sz w:val="22"/>
          <w:szCs w:val="22"/>
        </w:rPr>
        <w:t> genera, many of which are pathogenic to humans. Approximately one billion people are at risk of infection with OIBs, however the mechanisms these bacteria employ to survive within the host cell are not well understood. Reconstituting the genomes of OIBs can elucidate the unique host-pathogen interactions that take place to allow these bacteria to effectively replicate in their host cells. Due to their absolute dependence on their hosts, however, genome sequencing and assembly of OIBs can be complicated by the inability to separate bacterial sequences from host DNA.</w:t>
      </w:r>
      <w:r w:rsidRPr="00AF28B8">
        <w:rPr>
          <w:rFonts w:ascii="Calibri" w:hAnsi="Calibri" w:cs="Calibri"/>
          <w:color w:val="000000"/>
          <w:sz w:val="22"/>
          <w:szCs w:val="22"/>
        </w:rPr>
        <w:br/>
        <w:t>Here, we present the American Type Culture Collection (ATCC)'s obligate intracellular bacterial assembly pipeline. Briefly, short Illumina and long Oxford Nanopore Technologies (ONT) reads are both employed to produce accurate hybrid assemblies. Both sets of reads are first trimmed according to ATCC's quality standards. The trimmed reads then enter an initial classification stage, invoking an extensive and custom-designed host genome database to reduce the amount of confounding sequence due to eukaryotic DNA. The resulting reads then follow the same standard bacterial assembly procedure. The findings presented here display the success of this method, focusing on </w:t>
      </w:r>
      <w:r w:rsidRPr="00AF28B8">
        <w:rPr>
          <w:rFonts w:ascii="Calibri" w:hAnsi="Calibri" w:cs="Calibri"/>
          <w:i/>
          <w:iCs/>
          <w:color w:val="000000"/>
          <w:sz w:val="22"/>
          <w:szCs w:val="22"/>
        </w:rPr>
        <w:t>Chlamydia</w:t>
      </w:r>
      <w:r w:rsidRPr="00AF28B8">
        <w:rPr>
          <w:rFonts w:ascii="Calibri" w:hAnsi="Calibri" w:cs="Calibri"/>
          <w:color w:val="000000"/>
          <w:sz w:val="22"/>
          <w:szCs w:val="22"/>
        </w:rPr>
        <w:t>, </w:t>
      </w:r>
      <w:r w:rsidRPr="00AF28B8">
        <w:rPr>
          <w:rFonts w:ascii="Calibri" w:hAnsi="Calibri" w:cs="Calibri"/>
          <w:i/>
          <w:iCs/>
          <w:color w:val="000000"/>
          <w:sz w:val="22"/>
          <w:szCs w:val="22"/>
        </w:rPr>
        <w:t>Pisirickettsia</w:t>
      </w:r>
      <w:r w:rsidRPr="00AF28B8">
        <w:rPr>
          <w:rFonts w:ascii="Calibri" w:hAnsi="Calibri" w:cs="Calibri"/>
          <w:color w:val="000000"/>
          <w:sz w:val="22"/>
          <w:szCs w:val="22"/>
        </w:rPr>
        <w:t>, and </w:t>
      </w:r>
      <w:r w:rsidRPr="00AF28B8">
        <w:rPr>
          <w:rFonts w:ascii="Calibri" w:hAnsi="Calibri" w:cs="Calibri"/>
          <w:i/>
          <w:iCs/>
          <w:color w:val="000000"/>
          <w:sz w:val="22"/>
          <w:szCs w:val="22"/>
        </w:rPr>
        <w:t>Rickettsia</w:t>
      </w:r>
      <w:r w:rsidRPr="00AF28B8">
        <w:rPr>
          <w:rFonts w:ascii="Calibri" w:hAnsi="Calibri" w:cs="Calibri"/>
          <w:color w:val="000000"/>
          <w:sz w:val="22"/>
          <w:szCs w:val="22"/>
        </w:rPr>
        <w:t> species.</w:t>
      </w:r>
    </w:p>
    <w:p w14:paraId="053C598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25-A-2589-ASTMH</w:t>
      </w:r>
    </w:p>
    <w:p w14:paraId="77425EC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483A41D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Exploring the impact of Neglected Tropical Diseases (NTDs) co-occurring disability on access to healthcare services in Ghana</w:t>
      </w:r>
    </w:p>
    <w:p w14:paraId="7DFBED2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Lymphatic filariasis (LF) remains a major cause of disability in Ghana, often leading to chronic conditions such as lymphedema and elephantiasis that severely affect mental well-being and healthcare utilization. This convergent mixed-methods study will explore how severity of LF-related disability, stigma, and sociodemographic factors intersect to shape mental health outcomes and access to health services in two endemic districts. The qualitative component involves in-depth interviews with 20 participants (10 men, 10 women) to capture experiences of stigma, psychosocial burden, and barriers to care. Concurrently, a cross-sectional survey of approximately 502 individuals will measure disability severity (Washington Group Short Set), depression (Patient Health Questionnaire-9), and perceived access to healthcare (Perceived Access to Healthcare Questionnaire). Regression and Bayesian network modeling will evaluate associations among disability severity, depression, and care-seeking. Anticipated findings include heightened mental distress and more pronounced healthcare barriers among individuals with advanced LF. By illuminating the psychosocial dimensions of LF, this study aims to inform integrated, disability-inclusive interventions and policies that address both physical and mental health needs and ultimately enhance quality of life in Ghanaian communities affected by LF.</w:t>
      </w:r>
    </w:p>
    <w:p w14:paraId="44C6DA0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25-A-2592-ASTMH</w:t>
      </w:r>
    </w:p>
    <w:p w14:paraId="1BA6E9A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6D5D89F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Non-</w:t>
      </w:r>
      <w:r w:rsidRPr="00AF28B8">
        <w:rPr>
          <w:rFonts w:ascii="Calibri" w:hAnsi="Calibri" w:cs="Calibri"/>
          <w:b/>
          <w:bCs/>
          <w:i/>
          <w:iCs/>
          <w:color w:val="000000"/>
          <w:sz w:val="22"/>
          <w:szCs w:val="22"/>
        </w:rPr>
        <w:t>P. falciparum</w:t>
      </w:r>
      <w:r w:rsidRPr="00AF28B8">
        <w:rPr>
          <w:rFonts w:ascii="Calibri" w:hAnsi="Calibri" w:cs="Calibri"/>
          <w:b/>
          <w:bCs/>
          <w:color w:val="000000"/>
          <w:sz w:val="22"/>
          <w:szCs w:val="22"/>
        </w:rPr>
        <w:t> and </w:t>
      </w:r>
      <w:r w:rsidRPr="00AF28B8">
        <w:rPr>
          <w:rFonts w:ascii="Calibri" w:hAnsi="Calibri" w:cs="Calibri"/>
          <w:b/>
          <w:bCs/>
          <w:i/>
          <w:iCs/>
          <w:color w:val="000000"/>
          <w:sz w:val="22"/>
          <w:szCs w:val="22"/>
        </w:rPr>
        <w:t>P. falciparum</w:t>
      </w:r>
      <w:r w:rsidRPr="00AF28B8">
        <w:rPr>
          <w:rFonts w:ascii="Calibri" w:hAnsi="Calibri" w:cs="Calibri"/>
          <w:b/>
          <w:bCs/>
          <w:color w:val="000000"/>
          <w:sz w:val="22"/>
          <w:szCs w:val="22"/>
        </w:rPr>
        <w:t> malaria is back in the Central Highland of Madagascar</w:t>
      </w:r>
    </w:p>
    <w:p w14:paraId="3882F00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the central highlands of Madagascar, rice fields are the main larval breeding for malaria vector; and the annual malaria incidence has been approximately 1 in 1,000 inhabitants since 2011. However, during early 2024, an increase in malaria cases was reported from two health districts (Antananarivo Atsimondrano and Antananarivo Avaradrano) less than 10 km from Antananarivo - the capital city. An investigation led by the ministry of health in conjunction with Institut Pasteur de Madagascar was conducted in June and August 2024 in these two districts. Malaria index cases were identified at the primary health centers, and active malaria testing was conducted at the villages of these index cases the following day. Based on malaria rapid diagnostic test (mRDT) results in the field and laboratory PCR results, the prevalence of malaria infection among 871 villagers was 7.6% (CI95%: 5.9–9.6%) and 7.2% (CI95%: 5.6–9.2%) respectively. PCR results showed that </w:t>
      </w:r>
      <w:r w:rsidRPr="00AF28B8">
        <w:rPr>
          <w:rFonts w:ascii="Calibri" w:hAnsi="Calibri" w:cs="Calibri"/>
          <w:i/>
          <w:iCs/>
          <w:color w:val="000000"/>
          <w:sz w:val="22"/>
          <w:szCs w:val="22"/>
        </w:rPr>
        <w:t>P. falciparum</w:t>
      </w:r>
      <w:r w:rsidRPr="00AF28B8">
        <w:rPr>
          <w:rFonts w:ascii="Calibri" w:hAnsi="Calibri" w:cs="Calibri"/>
          <w:color w:val="000000"/>
          <w:sz w:val="22"/>
          <w:szCs w:val="22"/>
        </w:rPr>
        <w:t> was the predominant (50/63), with </w:t>
      </w:r>
      <w:r w:rsidRPr="00AF28B8">
        <w:rPr>
          <w:rFonts w:ascii="Calibri" w:hAnsi="Calibri" w:cs="Calibri"/>
          <w:i/>
          <w:iCs/>
          <w:color w:val="000000"/>
          <w:sz w:val="22"/>
          <w:szCs w:val="22"/>
        </w:rPr>
        <w:t>P. vivax</w:t>
      </w:r>
      <w:r w:rsidRPr="00AF28B8">
        <w:rPr>
          <w:rFonts w:ascii="Calibri" w:hAnsi="Calibri" w:cs="Calibri"/>
          <w:color w:val="000000"/>
          <w:sz w:val="22"/>
          <w:szCs w:val="22"/>
        </w:rPr>
        <w:t> (11/63), </w:t>
      </w:r>
      <w:r w:rsidRPr="00AF28B8">
        <w:rPr>
          <w:rFonts w:ascii="Calibri" w:hAnsi="Calibri" w:cs="Calibri"/>
          <w:i/>
          <w:iCs/>
          <w:color w:val="000000"/>
          <w:sz w:val="22"/>
          <w:szCs w:val="22"/>
        </w:rPr>
        <w:t>P. malariae</w:t>
      </w:r>
      <w:r w:rsidRPr="00AF28B8">
        <w:rPr>
          <w:rFonts w:ascii="Calibri" w:hAnsi="Calibri" w:cs="Calibri"/>
          <w:color w:val="000000"/>
          <w:sz w:val="22"/>
          <w:szCs w:val="22"/>
        </w:rPr>
        <w:t> (1/63) and </w:t>
      </w:r>
      <w:r w:rsidRPr="00AF28B8">
        <w:rPr>
          <w:rFonts w:ascii="Calibri" w:hAnsi="Calibri" w:cs="Calibri"/>
          <w:i/>
          <w:iCs/>
          <w:color w:val="000000"/>
          <w:sz w:val="22"/>
          <w:szCs w:val="22"/>
        </w:rPr>
        <w:t>P. falciparum </w:t>
      </w:r>
      <w:r w:rsidRPr="00AF28B8">
        <w:rPr>
          <w:rFonts w:ascii="Calibri" w:hAnsi="Calibri" w:cs="Calibri"/>
          <w:color w:val="000000"/>
          <w:sz w:val="22"/>
          <w:szCs w:val="22"/>
        </w:rPr>
        <w:t>+ </w:t>
      </w:r>
      <w:r w:rsidRPr="00AF28B8">
        <w:rPr>
          <w:rFonts w:ascii="Calibri" w:hAnsi="Calibri" w:cs="Calibri"/>
          <w:i/>
          <w:iCs/>
          <w:color w:val="000000"/>
          <w:sz w:val="22"/>
          <w:szCs w:val="22"/>
        </w:rPr>
        <w:t>P. vivax</w:t>
      </w:r>
      <w:r w:rsidRPr="00AF28B8">
        <w:rPr>
          <w:rFonts w:ascii="Calibri" w:hAnsi="Calibri" w:cs="Calibri"/>
          <w:color w:val="000000"/>
          <w:sz w:val="22"/>
          <w:szCs w:val="22"/>
        </w:rPr>
        <w:t> (1/63) present. Cases were found in villagers of all age groups. Surprisingly, 95% of malaria infected villagers had not left their locality in the 4 weeks prior to their infection. This study demonstrates that autochthonous malaria is back in the highlands of Madagascar, and concerningly close to Antananarivo. These findings are especially alarming given that malaria resurgence was identified during winter months when temperatures reached 6 to 10°C. Malaria resurgence in several health districts within the highlands (previously known as zone of malaria pre-eradication with high population density) is a real threat for the 9.3 million Malagasy people residing in the highlands. The occurrence of </w:t>
      </w:r>
      <w:r w:rsidRPr="00AF28B8">
        <w:rPr>
          <w:rFonts w:ascii="Calibri" w:hAnsi="Calibri" w:cs="Calibri"/>
          <w:i/>
          <w:iCs/>
          <w:color w:val="000000"/>
          <w:sz w:val="22"/>
          <w:szCs w:val="22"/>
        </w:rPr>
        <w:t>P. malariae</w:t>
      </w:r>
      <w:r w:rsidRPr="00AF28B8">
        <w:rPr>
          <w:rFonts w:ascii="Calibri" w:hAnsi="Calibri" w:cs="Calibri"/>
          <w:color w:val="000000"/>
          <w:sz w:val="22"/>
          <w:szCs w:val="22"/>
        </w:rPr>
        <w:t> species in the highlands is probably indicative of systemic malaria control failures. Despite the lack of funding, malaria control strategies in Madagascar must be strengthened to prevent fatal malaria outbreaks as the country experienced in the 1980s. Widespread access to antimalarial drugs and mRDT will be critical in controlling future deadly outbreaks.</w:t>
      </w:r>
    </w:p>
    <w:p w14:paraId="123FC71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25-A-2593-ASTMH</w:t>
      </w:r>
    </w:p>
    <w:p w14:paraId="33C48E5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1694D40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Do piperonylbutoxide-pyrethroid nets work in West Africa? Results from a 3-arm, cluster-randomised trial in central Cote d’Ivoire</w:t>
      </w:r>
    </w:p>
    <w:p w14:paraId="6695F9A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massive scale-up of long-lasting insecticidal nets (LLIN) has led to a major reduction in malaria burden. This progress is threatened by the wide scale selection of insecticide resistant malaria vectors. In recent years, new insecticides have become available to treat LLINs. Nets combining a pyrethroid to the synergist piperonylbutoxide (PBO-py) have received full WHO recommendation, however, there have been no epidemiological trials in West Africa where the mechanisms of resistance differ from East Africa. We tested these nets, alongside chlorfenapyr-pyrethroid (CFP-py) and pyrethroid-only nets in an area of high malaria transmission, and intense pyrethroid resistance, in a three-arm, superiority, cluster-randomised trial in central Côte d’Ivoire. Our main outcome was malaria case incidence in children aged 0.5-10 years followed for 1 year post-net distribution. Thirty-three clusters were randomised to 3 arms. One year post net distribution, malaria case incidence reduced by 28% and 43% in the PBO-py and CFP-py arms, respectively, compared to the py-only arm. Malaria transmission in the CFP-py arm, where transmission was most reduced, remained at an average of 0.65 cases per child per year - highlighting the fact that bed nets alone are not sufficient to reduce transmission to low levels. This trial has confirmed the improved efficacy achieved with CFP-py and PBO-py LLINs compared to py-LLINs in the first year following net distribution.</w:t>
      </w:r>
    </w:p>
    <w:p w14:paraId="2296C2C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25-A-2594-ASTMH</w:t>
      </w:r>
    </w:p>
    <w:p w14:paraId="0CBBEB1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2037C40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Risk Factors Associated with Asymptomatic </w:t>
      </w:r>
      <w:r w:rsidRPr="00AF28B8">
        <w:rPr>
          <w:rFonts w:ascii="Calibri" w:hAnsi="Calibri" w:cs="Calibri"/>
          <w:b/>
          <w:bCs/>
          <w:i/>
          <w:iCs/>
          <w:color w:val="000000"/>
          <w:sz w:val="22"/>
          <w:szCs w:val="22"/>
        </w:rPr>
        <w:t>Plasmodium </w:t>
      </w:r>
      <w:r w:rsidRPr="00AF28B8">
        <w:rPr>
          <w:rFonts w:ascii="Calibri" w:hAnsi="Calibri" w:cs="Calibri"/>
          <w:b/>
          <w:bCs/>
          <w:color w:val="000000"/>
          <w:sz w:val="22"/>
          <w:szCs w:val="22"/>
        </w:rPr>
        <w:t>Prevalence in High risk Populations of Mondulkiri and Kampong Speu, Cambodia</w:t>
      </w:r>
    </w:p>
    <w:p w14:paraId="16680A2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remains a significant public health challenge in Cambodia, where asymptomatic infections may hinder elimination efforts. As the country aims to eliminate malaria by 2025, identifying key risk factors </w:t>
      </w:r>
      <w:r w:rsidRPr="00AF28B8">
        <w:rPr>
          <w:rFonts w:ascii="Calibri" w:hAnsi="Calibri" w:cs="Calibri"/>
          <w:color w:val="000000"/>
          <w:sz w:val="22"/>
          <w:szCs w:val="22"/>
        </w:rPr>
        <w:lastRenderedPageBreak/>
        <w:t>in high-risk populations is critical. This study assessed the prevalence of asymptomatic </w:t>
      </w:r>
      <w:r w:rsidRPr="00AF28B8">
        <w:rPr>
          <w:rFonts w:ascii="Calibri" w:hAnsi="Calibri" w:cs="Calibri"/>
          <w:i/>
          <w:iCs/>
          <w:color w:val="000000"/>
          <w:sz w:val="22"/>
          <w:szCs w:val="22"/>
        </w:rPr>
        <w:t>Plasmodium</w:t>
      </w:r>
      <w:r w:rsidRPr="00AF28B8">
        <w:rPr>
          <w:rFonts w:ascii="Calibri" w:hAnsi="Calibri" w:cs="Calibri"/>
          <w:color w:val="000000"/>
          <w:sz w:val="22"/>
          <w:szCs w:val="22"/>
        </w:rPr>
        <w:t> infection and its associated risk factors among forest exposed populations in Mondulkiri and Kampong Speu provinces.</w:t>
      </w:r>
      <w:r w:rsidRPr="00AF28B8">
        <w:rPr>
          <w:rFonts w:ascii="Calibri" w:hAnsi="Calibri" w:cs="Calibri"/>
          <w:i/>
          <w:iCs/>
          <w:color w:val="000000"/>
          <w:sz w:val="22"/>
          <w:szCs w:val="22"/>
        </w:rPr>
        <w:t> </w:t>
      </w:r>
      <w:r w:rsidRPr="00AF28B8">
        <w:rPr>
          <w:rFonts w:ascii="Calibri" w:hAnsi="Calibri" w:cs="Calibri"/>
          <w:color w:val="000000"/>
          <w:sz w:val="22"/>
          <w:szCs w:val="22"/>
        </w:rPr>
        <w:t>A cross-sectional study was conducted among 2,111 high-risk individuals, including forest goers, forest dwellers, and forest rangers. Blood samples collected on filter paper were analyzed using qPCR to detect </w:t>
      </w:r>
      <w:r w:rsidRPr="00AF28B8">
        <w:rPr>
          <w:rFonts w:ascii="Calibri" w:hAnsi="Calibri" w:cs="Calibri"/>
          <w:i/>
          <w:iCs/>
          <w:color w:val="000000"/>
          <w:sz w:val="22"/>
          <w:szCs w:val="22"/>
        </w:rPr>
        <w:t>Plasmodium</w:t>
      </w:r>
      <w:r w:rsidRPr="00AF28B8">
        <w:rPr>
          <w:rFonts w:ascii="Calibri" w:hAnsi="Calibri" w:cs="Calibri"/>
          <w:color w:val="000000"/>
          <w:sz w:val="22"/>
          <w:szCs w:val="22"/>
        </w:rPr>
        <w:t> species. Overall, 6.25% of participants tested positive for malaria, with </w:t>
      </w:r>
      <w:r w:rsidRPr="00AF28B8">
        <w:rPr>
          <w:rFonts w:ascii="Calibri" w:hAnsi="Calibri" w:cs="Calibri"/>
          <w:i/>
          <w:iCs/>
          <w:color w:val="000000"/>
          <w:sz w:val="22"/>
          <w:szCs w:val="22"/>
        </w:rPr>
        <w:t>P. vivax</w:t>
      </w:r>
      <w:r w:rsidRPr="00AF28B8">
        <w:rPr>
          <w:rFonts w:ascii="Calibri" w:hAnsi="Calibri" w:cs="Calibri"/>
          <w:color w:val="000000"/>
          <w:sz w:val="22"/>
          <w:szCs w:val="22"/>
        </w:rPr>
        <w:t> being the most prevalent (5.73%). Kampong Speu had a higher infection rate (7.05%) than Mondulkiri (5.52%), and forest dwellers exhibited the highest prevalence (6.50%), followed by forest goers (5.89%) and rangers (4.76%). Multivariable logistic regression identified age and prior malaria diagnosis as significant risk factors. Individuals aged 21-30 years had 7.64 times higher odds of infection compared to those aged 4-10 years (aOR=7.64, 95% CI: 1.02-56.90). Participants who had been diagnosed with malaria once (adjusted OR=2.30, 95% CI: 1.33-3.97) or 2-5 times (adjusted OR=2.15, 95% CI: 1.31-3.51) had significantly higher odds of being infected than those who had never been diagnosed before. These results highlight the persistent burden of asymptomatic malaria in high-risk groups, particularly among young adults and individuals with prior infections. Targeted interventions, including enhanced surveillance, screening, and treatment strategies, are urgently needed to address these risk factors and accelerate progress toward malaria elimination in Cambodia.</w:t>
      </w:r>
    </w:p>
    <w:p w14:paraId="30592F5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25-A-2595-ASTMH</w:t>
      </w:r>
    </w:p>
    <w:p w14:paraId="6879DB8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25E8538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Clinical prediction model for viral etiology of acute diarrhea in US children presenting for emergency care</w:t>
      </w:r>
    </w:p>
    <w:p w14:paraId="5CD8B7A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Diarrheal illnesses remain a primary health concern worldwide, with over 1.7 billion cases annually, resulting in significant morbidity and mortality. In the United States alone, diarrhea is responsible for substantial healthcare costs and thousands of hospitalizations. While viruses are responsible for over 50% of pediatric diarrheal cases, the limited guidance on distinguishing viral from bacterial etiologies complicates clinical decision-making and may result in unnecessary use of antimicrobials. We aimed to develop a clinical prediction rule to differentiate viral from non-viral etiology in children presenting with diarrhea. We analyzed data from the Implementation of Molecular Diagnostics for Pediatric Acute Gastroenteritis (IMPACT) study, which enrolled children under 18 years old presenting with acute gastroenteritis at five US emergency departments between August 2015 to February 2016. Our analysis used a combination of clinical information and results from the multiplex PCR platform (BioFire GI FilmArray). We screened the available variables with the random forest algorithm and then used 5-fold cross-validation to assess the prediction performance of logistic regression models fit on the top variables. We identified 338 cases with a viral-only etiology and 233 cases where etiology was known but not viral (bacteria, protozoal, or mixed). Variables predictive of viral etiology included lower age, lower temperature at presentation, higher number of vomiting episodes, lower stool count within 24 hours, and longer duration of vomiting. With 15 variables included in the model, cross-validation resulted in an average AUC of 0.812, a sensitivity of 0.77, a specificity of 0.65, a PPV of 0.78, and an NPV of 0.63. Our findings suggest that a clinical prediction rule for viral etiology of pediatric diarrhea can be used to inform clinical decision-making and potentially reduce antimicrobial use.</w:t>
      </w:r>
    </w:p>
    <w:p w14:paraId="0109A30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25-A-2596-ASTMH</w:t>
      </w:r>
    </w:p>
    <w:p w14:paraId="69C05A4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1355012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Temporal and Spatial Dynamics of Malaria Parasite Genetic Relatedness in Senegal: Analyses of Clonal Clusters and Global Connectivity</w:t>
      </w:r>
    </w:p>
    <w:p w14:paraId="3F194D6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We evaluated the genetic relatedness of Plasmodium falciparum parasites from Senegalese patients to better understand malaria transmission dynamics across time and space. We re-called (joint-call) genetic data from &gt;10,000 PF7 database samples with &gt;3,000 samples from Senegal and used 48,000 curated variants to identify related parasites, which revealed dramatic changes in parasite population structure </w:t>
      </w:r>
      <w:r w:rsidRPr="00AF28B8">
        <w:rPr>
          <w:rFonts w:ascii="Calibri" w:hAnsi="Calibri" w:cs="Calibri"/>
          <w:color w:val="000000"/>
          <w:sz w:val="22"/>
          <w:szCs w:val="22"/>
        </w:rPr>
        <w:lastRenderedPageBreak/>
        <w:t>in Senegal as well as connections between Senegalese and global malaria parasites.Parasites from four transmission strata in Senegal (annual incidence from &lt;1 to &gt;1,000 cases per thousand) initially (2019) showed large clusters of clonal parasites in Diourbel, partial relatedness among parasites from Thiès and Touba, and little or no relatedness among parasites from Kédougou. These patterns were hypothesized to reflect local transmission in Diourbel and dispersed transmission from human movement in Touba. Parasite genetic relatedness (2022) later revealed more outcrossing among Diourbel parasites, clonal clusters in Thiès and Touba, and clonal clusters of Kédougou parasites some of which were clonal with Diourbel, Touba, and Thiès parasites. We hypothesize these changes result from human movement and increased intervention use in Kédougou that allow more genetic sharing among Senegal parasites. Comparing parasites from Senegal and other global sites revealed one infection was caused by parasites closely related to those from Southeast Asia, which we suggest may result from global human movement. Use of parasite genetic relatedness can reveal connectivity among malaria infections that reflect the transmission modality (i.e., local or disperse) and identify origins of incident infections to better address transmission sources and identify high risk populations for intervention stratification. Parasite genetic relatedness data from routine malaria surveillance offer actionable insights about local and global transmission to pave the way for more targeted, context-specific strategies for malaria elimination in Senegal.</w:t>
      </w:r>
    </w:p>
    <w:p w14:paraId="48BADF9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25-A-2597-ASTMH</w:t>
      </w:r>
    </w:p>
    <w:p w14:paraId="441FF9F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19C58AB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Comparison of GeneXpert and Microscopic Observation Drug Susceptibility Liquid Culture for Tuberculosis Diagnosis in Pediatric Patients</w:t>
      </w:r>
    </w:p>
    <w:p w14:paraId="4A667BD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This study compares TB diagnostic results obtained by nucleic acid amplification and polymerase chain reaction using Xpert MTB/RIF vs. TB culture by Microscopic Observation Drug Susceptibility (MODS) method, performed on specimens from children ages 2 months to 14 years with suspected pulmonary TB in a prospective study in Bolivia. Samples were collected at Hospital de Niños in Santa Cruz, Bolivia, from April 2024 to March 2025. Each subject had two consecutive early morning specimens prior to TB therapy, except when the first specimen was positive by Xpert MTB/RIF or when the parent refused a second specimen. Day 1 specimens were gastric aspirates or expectorated sputa (older patients only), and on Day 2 parents could opt to replace a gastric aspirate with a string capsule specimen. A total of 83 patients were included, yielding 147 samples: 120 (81.6%) were gastric aspirates, 17 (11.6%) were string tests, and 10 (6.8%) were sputa. First samples were obtained from 83 patients, but Xpert reported 2 (2.5%) errors, which left us with 81 usable samples. Xpert test was positive in 9/81 (11%), with 7/9 (78%) susceptible to rifampicin and 2 (22%) with indeterminate rifampicin susceptibility. MODS culture was positive for </w:t>
      </w:r>
      <w:r w:rsidRPr="00AF28B8">
        <w:rPr>
          <w:rFonts w:ascii="Calibri" w:hAnsi="Calibri" w:cs="Calibri"/>
          <w:i/>
          <w:iCs/>
          <w:color w:val="000000"/>
          <w:sz w:val="22"/>
          <w:szCs w:val="22"/>
        </w:rPr>
        <w:t>M. tuberculosis</w:t>
      </w:r>
      <w:r w:rsidRPr="00AF28B8">
        <w:rPr>
          <w:rFonts w:ascii="Calibri" w:hAnsi="Calibri" w:cs="Calibri"/>
          <w:color w:val="000000"/>
          <w:sz w:val="22"/>
          <w:szCs w:val="22"/>
        </w:rPr>
        <w:t> in 12/81 (15%) with no resistance to rifampicin or isoniazid. Nine samples tested positive for both methods and concordance between the methods was 83.6% (Cohen's Kappa). Second samples were obtained from 64 patients. MODS culture was contaminated in 5/64 (7.8%) samples, leaving 59 comparable by both methods. One of the 5 second specimens with contaminated cultures tested positive by Xpert, and 4 were negative. Xpert test was positive in 4/59 (6.8%) and all were non-resistant to rifampicin. MODS culture was positive for </w:t>
      </w:r>
      <w:r w:rsidRPr="00AF28B8">
        <w:rPr>
          <w:rFonts w:ascii="Calibri" w:hAnsi="Calibri" w:cs="Calibri"/>
          <w:i/>
          <w:iCs/>
          <w:color w:val="000000"/>
          <w:sz w:val="22"/>
          <w:szCs w:val="22"/>
        </w:rPr>
        <w:t>M. tuberculosis</w:t>
      </w:r>
      <w:r w:rsidRPr="00AF28B8">
        <w:rPr>
          <w:rFonts w:ascii="Calibri" w:hAnsi="Calibri" w:cs="Calibri"/>
          <w:color w:val="000000"/>
          <w:sz w:val="22"/>
          <w:szCs w:val="22"/>
        </w:rPr>
        <w:t> in 6/59 (8.5%) and all were sensitive to rifampicin and isoniazid. One patient that was negative by MODS and Xpert in the first specimen was only positive by MODS in the second specimen. Four samples tested positive for both methods. The concordance between methods was 78.2% (Cohen's Kappa). The concordance between Xpert and MODS was 83.6% for first samples and 78.2%l for second samples.</w:t>
      </w:r>
    </w:p>
    <w:p w14:paraId="58A9FB9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25-A-2598-ASTMH</w:t>
      </w:r>
    </w:p>
    <w:p w14:paraId="0C26905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3E7B954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Engineered probiotic Bacteroides ovatus expresses short peptides to block Bacteroides fragilis toxin</w:t>
      </w:r>
    </w:p>
    <w:p w14:paraId="261A5F1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Gut colonization with enterotoxigenic </w:t>
      </w:r>
      <w:r w:rsidRPr="00AF28B8">
        <w:rPr>
          <w:rFonts w:ascii="Calibri" w:hAnsi="Calibri" w:cs="Calibri"/>
          <w:i/>
          <w:iCs/>
          <w:color w:val="000000"/>
          <w:sz w:val="22"/>
          <w:szCs w:val="22"/>
        </w:rPr>
        <w:t>Bacteroides fragilis</w:t>
      </w:r>
      <w:r w:rsidRPr="00AF28B8">
        <w:rPr>
          <w:rFonts w:ascii="Calibri" w:hAnsi="Calibri" w:cs="Calibri"/>
          <w:color w:val="000000"/>
          <w:sz w:val="22"/>
          <w:szCs w:val="22"/>
        </w:rPr>
        <w:t> (ETBF) may be associated with acute diarrheal illness and poor growth outcomes in children. </w:t>
      </w:r>
      <w:r w:rsidRPr="00AF28B8">
        <w:rPr>
          <w:rFonts w:ascii="Calibri" w:hAnsi="Calibri" w:cs="Calibri"/>
          <w:i/>
          <w:iCs/>
          <w:color w:val="000000"/>
          <w:sz w:val="22"/>
          <w:szCs w:val="22"/>
        </w:rPr>
        <w:t>Bacteroides fragilis</w:t>
      </w:r>
      <w:r w:rsidRPr="00AF28B8">
        <w:rPr>
          <w:rFonts w:ascii="Calibri" w:hAnsi="Calibri" w:cs="Calibri"/>
          <w:color w:val="000000"/>
          <w:sz w:val="22"/>
          <w:szCs w:val="22"/>
        </w:rPr>
        <w:t xml:space="preserve"> toxin (BFT), or fragilysin, has 3 </w:t>
      </w:r>
      <w:r w:rsidRPr="00AF28B8">
        <w:rPr>
          <w:rFonts w:ascii="Calibri" w:hAnsi="Calibri" w:cs="Calibri"/>
          <w:color w:val="000000"/>
          <w:sz w:val="22"/>
          <w:szCs w:val="22"/>
        </w:rPr>
        <w:lastRenderedPageBreak/>
        <w:t>isoforms that cause damage to the gut epithelium including e-cadherin cleavage, f-actin rearrangement, and induction of inflammatory cytokine responses. Intestinal colonization of beneficial microbes secreting peptides that block toxin effects can reduce the negative effects of pathogenic bacteria. We designed anti-BFT1 peptide candidates in silico and putative candidates were generated using yeast surface display. Binding affinities were screened using surface plasmon resonance. Select anti-BFT1 peptides were tested for toxin neutralizing effects against ETBF spent cell supernatant (SCS) or purified BFT1 in human colonic epithelial cells. BFT1 activity was assessed through measurement of e-cadherin cleavage and by quantifying changes in colonic cell morphology. One peptide was effective at a concentration of 100 nM, with other peptides effective at 500 nM - 1 uM. Next, a probiotic </w:t>
      </w:r>
      <w:r w:rsidRPr="00AF28B8">
        <w:rPr>
          <w:rFonts w:ascii="Calibri" w:hAnsi="Calibri" w:cs="Calibri"/>
          <w:i/>
          <w:iCs/>
          <w:color w:val="000000"/>
          <w:sz w:val="22"/>
          <w:szCs w:val="22"/>
        </w:rPr>
        <w:t>Bacteroides ovatus</w:t>
      </w:r>
      <w:r w:rsidRPr="00AF28B8">
        <w:rPr>
          <w:rFonts w:ascii="Calibri" w:hAnsi="Calibri" w:cs="Calibri"/>
          <w:color w:val="000000"/>
          <w:sz w:val="22"/>
          <w:szCs w:val="22"/>
        </w:rPr>
        <w:t> strain with chromosomal integration of the most potent anti-BFT1 peptides was created (r</w:t>
      </w:r>
      <w:r w:rsidRPr="00AF28B8">
        <w:rPr>
          <w:rFonts w:ascii="Calibri" w:hAnsi="Calibri" w:cs="Calibri"/>
          <w:i/>
          <w:iCs/>
          <w:color w:val="000000"/>
          <w:sz w:val="22"/>
          <w:szCs w:val="22"/>
        </w:rPr>
        <w:t>B. ovatus</w:t>
      </w:r>
      <w:r w:rsidRPr="00AF28B8">
        <w:rPr>
          <w:rFonts w:ascii="Calibri" w:hAnsi="Calibri" w:cs="Calibri"/>
          <w:color w:val="000000"/>
          <w:sz w:val="22"/>
          <w:szCs w:val="22"/>
        </w:rPr>
        <w:t>), and the anti-BFT1 peptide was constituently expressed. No cell morphology changes and minimal e-cadherin release were measured in colonic cells treated with the live r</w:t>
      </w:r>
      <w:r w:rsidRPr="00AF28B8">
        <w:rPr>
          <w:rFonts w:ascii="Calibri" w:hAnsi="Calibri" w:cs="Calibri"/>
          <w:i/>
          <w:iCs/>
          <w:color w:val="000000"/>
          <w:sz w:val="22"/>
          <w:szCs w:val="22"/>
        </w:rPr>
        <w:t>B. ovatus</w:t>
      </w:r>
      <w:r w:rsidRPr="00AF28B8">
        <w:rPr>
          <w:rFonts w:ascii="Calibri" w:hAnsi="Calibri" w:cs="Calibri"/>
          <w:color w:val="000000"/>
          <w:sz w:val="22"/>
          <w:szCs w:val="22"/>
        </w:rPr>
        <w:t> and live ETBF, whereas cells treated with ETBF (SCS or live) and vehicle or control r</w:t>
      </w:r>
      <w:r w:rsidRPr="00AF28B8">
        <w:rPr>
          <w:rFonts w:ascii="Calibri" w:hAnsi="Calibri" w:cs="Calibri"/>
          <w:i/>
          <w:iCs/>
          <w:color w:val="000000"/>
          <w:sz w:val="22"/>
          <w:szCs w:val="22"/>
        </w:rPr>
        <w:t>B.ovatus</w:t>
      </w:r>
      <w:r w:rsidRPr="00AF28B8">
        <w:rPr>
          <w:rFonts w:ascii="Calibri" w:hAnsi="Calibri" w:cs="Calibri"/>
          <w:color w:val="000000"/>
          <w:sz w:val="22"/>
          <w:szCs w:val="22"/>
        </w:rPr>
        <w:t> strains that did not express the anti-BFT1 peptide resulted in significant e-cadherin cleavage (p&lt;0.0001 by one-way analysis of variance) and morphological changes in cell shape (rounding). In summary, we co-infected colonic cells in culture with live ETBF and r</w:t>
      </w:r>
      <w:r w:rsidRPr="00AF28B8">
        <w:rPr>
          <w:rFonts w:ascii="Calibri" w:hAnsi="Calibri" w:cs="Calibri"/>
          <w:i/>
          <w:iCs/>
          <w:color w:val="000000"/>
          <w:sz w:val="22"/>
          <w:szCs w:val="22"/>
        </w:rPr>
        <w:t>B. ovatus</w:t>
      </w:r>
      <w:r w:rsidRPr="00AF28B8">
        <w:rPr>
          <w:rFonts w:ascii="Calibri" w:hAnsi="Calibri" w:cs="Calibri"/>
          <w:color w:val="000000"/>
          <w:sz w:val="22"/>
          <w:szCs w:val="22"/>
        </w:rPr>
        <w:t> in anaerobic conditions to evaluate the efficacy of the anti-BFT1 peptides when expressed by a probiotic strain. Future planned experiments include testing live ETBF and r</w:t>
      </w:r>
      <w:r w:rsidRPr="00AF28B8">
        <w:rPr>
          <w:rFonts w:ascii="Calibri" w:hAnsi="Calibri" w:cs="Calibri"/>
          <w:i/>
          <w:iCs/>
          <w:color w:val="000000"/>
          <w:sz w:val="22"/>
          <w:szCs w:val="22"/>
        </w:rPr>
        <w:t>B.ovatus</w:t>
      </w:r>
      <w:r w:rsidRPr="00AF28B8">
        <w:rPr>
          <w:rFonts w:ascii="Calibri" w:hAnsi="Calibri" w:cs="Calibri"/>
          <w:color w:val="000000"/>
          <w:sz w:val="22"/>
          <w:szCs w:val="22"/>
        </w:rPr>
        <w:t> strains in a mouse model as a first step in evaluating the efficacy and safety of using probiotic gut microbes as a therapeutic treatment against enteric diseases in humans.</w:t>
      </w:r>
    </w:p>
    <w:p w14:paraId="5CBEEC3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25-A-2599-ASTMH</w:t>
      </w:r>
    </w:p>
    <w:p w14:paraId="2377F0C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4B5D38D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Fetal and maternal outcomes associated with dengue in pregnancy: evidence from the Child Health and Mortality Prevention Surveillance (CHAMPS) study in Bangladesh</w:t>
      </w:r>
    </w:p>
    <w:p w14:paraId="5259960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virus (DENV) infection has emerged as a major public health concern in Bangladesh, with a case fatality rate of 0.69% in 2025. DENV-induced coagulopathy, endothelial injury, and inflammatory responses causing placental insufficiency can result in adverse pregnancy outcomes such as stillbirths. We analyzed 227 stillbirths from 2023 to 2024 under the Child Health and Mortality Prevention Surveillance project in two districts of Bangladesh, using the minimally invasive tissue sampling technique to collect biological specimens from stillbirths. Laboratory investigations of collected specimens, maternal clinical records, and verbal autopsy data were reviewed by an expert panel to determine the cause of stillbirth. Three stillbirths (1.32%, 3/227) identified in October were attributed to intrauterine hypoxia caused by maternal dengue fever or dengue haemorrhagic fever. Between September and October (post-rainy season), the mothers were diagnosed with dengue fever at a tertiary-level hospital, two in the third trimester and one at the end of the second trimester. In all cases, fever was the primary symptom. In two cases, fetal movement ceased within 1-2 days of fever onset, while in the third, stillbirth occurred weeks after maternal dengue diagnosis. Vaginal delivery was performed in all cases. One mother developed eclampsia and disseminated intravascular coagulation, and succumbed to dengue shock syndrome after 11 hours of delivery. All stillbirths weighed below 2500g. Microbiological analysis of samples from three stillbirths did not detect DENV. The placental histopathology showed chorioamnionitis and subchorionitis in two cases and unremarkable findings in one. The stillbirths were attributed to maternal dengue based on confirmation by maternal hospital records, disease progression, timing, and exclusion of other causes. Dengue in pregnancy may cause severe maternal and fetal complications, highlighting the need for timely diagnosis and integration of antenatal counseling on behavioral protective measures, early symptom recognition, and prompt care-seeking during the peak transmission phase in Bangladesh.</w:t>
      </w:r>
    </w:p>
    <w:p w14:paraId="51DE285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25-A-2600-ASTMH</w:t>
      </w:r>
    </w:p>
    <w:p w14:paraId="52BDA31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50265FE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Empowering Women and Youth in Livestock Systems through a One Health Approach: A Literature Review on Their Role in Combating Antimicrobial Resistance in Sub-Saharan Africa</w:t>
      </w:r>
    </w:p>
    <w:p w14:paraId="6B3A03B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Antimicrobial resistance (AMR) is a growing public health threat that transcends human, animal, and environmental boundaries, particularly in Sub-Saharan Africa where livestock systems are integral to livelihoods and food security. Women farmers, who frequently oversee animals in addition to household duties like food preparation and child care, are at a heightened risk of contracting foodborne or animal-borne illnesses, according to data from the Food and Agriculture Organisation of the United States. Despite being a key target group for One Health strategies, they only receive 5% of worldwide extension services and suffer obstacles in obtaining critical information. This review of the literature studies how women and young people, who are important but frequently disregarded players in livestock farming, might be empowered in the battle against AMR by utilising a One Health strategy. The review explores the gendered and generational dynamics of antimicrobial use, knowledge, and behaviours in livestock systems, drawing on peer-reviewed and literature. It also identifies entry sites for more inclusive, community-based AMR interventions. The results show that although women and young people are often involved in informal veterinary work and animal care, they encounter structural obstacles when trying to get antimicrobial stewardship-related knowledge, resources, and decision-making authority. The scope of AMR monitoring can be enhanced, and equality in One Health governance can be advanced, by incorporating them into ongoing population surveillance systems and participatory data gathering initiatives. The evaluation emphasises how important it is to have age-and gender-responsive policies that value and support the contributions of young people &amp; women in all segments of One Health. By empowering them with digital tools, locally tailored surveillance methods, and capacity building, they can become active change agents in AMR control rather than passive recipients. In order to effectively address AMR in livestock systems, social inclusion tactics that maximise the capacity of all community members are just as important.</w:t>
      </w:r>
    </w:p>
    <w:p w14:paraId="2BAEA6A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25-A-2601-ASTMH</w:t>
      </w:r>
    </w:p>
    <w:p w14:paraId="663B4C3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0BE8097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Mapping the Gap: Socioeconomic Inequities in HIV Knowledge Across Peru</w:t>
      </w:r>
    </w:p>
    <w:p w14:paraId="5FBFDD2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Prevention strategies for HIV emphasize the importance of ensuring adequate knowledge among the population. The Demographic and Health Survey (DHS) in Peru measures HIV knowledge using an indicator based on five questions related to transmission and prevention in women of reproductive age. This study aimed to analyze the spatiotemporal trends of socioeconomic disparities, such as differences in wealth, in HIV knowledge across regions of Peru. We used Peru's DHS datasets from 2014 to 2023, extracting variables including age, wealth index, region, and responses to the five HIV knowledge questions. Adequate knowledge was defined as correctly answering all five questions. We analyzed the data by region and year, examining frequencies and generating bivariate maps to visualize geographic distribution. Socioeconomic inequalities in HIV knowledge were assessed using concentration indexes based on the wealth index. We analyzed data from 275,424 women of reproductive age. Overall, inadequate HIV knowledge remained high (77.9%) across the study period. Adequate knowledge was most prevalent among the richest quintile (33.5%), followed by the rich (27.9%), middle (24.4%), poor (19.7%), and poorest (13.1%). Bivariate maps revealed regional and temporal variability in the association between wealth and HIV knowledge, with some regions showing inconsistent correlations. Concentration indexes varied by year and region but showing that adequate knowledge tended to be concentrated among wealthier quintiles. The most common misconception about HIV transmission was the belief that it can be transmitted by mosquito bites. While the link between wealth and HIV knowledge is well established, this study shows the usefulness of concentration indexes and spatiotemporal analyses as a dynamic framework to identify and monitor inequities in HIV knowledge, enabling more tailored and effective public health interventions. Strengthening HIV knowledge is essential to curb transmission and to dismantle misconceptions like mosquito-borne transmission—that lead to misinformation, and stigma and discrimination.</w:t>
      </w:r>
    </w:p>
    <w:p w14:paraId="5E938FC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25-A-2602-ASTMH</w:t>
      </w:r>
    </w:p>
    <w:p w14:paraId="5DFFE67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3D3931E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Assessment of Antimicrobial and Wound Healing Properties of Chitosan and Snail Shell Ash</w:t>
      </w:r>
    </w:p>
    <w:p w14:paraId="563C607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Wound healing is essential for maintaining the skin's physical barrier. Chronic wounds, particularly in diabetes, do not heal promptly and provide a conducive environment for microorganisms to thrive, hindering wound healing. A sustainable option for wound healing is crucial to prevent sepsis. Chitinous materials found in crab and snail shells present a promising breakthrough in wound healing. The study aimed to investigate the antimicrobial properties of chitosan obtained from </w:t>
      </w:r>
      <w:r w:rsidRPr="00AF28B8">
        <w:rPr>
          <w:rFonts w:ascii="Calibri" w:hAnsi="Calibri" w:cs="Calibri"/>
          <w:i/>
          <w:iCs/>
          <w:color w:val="000000"/>
          <w:sz w:val="22"/>
          <w:szCs w:val="22"/>
        </w:rPr>
        <w:t>Achatina achatina </w:t>
      </w:r>
      <w:r w:rsidRPr="00AF28B8">
        <w:rPr>
          <w:rFonts w:ascii="Calibri" w:hAnsi="Calibri" w:cs="Calibri"/>
          <w:color w:val="000000"/>
          <w:sz w:val="22"/>
          <w:szCs w:val="22"/>
        </w:rPr>
        <w:t>species and the ash from the shells. The antimicrobial activities of the ash and chitosan dissolved in a low concentration of acetic acid (with no activity) were determined against three Gram-positive and two Gram-negative bacteria using agar diffusion and micro-dilution methods with Ciprofloxacin as a reference drug. The results show that the yield of chitosan from the shells was 45.2%, with a pH of 8.70 and a moisture content of 3.6%. The pH and the moisture content of the ash were determined to be 9.89 and 0.8%, respectively. The minimum inhibitory concentration (MICs) of chitosan against test organisms was between 30 and 40 mg/mL, and that of the snail shell ash was &lt;0.625mg/mL. The MIC of ciprofloxacin against the test organisms ranged between 0.1825µg/mL to 12.5µg/mL. Inhibitions by ciprofloxacin and different concentrations of chitosan and ash against the test organisms showed a significant difference (p&lt;0.05). The ash from </w:t>
      </w:r>
      <w:r w:rsidRPr="00AF28B8">
        <w:rPr>
          <w:rFonts w:ascii="Calibri" w:hAnsi="Calibri" w:cs="Calibri"/>
          <w:i/>
          <w:iCs/>
          <w:color w:val="000000"/>
          <w:sz w:val="22"/>
          <w:szCs w:val="22"/>
        </w:rPr>
        <w:t>A. achatina</w:t>
      </w:r>
      <w:r w:rsidRPr="00AF28B8">
        <w:rPr>
          <w:rFonts w:ascii="Calibri" w:hAnsi="Calibri" w:cs="Calibri"/>
          <w:color w:val="000000"/>
          <w:sz w:val="22"/>
          <w:szCs w:val="22"/>
        </w:rPr>
        <w:t> shells exhibit a higher antimicrobial activity than the chitosan. In conclusion, the ash of </w:t>
      </w:r>
      <w:r w:rsidRPr="00AF28B8">
        <w:rPr>
          <w:rFonts w:ascii="Calibri" w:hAnsi="Calibri" w:cs="Calibri"/>
          <w:i/>
          <w:iCs/>
          <w:color w:val="000000"/>
          <w:sz w:val="22"/>
          <w:szCs w:val="22"/>
        </w:rPr>
        <w:t>A. achatina</w:t>
      </w:r>
      <w:r w:rsidRPr="00AF28B8">
        <w:rPr>
          <w:rFonts w:ascii="Calibri" w:hAnsi="Calibri" w:cs="Calibri"/>
          <w:color w:val="000000"/>
          <w:sz w:val="22"/>
          <w:szCs w:val="22"/>
        </w:rPr>
        <w:t> prove effective for the treatment of microbial infections in wounds and thus, can be used by drug developers in the development of a wound-healing drug.</w:t>
      </w:r>
    </w:p>
    <w:p w14:paraId="654E284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25-A-2604-ASTMH</w:t>
      </w:r>
    </w:p>
    <w:p w14:paraId="026CCEB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23440E6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of ocular </w:t>
      </w:r>
      <w:r w:rsidRPr="00AF28B8">
        <w:rPr>
          <w:rFonts w:ascii="Calibri" w:hAnsi="Calibri" w:cs="Calibri"/>
          <w:i/>
          <w:iCs/>
          <w:color w:val="000000"/>
          <w:sz w:val="22"/>
          <w:szCs w:val="22"/>
        </w:rPr>
        <w:t>Chlamydia trachomatis </w:t>
      </w:r>
      <w:r w:rsidRPr="00AF28B8">
        <w:rPr>
          <w:rFonts w:ascii="Calibri" w:hAnsi="Calibri" w:cs="Calibri"/>
          <w:color w:val="000000"/>
          <w:sz w:val="22"/>
          <w:szCs w:val="22"/>
        </w:rPr>
        <w:t>infection and antibodies in three trachoma-treatment naïve counties of Eastern Equatoria State, South Sudan</w:t>
      </w:r>
    </w:p>
    <w:p w14:paraId="04E9C59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Trachoma Control Programs (TCPs) perform population-based prevalence surveys to calculate the trachoma prevalence in a county. Field-graded clinical signs of trachoma, including trachomatous inflammation-follicular (TF), are measured to quantify the disease burden and determine if mass drug administration (MDA) is warranted. Recently, complementary indicators of trachoma, including </w:t>
      </w:r>
      <w:r w:rsidRPr="00AF28B8">
        <w:rPr>
          <w:rFonts w:ascii="Calibri" w:hAnsi="Calibri" w:cs="Calibri"/>
          <w:i/>
          <w:iCs/>
          <w:color w:val="000000"/>
          <w:sz w:val="22"/>
          <w:szCs w:val="22"/>
        </w:rPr>
        <w:t>Chlamydia trachomatis</w:t>
      </w:r>
      <w:r w:rsidRPr="00AF28B8">
        <w:rPr>
          <w:rFonts w:ascii="Calibri" w:hAnsi="Calibri" w:cs="Calibri"/>
          <w:color w:val="000000"/>
          <w:sz w:val="22"/>
          <w:szCs w:val="22"/>
        </w:rPr>
        <w:t> (</w:t>
      </w:r>
      <w:r w:rsidRPr="00AF28B8">
        <w:rPr>
          <w:rFonts w:ascii="Calibri" w:hAnsi="Calibri" w:cs="Calibri"/>
          <w:i/>
          <w:iCs/>
          <w:color w:val="000000"/>
          <w:sz w:val="22"/>
          <w:szCs w:val="22"/>
        </w:rPr>
        <w:t>Ct)</w:t>
      </w:r>
      <w:r w:rsidRPr="00AF28B8">
        <w:rPr>
          <w:rFonts w:ascii="Calibri" w:hAnsi="Calibri" w:cs="Calibri"/>
          <w:color w:val="000000"/>
          <w:sz w:val="22"/>
          <w:szCs w:val="22"/>
        </w:rPr>
        <w:t> infection and serological monitoring, have been integrated into surveys to elucidate current and historical transmission. However, these indicators are rarely included in baseline surveys. Between 2023–2024, the South Sudan TCP implemented baseline surveys in Torit, Ikotos, and Magwi counties of Eastern Equatoria State. Here, we detail the serological profiles in these 3 treatment naïve counties, as well as the infection profile in Torit. Certified graders examined individuals for trachoma clinical signs, and dried blood spots (DBS) for serological monitoring were collected from individuals ages ≥ 1 year in all 3 counties. Conjunctival swabs for </w:t>
      </w:r>
      <w:r w:rsidRPr="00AF28B8">
        <w:rPr>
          <w:rFonts w:ascii="Calibri" w:hAnsi="Calibri" w:cs="Calibri"/>
          <w:i/>
          <w:iCs/>
          <w:color w:val="000000"/>
          <w:sz w:val="22"/>
          <w:szCs w:val="22"/>
        </w:rPr>
        <w:t>Ct</w:t>
      </w:r>
      <w:r w:rsidRPr="00AF28B8">
        <w:rPr>
          <w:rFonts w:ascii="Calibri" w:hAnsi="Calibri" w:cs="Calibri"/>
          <w:color w:val="000000"/>
          <w:sz w:val="22"/>
          <w:szCs w:val="22"/>
        </w:rPr>
        <w:t> infection testing were collected from children ages 1–9 years in Torit. The </w:t>
      </w:r>
      <w:r w:rsidRPr="00AF28B8">
        <w:rPr>
          <w:rFonts w:ascii="Calibri" w:hAnsi="Calibri" w:cs="Calibri"/>
          <w:i/>
          <w:iCs/>
          <w:color w:val="000000"/>
          <w:sz w:val="22"/>
          <w:szCs w:val="22"/>
        </w:rPr>
        <w:t>Ct</w:t>
      </w:r>
      <w:r w:rsidRPr="00AF28B8">
        <w:rPr>
          <w:rFonts w:ascii="Calibri" w:hAnsi="Calibri" w:cs="Calibri"/>
          <w:color w:val="000000"/>
          <w:sz w:val="22"/>
          <w:szCs w:val="22"/>
        </w:rPr>
        <w:t> infection prevalence among children ages 1–5 years in Torit was 1.4% (95% CI: 0.9–2.3%). The TF prevalence among children ages 1–9 years was 7.3% (95% Confidence Interval [CI]: 3.3–15.7%) in Torit, 6.1% (95% CI: 3.7–9.7%) in Ikotos, and 0.8% (95% CI: 0.4–1.7%) in Magwi. The seroconversion rate (SCR) per 100 children-years among children ages 1–5 years was 6.4 (95% CI: 4.7–8.7) in Torit, 7.0 (95% CI: 5.1–9.6) in Ikotos, and 1.7 (95% CI: 1.1–2.6) in Magwi. Based on TF prevalence ≥5% and complementary indicators, both Torit and Ikotos were trachoma endemic and should begin receiving trachoma interventions. Magwi had low TF prevalence and an SCR close to a proposed transmission threshold of ≥1.6; therefore, no trachoma interventions are likely required. </w:t>
      </w:r>
      <w:r w:rsidRPr="00AF28B8">
        <w:rPr>
          <w:rFonts w:ascii="Calibri" w:hAnsi="Calibri" w:cs="Calibri"/>
          <w:i/>
          <w:iCs/>
          <w:color w:val="000000"/>
          <w:sz w:val="22"/>
          <w:szCs w:val="22"/>
        </w:rPr>
        <w:t>Ct</w:t>
      </w:r>
      <w:r w:rsidRPr="00AF28B8">
        <w:rPr>
          <w:rFonts w:ascii="Calibri" w:hAnsi="Calibri" w:cs="Calibri"/>
          <w:color w:val="000000"/>
          <w:sz w:val="22"/>
          <w:szCs w:val="22"/>
        </w:rPr>
        <w:t> infection data would have helped clarify the epidemiological profile of this county. Including complementary indicators in trachoma surveys increases our understanding of the epidemiology and confidence in intervention strategies.</w:t>
      </w:r>
    </w:p>
    <w:p w14:paraId="174EDEF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25-A-2606-ASTMH</w:t>
      </w:r>
    </w:p>
    <w:p w14:paraId="47CD90A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3432994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Bat, animal and human interaction in Bangladesh: the nexus of zoonotic disease spillover</w:t>
      </w:r>
    </w:p>
    <w:p w14:paraId="143001E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Nipah Virus (NiV) Has Been Found on Dropped Fruit in Malaysia, Indicating a Potential Link Between Bat-Bitten Fruit Eaten by Pigs and the Subsequent Transmission of the Virus from Pigs to Humans. In Bangladesh, NiV Antibodies Were Detected in Domesticated Animals Like Cattle, Goats, Dogs, Cats and Pigs, but Little is Known About Potential Spillover Pathways and Frequency of Exposures in These Animals. Each New Spillover is an Opportunity for the Virus to Adapt to New Host Species, Making It Crucial to Understand the Nature and Frequency of Bat-Domesticated Animal-Human Interactions. Therefore, This Study Aimed to Describe the Settings Where Cross-Species Interactions Occur in Rural Areas of Bangladesh to Understand Potential Spillover Pathways of NiV. We Conducted a Census with Face-to-Face Interview with Household Members Using a Structured Questionnaire from March to August 2023, and January 2024 in All Households of Eight Study Villages in Central Bangladesh. We Collected Data on Demographic Characteristics, Household Animals (Like Cattle, Goats, Dogs, Cats and Pigs) and Poultry, Fruit Trees, Bat Visits to Animal Sheds, Animal Feeding Practices (Including Bat or Bird Eaten Fruit), and Sick Animals. The Majority of Households (73%, N=1574) Raised Animals: Cattle (61%), Goats (44%) and Pigs (1%). Respondent Reported that Dropped Fruit Was Fed To 23% (222/959) of Cattle, 26% (179/690) of Goats, 3% (1/34) of Dogs and 1% (1/151) of Cats in their Households. Animals Fed Dropped Fruit (23%, 70/300) Were More Likely to be Ill in the Month Prior to the Census Survey (P = 0.016) than those Not Fed Dropped Fruit (17%, 150/880). Grazing Under the Bat Roost Was Reported in 4% (41/959) of Cattle, 5% (35/690) of Goats, 9% (3/34) of Dogs And 3% (4/151) of Cats. Animals From Bat Roost Villages (63%, 38/60) Were More Likely (P = 0.000) to Graze Under Bat Roosts Than Those From Villages Without Bat Roosts (37%, 412/1120). Animal Illness Might Have Associated with Being Fed Partially Eaten Dropped Fruits. Future Research Should Focus on Community-Based Pathogen Detection in Animals, Since This May be a Key Route for Spillover Events.</w:t>
      </w:r>
    </w:p>
    <w:p w14:paraId="10C4E59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25-A-2609-ASTMH</w:t>
      </w:r>
    </w:p>
    <w:p w14:paraId="6CA884F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1801803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Menstrual health needs and associated psychological distress among high school girls in the volta region ghana</w:t>
      </w:r>
    </w:p>
    <w:p w14:paraId="0C9FEC3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Menstrual health and hygiene remain a critical issue for adolescent girls in many low- and middle-income countries, including Ghana, with wide-ranging implications for physical health, education, and psychological well-being. This study explored the relationship between menstrual health needs and psychological distress among adolescent girls in the Volta Region. A cross-sectional survey was conducted among 1,161 female students from senior high schools across five districts. Participants completed a structured questionnaire that captured sociodemographic details, menstrual practice needs (assessed using the Menstrual Practice Needs Scale - MPNS-36), and mental health indicators, including depression (PHQ-9), anxiety (GAD-2), and stress (DASS-21). Results showed moderate levels of unmet menstrual practice needs, especially within school environments where transport and access to reliable materials posed significant challenges. Mental health outcomes revealed that a substantial number of students experienced psychological distress: 41.0% had mild depressive symptoms, 22.2% reported moderate depression, and 2.9% experienced severe depression. Anxiety was also high, with 22.8% showing signs of severe anxiety, while 38.3% had elevated stress levels beyond the normal range. Further analysis revealed significant negative correlations between menstrual practice needs satisfaction and mental health outcomes. Lower satisfaction with menstrual support was linked to higher levels of depression, anxiety, and stress. Additionally, factors like maternal education, access to media, and living in boarding school were associated with better menstrual support, while older age and higher levels of psychological distress were linked to more unmet needs. These findings emphasize the interconnectedness of menstrual health and mental well-being. Targeted, context-specific interventions could significantly improve the well-being, school engagement, and future outcomes of adolescent girls in Ghana and similar settings.</w:t>
      </w:r>
    </w:p>
    <w:p w14:paraId="6E368D1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25-A-2610-ASTMH</w:t>
      </w:r>
    </w:p>
    <w:p w14:paraId="3DD0912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055CD27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The impact of malaria in pregnancy on fertility - systematic review and meta-analysis</w:t>
      </w:r>
    </w:p>
    <w:p w14:paraId="5502140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in pregnancy remains a significant global health challenge, impacting approximately 12.4 million women each year in sub-Saharan Africa. While the detrimental effects of malaria in pregnancy on maternal and foetal health are well-documented, its effects on fertility are less understood. A recent malaria sporozoite vaccine trial in non-pregnant women seeking conception found a non-significant reduction in time to pregnancy for vaccinated women compared to controls. This suggests that malaria may have a significant impact on fertility, underscoring the urgent need for further research in this area. We aimed to provide a comprehensive overview of the current literature on the effects of malaria in pregnancy on fertility. We identified all eligible studies on March 28, 2025, in the Malaria in Pregnancy Library, Medline (through PubMed), CINAHL, Global Health and Global Health Archive. In the Malaria in Pregnancy library, we searched using the terms (Fertility OR birth rate OR miscarriage OR abortion OR time to pregnancy OR conception OR fecundity) and did not include a malaria term as all material in this database is related to malaria in pregnancy. For all other databases, we additionally included the search terms (Malaria OR falciparum OR vivax). We identified 2796 articles, and will screen and extract data on fertility, miscarriage, abortion, stillbirth and seasonal birth patterns. We will present our extracted data on the impact of malaria on fertility. Key areas of focus will include the interplay between high malaria-related mortality and fertility rates, variations in fertility patterns before and after malaria elimination efforts, the seasonality of births in malaria-endemic areas, and the impact of malaria on early pregnancy outcomes such as miscarriage and abortion. Through this review, we will provide a more detailed understanding of the relationship between malaria and fertility, which could inform public health strategies and interventions for women in malaria-endemic regions.</w:t>
      </w:r>
    </w:p>
    <w:p w14:paraId="4BC6A48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25-A-2611-ASTMH</w:t>
      </w:r>
    </w:p>
    <w:p w14:paraId="1EA3EA4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115E6D1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Modelling the global burden of pregnancy-associated malaria deaths - updates since 2017</w:t>
      </w:r>
    </w:p>
    <w:p w14:paraId="6E8C155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With approximately 121.9 million pregnancies occurring annually in areas with malaria transmission, malaria remains a key cause of pregnancy-associated death. However, the last estimate of maternal malaria-related deaths, an estimated 10,000 annually, is from 2001. As maternal immunity plays a substantial role in outcomes, changes in transmission may alter risk in unpredictable ways. Thus, contemporary estimates of malaria-attributable maternal mortality are crucial to inform programming. We conducted a systematic review to determine the proportion of malaria-attributable deaths among pregnant women using the terms (pregnancy OR maternal OR pregnant) AND (malaria OR plasmodium) AND (death OR mortality). We matched publicly available data by time and country to antenatal care attendance, coverage of malaria prevention strategies, and HIV prevalence to fit our estimates. Applying data published through March 22, 2017, we estimated that in 2015, there were an estimated 17,929 [95% CI: 1,834, 108,545] malaria-attributable deaths, representing 7% of all deaths among pregnant women. To update this systematic review, we identified an additional 2,188 articles published March 22, 2017 to November, 27, 2024; 2071 were excluded by title/abstract review. An additional 52 were excluded by full text review; data extraction is ongoing for 65. We will present updated burden estimates of malaria-attributable maternal deaths worldwide. We will stratify this burden by country and present updated estimates of malaria-attributable maternal mortality over time from 2000 to 2024. The potential impact of seasonality will be assessed through sensitivity analyses restricting to data collected over an entire year. An understanding of the current risk of maternal mortality due to malaria is crucial to understand malaria's impact during pregnancy as transmission drops, evaluate the effectiveness of interventions to reduce maternal mortality, and further guide policies to improve prenatal care.</w:t>
      </w:r>
    </w:p>
    <w:p w14:paraId="0F1CCDA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25-A-2612-ASTMH</w:t>
      </w:r>
    </w:p>
    <w:p w14:paraId="5F0B62E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52DE17D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Hunting Dogs as Sentinels for Zoonotic Tick-Borne Pathogens in Ghana</w:t>
      </w:r>
    </w:p>
    <w:p w14:paraId="2D44E6A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In Ghana, hunting dogs come into close contact with people and wildlife, which could make them sentinels for tick-borne pathogens of zoonotic and veterinary importance. This study seeks to examine the diversity of tick species infesting hunting dogs and identify the occurring tick-borne pathogens. Ticks have been collected from 28 hunting dogs, morphologically identified using available taxonomic keys, and confirmed using a molecular approach. Total nucleic acid was extracted from each tick species and screened for pathogens using PCR and Sanger sequencing. Ticks from the genera </w:t>
      </w:r>
      <w:r w:rsidRPr="00AF28B8">
        <w:rPr>
          <w:rFonts w:ascii="Calibri" w:hAnsi="Calibri" w:cs="Calibri"/>
          <w:i/>
          <w:iCs/>
          <w:color w:val="000000"/>
          <w:sz w:val="22"/>
          <w:szCs w:val="22"/>
        </w:rPr>
        <w:t>Rhipicephalus</w:t>
      </w:r>
      <w:r w:rsidRPr="00AF28B8">
        <w:rPr>
          <w:rFonts w:ascii="Calibri" w:hAnsi="Calibri" w:cs="Calibri"/>
          <w:color w:val="000000"/>
          <w:sz w:val="22"/>
          <w:szCs w:val="22"/>
        </w:rPr>
        <w:t>, Haemaphysalis, and </w:t>
      </w:r>
      <w:r w:rsidRPr="00AF28B8">
        <w:rPr>
          <w:rFonts w:ascii="Calibri" w:hAnsi="Calibri" w:cs="Calibri"/>
          <w:i/>
          <w:iCs/>
          <w:color w:val="000000"/>
          <w:sz w:val="22"/>
          <w:szCs w:val="22"/>
        </w:rPr>
        <w:t>Amblyomma</w:t>
      </w:r>
      <w:r w:rsidRPr="00AF28B8">
        <w:rPr>
          <w:rFonts w:ascii="Calibri" w:hAnsi="Calibri" w:cs="Calibri"/>
          <w:color w:val="000000"/>
          <w:sz w:val="22"/>
          <w:szCs w:val="22"/>
        </w:rPr>
        <w:t> infested the sampled hunting dogs. From the 141 ticks identified, </w:t>
      </w:r>
      <w:r w:rsidRPr="00AF28B8">
        <w:rPr>
          <w:rFonts w:ascii="Calibri" w:hAnsi="Calibri" w:cs="Calibri"/>
          <w:i/>
          <w:iCs/>
          <w:color w:val="000000"/>
          <w:sz w:val="22"/>
          <w:szCs w:val="22"/>
        </w:rPr>
        <w:t>Rhipicephalus sanguineus</w:t>
      </w:r>
      <w:r w:rsidRPr="00AF28B8">
        <w:rPr>
          <w:rFonts w:ascii="Calibri" w:hAnsi="Calibri" w:cs="Calibri"/>
          <w:color w:val="000000"/>
          <w:sz w:val="22"/>
          <w:szCs w:val="22"/>
        </w:rPr>
        <w:t> (85.94%) was the predominant species. This study reports the first molecular identification of </w:t>
      </w:r>
      <w:r w:rsidRPr="00AF28B8">
        <w:rPr>
          <w:rFonts w:ascii="Calibri" w:hAnsi="Calibri" w:cs="Calibri"/>
          <w:i/>
          <w:iCs/>
          <w:color w:val="000000"/>
          <w:sz w:val="22"/>
          <w:szCs w:val="22"/>
        </w:rPr>
        <w:t>Amblyomma sparsu</w:t>
      </w:r>
      <w:r w:rsidRPr="00AF28B8">
        <w:rPr>
          <w:rFonts w:ascii="Calibri" w:hAnsi="Calibri" w:cs="Calibri"/>
          <w:color w:val="000000"/>
          <w:sz w:val="22"/>
          <w:szCs w:val="22"/>
        </w:rPr>
        <w:t>m, </w:t>
      </w:r>
      <w:r w:rsidRPr="00AF28B8">
        <w:rPr>
          <w:rFonts w:ascii="Calibri" w:hAnsi="Calibri" w:cs="Calibri"/>
          <w:i/>
          <w:iCs/>
          <w:color w:val="000000"/>
          <w:sz w:val="22"/>
          <w:szCs w:val="22"/>
        </w:rPr>
        <w:t>Haemaphysalis parva</w:t>
      </w:r>
      <w:r w:rsidRPr="00AF28B8">
        <w:rPr>
          <w:rFonts w:ascii="Calibri" w:hAnsi="Calibri" w:cs="Calibri"/>
          <w:color w:val="000000"/>
          <w:sz w:val="22"/>
          <w:szCs w:val="22"/>
        </w:rPr>
        <w:t>, </w:t>
      </w:r>
      <w:r w:rsidRPr="00AF28B8">
        <w:rPr>
          <w:rFonts w:ascii="Calibri" w:hAnsi="Calibri" w:cs="Calibri"/>
          <w:i/>
          <w:iCs/>
          <w:color w:val="000000"/>
          <w:sz w:val="22"/>
          <w:szCs w:val="22"/>
        </w:rPr>
        <w:t>Rhipicephalus leporis</w:t>
      </w:r>
      <w:r w:rsidRPr="00AF28B8">
        <w:rPr>
          <w:rFonts w:ascii="Calibri" w:hAnsi="Calibri" w:cs="Calibri"/>
          <w:color w:val="000000"/>
          <w:sz w:val="22"/>
          <w:szCs w:val="22"/>
        </w:rPr>
        <w:t> and </w:t>
      </w:r>
      <w:r w:rsidRPr="00AF28B8">
        <w:rPr>
          <w:rFonts w:ascii="Calibri" w:hAnsi="Calibri" w:cs="Calibri"/>
          <w:i/>
          <w:iCs/>
          <w:color w:val="000000"/>
          <w:sz w:val="22"/>
          <w:szCs w:val="22"/>
        </w:rPr>
        <w:t>Rhipicephalus linnaei</w:t>
      </w:r>
      <w:r w:rsidRPr="00AF28B8">
        <w:rPr>
          <w:rFonts w:ascii="Calibri" w:hAnsi="Calibri" w:cs="Calibri"/>
          <w:color w:val="000000"/>
          <w:sz w:val="22"/>
          <w:szCs w:val="22"/>
        </w:rPr>
        <w:t> in Ghana. Pathogen DNA was detected in 31 (21.83%) of the ticks, with the occurring pathogens as </w:t>
      </w:r>
      <w:r w:rsidRPr="00AF28B8">
        <w:rPr>
          <w:rFonts w:ascii="Calibri" w:hAnsi="Calibri" w:cs="Calibri"/>
          <w:i/>
          <w:iCs/>
          <w:color w:val="000000"/>
          <w:sz w:val="22"/>
          <w:szCs w:val="22"/>
        </w:rPr>
        <w:t>Hepatozoon canis</w:t>
      </w:r>
      <w:r w:rsidRPr="00AF28B8">
        <w:rPr>
          <w:rFonts w:ascii="Calibri" w:hAnsi="Calibri" w:cs="Calibri"/>
          <w:color w:val="000000"/>
          <w:sz w:val="22"/>
          <w:szCs w:val="22"/>
        </w:rPr>
        <w:t> (13.28%), Uncultured Anaplasma sp. (7.75%), </w:t>
      </w:r>
      <w:r w:rsidRPr="00AF28B8">
        <w:rPr>
          <w:rFonts w:ascii="Calibri" w:hAnsi="Calibri" w:cs="Calibri"/>
          <w:i/>
          <w:iCs/>
          <w:color w:val="000000"/>
          <w:sz w:val="22"/>
          <w:szCs w:val="22"/>
        </w:rPr>
        <w:t>Ehrlichia canis</w:t>
      </w:r>
      <w:r w:rsidRPr="00AF28B8">
        <w:rPr>
          <w:rFonts w:ascii="Calibri" w:hAnsi="Calibri" w:cs="Calibri"/>
          <w:color w:val="000000"/>
          <w:sz w:val="22"/>
          <w:szCs w:val="22"/>
        </w:rPr>
        <w:t> (7.04%), </w:t>
      </w:r>
      <w:r w:rsidRPr="00AF28B8">
        <w:rPr>
          <w:rFonts w:ascii="Calibri" w:hAnsi="Calibri" w:cs="Calibri"/>
          <w:i/>
          <w:iCs/>
          <w:color w:val="000000"/>
          <w:sz w:val="22"/>
          <w:szCs w:val="22"/>
        </w:rPr>
        <w:t>Rickettsia africae</w:t>
      </w:r>
      <w:r w:rsidRPr="00AF28B8">
        <w:rPr>
          <w:rFonts w:ascii="Calibri" w:hAnsi="Calibri" w:cs="Calibri"/>
          <w:color w:val="000000"/>
          <w:sz w:val="22"/>
          <w:szCs w:val="22"/>
        </w:rPr>
        <w:t> (1.41%) and Uncultured Rickettsia sp. (0.7%). None of the samples were positive for </w:t>
      </w:r>
      <w:r w:rsidRPr="00AF28B8">
        <w:rPr>
          <w:rFonts w:ascii="Calibri" w:hAnsi="Calibri" w:cs="Calibri"/>
          <w:i/>
          <w:iCs/>
          <w:color w:val="000000"/>
          <w:sz w:val="22"/>
          <w:szCs w:val="22"/>
        </w:rPr>
        <w:t>Coxiella burnetii</w:t>
      </w:r>
      <w:r w:rsidRPr="00AF28B8">
        <w:rPr>
          <w:rFonts w:ascii="Calibri" w:hAnsi="Calibri" w:cs="Calibri"/>
          <w:color w:val="000000"/>
          <w:sz w:val="22"/>
          <w:szCs w:val="22"/>
        </w:rPr>
        <w:t> or Crimean-Congo Haemorrhagic Fever Virus. The findings of this study indicate that hunting dogs can be helpful sentinels in monitoring tick populations and the spillover of zoonotic tick-borne pathogens from wildlife to humans and domestic animals. To reduce the threat of zoonotic disease establishment and transmission, this study highlights the importance of education, surveillance, and tick control strategies in Ghanaian dog populations.</w:t>
      </w:r>
    </w:p>
    <w:p w14:paraId="4752395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25-A-2613-ASTMH</w:t>
      </w:r>
    </w:p>
    <w:p w14:paraId="386E84D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02EA00F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Global Characterization of Diversity and Selective Pressures in Five Loci Identified by Whole-Genome Sieve Analysis as Putative Antigens</w:t>
      </w:r>
    </w:p>
    <w:p w14:paraId="6634090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 previously conducted whole-genome sieve analysis (SAWG) using whole genome sequence data from Plasmodium falciparum isolates from two placebo-controlled vaccine efficacy (VE) trials identified twelve single-copy loci as putative antigens. Here, five of those loci were investigated to characterize their diversity and mode of evolution. The five down-selected loci were PF3D7_0711200, PF3D7_0808100, PF3D7_1324300, PF3D7_1335900 (encoding thrombospondin-related anonymous protein, SSP2/TRAP) and PF3D7_1361800. Each locus was reference-reconstructed in 2053 clinical isolates sampled from 24 geographic locations using data from MalariaGen Pf7. Nucleotide diversity was estimated for each location, partitioned by synonymous and nonsynonymous sites, and examined on a sliding window across the target loci. Encoded protein variants were used to determine protein diversity and to create protein variant networks. Additionally, Tajima’s D and McDonald and Kreitman (MK) tests were conducted to identify signals of positive selection. PF3D7_1335900 (Pftrap) ≥3X more diverse than other loci. Across all loci, higher malaria transmission was associated with an increased nucleotide diversity. Measurements of nonsynonymous and synonymous nucleotide diversity showed πN/πS &gt;&gt; 1 in Pftrap which suggest strong positive selective pressure acting on this locus. Sliding window analyses demonstrate heterogenous diversity across the length of all loci. The almost complete absence of synonymous mutations coupled with the Tajima’s D and MK’s neutrality index results suggest a recent selective sweep occurred in chromosome 13. This is consistent with the protein variant networks, which show geographically structured networks in all three chromosome 13 loci. The protein networks and haplotype diversity results indicate an immense global diversity of variants, and that the protein variant in the vaccine (identical to Pf3D7) was not well represented in any of the assessed loci, which may have contributed to reduce vaccine efficacy in the original VE trials.</w:t>
      </w:r>
    </w:p>
    <w:p w14:paraId="754B30B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25-A-2614-ASTMH</w:t>
      </w:r>
    </w:p>
    <w:p w14:paraId="60984E1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4DF8CD5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Sensitive and Specific Diagnosis of </w:t>
      </w:r>
      <w:r w:rsidRPr="00AF28B8">
        <w:rPr>
          <w:rFonts w:ascii="Calibri" w:hAnsi="Calibri" w:cs="Calibri"/>
          <w:b/>
          <w:bCs/>
          <w:i/>
          <w:iCs/>
          <w:color w:val="000000"/>
          <w:sz w:val="22"/>
          <w:szCs w:val="22"/>
        </w:rPr>
        <w:t>Schistosoma mansoni</w:t>
      </w:r>
      <w:r w:rsidRPr="00AF28B8">
        <w:rPr>
          <w:rFonts w:ascii="Calibri" w:hAnsi="Calibri" w:cs="Calibri"/>
          <w:b/>
          <w:bCs/>
          <w:color w:val="000000"/>
          <w:sz w:val="22"/>
          <w:szCs w:val="22"/>
        </w:rPr>
        <w:t> and </w:t>
      </w:r>
      <w:r w:rsidRPr="00AF28B8">
        <w:rPr>
          <w:rFonts w:ascii="Calibri" w:hAnsi="Calibri" w:cs="Calibri"/>
          <w:b/>
          <w:bCs/>
          <w:i/>
          <w:iCs/>
          <w:color w:val="000000"/>
          <w:sz w:val="22"/>
          <w:szCs w:val="22"/>
        </w:rPr>
        <w:t>S. haematobium</w:t>
      </w:r>
      <w:r w:rsidRPr="00AF28B8">
        <w:rPr>
          <w:rFonts w:ascii="Calibri" w:hAnsi="Calibri" w:cs="Calibri"/>
          <w:b/>
          <w:bCs/>
          <w:color w:val="000000"/>
          <w:sz w:val="22"/>
          <w:szCs w:val="22"/>
        </w:rPr>
        <w:t> from Filtered Urine Samples Collected in Tanzania Africa</w:t>
      </w:r>
    </w:p>
    <w:p w14:paraId="5CEADF5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Schistosomiasis is a blood-borne and water-borne parasitic disease caused by the human </w:t>
      </w:r>
      <w:r w:rsidRPr="00AF28B8">
        <w:rPr>
          <w:rFonts w:ascii="Calibri" w:hAnsi="Calibri" w:cs="Calibri"/>
          <w:i/>
          <w:iCs/>
          <w:color w:val="000000"/>
          <w:sz w:val="22"/>
          <w:szCs w:val="22"/>
        </w:rPr>
        <w:t>Schistosoma </w:t>
      </w:r>
      <w:r w:rsidRPr="00AF28B8">
        <w:rPr>
          <w:rFonts w:ascii="Calibri" w:hAnsi="Calibri" w:cs="Calibri"/>
          <w:color w:val="000000"/>
          <w:sz w:val="22"/>
          <w:szCs w:val="22"/>
        </w:rPr>
        <w:t>species, namely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and </w:t>
      </w:r>
      <w:r w:rsidRPr="00AF28B8">
        <w:rPr>
          <w:rFonts w:ascii="Calibri" w:hAnsi="Calibri" w:cs="Calibri"/>
          <w:i/>
          <w:iCs/>
          <w:color w:val="000000"/>
          <w:sz w:val="22"/>
          <w:szCs w:val="22"/>
        </w:rPr>
        <w:t>S. haematobium</w:t>
      </w:r>
      <w:r w:rsidRPr="00AF28B8">
        <w:rPr>
          <w:rFonts w:ascii="Calibri" w:hAnsi="Calibri" w:cs="Calibri"/>
          <w:color w:val="000000"/>
          <w:sz w:val="22"/>
          <w:szCs w:val="22"/>
        </w:rPr>
        <w:t xml:space="preserve">. The parasite requires </w:t>
      </w:r>
      <w:r w:rsidRPr="00AF28B8">
        <w:rPr>
          <w:rFonts w:ascii="Calibri" w:hAnsi="Calibri" w:cs="Calibri"/>
          <w:color w:val="000000"/>
          <w:sz w:val="22"/>
          <w:szCs w:val="22"/>
        </w:rPr>
        <w:lastRenderedPageBreak/>
        <w:t>an intermediate snail host, where they grow and develop, along with a human host (definitive). Schistosoma egg detection in feces (</w:t>
      </w:r>
      <w:r w:rsidRPr="00AF28B8">
        <w:rPr>
          <w:rFonts w:ascii="Calibri" w:hAnsi="Calibri" w:cs="Calibri"/>
          <w:i/>
          <w:iCs/>
          <w:color w:val="000000"/>
          <w:sz w:val="22"/>
          <w:szCs w:val="22"/>
        </w:rPr>
        <w:t>S. mansoni)</w:t>
      </w:r>
      <w:r w:rsidRPr="00AF28B8">
        <w:rPr>
          <w:rFonts w:ascii="Calibri" w:hAnsi="Calibri" w:cs="Calibri"/>
          <w:color w:val="000000"/>
          <w:sz w:val="22"/>
          <w:szCs w:val="22"/>
        </w:rPr>
        <w:t> and urine (</w:t>
      </w:r>
      <w:r w:rsidRPr="00AF28B8">
        <w:rPr>
          <w:rFonts w:ascii="Calibri" w:hAnsi="Calibri" w:cs="Calibri"/>
          <w:i/>
          <w:iCs/>
          <w:color w:val="000000"/>
          <w:sz w:val="22"/>
          <w:szCs w:val="22"/>
        </w:rPr>
        <w:t>S. haematobium</w:t>
      </w:r>
      <w:r w:rsidRPr="00AF28B8">
        <w:rPr>
          <w:rFonts w:ascii="Calibri" w:hAnsi="Calibri" w:cs="Calibri"/>
          <w:color w:val="000000"/>
          <w:sz w:val="22"/>
          <w:szCs w:val="22"/>
        </w:rPr>
        <w:t>) are the WHO-recommended confirmatory diagnostic tests. </w:t>
      </w:r>
      <w:r w:rsidRPr="00AF28B8">
        <w:rPr>
          <w:rFonts w:ascii="Calibri" w:hAnsi="Calibri" w:cs="Calibri"/>
          <w:b/>
          <w:bCs/>
          <w:color w:val="000000"/>
          <w:sz w:val="22"/>
          <w:szCs w:val="22"/>
        </w:rPr>
        <w:t>Methods </w:t>
      </w:r>
      <w:r w:rsidRPr="00AF28B8">
        <w:rPr>
          <w:rFonts w:ascii="Calibri" w:hAnsi="Calibri" w:cs="Calibri"/>
          <w:color w:val="000000"/>
          <w:sz w:val="22"/>
          <w:szCs w:val="22"/>
        </w:rPr>
        <w:t>The goal of our research was to determine the efficacy of detecting single or dual Schistosome species from filtered human urine samples collected in Tanzania by amplifying species-specific cell-free repeat DNA fragments via polymerase chain reaction (PCR) and gel electrophoresis. In total, 104 filtered human urine samples were evaluated and collected from individuals residing in the village of Kayenze, Tanzania. All samples were detected with 100% accuracy, and no cross-amplification was present. </w:t>
      </w:r>
      <w:r w:rsidRPr="00AF28B8">
        <w:rPr>
          <w:rFonts w:ascii="Calibri" w:hAnsi="Calibri" w:cs="Calibri"/>
          <w:b/>
          <w:bCs/>
          <w:color w:val="000000"/>
          <w:sz w:val="22"/>
          <w:szCs w:val="22"/>
        </w:rPr>
        <w:t>Results</w:t>
      </w:r>
      <w:r w:rsidRPr="00AF28B8">
        <w:rPr>
          <w:rFonts w:ascii="Calibri" w:hAnsi="Calibri" w:cs="Calibri"/>
          <w:color w:val="000000"/>
          <w:sz w:val="22"/>
          <w:szCs w:val="22"/>
        </w:rPr>
        <w:t> For a single infection of </w:t>
      </w:r>
      <w:r w:rsidRPr="00AF28B8">
        <w:rPr>
          <w:rFonts w:ascii="Calibri" w:hAnsi="Calibri" w:cs="Calibri"/>
          <w:i/>
          <w:iCs/>
          <w:color w:val="000000"/>
          <w:sz w:val="22"/>
          <w:szCs w:val="22"/>
        </w:rPr>
        <w:t>S. mansoni</w:t>
      </w:r>
      <w:r w:rsidRPr="00AF28B8">
        <w:rPr>
          <w:rFonts w:ascii="Calibri" w:hAnsi="Calibri" w:cs="Calibri"/>
          <w:color w:val="000000"/>
          <w:sz w:val="22"/>
          <w:szCs w:val="22"/>
        </w:rPr>
        <w:t>, 22 (21%) of the samples were positive, while 15 (14%) of the samples were negative via PCR. Moreover, for a single infection of </w:t>
      </w:r>
      <w:r w:rsidRPr="00AF28B8">
        <w:rPr>
          <w:rFonts w:ascii="Calibri" w:hAnsi="Calibri" w:cs="Calibri"/>
          <w:i/>
          <w:iCs/>
          <w:color w:val="000000"/>
          <w:sz w:val="22"/>
          <w:szCs w:val="22"/>
        </w:rPr>
        <w:t>S. haematobium</w:t>
      </w:r>
      <w:r w:rsidRPr="00AF28B8">
        <w:rPr>
          <w:rFonts w:ascii="Calibri" w:hAnsi="Calibri" w:cs="Calibri"/>
          <w:color w:val="000000"/>
          <w:sz w:val="22"/>
          <w:szCs w:val="22"/>
        </w:rPr>
        <w:t>, 7 (7%) of the samples were positive, while 15 (14%) of the samples were negative. Dual infections were found in a higher percentage, with 60 (58%) of the samples being positive. </w:t>
      </w:r>
      <w:r w:rsidRPr="00AF28B8">
        <w:rPr>
          <w:rFonts w:ascii="Calibri" w:hAnsi="Calibri" w:cs="Calibri"/>
          <w:b/>
          <w:bCs/>
          <w:color w:val="000000"/>
          <w:sz w:val="22"/>
          <w:szCs w:val="22"/>
        </w:rPr>
        <w:t>Conclusions</w:t>
      </w:r>
      <w:r w:rsidRPr="00AF28B8">
        <w:rPr>
          <w:rFonts w:ascii="Calibri" w:hAnsi="Calibri" w:cs="Calibri"/>
          <w:color w:val="000000"/>
          <w:sz w:val="22"/>
          <w:szCs w:val="22"/>
        </w:rPr>
        <w:t> Thus, we have justified that PCR is more sensitive and specific by amplifying species-specific cell-free repeat DNA fragments from the same urine sample than the WHO-recommended methods of processing stool and urine. To evaluate the success of control programs, to conduct surveillance, and to determine the prevalence of dual schistosome infection for moderate and low infection areas, a more sensitive, specific, quick, and cost-effective test is needed.</w:t>
      </w:r>
    </w:p>
    <w:p w14:paraId="3987112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25-A-2616-ASTMH</w:t>
      </w:r>
    </w:p>
    <w:p w14:paraId="0DA9EB6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Physiology and Immunity</w:t>
      </w:r>
    </w:p>
    <w:p w14:paraId="4AB76C0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Incorporating Multiple Blood Meals to Estimate Realized Biting Rates and Dengue Transmission Potential of </w:t>
      </w:r>
      <w:r w:rsidRPr="00AF28B8">
        <w:rPr>
          <w:rFonts w:ascii="Calibri" w:hAnsi="Calibri" w:cs="Calibri"/>
          <w:i/>
          <w:iCs/>
          <w:color w:val="000000"/>
          <w:sz w:val="22"/>
          <w:szCs w:val="22"/>
        </w:rPr>
        <w:t>Aedes aegypti</w:t>
      </w:r>
      <w:r w:rsidRPr="00AF28B8">
        <w:rPr>
          <w:rFonts w:ascii="Calibri" w:hAnsi="Calibri" w:cs="Calibri"/>
          <w:color w:val="000000"/>
          <w:sz w:val="22"/>
          <w:szCs w:val="22"/>
        </w:rPr>
        <w:t>: Effects of Mosquito Size and Age</w:t>
      </w:r>
    </w:p>
    <w:p w14:paraId="79B95F6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Mosquito biting behavior is a critical determinant of mosquito-borne pathogen transmission. The biting rate of </w:t>
      </w:r>
      <w:r w:rsidRPr="00AF28B8">
        <w:rPr>
          <w:rFonts w:ascii="Calibri" w:hAnsi="Calibri" w:cs="Calibri"/>
          <w:i/>
          <w:iCs/>
          <w:color w:val="000000"/>
          <w:sz w:val="22"/>
          <w:szCs w:val="22"/>
        </w:rPr>
        <w:t>Aedes aegypti</w:t>
      </w:r>
      <w:r w:rsidRPr="00AF28B8">
        <w:rPr>
          <w:rFonts w:ascii="Calibri" w:hAnsi="Calibri" w:cs="Calibri"/>
          <w:color w:val="000000"/>
          <w:sz w:val="22"/>
          <w:szCs w:val="22"/>
        </w:rPr>
        <w:t>, the primary vector of dengue, is often estimated as the reciprocal of gonotrophic cycle duration (1/GCD), assuming one blood meal per cycle. However, this species frequently takes multiple blood meals within a cycle—a phenomenon called gonotrophic discordance. Accounting for gonotrophic discordance in biting rate calculations improves accuracy in estimation and transmission models. Despite this, most current estimates of </w:t>
      </w:r>
      <w:r w:rsidRPr="00AF28B8">
        <w:rPr>
          <w:rFonts w:ascii="Calibri" w:hAnsi="Calibri" w:cs="Calibri"/>
          <w:i/>
          <w:iCs/>
          <w:color w:val="000000"/>
          <w:sz w:val="22"/>
          <w:szCs w:val="22"/>
        </w:rPr>
        <w:t>Ae. aegypti</w:t>
      </w:r>
      <w:r w:rsidRPr="00AF28B8">
        <w:rPr>
          <w:rFonts w:ascii="Calibri" w:hAnsi="Calibri" w:cs="Calibri"/>
          <w:color w:val="000000"/>
          <w:sz w:val="22"/>
          <w:szCs w:val="22"/>
        </w:rPr>
        <w:t> biting rate ignore gonotrophic discordance, and its drivers remain poorly understood. To quantify gonotrophic discordance and assess the influence of mosquito size, we reared </w:t>
      </w:r>
      <w:r w:rsidRPr="00AF28B8">
        <w:rPr>
          <w:rFonts w:ascii="Calibri" w:hAnsi="Calibri" w:cs="Calibri"/>
          <w:i/>
          <w:iCs/>
          <w:color w:val="000000"/>
          <w:sz w:val="22"/>
          <w:szCs w:val="22"/>
        </w:rPr>
        <w:t>Ae. aegypti</w:t>
      </w:r>
      <w:r w:rsidRPr="00AF28B8">
        <w:rPr>
          <w:rFonts w:ascii="Calibri" w:hAnsi="Calibri" w:cs="Calibri"/>
          <w:color w:val="000000"/>
          <w:sz w:val="22"/>
          <w:szCs w:val="22"/>
        </w:rPr>
        <w:t> larvae under varying food conditions to generate adults of different sizes. Mosquitoes were individually tracked using fluorescent powder and offered blood meals twice daily until oviposition. Blood-feeding frequency, gonotrophic cycle duration, and oviposition were measured during the first (5-day-old) and second (15-day-old) cycle. The mosquito biting rate (MBR) was estimated as the number of blood meals per GCD. The effect size of gonotrophic discordance was calculated by comparing MBR to 1/GCD across treatments. In all cases, MBR was significantly higher than 1/GCD. The greatest effect size was observed in young, small mosquitoes, where multiple feeding events were most frequent. Large mosquitoes exhibited the lowest effect size, but this increased with age, suggesting an age-related rise in gonotrophic discordance. Sensitivity analysis of the vectorial capacity model was conducted to evaluate the epidemiological significance of these differences. Using MBR instead of 1/GCD yields higher estimates of transmission potential, highlighting that models overlooking multiple blood-feeding behavior may severely underestimate vectorial capacity. Our findings show that mosquito age and size are key drivers of gonotrophic discordance. Incorporating this behavior into transmission models is critical for improving predictions of disease risk and guiding effective vector control.</w:t>
      </w:r>
    </w:p>
    <w:p w14:paraId="578DD81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25-A-2617-ASTMH</w:t>
      </w:r>
    </w:p>
    <w:p w14:paraId="77A7FD4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02ACE14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of </w:t>
      </w:r>
      <w:r w:rsidRPr="00AF28B8">
        <w:rPr>
          <w:rFonts w:ascii="Calibri" w:hAnsi="Calibri" w:cs="Calibri"/>
          <w:i/>
          <w:iCs/>
          <w:color w:val="000000"/>
          <w:sz w:val="22"/>
          <w:szCs w:val="22"/>
        </w:rPr>
        <w:t>Plasmodium falciparum </w:t>
      </w:r>
      <w:r w:rsidRPr="00AF28B8">
        <w:rPr>
          <w:rFonts w:ascii="Calibri" w:hAnsi="Calibri" w:cs="Calibri"/>
          <w:color w:val="000000"/>
          <w:sz w:val="22"/>
          <w:szCs w:val="22"/>
        </w:rPr>
        <w:t>parasites with </w:t>
      </w:r>
      <w:r w:rsidRPr="00AF28B8">
        <w:rPr>
          <w:rFonts w:ascii="Calibri" w:hAnsi="Calibri" w:cs="Calibri"/>
          <w:i/>
          <w:iCs/>
          <w:color w:val="000000"/>
          <w:sz w:val="22"/>
          <w:szCs w:val="22"/>
        </w:rPr>
        <w:t>Pfhrp2 exon 2</w:t>
      </w:r>
      <w:r w:rsidRPr="00AF28B8">
        <w:rPr>
          <w:rFonts w:ascii="Calibri" w:hAnsi="Calibri" w:cs="Calibri"/>
          <w:color w:val="000000"/>
          <w:sz w:val="22"/>
          <w:szCs w:val="22"/>
        </w:rPr>
        <w:t> Gene Deletion in Symptomatic Malaria Patients Across Ghana</w:t>
      </w:r>
    </w:p>
    <w:p w14:paraId="3D4BB2D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histidine-rich protein 2-based RDTs (PfHRP2-based RDTs) are the most widely used malaria RDTs across Africa. The emergence and spread of </w:t>
      </w:r>
      <w:r w:rsidRPr="00AF28B8">
        <w:rPr>
          <w:rFonts w:ascii="Calibri" w:hAnsi="Calibri" w:cs="Calibri"/>
          <w:i/>
          <w:iCs/>
          <w:color w:val="000000"/>
          <w:sz w:val="22"/>
          <w:szCs w:val="22"/>
        </w:rPr>
        <w:t>Pfhrp2</w:t>
      </w:r>
      <w:r w:rsidRPr="00AF28B8">
        <w:rPr>
          <w:rFonts w:ascii="Calibri" w:hAnsi="Calibri" w:cs="Calibri"/>
          <w:color w:val="000000"/>
          <w:sz w:val="22"/>
          <w:szCs w:val="22"/>
        </w:rPr>
        <w:t xml:space="preserve"> gene-deleted parasites have </w:t>
      </w:r>
      <w:r w:rsidRPr="00AF28B8">
        <w:rPr>
          <w:rFonts w:ascii="Calibri" w:hAnsi="Calibri" w:cs="Calibri"/>
          <w:color w:val="000000"/>
          <w:sz w:val="22"/>
          <w:szCs w:val="22"/>
        </w:rPr>
        <w:lastRenderedPageBreak/>
        <w:t>prompted nationwide surveillance to monitor trends and potential hotspots for mutant parasite clones. This study aimed to assess the prevalence and distribution of </w:t>
      </w:r>
      <w:r w:rsidRPr="00AF28B8">
        <w:rPr>
          <w:rFonts w:ascii="Calibri" w:hAnsi="Calibri" w:cs="Calibri"/>
          <w:i/>
          <w:iCs/>
          <w:color w:val="000000"/>
          <w:sz w:val="22"/>
          <w:szCs w:val="22"/>
        </w:rPr>
        <w:t>Pfhrp2</w:t>
      </w:r>
      <w:r w:rsidRPr="00AF28B8">
        <w:rPr>
          <w:rFonts w:ascii="Calibri" w:hAnsi="Calibri" w:cs="Calibri"/>
          <w:color w:val="000000"/>
          <w:sz w:val="22"/>
          <w:szCs w:val="22"/>
        </w:rPr>
        <w:t> gene deletions in Ghana. This cross-sectional study utilized the First Response® HRP2 RDT (First Response RDT) and CareStartTM HRP2/panLDH Combo RDT (Combo kit) to screen individuals with suspected malaria who were seeking care in 160 public healthcare facilities across the 16 regions of Ghana, between June and August 2021. Genomic DNA was extracted from dried blood spots to amplify and confirm the presence of </w:t>
      </w:r>
      <w:r w:rsidRPr="00AF28B8">
        <w:rPr>
          <w:rFonts w:ascii="Calibri" w:hAnsi="Calibri" w:cs="Calibri"/>
          <w:i/>
          <w:iCs/>
          <w:color w:val="000000"/>
          <w:sz w:val="22"/>
          <w:szCs w:val="22"/>
        </w:rPr>
        <w:t>P. falciparum</w:t>
      </w:r>
      <w:r w:rsidRPr="00AF28B8">
        <w:rPr>
          <w:rFonts w:ascii="Calibri" w:hAnsi="Calibri" w:cs="Calibri"/>
          <w:color w:val="000000"/>
          <w:sz w:val="22"/>
          <w:szCs w:val="22"/>
        </w:rPr>
        <w:t> and, subsequently, the </w:t>
      </w:r>
      <w:r w:rsidRPr="00AF28B8">
        <w:rPr>
          <w:rFonts w:ascii="Calibri" w:hAnsi="Calibri" w:cs="Calibri"/>
          <w:i/>
          <w:iCs/>
          <w:color w:val="000000"/>
          <w:sz w:val="22"/>
          <w:szCs w:val="22"/>
        </w:rPr>
        <w:t>Pfhrp2</w:t>
      </w:r>
      <w:r w:rsidRPr="00AF28B8">
        <w:rPr>
          <w:rFonts w:ascii="Calibri" w:hAnsi="Calibri" w:cs="Calibri"/>
          <w:color w:val="000000"/>
          <w:sz w:val="22"/>
          <w:szCs w:val="22"/>
        </w:rPr>
        <w:t> gene by PCR. The overall malaria positivity for the two RDTs were similar: 72.3% (95% CI: 71.4-73.2) for the First Response RDT and 71.5% (95% CI: 70.6-72.4) for the HRP2/panLDH Combo kit (p=0.215). There were no </w:t>
      </w:r>
      <w:r w:rsidRPr="00AF28B8">
        <w:rPr>
          <w:rFonts w:ascii="Calibri" w:hAnsi="Calibri" w:cs="Calibri"/>
          <w:i/>
          <w:iCs/>
          <w:color w:val="000000"/>
          <w:sz w:val="22"/>
          <w:szCs w:val="22"/>
        </w:rPr>
        <w:t>Pfhrp2 exon 2</w:t>
      </w:r>
      <w:r w:rsidRPr="00AF28B8">
        <w:rPr>
          <w:rFonts w:ascii="Calibri" w:hAnsi="Calibri" w:cs="Calibri"/>
          <w:color w:val="000000"/>
          <w:sz w:val="22"/>
          <w:szCs w:val="22"/>
        </w:rPr>
        <w:t> gene deletions identified in false-negative RDT samples, however, deletions were identified in 0.3% (19/5,611) of samples that tested positive for both the First Response RDT and the panLDH band of the Combo kit, and 9.1% (2/22) of the missed infections, leading to an overall </w:t>
      </w:r>
      <w:r w:rsidRPr="00AF28B8">
        <w:rPr>
          <w:rFonts w:ascii="Calibri" w:hAnsi="Calibri" w:cs="Calibri"/>
          <w:i/>
          <w:iCs/>
          <w:color w:val="000000"/>
          <w:sz w:val="22"/>
          <w:szCs w:val="22"/>
        </w:rPr>
        <w:t>Pfhrp2 exon 2 </w:t>
      </w:r>
      <w:r w:rsidRPr="00AF28B8">
        <w:rPr>
          <w:rFonts w:ascii="Calibri" w:hAnsi="Calibri" w:cs="Calibri"/>
          <w:color w:val="000000"/>
          <w:sz w:val="22"/>
          <w:szCs w:val="22"/>
        </w:rPr>
        <w:t>gene deletion of 0.4% (21/5,633) in the population. The study determined the prevalence of </w:t>
      </w:r>
      <w:r w:rsidRPr="00AF28B8">
        <w:rPr>
          <w:rFonts w:ascii="Calibri" w:hAnsi="Calibri" w:cs="Calibri"/>
          <w:i/>
          <w:iCs/>
          <w:color w:val="000000"/>
          <w:sz w:val="22"/>
          <w:szCs w:val="22"/>
        </w:rPr>
        <w:t>Pfhrp2</w:t>
      </w:r>
      <w:r w:rsidRPr="00AF28B8">
        <w:rPr>
          <w:rFonts w:ascii="Calibri" w:hAnsi="Calibri" w:cs="Calibri"/>
          <w:color w:val="000000"/>
          <w:sz w:val="22"/>
          <w:szCs w:val="22"/>
        </w:rPr>
        <w:t> gene deletions in Ghana to be less than 1%. However, none of these gene deletions resulted from false-negative samples, hence, this finding offers assurance for the continued reliance on HRP2-based RDTs for malaria diagnosis in Ghana. Nonetheless, continued surveillance is needed to determine the expansion of these gene deletions.</w:t>
      </w:r>
    </w:p>
    <w:p w14:paraId="1C17DB1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25-A-2619-ASTMH</w:t>
      </w:r>
    </w:p>
    <w:p w14:paraId="5A3CBFB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6792EE4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Tracking the Tipping Points: Factors Influencing Progression to Severe Dengue in Hospital During an Upsurge</w:t>
      </w:r>
    </w:p>
    <w:p w14:paraId="0ACCC34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Climate change and socio-demographic vulnerability have caused repeated dengue outbreaks in Bangladesh. Diverse host-immune response and circulating serotype hinder severe dengue outbreak preparedness. Identifying clinical and laboratory predictors of severe dengue can improve patients outcome in hospital. A prospective observational study was conducted in four hospitals in Dhaka from January to November 2024. Adults (&gt;18 years) hospitalized with confirmed dengue (fever with positive NS1± IgM) and warning signs were enrolled. Clinical data and blood samples were collected at three-time points: enrollment, discharge or clinical deterioration, and convalescence (day 21). Paired t-tests compared clinical and laboratory factors and odds ratios (ORs) with 95% confidence intervals (CIs) assessed associations. The study was registered at ClinicalTrials.gov (NCT06697041) and approved by ethics committee. Of 3,135 hospitalized dengue patients, 354 were enrolled; 62 (17.5%) progressed to severe dengue, with 2 in-hospital deaths. Most participants were male (76%) and aged 21–40 years (60%). Common warning signs included mucosal bleeding (51%), severe abdominal pain/tenderness (27.7%), and frequent diarrhea (24.3%). Severe dengue was significantly associated with abnormal mentation at presentation (29% vs. 11%, </w:t>
      </w:r>
      <w:r w:rsidRPr="00AF28B8">
        <w:rPr>
          <w:rFonts w:ascii="Calibri" w:hAnsi="Calibri" w:cs="Calibri"/>
          <w:i/>
          <w:iCs/>
          <w:color w:val="000000"/>
          <w:sz w:val="22"/>
          <w:szCs w:val="22"/>
        </w:rPr>
        <w:t>p</w:t>
      </w:r>
      <w:r w:rsidRPr="00AF28B8">
        <w:rPr>
          <w:rFonts w:ascii="Calibri" w:hAnsi="Calibri" w:cs="Calibri"/>
          <w:color w:val="000000"/>
          <w:sz w:val="22"/>
          <w:szCs w:val="22"/>
        </w:rPr>
        <w:t>&lt;0.001), radiographic evidence of pleural effusion or pulmonary infiltration (67% vs. 32%, </w:t>
      </w:r>
      <w:r w:rsidRPr="00AF28B8">
        <w:rPr>
          <w:rFonts w:ascii="Calibri" w:hAnsi="Calibri" w:cs="Calibri"/>
          <w:i/>
          <w:iCs/>
          <w:color w:val="000000"/>
          <w:sz w:val="22"/>
          <w:szCs w:val="22"/>
        </w:rPr>
        <w:t>p</w:t>
      </w:r>
      <w:r w:rsidRPr="00AF28B8">
        <w:rPr>
          <w:rFonts w:ascii="Calibri" w:hAnsi="Calibri" w:cs="Calibri"/>
          <w:color w:val="000000"/>
          <w:sz w:val="22"/>
          <w:szCs w:val="22"/>
        </w:rPr>
        <w:t>=0.008), and lower platelet counts (median 21,000 [IQR: 14–43K] vs. 30,000 [IQR: 20–60K], </w:t>
      </w:r>
      <w:r w:rsidRPr="00AF28B8">
        <w:rPr>
          <w:rFonts w:ascii="Calibri" w:hAnsi="Calibri" w:cs="Calibri"/>
          <w:i/>
          <w:iCs/>
          <w:color w:val="000000"/>
          <w:sz w:val="22"/>
          <w:szCs w:val="22"/>
        </w:rPr>
        <w:t>p</w:t>
      </w:r>
      <w:r w:rsidRPr="00AF28B8">
        <w:rPr>
          <w:rFonts w:ascii="Calibri" w:hAnsi="Calibri" w:cs="Calibri"/>
          <w:color w:val="000000"/>
          <w:sz w:val="22"/>
          <w:szCs w:val="22"/>
        </w:rPr>
        <w:t>=0.004). Early signs of abnormal mentation, abnormal chest radiological findings, and low platelet counts can help predict severe dengue in hospitalized patients, guiding timely interventions during outbreak surges.</w:t>
      </w:r>
    </w:p>
    <w:p w14:paraId="6138635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25-A-2620-ASTMH</w:t>
      </w:r>
    </w:p>
    <w:p w14:paraId="4B48AB1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3DD990E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Animal ownership, confinement, and waste management and associations with household environmental contamination</w:t>
      </w:r>
    </w:p>
    <w:p w14:paraId="5E9933E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Domestic animals can increase household fecal contamination and contribute to adverse health outcomes. We examined associations between animal exposures and E. coli contamination on key transmission pathways. We conducted a cross-sectional study in 28 villages in rural Nepal. Enumerators asked all households with a child &lt; 5 years (n = 277) about animal ownership, confinement, and waste management and collected a soil sample in the child play area and hand rinses from children and caregivers. Samples were tested for E. coli using IDEXX QuantiTrays, and concentrations were calculated </w:t>
      </w:r>
      <w:r w:rsidRPr="00AF28B8">
        <w:rPr>
          <w:rFonts w:ascii="Calibri" w:hAnsi="Calibri" w:cs="Calibri"/>
          <w:color w:val="000000"/>
          <w:sz w:val="22"/>
          <w:szCs w:val="22"/>
        </w:rPr>
        <w:lastRenderedPageBreak/>
        <w:t>as log10 MPN per two hands or per dry gram of soil. We used GEE to obtain prevalence ratios (PR) and mean differences (MD) in log10 MPN, adjusted for village-level clustering and prescreened covariates. E. coli was present on 45% of child hands, 58% of caregiver hands, and 82% of soil samples. Chicken ownership was consistently associated with higher E. coli prevalence across soil, caregiver, and child hands (PR range: 1.14-1.41) and higher concentrations (MD range: 0.19-0.74), with a strong increase in soil concentration per additional chickens owned (0.36 per 5 chickens; 95% CI: 0.22, 0.51) and on child hands (0.25; 95% CI: 0.13, 0.39). Goat ownership increased E. coli prevalence and concentration in soil and caregiver hands, while ownership of cows or buffalo was associated with increased prevalence and concentration on caregiver hands only. Confining cows, buffalo, and goats exclusively outside the compound reduced the prevalence of E. coli on child hands and in soil (PR range: 0.62-0.88). Owning a chicken coop reduced E. coli prevalence in soil (PR: 0.86; 95% CI: 0.75, 0.99), whereas owning an animal shed for cows, buffalo, and goats increased E. coli prevalence on caregiver hands (PR range: 1.27-1.36). Moving animal sheds away from household areas and constructing chicken coops may reduce household contamination, while intervening on specific feces management and animal shed maintenance practices may reduce hand contamination. However, developing solutions that are feasible for households in resource-poor settings and culturally appropriate is needed.</w:t>
      </w:r>
    </w:p>
    <w:p w14:paraId="3668148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25-A-2621-ASTMH</w:t>
      </w:r>
    </w:p>
    <w:p w14:paraId="51E87E6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5F46C6F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Genetic Diversity and Sulphadoxine-Pyrimethamine (IPTp-SP) Resistance in Plasmodium falciparum Among Pregnant Women: Impact of IPTp-SP Across Geo-ecological Zonesin Cameroon</w:t>
      </w:r>
    </w:p>
    <w:p w14:paraId="394C6B8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The failure of anti-malaria parasite control techniques is mostly due to parasite genetic diversity and drug resistance which also compromises the efficiency of acquired immunity. This is the case for malaria in pregnancy, which is targeted by intermittent preventive treatment (IPTp) with Sulphadoxine-Pyrimethamine (SP). This study evaluates the genetic diversity and molecular markers of SP resistance and the impact of IPTp-SP on sub-microscopic infections among pregnant women.</w:t>
      </w:r>
      <w:r w:rsidRPr="00AF28B8">
        <w:rPr>
          <w:rFonts w:ascii="Calibri" w:hAnsi="Calibri" w:cs="Calibri"/>
          <w:b/>
          <w:bCs/>
          <w:color w:val="000000"/>
          <w:sz w:val="22"/>
          <w:szCs w:val="22"/>
        </w:rPr>
        <w:t>Methods:</w:t>
      </w:r>
      <w:r w:rsidRPr="00AF28B8">
        <w:rPr>
          <w:rFonts w:ascii="Calibri" w:hAnsi="Calibri" w:cs="Calibri"/>
          <w:color w:val="000000"/>
          <w:sz w:val="22"/>
          <w:szCs w:val="22"/>
        </w:rPr>
        <w:t> A cross-sectional and a cohort study was carried out from October 2019 to October 2022 involving 3,313 parturient women from Cameroon’s five malaria geo-ecozones. </w:t>
      </w:r>
      <w:r w:rsidRPr="00AF28B8">
        <w:rPr>
          <w:rFonts w:ascii="Calibri" w:hAnsi="Calibri" w:cs="Calibri"/>
          <w:i/>
          <w:iCs/>
          <w:color w:val="000000"/>
          <w:sz w:val="22"/>
          <w:szCs w:val="22"/>
        </w:rPr>
        <w:t>PfHRP2/pLDH</w:t>
      </w:r>
      <w:r w:rsidRPr="00AF28B8">
        <w:rPr>
          <w:rFonts w:ascii="Calibri" w:hAnsi="Calibri" w:cs="Calibri"/>
          <w:color w:val="000000"/>
          <w:sz w:val="22"/>
          <w:szCs w:val="22"/>
        </w:rPr>
        <w:t> rapid diagnostic kits, Giemsa-stained light-microscopy, and real-time-PCR were use for diagnostics. Genetic diversity and population structure were assessed using nine neutral microsatellite markers and the </w:t>
      </w:r>
      <w:r w:rsidRPr="00AF28B8">
        <w:rPr>
          <w:rFonts w:ascii="Calibri" w:hAnsi="Calibri" w:cs="Calibri"/>
          <w:i/>
          <w:iCs/>
          <w:color w:val="000000"/>
          <w:sz w:val="22"/>
          <w:szCs w:val="22"/>
        </w:rPr>
        <w:t>msp2</w:t>
      </w:r>
      <w:r w:rsidRPr="00AF28B8">
        <w:rPr>
          <w:rFonts w:ascii="Calibri" w:hAnsi="Calibri" w:cs="Calibri"/>
          <w:color w:val="000000"/>
          <w:sz w:val="22"/>
          <w:szCs w:val="22"/>
        </w:rPr>
        <w:t> gene. Nanopore and Illumina-MiSeq technologies was used to sequence Single nucleotide polymorphisms (SNPs) in </w:t>
      </w:r>
      <w:r w:rsidRPr="00AF28B8">
        <w:rPr>
          <w:rFonts w:ascii="Calibri" w:hAnsi="Calibri" w:cs="Calibri"/>
          <w:i/>
          <w:iCs/>
          <w:color w:val="000000"/>
          <w:sz w:val="22"/>
          <w:szCs w:val="22"/>
        </w:rPr>
        <w:t>Pfdhps</w:t>
      </w:r>
      <w:r w:rsidRPr="00AF28B8">
        <w:rPr>
          <w:rFonts w:ascii="Calibri" w:hAnsi="Calibri" w:cs="Calibri"/>
          <w:color w:val="000000"/>
          <w:sz w:val="22"/>
          <w:szCs w:val="22"/>
        </w:rPr>
        <w:t> and </w:t>
      </w:r>
      <w:r w:rsidRPr="00AF28B8">
        <w:rPr>
          <w:rFonts w:ascii="Calibri" w:hAnsi="Calibri" w:cs="Calibri"/>
          <w:i/>
          <w:iCs/>
          <w:color w:val="000000"/>
          <w:sz w:val="22"/>
          <w:szCs w:val="22"/>
        </w:rPr>
        <w:t>Pfdhfr</w:t>
      </w:r>
      <w:r w:rsidRPr="00AF28B8">
        <w:rPr>
          <w:rFonts w:ascii="Calibri" w:hAnsi="Calibri" w:cs="Calibri"/>
          <w:color w:val="000000"/>
          <w:sz w:val="22"/>
          <w:szCs w:val="22"/>
        </w:rPr>
        <w:t> genes. </w:t>
      </w:r>
      <w:r w:rsidRPr="00AF28B8">
        <w:rPr>
          <w:rFonts w:ascii="Calibri" w:hAnsi="Calibri" w:cs="Calibri"/>
          <w:b/>
          <w:bCs/>
          <w:color w:val="000000"/>
          <w:sz w:val="22"/>
          <w:szCs w:val="22"/>
        </w:rPr>
        <w:t>Results:</w:t>
      </w:r>
      <w:r w:rsidRPr="00AF28B8">
        <w:rPr>
          <w:rFonts w:ascii="Calibri" w:hAnsi="Calibri" w:cs="Calibri"/>
          <w:color w:val="000000"/>
          <w:sz w:val="22"/>
          <w:szCs w:val="22"/>
        </w:rPr>
        <w:t> The prevalence of </w:t>
      </w:r>
      <w:r w:rsidRPr="00AF28B8">
        <w:rPr>
          <w:rFonts w:ascii="Calibri" w:hAnsi="Calibri" w:cs="Calibri"/>
          <w:i/>
          <w:iCs/>
          <w:color w:val="000000"/>
          <w:sz w:val="22"/>
          <w:szCs w:val="22"/>
        </w:rPr>
        <w:t>P. falciparum</w:t>
      </w:r>
      <w:r w:rsidRPr="00AF28B8">
        <w:rPr>
          <w:rFonts w:ascii="Calibri" w:hAnsi="Calibri" w:cs="Calibri"/>
          <w:color w:val="000000"/>
          <w:sz w:val="22"/>
          <w:szCs w:val="22"/>
        </w:rPr>
        <w:t> was 58.8% (1947/3,313). Microsatellite and </w:t>
      </w:r>
      <w:r w:rsidRPr="00AF28B8">
        <w:rPr>
          <w:rFonts w:ascii="Calibri" w:hAnsi="Calibri" w:cs="Calibri"/>
          <w:i/>
          <w:iCs/>
          <w:color w:val="000000"/>
          <w:sz w:val="22"/>
          <w:szCs w:val="22"/>
        </w:rPr>
        <w:t>MSP2 </w:t>
      </w:r>
      <w:r w:rsidRPr="00AF28B8">
        <w:rPr>
          <w:rFonts w:ascii="Calibri" w:hAnsi="Calibri" w:cs="Calibri"/>
          <w:color w:val="000000"/>
          <w:sz w:val="22"/>
          <w:szCs w:val="22"/>
        </w:rPr>
        <w:t>gene analyses revealed high complexity of infection (MOI = 2.19) and multilocus heterozygosity (sMLH=1.12) with polyclonal infections ranging from 1 to 5 with a minimal population differentiation (FST: 0-0.006). The distribution of </w:t>
      </w:r>
      <w:r w:rsidRPr="00AF28B8">
        <w:rPr>
          <w:rFonts w:ascii="Calibri" w:hAnsi="Calibri" w:cs="Calibri"/>
          <w:i/>
          <w:iCs/>
          <w:color w:val="000000"/>
          <w:sz w:val="22"/>
          <w:szCs w:val="22"/>
        </w:rPr>
        <w:t>Pfdhps</w:t>
      </w:r>
      <w:r w:rsidRPr="00AF28B8">
        <w:rPr>
          <w:rFonts w:ascii="Calibri" w:hAnsi="Calibri" w:cs="Calibri"/>
          <w:color w:val="000000"/>
          <w:sz w:val="22"/>
          <w:szCs w:val="22"/>
        </w:rPr>
        <w:t> mutations were S436A (21.1%), A437G (73.5%), I431V (30.7%), K540G (0%), A581G (2.3%), and A613S (52.9%). The </w:t>
      </w:r>
      <w:r w:rsidRPr="00AF28B8">
        <w:rPr>
          <w:rFonts w:ascii="Calibri" w:hAnsi="Calibri" w:cs="Calibri"/>
          <w:i/>
          <w:iCs/>
          <w:color w:val="000000"/>
          <w:sz w:val="22"/>
          <w:szCs w:val="22"/>
        </w:rPr>
        <w:t>Pfdhfr</w:t>
      </w:r>
      <w:r w:rsidRPr="00AF28B8">
        <w:rPr>
          <w:rFonts w:ascii="Calibri" w:hAnsi="Calibri" w:cs="Calibri"/>
          <w:color w:val="000000"/>
          <w:sz w:val="22"/>
          <w:szCs w:val="22"/>
        </w:rPr>
        <w:t> mutations N51I, C59R, S108N, and I164L were found in 98.6%, 98.6%, 95.2%, and 83.9% of isolates, respectively. PCR detected sub-microscopic infections in 25% (68/272) of microscopy-negative cases with IPTp-SP usage and dosage significantly influenced infection status by reducing parasite burden (p=0.005). </w:t>
      </w:r>
      <w:r w:rsidRPr="00AF28B8">
        <w:rPr>
          <w:rFonts w:ascii="Calibri" w:hAnsi="Calibri" w:cs="Calibri"/>
          <w:b/>
          <w:bCs/>
          <w:color w:val="000000"/>
          <w:sz w:val="22"/>
          <w:szCs w:val="22"/>
        </w:rPr>
        <w:t>Conclusion: </w:t>
      </w:r>
      <w:r w:rsidRPr="00AF28B8">
        <w:rPr>
          <w:rFonts w:ascii="Calibri" w:hAnsi="Calibri" w:cs="Calibri"/>
          <w:color w:val="000000"/>
          <w:sz w:val="22"/>
          <w:szCs w:val="22"/>
        </w:rPr>
        <w:t>This study reveals high genetic diversity, persistent sub-microscopic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infections, and increasing SP resistance with the emergence of I431V (30.7%) in Cameroon. While IPTp-SP remains effective in reducing sub-microscopic infections, its efficacy may decline as resistance increases.</w:t>
      </w:r>
    </w:p>
    <w:p w14:paraId="43C67D9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25-A-2622-ASTMH</w:t>
      </w:r>
    </w:p>
    <w:p w14:paraId="30CD491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4E79265C" w14:textId="4DC2A5E8"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PATHOPROPHET: A predictive model for pathogens associated with Undifferentiated Febrille illness</w:t>
      </w:r>
    </w:p>
    <w:p w14:paraId="18C163B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Clinicians face challenges managing acute febrile illness (AFI) due to the plurality of pathogens, overlapping symptoms, and limited access to laboratory diagnostics. In this study, we utilize machine learning (ML) algorithms to model correlations between clinical symptoms and selected pathogen </w:t>
      </w:r>
      <w:r w:rsidRPr="00AF28B8">
        <w:rPr>
          <w:rFonts w:ascii="Calibri" w:hAnsi="Calibri" w:cs="Calibri"/>
          <w:color w:val="000000"/>
          <w:sz w:val="22"/>
          <w:szCs w:val="22"/>
        </w:rPr>
        <w:lastRenderedPageBreak/>
        <w:t>targets, using a large dataset collected between 2009-2024 from febrile patients with PCR-confirmed etiologies. Clinical data, including demographics, symptoms, and confirmed diagnoses, are standardized and quality-controlled across 15 years of data from diverse sites in Kenya. The dataset is cleaned to identify mono-infections, with 80% used to train models that map clinical presentations to etiologies. The remaining 20% serves as test data to evaluate accuracy. Multiple models—including Random Forest, Support Vector Machine (SVM), and XGBoost—are trained and validated using stratified k-fold cross-validation. External datasets test model generalizability. Clustering of pathogen-symptom relationships is performed using Mahalanobis distance to account for symptom overlap. Preliminary results using the SVM model demonstrated strong predictive performance, evaluated by accuracy, sensitivity, specificity, and AUROC. A prototype interface was also developed to allow clinicians to interact with the model, potentially aiding bedside diagnosis. Clustering revealed unique and overlapping symptom signatures. These early results show the potential for ML-driven diagnostics to support clinical decision-making even without laboratory confirmation. Long-term, the interface aims to enable real-time, practical diagnostic support in clinical settings.</w:t>
      </w:r>
    </w:p>
    <w:p w14:paraId="4E1AA06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25-A-2623-ASTMH</w:t>
      </w:r>
    </w:p>
    <w:p w14:paraId="6E89134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1BB5153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Genetic Characterization of Influenza and SARS-CoV-2 in DoD beneficiaries During the 2024-2025 Season</w:t>
      </w:r>
    </w:p>
    <w:p w14:paraId="0CFB75B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Department of Defense (DoD) Global Respiratory Pathogen Surveillance Program conducts testing on respiratory specimens from a worldwide network of sentinel sites using PCR-based assays and next-generation sequencing (NGS) to detect and characterize respiratory pathogens. Analyses aid in the annual selection of influenza vaccine strains and help define the impact of influenza and SARS-CoV-2 in the DoD. The program collects respiratory specimens and metadata from DoD active duty and beneficiaries with influenza-like or COVID-19-like illness symptoms across 100+ global sentinel sites. PCR confirmed influenza and SARS-CoV-2 positive specimens are further characterized by NGS. In combination with partner laboratory data, phylogenetic analyses, and lineage determinations are performed to assess the genetic changes occurring in these viruses. We analyzed 1,176 influenza viruses, including 422 A(H1N1)pdm09, 668 A(H3N2), and 86 B/Victoria. Among A(H1N1)pdm09 viruses, 269 were clade 5a.2a with most subclade C.1.9, and 153 were 5a.2a.1 with most subclade D.3. For A(H3N2), one was clade 2a.3a subclade G.1.3.1 and 667 were 2a.3a.1 with most subclade J.2. All B/Victoria viruses were clade V1A.3a.2 with most subclade C.5.1. No B/Yamagata viruses were identified. Lineages identified for 382 SARS-CoV-2 specimens included 44 JN.1, eight KP.2, nine KP.3, 148 KP.3.1.1, 93 XEC, and 18 other recombinant viruses. Influenza activity increased for the 2024-2025 season compared to the previous five seasons. A(H1N1)pdm09 and B/Victoria viruses closely matched the influenza vaccine strains. However, some A(H3N2) strains drifted slightly; therefore, the WHO A(H3N2) strain recommendation was updated from a subclade J virus to a J.2 virus for the 2025-2026 season. SARS-CoV-2 activity was low compared to previous seasons, with the dominant lineage changing from JN.1 to KP.3.1.1 to XEC through the season.</w:t>
      </w:r>
    </w:p>
    <w:p w14:paraId="25DE95D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25-A-2624-ASTMH</w:t>
      </w:r>
    </w:p>
    <w:p w14:paraId="672715B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6179320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Polyparasitism among school aged children living near source and irrigated rice fields in Ankililoaka in the subarid south-western part of Madagascar in 2023</w:t>
      </w:r>
    </w:p>
    <w:p w14:paraId="0180E58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south-western part of Madagascar is hot and subarid with 300 mm annual rainfall. Villagers are practicing open defecation, and soil-transmitted helminth (STH) infections are prevalent. The national control plan established by the Malagasy Public Health Ministry to eliminate STH is mainly based on the preventive chemotherapy and sanitation facilities improvement. In August 2023, we conducted a STH survey among children aged 5 to 14 years old in three rural villages in Ankililoaka prior to the anti-helminthic mass drug administration planned for 2024. Stool samples were examined using Kato-Katz </w:t>
      </w:r>
      <w:r w:rsidRPr="00AF28B8">
        <w:rPr>
          <w:rFonts w:ascii="Calibri" w:hAnsi="Calibri" w:cs="Calibri"/>
          <w:color w:val="000000"/>
          <w:sz w:val="22"/>
          <w:szCs w:val="22"/>
        </w:rPr>
        <w:lastRenderedPageBreak/>
        <w:t>technique and standard microscopy. Since the villages were near a water source and rice field, we also conducted malaria survey using mRDT detecting pfHRP2 and pan-LDH. Out of the 373 children, 23 had STH infection [6.1%; CI95%: 4 – 9.2%]. </w:t>
      </w:r>
      <w:r w:rsidRPr="00AF28B8">
        <w:rPr>
          <w:rFonts w:ascii="Calibri" w:hAnsi="Calibri" w:cs="Calibri"/>
          <w:i/>
          <w:iCs/>
          <w:color w:val="000000"/>
          <w:sz w:val="22"/>
          <w:szCs w:val="22"/>
        </w:rPr>
        <w:t>Ascaris lumbricoides</w:t>
      </w:r>
      <w:r w:rsidRPr="00AF28B8">
        <w:rPr>
          <w:rFonts w:ascii="Calibri" w:hAnsi="Calibri" w:cs="Calibri"/>
          <w:color w:val="000000"/>
          <w:sz w:val="22"/>
          <w:szCs w:val="22"/>
        </w:rPr>
        <w:t> (18/23), </w:t>
      </w:r>
      <w:r w:rsidRPr="00AF28B8">
        <w:rPr>
          <w:rFonts w:ascii="Calibri" w:hAnsi="Calibri" w:cs="Calibri"/>
          <w:i/>
          <w:iCs/>
          <w:color w:val="000000"/>
          <w:sz w:val="22"/>
          <w:szCs w:val="22"/>
        </w:rPr>
        <w:t>Trichuris trichiura</w:t>
      </w:r>
      <w:r w:rsidRPr="00AF28B8">
        <w:rPr>
          <w:rFonts w:ascii="Calibri" w:hAnsi="Calibri" w:cs="Calibri"/>
          <w:color w:val="000000"/>
          <w:sz w:val="22"/>
          <w:szCs w:val="22"/>
        </w:rPr>
        <w:t> (3/23) and </w:t>
      </w:r>
      <w:r w:rsidRPr="00AF28B8">
        <w:rPr>
          <w:rFonts w:ascii="Calibri" w:hAnsi="Calibri" w:cs="Calibri"/>
          <w:i/>
          <w:iCs/>
          <w:color w:val="000000"/>
          <w:sz w:val="22"/>
          <w:szCs w:val="22"/>
        </w:rPr>
        <w:t>Ancylostoma duodenale </w:t>
      </w:r>
      <w:r w:rsidRPr="00AF28B8">
        <w:rPr>
          <w:rFonts w:ascii="Calibri" w:hAnsi="Calibri" w:cs="Calibri"/>
          <w:color w:val="000000"/>
          <w:sz w:val="22"/>
          <w:szCs w:val="22"/>
        </w:rPr>
        <w:t>(2/23) were detected and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in 9 samples. Malaria prevalence was high (194/373) [52%; CI95%: 46.8 – 57.2%] considering that August is the austral winter period; and 14 children were malaria and STH co-infected.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malaria was prevalent (181/194). Globally, 19.4% of the children were suffering from anemia and one child had severe anemia (hemoglobinemia at 4.8g/dl). All STH infections were treated with albendazole 500 mg. All malaria cases were treated with artesunate + amodiaquine. The occurrence of STH infections is linked to poor sanitation and hygiene practices. As STH, malaria and schistosomiasis are poverty related diseases, there is a need to improve drug availability for cure and prevention measures to prevent these diseases. Given the increasing rainfall following the cyclones in early 2025, we believe that an integrated intervention is needed. Malaria chemoprevention using ACTs and repeated mass drug administration of praziquantel and mebendazole expanded to the adults (not limited to children) would be the better strategy to fight these parasitic diseases in the area.</w:t>
      </w:r>
    </w:p>
    <w:p w14:paraId="48F21B3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25-A-2625-ASTMH</w:t>
      </w:r>
    </w:p>
    <w:p w14:paraId="0B0C2A5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6CC1F4F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Delayed parasite clearance linked with Pfkelch13 R622I variant in a Multisite therapeutic efficacy in Ethiopia and Djibouti</w:t>
      </w:r>
    </w:p>
    <w:p w14:paraId="67E0B1D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emergence and spread of </w:t>
      </w:r>
      <w:r w:rsidRPr="00AF28B8">
        <w:rPr>
          <w:rFonts w:ascii="Calibri" w:hAnsi="Calibri" w:cs="Calibri"/>
          <w:i/>
          <w:iCs/>
          <w:color w:val="000000"/>
          <w:sz w:val="22"/>
          <w:szCs w:val="22"/>
        </w:rPr>
        <w:t>P. falciparum</w:t>
      </w:r>
      <w:r w:rsidRPr="00AF28B8">
        <w:rPr>
          <w:rFonts w:ascii="Calibri" w:hAnsi="Calibri" w:cs="Calibri"/>
          <w:color w:val="000000"/>
          <w:sz w:val="22"/>
          <w:szCs w:val="22"/>
        </w:rPr>
        <w:t> K13 R622I variants associated with artemisinin resistance is raising alarm in the Horn of Africa. The unique co-existence of parasites with K13 mutations and </w:t>
      </w:r>
      <w:r w:rsidRPr="00AF28B8">
        <w:rPr>
          <w:rFonts w:ascii="Calibri" w:hAnsi="Calibri" w:cs="Calibri"/>
          <w:i/>
          <w:iCs/>
          <w:color w:val="000000"/>
          <w:sz w:val="22"/>
          <w:szCs w:val="22"/>
        </w:rPr>
        <w:t>hrp2/3</w:t>
      </w:r>
      <w:r w:rsidRPr="00AF28B8">
        <w:rPr>
          <w:rFonts w:ascii="Calibri" w:hAnsi="Calibri" w:cs="Calibri"/>
          <w:color w:val="000000"/>
          <w:sz w:val="22"/>
          <w:szCs w:val="22"/>
        </w:rPr>
        <w:t> deletions is particularly concerning. We conducted therapeutic efficacy studies with 524 patients across five Ethiopian border sites and one in Djibouti (Jan–Jun 2024), following patients for 28 days post-treatment with artemether-lumefantrine (AL). At one site, infectivity to mosquitoes was assessed at baseline and days 3, 7, and 14. PCR-corrected treatment efficacy was 98.6% (69/70; 95% CI: 90.2–99.8) in Djibouti and in Ethiopia ranged from 86.6% (95% CI: 79.2–94.8) in Mizan to 100% in Asayita. Day 3 parasitemia was higher in Gondar (13.8%) and Gambella (12.1%) and lowest in Mizan (3.6%). K13 622I was detected at all sites except Mizan, with higher prevalence in Gondar (52.8%). A675V was found in Abobo (6.8%), Assosa (2.3%), and Mizan (2.3%), while A578S was detected in Assosa (1.1%). hrp2/3 double deletion prevalence ranged from 1.2% in Assosa to 43.9% in Gonder and 60.5% in Djibouti. Parasites with the 622I mutation were more likely to show persisting parasites until day 3 (Relative Risk: 4.5; 95% CI: 2.3–8.8; </w:t>
      </w:r>
      <w:r w:rsidRPr="00AF28B8">
        <w:rPr>
          <w:rFonts w:ascii="Calibri" w:hAnsi="Calibri" w:cs="Calibri"/>
          <w:i/>
          <w:iCs/>
          <w:color w:val="000000"/>
          <w:sz w:val="22"/>
          <w:szCs w:val="22"/>
        </w:rPr>
        <w:t>p</w:t>
      </w:r>
      <w:r w:rsidRPr="00AF28B8">
        <w:rPr>
          <w:rFonts w:ascii="Calibri" w:hAnsi="Calibri" w:cs="Calibri"/>
          <w:color w:val="000000"/>
          <w:sz w:val="22"/>
          <w:szCs w:val="22"/>
        </w:rPr>
        <w:t>&lt;0.001). Mosquito infectivity was observed in 16.7% (8/48) of patients with R622I parasites and 8.8% (3/34) with wild-type parasites (</w:t>
      </w:r>
      <w:r w:rsidRPr="00AF28B8">
        <w:rPr>
          <w:rFonts w:ascii="Calibri" w:hAnsi="Calibri" w:cs="Calibri"/>
          <w:i/>
          <w:iCs/>
          <w:color w:val="000000"/>
          <w:sz w:val="22"/>
          <w:szCs w:val="22"/>
        </w:rPr>
        <w:t>p</w:t>
      </w:r>
      <w:r w:rsidRPr="00AF28B8">
        <w:rPr>
          <w:rFonts w:ascii="Calibri" w:hAnsi="Calibri" w:cs="Calibri"/>
          <w:color w:val="000000"/>
          <w:sz w:val="22"/>
          <w:szCs w:val="22"/>
        </w:rPr>
        <w:t>=0.485). Notably, three R622I-infected patients remained infectious on day 3 and two until day 14. </w:t>
      </w:r>
      <w:r w:rsidRPr="00AF28B8">
        <w:rPr>
          <w:rFonts w:ascii="Calibri" w:hAnsi="Calibri" w:cs="Calibri"/>
          <w:i/>
          <w:iCs/>
          <w:color w:val="000000"/>
          <w:sz w:val="22"/>
          <w:szCs w:val="22"/>
        </w:rPr>
        <w:t>hrp2/3</w:t>
      </w:r>
      <w:r w:rsidRPr="00AF28B8">
        <w:rPr>
          <w:rFonts w:ascii="Calibri" w:hAnsi="Calibri" w:cs="Calibri"/>
          <w:color w:val="000000"/>
          <w:sz w:val="22"/>
          <w:szCs w:val="22"/>
        </w:rPr>
        <w:t> deletions co-occurred in 58.0% of R622I variants vs. 30.6% of wild-type infections (Odds Ratio =3.13; </w:t>
      </w:r>
      <w:r w:rsidRPr="00AF28B8">
        <w:rPr>
          <w:rFonts w:ascii="Calibri" w:hAnsi="Calibri" w:cs="Calibri"/>
          <w:i/>
          <w:iCs/>
          <w:color w:val="000000"/>
          <w:sz w:val="22"/>
          <w:szCs w:val="22"/>
        </w:rPr>
        <w:t>p</w:t>
      </w:r>
      <w:r w:rsidRPr="00AF28B8">
        <w:rPr>
          <w:rFonts w:ascii="Calibri" w:hAnsi="Calibri" w:cs="Calibri"/>
          <w:color w:val="000000"/>
          <w:sz w:val="22"/>
          <w:szCs w:val="22"/>
        </w:rPr>
        <w:t>&lt;0.001). Treatment outcome at day 28 was strongly associated with baseline gametocyte positivity (86.1% vs 94.4%; </w:t>
      </w:r>
      <w:r w:rsidRPr="00AF28B8">
        <w:rPr>
          <w:rFonts w:ascii="Calibri" w:hAnsi="Calibri" w:cs="Calibri"/>
          <w:i/>
          <w:iCs/>
          <w:color w:val="000000"/>
          <w:sz w:val="22"/>
          <w:szCs w:val="22"/>
        </w:rPr>
        <w:t>p</w:t>
      </w:r>
      <w:r w:rsidRPr="00AF28B8">
        <w:rPr>
          <w:rFonts w:ascii="Calibri" w:hAnsi="Calibri" w:cs="Calibri"/>
          <w:color w:val="000000"/>
          <w:sz w:val="22"/>
          <w:szCs w:val="22"/>
        </w:rPr>
        <w:t>=0.04), day 3 parasite positivity (79.3% vs 94.5%; </w:t>
      </w:r>
      <w:r w:rsidRPr="00AF28B8">
        <w:rPr>
          <w:rFonts w:ascii="Calibri" w:hAnsi="Calibri" w:cs="Calibri"/>
          <w:i/>
          <w:iCs/>
          <w:color w:val="000000"/>
          <w:sz w:val="22"/>
          <w:szCs w:val="22"/>
        </w:rPr>
        <w:t>p</w:t>
      </w:r>
      <w:r w:rsidRPr="00AF28B8">
        <w:rPr>
          <w:rFonts w:ascii="Calibri" w:hAnsi="Calibri" w:cs="Calibri"/>
          <w:color w:val="000000"/>
          <w:sz w:val="22"/>
          <w:szCs w:val="22"/>
        </w:rPr>
        <w:t>=0.002), </w:t>
      </w:r>
      <w:r w:rsidRPr="00AF28B8">
        <w:rPr>
          <w:rFonts w:ascii="Calibri" w:hAnsi="Calibri" w:cs="Calibri"/>
          <w:i/>
          <w:iCs/>
          <w:color w:val="000000"/>
          <w:sz w:val="22"/>
          <w:szCs w:val="22"/>
        </w:rPr>
        <w:t>pfcrt</w:t>
      </w:r>
      <w:r w:rsidRPr="00AF28B8">
        <w:rPr>
          <w:rFonts w:ascii="Calibri" w:hAnsi="Calibri" w:cs="Calibri"/>
          <w:color w:val="000000"/>
          <w:sz w:val="22"/>
          <w:szCs w:val="22"/>
        </w:rPr>
        <w:t> CVMNK haplotype (90.1% (172/191) vs 97.9% (139/142); </w:t>
      </w:r>
      <w:r w:rsidRPr="00AF28B8">
        <w:rPr>
          <w:rFonts w:ascii="Calibri" w:hAnsi="Calibri" w:cs="Calibri"/>
          <w:i/>
          <w:iCs/>
          <w:color w:val="000000"/>
          <w:sz w:val="22"/>
          <w:szCs w:val="22"/>
        </w:rPr>
        <w:t>p</w:t>
      </w:r>
      <w:r w:rsidRPr="00AF28B8">
        <w:rPr>
          <w:rFonts w:ascii="Calibri" w:hAnsi="Calibri" w:cs="Calibri"/>
          <w:color w:val="000000"/>
          <w:sz w:val="22"/>
          <w:szCs w:val="22"/>
        </w:rPr>
        <w:t>=0.004), and </w:t>
      </w:r>
      <w:r w:rsidRPr="00AF28B8">
        <w:rPr>
          <w:rFonts w:ascii="Calibri" w:hAnsi="Calibri" w:cs="Calibri"/>
          <w:i/>
          <w:iCs/>
          <w:color w:val="000000"/>
          <w:sz w:val="22"/>
          <w:szCs w:val="22"/>
        </w:rPr>
        <w:t>pfhrp2 deletion</w:t>
      </w:r>
      <w:r w:rsidRPr="00AF28B8">
        <w:rPr>
          <w:rFonts w:ascii="Calibri" w:hAnsi="Calibri" w:cs="Calibri"/>
          <w:color w:val="000000"/>
          <w:sz w:val="22"/>
          <w:szCs w:val="22"/>
        </w:rPr>
        <w:t> 75% vs 94.4%; </w:t>
      </w:r>
      <w:r w:rsidRPr="00AF28B8">
        <w:rPr>
          <w:rFonts w:ascii="Calibri" w:hAnsi="Calibri" w:cs="Calibri"/>
          <w:i/>
          <w:iCs/>
          <w:color w:val="000000"/>
          <w:sz w:val="22"/>
          <w:szCs w:val="22"/>
        </w:rPr>
        <w:t>p</w:t>
      </w:r>
      <w:r w:rsidRPr="00AF28B8">
        <w:rPr>
          <w:rFonts w:ascii="Calibri" w:hAnsi="Calibri" w:cs="Calibri"/>
          <w:color w:val="000000"/>
          <w:sz w:val="22"/>
          <w:szCs w:val="22"/>
        </w:rPr>
        <w:t>=0.06). These findings underscore the need for urgent surveillance and regional response strategies to prevent further spread of resistance and diagnostic evasion in the Horn of Africa.</w:t>
      </w:r>
    </w:p>
    <w:p w14:paraId="3213E28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25-A-2628-ASTMH</w:t>
      </w:r>
    </w:p>
    <w:p w14:paraId="3FE5D87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6FAF1AE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Water, Sanitation, Hygiene Infrastructure and Behavioral Practices to Accelerate the Elimination of Schistosomiasis and Soil-Transmitted Helminths in Rwanda</w:t>
      </w:r>
    </w:p>
    <w:p w14:paraId="2BA74A6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Interrupting Schistosomiasis (SCH) and Soil-Transmitted Helminths (STH) transmission in low-endemic settings presents unique challenges that require targeted interventions. This mixed-methods study evaluated Water, Sanitation, and Hygiene (WASH) infrastructure and behavioural practices in 1,011 households across two pilot districts in the Interruption of Transmission (IoT) program in Rwanda: </w:t>
      </w:r>
      <w:r w:rsidRPr="00AF28B8">
        <w:rPr>
          <w:rFonts w:ascii="Calibri" w:hAnsi="Calibri" w:cs="Calibri"/>
          <w:color w:val="000000"/>
          <w:sz w:val="22"/>
          <w:szCs w:val="22"/>
        </w:rPr>
        <w:lastRenderedPageBreak/>
        <w:t>Bugesera and Ruhango, from May to September 2024. In quantitative terms, alarming differences among districts regarding access to safe water were revealed: 64.5% of households in Bugesera used unsafe surface water compared to only 16.4% in Ruhango (p&lt;0.001). Nearly 52.9% of households did not treat their drinking water due to economic constraints. The situation regarding sanitation facilities was poor: 79.9% of households lacked basic handwashing facilities, and 80.7% of workplace latrines failed to meet minimum standards. Knowledge gaps were further identified in the qualitative data: 60.5% of participants were unaware of Schistosomiosis, while only 36.6% knew the origins of Soil-transmitted helminths. The communities demonstrated a high level of receptiveness to hygiene education in the past despite minimal initial engagement, particularly if Community Health Workers conducted the training (82.6%). This study integrated epidemiological and social findings and provided actionable recommendations, emphasizing the need for access to safe water, improvements in sanitation infrastructure, and culturally relevant educational campaigns. Such interventions are essential for Rwanda to interrupt the transmission of SCH and STH by 2027 sustainably.</w:t>
      </w:r>
    </w:p>
    <w:p w14:paraId="4BDD7C3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25-A-2629-ASTMH</w:t>
      </w:r>
    </w:p>
    <w:p w14:paraId="0AF382C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3AEBFD1B" w14:textId="3F639591"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Care-seeking for diarrheal illness: a mixed-methods synthesis</w:t>
      </w:r>
    </w:p>
    <w:p w14:paraId="0A59CA3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Diarrheal diseases cause significant illness globally. Understanding when and where people seek healthcare for diarrhea is essential for estimating disease burden and improving access to appropriate treatment. This study aimed to (1) estimate the proportion of individuals of all ages who seek healthcare for diarrhea, and (2) examine the reasons behind care-seeking decisions. We conducted a systematic review, including 166 quantitative and 43 qualitative studies. Our random-effects meta-analysis revealed substantial heterogeneity in care-seeking across low- and middle-income countries (I² = 99.3%). On average, 32.8% of respondents sought care for diarrhea at a hospital or clinic (95% Confidence Interval: 28.1%–37.9%). While care-seeking was generally higher for children than older individuals, variation between studies was large, and the differences were not significant. The odds of seeking care were significantly higher for severe diarrhea and cholera compared to general diarrhea (Odds Ratio: 3.43; 95% Confidence Interval: 1.71–6.88). Qualitative synthesis identified key factors influencing care-seeking, including access, sociocultural practices, confidence in healthcare providers, negative feelings, and illness severity. Caregivers often viewed general diarrhea—without signs of dehydration or blood in the stool—as a routine part of child development rather than a condition requiring medical attention. This perspective may help explain the absence of a clear trend in higher medical care-seeking for children. Our findings underscore the importance of diarrhea severity and perceived etiology in shaping care-seeking behavior. Context-specific estimates of care-seeking behavior can help translate imperfect disease observations into more accurate burden assessments, ultimately supporting interventions that ensure timely access to healthcare services across diverse populations.</w:t>
      </w:r>
    </w:p>
    <w:p w14:paraId="31AFEF9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25-A-2630-ASTMH</w:t>
      </w:r>
    </w:p>
    <w:p w14:paraId="4587F3A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B9B78E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Efficacy and safety of intermittent preventive treatment of malaria in school-age children using Sulfadoxine-pyrimethamine plus amodiaquine and Dihydroartemisinin-piperaquine plus Ivermectin in rural Burkina Faso.</w:t>
      </w:r>
    </w:p>
    <w:p w14:paraId="66792B7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Recently, the World Health Organization recommended that School-aged children living in malaria-endemic settings with moderate to high perennial or seasonal transmission can be given a full therapeutic course of antimalarial medicine at predetermined times as chemoprevention to reduce disease burden. We assessed the efficacy and safety of this strategy in Burkina Faso using sulfadoxine-pyrimethamine plus amodiaquine (SPAQ) and Dihydroartemisinin-piperaquine plus Ivermectin (DP+IVM). A cluster randomized study was done in 15 villages randomly allocated to three arms, two intervention arms (SP-AQ and DP+IVM), and a control arm. We used a four round dosing schedule from July to October 2024. All eligible school-age children in the intervention arms were given a monthly dose </w:t>
      </w:r>
      <w:r w:rsidRPr="00AF28B8">
        <w:rPr>
          <w:rFonts w:ascii="Calibri" w:hAnsi="Calibri" w:cs="Calibri"/>
          <w:color w:val="000000"/>
          <w:sz w:val="22"/>
          <w:szCs w:val="22"/>
        </w:rPr>
        <w:lastRenderedPageBreak/>
        <w:t>of either SPAQ or DP+IVM as per their village allocation. In the control arm, only routine care was provided with recommendations to visit health facilities when needed. A cross-sectional survey was done during the peak of the transmission season and passive case detection was used to assess malaria incidence from health facilities records. The coverage of the intervention was &gt; 80% in both intervention groups. The risk ratio of malaria in the SPAQ and DP+IVM arm was 0.34, 95%CI (0.33 - 0.38) and 0.35, 95% CI (0.32 - 0.36), respectively, as compared to the control arm. Abdominal pain, headache, and cough were the most common adverse events with no difference across the study arms. IPT-sc with both DP+IVM and SPAQ were effective in reducing malaria risk of malaria in Burkina Faso.</w:t>
      </w:r>
    </w:p>
    <w:p w14:paraId="5184C13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25-A-2631-ASTMH</w:t>
      </w:r>
    </w:p>
    <w:p w14:paraId="6CF4CD5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0676809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Health Facility Catchment Malaria Drivers Informed Archetypical Transmission Trends and Intervention Prioritisation in Zambia</w:t>
      </w:r>
    </w:p>
    <w:p w14:paraId="0B2ED4D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Although Zambia does not rank among the highest contributors to global malaria cases, as of 2021, 19% of its population lived in high-malaria-risk areas (&gt; 500 cases per 1,000 annually). Zambia’s malaria risk is spatially heterogeneous at fine scales such as Health Facility Catchment Areas (HFCAs). HFCA-level malaria incidence stratification is currently used to guide implementation/target approaches. We aim to enhance the targeting strategies by developing an archetype-based framework for Zambia’s HFCAs based on environmental, access, epidemiological, and socioeconomic drivers of malaria to inform tailored interventions to accelerate progress toward elimination. We used data from 2017-2024 from the Zambia Health Information Management System and publicly available datasets. A mixed-effect Poisson regression model was fit to identify significant variables influencing malaria heterogeneity at HFCA level. Significant variables were used to archetype HFCAs using the k-means clustering algorithm. Significant variables included percentage of malaria in children under five (U5) and pregnancy, proximity to nearest city, average walking time to health facility, housing quality, precipitation, mosquito abundance, bednet and indoor residual spraying coverage. Four optimal archetypes of HFCAs were derived. Across all archetypes, environmental and access-related factors emerged as the most important features, though each exhibited extra distinct ones: housing quality for archetype one, mosquito abundance and U5 malaria for archetype two. Both Archetypes three and four featured U5 malaria, while housing quality and malaria in pregnancy distinguished them, respectively. The identified archetypes warrant universal scaling of vector control and community surveillance interventions, prioritising interventions that mitigate socioeconomic determinants of malaria in archetypes one and three, indoor residual spraying in archetype two, and intermittent preventive treatment in infants in archetypes three and four, with additional focus on intermittent preventive treatment in pregnancy in archetype four.</w:t>
      </w:r>
    </w:p>
    <w:p w14:paraId="1EA78B8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25-A-2632-ASTMH</w:t>
      </w:r>
    </w:p>
    <w:p w14:paraId="1CA1857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7B8975D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Outbreak of Hepatitis B and Risk Assessment in Embu Main Prison, Kenya July 2024</w:t>
      </w:r>
    </w:p>
    <w:p w14:paraId="637A12D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Title: Outbreak of Hepatitis B and Risk Assessment in Embu Main Prison, Kenya: July 2024</w:t>
      </w:r>
      <w:r w:rsidRPr="00AF28B8">
        <w:rPr>
          <w:rFonts w:ascii="Calibri" w:hAnsi="Calibri" w:cs="Calibri"/>
          <w:color w:val="000000"/>
          <w:sz w:val="22"/>
          <w:szCs w:val="22"/>
        </w:rPr>
        <w:t> </w:t>
      </w:r>
      <w:r w:rsidRPr="00AF28B8">
        <w:rPr>
          <w:rFonts w:ascii="Calibri" w:hAnsi="Calibri" w:cs="Calibri"/>
          <w:i/>
          <w:iCs/>
          <w:color w:val="000000"/>
          <w:sz w:val="22"/>
          <w:szCs w:val="22"/>
        </w:rPr>
        <w:t>Authors: Mutisya</w:t>
      </w:r>
      <w:r w:rsidRPr="00AF28B8">
        <w:rPr>
          <w:rFonts w:ascii="Calibri" w:hAnsi="Calibri" w:cs="Calibri"/>
          <w:i/>
          <w:iCs/>
          <w:color w:val="000000"/>
          <w:sz w:val="22"/>
          <w:szCs w:val="22"/>
          <w:vertAlign w:val="superscript"/>
        </w:rPr>
        <w:t>1</w:t>
      </w:r>
      <w:r w:rsidRPr="00AF28B8">
        <w:rPr>
          <w:rFonts w:ascii="Calibri" w:hAnsi="Calibri" w:cs="Calibri"/>
          <w:i/>
          <w:iCs/>
          <w:color w:val="000000"/>
          <w:sz w:val="22"/>
          <w:szCs w:val="22"/>
        </w:rPr>
        <w:t>, Abade</w:t>
      </w:r>
      <w:r w:rsidRPr="00AF28B8">
        <w:rPr>
          <w:rFonts w:ascii="Calibri" w:hAnsi="Calibri" w:cs="Calibri"/>
          <w:i/>
          <w:iCs/>
          <w:color w:val="000000"/>
          <w:sz w:val="22"/>
          <w:szCs w:val="22"/>
          <w:vertAlign w:val="superscript"/>
        </w:rPr>
        <w:t>1</w:t>
      </w:r>
      <w:r w:rsidRPr="00AF28B8">
        <w:rPr>
          <w:rFonts w:ascii="Calibri" w:hAnsi="Calibri" w:cs="Calibri"/>
          <w:i/>
          <w:iCs/>
          <w:color w:val="000000"/>
          <w:sz w:val="22"/>
          <w:szCs w:val="22"/>
        </w:rPr>
        <w:t>, Munyeki</w:t>
      </w:r>
      <w:r w:rsidRPr="00AF28B8">
        <w:rPr>
          <w:rFonts w:ascii="Calibri" w:hAnsi="Calibri" w:cs="Calibri"/>
          <w:i/>
          <w:iCs/>
          <w:color w:val="000000"/>
          <w:sz w:val="22"/>
          <w:szCs w:val="22"/>
          <w:vertAlign w:val="superscript"/>
        </w:rPr>
        <w:t>1</w:t>
      </w:r>
      <w:r w:rsidRPr="00AF28B8">
        <w:rPr>
          <w:rFonts w:ascii="Calibri" w:hAnsi="Calibri" w:cs="Calibri"/>
          <w:i/>
          <w:iCs/>
          <w:color w:val="000000"/>
          <w:sz w:val="22"/>
          <w:szCs w:val="22"/>
        </w:rPr>
        <w:t>, Namu</w:t>
      </w:r>
      <w:r w:rsidRPr="00AF28B8">
        <w:rPr>
          <w:rFonts w:ascii="Calibri" w:hAnsi="Calibri" w:cs="Calibri"/>
          <w:i/>
          <w:iCs/>
          <w:color w:val="000000"/>
          <w:sz w:val="22"/>
          <w:szCs w:val="22"/>
          <w:vertAlign w:val="superscript"/>
        </w:rPr>
        <w:t>1</w:t>
      </w:r>
      <w:r w:rsidRPr="00AF28B8">
        <w:rPr>
          <w:rFonts w:ascii="Calibri" w:hAnsi="Calibri" w:cs="Calibri"/>
          <w:i/>
          <w:iCs/>
          <w:color w:val="000000"/>
          <w:sz w:val="22"/>
          <w:szCs w:val="22"/>
        </w:rPr>
        <w:t>, Wang’ang’a</w:t>
      </w:r>
      <w:r w:rsidRPr="00AF28B8">
        <w:rPr>
          <w:rFonts w:ascii="Calibri" w:hAnsi="Calibri" w:cs="Calibri"/>
          <w:i/>
          <w:iCs/>
          <w:color w:val="000000"/>
          <w:sz w:val="22"/>
          <w:szCs w:val="22"/>
          <w:vertAlign w:val="superscript"/>
        </w:rPr>
        <w:t> 2</w:t>
      </w:r>
      <w:r w:rsidRPr="00AF28B8">
        <w:rPr>
          <w:rFonts w:ascii="Calibri" w:hAnsi="Calibri" w:cs="Calibri"/>
          <w:i/>
          <w:iCs/>
          <w:color w:val="000000"/>
          <w:sz w:val="22"/>
          <w:szCs w:val="22"/>
        </w:rPr>
        <w:t>, Kimani</w:t>
      </w:r>
      <w:r w:rsidRPr="00AF28B8">
        <w:rPr>
          <w:rFonts w:ascii="Calibri" w:hAnsi="Calibri" w:cs="Calibri"/>
          <w:i/>
          <w:iCs/>
          <w:color w:val="000000"/>
          <w:sz w:val="22"/>
          <w:szCs w:val="22"/>
          <w:vertAlign w:val="superscript"/>
        </w:rPr>
        <w:t> 2</w:t>
      </w:r>
      <w:r w:rsidRPr="00AF28B8">
        <w:rPr>
          <w:rFonts w:ascii="Calibri" w:hAnsi="Calibri" w:cs="Calibri"/>
          <w:i/>
          <w:iCs/>
          <w:color w:val="000000"/>
          <w:sz w:val="22"/>
          <w:szCs w:val="22"/>
        </w:rPr>
        <w:t>, Muinde</w:t>
      </w:r>
      <w:r w:rsidRPr="00AF28B8">
        <w:rPr>
          <w:rFonts w:ascii="Calibri" w:hAnsi="Calibri" w:cs="Calibri"/>
          <w:i/>
          <w:iCs/>
          <w:color w:val="000000"/>
          <w:sz w:val="22"/>
          <w:szCs w:val="22"/>
          <w:vertAlign w:val="superscript"/>
        </w:rPr>
        <w:t> 2</w:t>
      </w:r>
      <w:r w:rsidRPr="00AF28B8">
        <w:rPr>
          <w:rFonts w:ascii="Calibri" w:hAnsi="Calibri" w:cs="Calibri"/>
          <w:i/>
          <w:iCs/>
          <w:color w:val="000000"/>
          <w:sz w:val="22"/>
          <w:szCs w:val="22"/>
        </w:rPr>
        <w:t>, Hines</w:t>
      </w:r>
      <w:r w:rsidRPr="00AF28B8">
        <w:rPr>
          <w:rFonts w:ascii="Calibri" w:hAnsi="Calibri" w:cs="Calibri"/>
          <w:i/>
          <w:iCs/>
          <w:color w:val="000000"/>
          <w:sz w:val="22"/>
          <w:szCs w:val="22"/>
          <w:vertAlign w:val="superscript"/>
        </w:rPr>
        <w:t>3</w:t>
      </w:r>
      <w:r w:rsidRPr="00AF28B8">
        <w:rPr>
          <w:rFonts w:ascii="Calibri" w:hAnsi="Calibri" w:cs="Calibri"/>
          <w:color w:val="000000"/>
          <w:sz w:val="22"/>
          <w:szCs w:val="22"/>
        </w:rPr>
        <w:t> </w:t>
      </w:r>
      <w:r w:rsidRPr="00AF28B8">
        <w:rPr>
          <w:rFonts w:ascii="Calibri" w:hAnsi="Calibri" w:cs="Calibri"/>
          <w:i/>
          <w:iCs/>
          <w:color w:val="000000"/>
          <w:sz w:val="22"/>
          <w:szCs w:val="22"/>
        </w:rPr>
        <w:t>Affiliations: (1) K-FELTP (2) Kenya Prisons Service, (3) CDC </w:t>
      </w:r>
      <w:r w:rsidRPr="00AF28B8">
        <w:rPr>
          <w:rFonts w:ascii="Calibri" w:hAnsi="Calibri" w:cs="Calibri"/>
          <w:b/>
          <w:bCs/>
          <w:color w:val="000000"/>
          <w:sz w:val="22"/>
          <w:szCs w:val="22"/>
        </w:rPr>
        <w:t>Abstract:</w:t>
      </w:r>
      <w:r w:rsidRPr="00AF28B8">
        <w:rPr>
          <w:rFonts w:ascii="Calibri" w:hAnsi="Calibri" w:cs="Calibri"/>
          <w:color w:val="000000"/>
          <w:sz w:val="22"/>
          <w:szCs w:val="22"/>
        </w:rPr>
        <w:t> </w:t>
      </w:r>
      <w:r w:rsidRPr="00AF28B8">
        <w:rPr>
          <w:rFonts w:ascii="Calibri" w:hAnsi="Calibri" w:cs="Calibri"/>
          <w:b/>
          <w:bCs/>
          <w:color w:val="000000"/>
          <w:sz w:val="22"/>
          <w:szCs w:val="22"/>
        </w:rPr>
        <w:t>Background:</w:t>
      </w:r>
      <w:r w:rsidRPr="00AF28B8">
        <w:rPr>
          <w:rFonts w:ascii="Calibri" w:hAnsi="Calibri" w:cs="Calibri"/>
          <w:color w:val="000000"/>
          <w:sz w:val="22"/>
          <w:szCs w:val="22"/>
        </w:rPr>
        <w:t> Hepatitis B (HBV) outbreak was suspected in Embu Prison, Kenya, in July 2024, following a report of an inmate who tested HBsAg positive. This investigation aimed to assess the scope of the outbreak, identify the primary risk factors contributing to transmission, and recommend evidence-based control measures. </w:t>
      </w:r>
      <w:r w:rsidRPr="00AF28B8">
        <w:rPr>
          <w:rFonts w:ascii="Calibri" w:hAnsi="Calibri" w:cs="Calibri"/>
          <w:b/>
          <w:bCs/>
          <w:color w:val="000000"/>
          <w:sz w:val="22"/>
          <w:szCs w:val="22"/>
        </w:rPr>
        <w:t>Methods:</w:t>
      </w:r>
      <w:r w:rsidRPr="00AF28B8">
        <w:rPr>
          <w:rFonts w:ascii="Calibri" w:hAnsi="Calibri" w:cs="Calibri"/>
          <w:color w:val="000000"/>
          <w:sz w:val="22"/>
          <w:szCs w:val="22"/>
        </w:rPr>
        <w:t xml:space="preserve"> An investigation was conducted from July 22-26, 2024. A cross-sectional design was used with a respondent-driven sampling technique. Participants were interviewed and samples were collected for HBsAg testing. Total IgM&amp; IgG antibodies for HBcAg testing were done to differentiate acute and chronic infection. A questionnaire was administered using KOBO and analyzed with R software. Statistical analysis was performed, including univariate logistic regression on various risk factors such as sharing sharp objects, tattoo history, and </w:t>
      </w:r>
      <w:r w:rsidRPr="00AF28B8">
        <w:rPr>
          <w:rFonts w:ascii="Calibri" w:hAnsi="Calibri" w:cs="Calibri"/>
          <w:color w:val="000000"/>
          <w:sz w:val="22"/>
          <w:szCs w:val="22"/>
        </w:rPr>
        <w:lastRenderedPageBreak/>
        <w:t>sexual practices. Stratified analysis was carried out to assess potential effect modification. </w:t>
      </w:r>
      <w:r w:rsidRPr="00AF28B8">
        <w:rPr>
          <w:rFonts w:ascii="Calibri" w:hAnsi="Calibri" w:cs="Calibri"/>
          <w:b/>
          <w:bCs/>
          <w:color w:val="000000"/>
          <w:sz w:val="22"/>
          <w:szCs w:val="22"/>
        </w:rPr>
        <w:t>Results:</w:t>
      </w:r>
      <w:r w:rsidRPr="00AF28B8">
        <w:rPr>
          <w:rFonts w:ascii="Calibri" w:hAnsi="Calibri" w:cs="Calibri"/>
          <w:color w:val="000000"/>
          <w:sz w:val="22"/>
          <w:szCs w:val="22"/>
        </w:rPr>
        <w:t> A total of 295 (13.7%) of the 2,150 inmates were tested for HBsAg, with 16 testing positive, and a positive rate of 5.4%. Of these, only the index case patient exhibited hepatitis symptoms with both Total IgG/ IgM HBc testing positive, indicating acute HBV infection. Sharing sharp objects, was identified as the most significant risk factor for HBV transmission (odds ratio: 3.86 [95% CI: 1.36-11.84]). A statistical difference was noted between adjusted OR and crude OR when the outcome was stratified by prison ward, indicating effect modification (Breslow Day test p=0.03). </w:t>
      </w:r>
      <w:r w:rsidRPr="00AF28B8">
        <w:rPr>
          <w:rFonts w:ascii="Calibri" w:hAnsi="Calibri" w:cs="Calibri"/>
          <w:b/>
          <w:bCs/>
          <w:color w:val="000000"/>
          <w:sz w:val="22"/>
          <w:szCs w:val="22"/>
        </w:rPr>
        <w:t>Conclusions:</w:t>
      </w:r>
      <w:r w:rsidRPr="00AF28B8">
        <w:rPr>
          <w:rFonts w:ascii="Calibri" w:hAnsi="Calibri" w:cs="Calibri"/>
          <w:color w:val="000000"/>
          <w:sz w:val="22"/>
          <w:szCs w:val="22"/>
        </w:rPr>
        <w:t> The investigation identified sharing of sharp objects as the primary driver of HBV transmission. The immediate recommendations included regular health education, and improved access to personal grooming tools. Long-term measures should include vaccination of prisoners. Word Count: 310 Key words: Hepatitis B, Prison, Outbreak</w:t>
      </w:r>
    </w:p>
    <w:p w14:paraId="5D30BCC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25-A-2633-ASTMH</w:t>
      </w:r>
    </w:p>
    <w:p w14:paraId="31C825B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Vaccines (Including Leishmania and Trypanosomes)</w:t>
      </w:r>
    </w:p>
    <w:p w14:paraId="665BD97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SAFETY AND EFFICACY OF A NOVEL POST-EXPOSURE VACCINE ON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PARASITE BURDEN AND CARDIAC FUNCTION IN NATURALLY INFECTED RHESUS MACAQUES: PRELIMINARY DATA FROM A NON-INFERIORITY TRIAL</w:t>
      </w:r>
    </w:p>
    <w:p w14:paraId="6CB35B7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is caused by the protozoan parasite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and chronic infection leads to cardiomyopathy in about 20-40% of infected persons; 10-20% will develop megacolon or megaesophagus. Current treatments are Benznidazole (BZN) or Nifurtimox for 30-90 days. These drugs are most effective when used immediately after infection, but adherence may be low due to side effects. A novel post-exposure immunotherapeutic vaccine for </w:t>
      </w:r>
      <w:r w:rsidRPr="00AF28B8">
        <w:rPr>
          <w:rFonts w:ascii="Calibri" w:hAnsi="Calibri" w:cs="Calibri"/>
          <w:i/>
          <w:iCs/>
          <w:color w:val="000000"/>
          <w:sz w:val="22"/>
          <w:szCs w:val="22"/>
        </w:rPr>
        <w:t>T. cruzi</w:t>
      </w:r>
      <w:r w:rsidRPr="00AF28B8">
        <w:rPr>
          <w:rFonts w:ascii="Calibri" w:hAnsi="Calibri" w:cs="Calibri"/>
          <w:color w:val="000000"/>
          <w:sz w:val="22"/>
          <w:szCs w:val="22"/>
        </w:rPr>
        <w:t> was tested in chronically, naturally, infected macaques, as a non-inferiority trial compared against standard BZN treatment. The primary outcomes of this trial were blood parasite burden and cardiac ejection fraction (EF), and three treatment groups were included: vaccine only, BZN only (control), and low-dose BZN with vaccine. The vaccine was administered in subcutaneous doses at days 0, 30, and 60. The control group received oral BZN for 30 days at 5 mg/kg/day, and the combination group received oral BZN for 30 days at 1.25 mg/kg/day and three doses of the vaccine. Blood counts and chemistry were used to assess treatment safety. Parasite burden was quantified by qPCR every 30 days following vaccination, and EF was measured by echography at days 0, 90, 240, and 360. All laboratory assays and clinical evaluations were performed in a blind manner. Preliminary analysis of the first macaques enrolled in the study (N=3-5 per group) indicated that all macaque groups showed a decrease in parasite burden over time and EF improvement, suggesting efficacy of all three treatments, although the kinetics of improvements may differ among treatments. Finally, no alterations in blood counts and chemistry were detected in vaccine treated macaques, indicating a good safety profile. These preliminary results suggest that all treatments may be effective at reducing blood parasitemia and improving EF, and increasing the number of animals enrolled will allow assessing the statistical significance of these findings and determining the potential non-inferiority of post-exposure immunotherapeutic vaccination against Chagas disease. Funding: R01AI162907, P51 OD011104, U42 OD024282, and U42 OD010568.</w:t>
      </w:r>
    </w:p>
    <w:p w14:paraId="37C9A46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25-A-2634-ASTMH</w:t>
      </w:r>
    </w:p>
    <w:p w14:paraId="4DB4BCB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29B976C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Training Data Recorders to Take High Quality Trachoma Photographs: Piloting a Newly Published Photography Manual of Preferred Practices within the Enhancing the ‘A’ in SAFE Trial</w:t>
      </w:r>
    </w:p>
    <w:p w14:paraId="4B0E7B2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Trachoma surveys rely on grading trachoma clinical signs such as trachomatous inflammation-follicular (TF). However, when a country has reached low levels of trachoma, it can be difficult to reliably train graders to accurately grade TF in the field. Photography of the conjunctiva provides an opportunity to capture images for grading; however, most studies have relied on experienced photographers using single-lens reflex cameras. Recently, the International Coalition for Trachoma Control (ICTC) published a photography training manual targeting survey data recorders without photography experience. In July </w:t>
      </w:r>
      <w:r w:rsidRPr="00AF28B8">
        <w:rPr>
          <w:rFonts w:ascii="Calibri" w:hAnsi="Calibri" w:cs="Calibri"/>
          <w:color w:val="000000"/>
          <w:sz w:val="22"/>
          <w:szCs w:val="22"/>
        </w:rPr>
        <w:lastRenderedPageBreak/>
        <w:t>2023, this manual was piloted during a four-day photography training, after which certified trainees served as data recorders and photographers during a survey round of the Enhancing the ‘A’ in SAFE (ETAS) study (NCT05634759) in South Sudan. The training included a preliminary evaluation (vision tests, smartphone use, interactions with mothers/children), classroom sessions, field practice (evaluating quality photos), and two certification rounds. The certification evaluated the percentages of photos marked “satisfactory”, of gradable photos, and of eyes with at least one gradable photo. Ten applicants were recruited and passed the preliminary evaluation and field practice. Only 50% of trainees passed the photography assessments and became certified. During ETAS survey data collection, the five certified trainees served as data recorders and photographers, taking 7,064 photos (two photos per eye) of 1,766 children (ages 6 months-9 years), using a smartphone. These photos were graded at the Gondar Grading Center (GGC) in Ethiopia, and nearly all eyes (&gt;99%) were determined to have at least one gradable photo. Between the three photo graders at GGC, all three agreed that photo quality was “Good” for 41.6% of the photos, and two of three graders agreed quality was “Good” for 33.8% of the photos. The new training manual successfully facilitated the training of data recorders to take high-quality conjunctival photos and will be an important tool for trachoma programs interested in incorporating photography into their surveys.</w:t>
      </w:r>
    </w:p>
    <w:p w14:paraId="059725E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25-A-2635-ASTMH</w:t>
      </w:r>
    </w:p>
    <w:p w14:paraId="1295617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Transmission Biology</w:t>
      </w:r>
    </w:p>
    <w:p w14:paraId="07C7D5B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Sequence-Based Role of </w:t>
      </w:r>
      <w:r w:rsidRPr="00AF28B8">
        <w:rPr>
          <w:rFonts w:ascii="Calibri" w:hAnsi="Calibri" w:cs="Calibri"/>
          <w:i/>
          <w:iCs/>
          <w:color w:val="000000"/>
          <w:sz w:val="22"/>
          <w:szCs w:val="22"/>
        </w:rPr>
        <w:t>Prkd1</w:t>
      </w:r>
      <w:r w:rsidRPr="00AF28B8">
        <w:rPr>
          <w:rFonts w:ascii="Calibri" w:hAnsi="Calibri" w:cs="Calibri"/>
          <w:color w:val="000000"/>
          <w:sz w:val="22"/>
          <w:szCs w:val="22"/>
        </w:rPr>
        <w:t> and </w:t>
      </w:r>
      <w:r w:rsidRPr="00AF28B8">
        <w:rPr>
          <w:rFonts w:ascii="Calibri" w:hAnsi="Calibri" w:cs="Calibri"/>
          <w:i/>
          <w:iCs/>
          <w:color w:val="000000"/>
          <w:sz w:val="22"/>
          <w:szCs w:val="22"/>
        </w:rPr>
        <w:t>Zfpl1</w:t>
      </w:r>
      <w:r w:rsidRPr="00AF28B8">
        <w:rPr>
          <w:rFonts w:ascii="Calibri" w:hAnsi="Calibri" w:cs="Calibri"/>
          <w:color w:val="000000"/>
          <w:sz w:val="22"/>
          <w:szCs w:val="22"/>
        </w:rPr>
        <w:t> on Murine Homeostasis Following Mosquito Bite Exposure</w:t>
      </w:r>
    </w:p>
    <w:p w14:paraId="185E80A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Mosquito saliva modulates immune responses in vertebrate hosts, and individuals in tropical regions are often exposed to multiple mosquito species, potentially affecting vector-borne disease dynamics. Previous studies in dengue and malaria-endemic areas showed significant cross-genus exposure, with individuals being bitten by both </w:t>
      </w:r>
      <w:r w:rsidRPr="00AF28B8">
        <w:rPr>
          <w:rFonts w:ascii="Calibri" w:hAnsi="Calibri" w:cs="Calibri"/>
          <w:i/>
          <w:iCs/>
          <w:color w:val="000000"/>
          <w:sz w:val="22"/>
          <w:szCs w:val="22"/>
        </w:rPr>
        <w:t>Aedes</w:t>
      </w:r>
      <w:r w:rsidRPr="00AF28B8">
        <w:rPr>
          <w:rFonts w:ascii="Calibri" w:hAnsi="Calibri" w:cs="Calibri"/>
          <w:color w:val="000000"/>
          <w:sz w:val="22"/>
          <w:szCs w:val="22"/>
        </w:rPr>
        <w:t> (non-malaria vector) and </w:t>
      </w:r>
      <w:r w:rsidRPr="00AF28B8">
        <w:rPr>
          <w:rFonts w:ascii="Calibri" w:hAnsi="Calibri" w:cs="Calibri"/>
          <w:i/>
          <w:iCs/>
          <w:color w:val="000000"/>
          <w:sz w:val="22"/>
          <w:szCs w:val="22"/>
        </w:rPr>
        <w:t>Anopheles</w:t>
      </w:r>
      <w:r w:rsidRPr="00AF28B8">
        <w:rPr>
          <w:rFonts w:ascii="Calibri" w:hAnsi="Calibri" w:cs="Calibri"/>
          <w:color w:val="000000"/>
          <w:sz w:val="22"/>
          <w:szCs w:val="22"/>
        </w:rPr>
        <w:t> mosquitoes. This study investigates the impact of sequential exposure to species from these genera on immune responses and disease susceptibility. We aimed to explore the effects of sequential exposure to </w:t>
      </w:r>
      <w:r w:rsidRPr="00AF28B8">
        <w:rPr>
          <w:rFonts w:ascii="Calibri" w:hAnsi="Calibri" w:cs="Calibri"/>
          <w:i/>
          <w:iCs/>
          <w:color w:val="000000"/>
          <w:sz w:val="22"/>
          <w:szCs w:val="22"/>
        </w:rPr>
        <w:t>Aedes aegypti</w:t>
      </w:r>
      <w:r w:rsidRPr="00AF28B8">
        <w:rPr>
          <w:rFonts w:ascii="Calibri" w:hAnsi="Calibri" w:cs="Calibri"/>
          <w:color w:val="000000"/>
          <w:sz w:val="22"/>
          <w:szCs w:val="22"/>
        </w:rPr>
        <w:t> (diurnal) followed by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(nocturnal) mosquitoes in BALB/c mice, focusing on transcriptomic changes in the spleen, an important organ in immune regulation. Mice were exposed to both mosquito species sequentially, and spleen transcriptomic changes were analyzed. Molecular analysis revealed differential expression of 35 genes, with </w:t>
      </w:r>
      <w:r w:rsidRPr="00AF28B8">
        <w:rPr>
          <w:rFonts w:ascii="Calibri" w:hAnsi="Calibri" w:cs="Calibri"/>
          <w:i/>
          <w:iCs/>
          <w:color w:val="000000"/>
          <w:sz w:val="22"/>
          <w:szCs w:val="22"/>
        </w:rPr>
        <w:t>Prkd1</w:t>
      </w:r>
      <w:r w:rsidRPr="00AF28B8">
        <w:rPr>
          <w:rFonts w:ascii="Calibri" w:hAnsi="Calibri" w:cs="Calibri"/>
          <w:color w:val="000000"/>
          <w:sz w:val="22"/>
          <w:szCs w:val="22"/>
        </w:rPr>
        <w:t> and </w:t>
      </w:r>
      <w:r w:rsidRPr="00AF28B8">
        <w:rPr>
          <w:rFonts w:ascii="Calibri" w:hAnsi="Calibri" w:cs="Calibri"/>
          <w:i/>
          <w:iCs/>
          <w:color w:val="000000"/>
          <w:sz w:val="22"/>
          <w:szCs w:val="22"/>
        </w:rPr>
        <w:t>Zfpl1</w:t>
      </w:r>
      <w:r w:rsidRPr="00AF28B8">
        <w:rPr>
          <w:rFonts w:ascii="Calibri" w:hAnsi="Calibri" w:cs="Calibri"/>
          <w:color w:val="000000"/>
          <w:sz w:val="22"/>
          <w:szCs w:val="22"/>
        </w:rPr>
        <w:t> showing significant upregulation. </w:t>
      </w:r>
      <w:r w:rsidRPr="00AF28B8">
        <w:rPr>
          <w:rFonts w:ascii="Calibri" w:hAnsi="Calibri" w:cs="Calibri"/>
          <w:i/>
          <w:iCs/>
          <w:color w:val="000000"/>
          <w:sz w:val="22"/>
          <w:szCs w:val="22"/>
        </w:rPr>
        <w:t>Prkd1</w:t>
      </w:r>
      <w:r w:rsidRPr="00AF28B8">
        <w:rPr>
          <w:rFonts w:ascii="Calibri" w:hAnsi="Calibri" w:cs="Calibri"/>
          <w:color w:val="000000"/>
          <w:sz w:val="22"/>
          <w:szCs w:val="22"/>
        </w:rPr>
        <w:t>, linked to oxidative stress, was highly expressed in the </w:t>
      </w:r>
      <w:r w:rsidRPr="00AF28B8">
        <w:rPr>
          <w:rFonts w:ascii="Calibri" w:hAnsi="Calibri" w:cs="Calibri"/>
          <w:i/>
          <w:iCs/>
          <w:color w:val="000000"/>
          <w:sz w:val="22"/>
          <w:szCs w:val="22"/>
        </w:rPr>
        <w:t>Aedes</w:t>
      </w:r>
      <w:r w:rsidRPr="00AF28B8">
        <w:rPr>
          <w:rFonts w:ascii="Calibri" w:hAnsi="Calibri" w:cs="Calibri"/>
          <w:color w:val="000000"/>
          <w:sz w:val="22"/>
          <w:szCs w:val="22"/>
        </w:rPr>
        <w:t>-only group, but downregulated in the combined exposure group. </w:t>
      </w:r>
      <w:r w:rsidRPr="00AF28B8">
        <w:rPr>
          <w:rFonts w:ascii="Calibri" w:hAnsi="Calibri" w:cs="Calibri"/>
          <w:i/>
          <w:iCs/>
          <w:color w:val="000000"/>
          <w:sz w:val="22"/>
          <w:szCs w:val="22"/>
        </w:rPr>
        <w:t>Zfpl1</w:t>
      </w:r>
      <w:r w:rsidRPr="00AF28B8">
        <w:rPr>
          <w:rFonts w:ascii="Calibri" w:hAnsi="Calibri" w:cs="Calibri"/>
          <w:color w:val="000000"/>
          <w:sz w:val="22"/>
          <w:szCs w:val="22"/>
        </w:rPr>
        <w:t>, involved in autophagy, was elevated in the combined exposure group, suggesting a synergistic immune response. These findings highlight the complex immune interactions resulting from sequential mosquito exposures, with </w:t>
      </w:r>
      <w:r w:rsidRPr="00AF28B8">
        <w:rPr>
          <w:rFonts w:ascii="Calibri" w:hAnsi="Calibri" w:cs="Calibri"/>
          <w:i/>
          <w:iCs/>
          <w:color w:val="000000"/>
          <w:sz w:val="22"/>
          <w:szCs w:val="22"/>
        </w:rPr>
        <w:t>Prkd1</w:t>
      </w:r>
      <w:r w:rsidRPr="00AF28B8">
        <w:rPr>
          <w:rFonts w:ascii="Calibri" w:hAnsi="Calibri" w:cs="Calibri"/>
          <w:color w:val="000000"/>
          <w:sz w:val="22"/>
          <w:szCs w:val="22"/>
        </w:rPr>
        <w:t> and </w:t>
      </w:r>
      <w:r w:rsidRPr="00AF28B8">
        <w:rPr>
          <w:rFonts w:ascii="Calibri" w:hAnsi="Calibri" w:cs="Calibri"/>
          <w:i/>
          <w:iCs/>
          <w:color w:val="000000"/>
          <w:sz w:val="22"/>
          <w:szCs w:val="22"/>
        </w:rPr>
        <w:t>Zfpl1</w:t>
      </w:r>
      <w:r w:rsidRPr="00AF28B8">
        <w:rPr>
          <w:rFonts w:ascii="Calibri" w:hAnsi="Calibri" w:cs="Calibri"/>
          <w:color w:val="000000"/>
          <w:sz w:val="22"/>
          <w:szCs w:val="22"/>
        </w:rPr>
        <w:t> emerging as potential biomarkers for immune modulation and disease susceptibility. This research provides insights into how sequential mosquito bite exposure influences disease progression and identifies novel targets for intervention in regions endemic to multiple vector-borne diseases.</w:t>
      </w:r>
    </w:p>
    <w:p w14:paraId="7C7A893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25-A-2636-ASTMH</w:t>
      </w:r>
    </w:p>
    <w:p w14:paraId="03EE06A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5D82E7A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Isolation and characterization of Plasmodium falciparum blood-stage persisters by improved selection protocols using dihydroartemisinin alone</w:t>
      </w:r>
    </w:p>
    <w:p w14:paraId="01FDAC1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Artemisinin-based combination therapies (ACTs) are vital for malaria treatment, but these arethreatened by blood-stage persisters—dormant forms of Plasmodium parasites that can survive drugexposure and cause recrudescent infections. Here, we present improved protocols for efficientpreparation of pure</w:t>
      </w:r>
      <w:r w:rsidRPr="00AF28B8">
        <w:rPr>
          <w:rFonts w:ascii="Calibri" w:hAnsi="Calibri" w:cs="Calibri"/>
          <w:i/>
          <w:iCs/>
          <w:color w:val="000000"/>
          <w:sz w:val="22"/>
          <w:szCs w:val="22"/>
        </w:rPr>
        <w:t> Plasmodium falciparum</w:t>
      </w:r>
      <w:r w:rsidRPr="00AF28B8">
        <w:rPr>
          <w:rFonts w:ascii="Calibri" w:hAnsi="Calibri" w:cs="Calibri"/>
          <w:color w:val="000000"/>
          <w:sz w:val="22"/>
          <w:szCs w:val="22"/>
        </w:rPr>
        <w:t xml:space="preserve"> persister populations without the need for magneticallyactivated columns, sorbitol exposure, or prolonged manipulations. Our protocols transformed activelyreplicating parasites into persister populations by exposing mixed blood-stage parasites to three orfour consecutive daily 6 h pulses of 700 nM or 200 nM dihydroartemisinin (DHA). In micrographs ofGiemsa-stained cells, we observed different persister morphologies: Type I persisters </w:t>
      </w:r>
      <w:r w:rsidRPr="00AF28B8">
        <w:rPr>
          <w:rFonts w:ascii="Calibri" w:hAnsi="Calibri" w:cs="Calibri"/>
          <w:color w:val="000000"/>
          <w:sz w:val="22"/>
          <w:szCs w:val="22"/>
        </w:rPr>
        <w:lastRenderedPageBreak/>
        <w:t>containing arounded magenta-stained nucleus accompanied by a local region of blue-stained cytoplasm; and themore-prevalent Type II persisters characterized by a dark round or irregular-appearing nucleus andfaded or no detectable cytoplasm. We also observed cells with disorganized nuclear and cytoplasmicstructure, suggesting possible autophagic processes of destruction and remodeling. Recrudescenceof actively replicating parasites to starting parasitemia or higher occurred around 17–22 days afterinitial DHA exposure. Differential expression patterns of the acetyl CoA carboxylase (acc) and skeletonbinding protein 1 (sbp1) genes during DHA treatment, dormancy, and recrudescence highlighted theevolution of physiologic states and metabolic changes underlying persister formation and recovery.Our findings suggest hypotheses and questions for further research to understand the cellularpathways of dormancy and uncover strategies to thwart parasite survival after drug exposure.</w:t>
      </w:r>
    </w:p>
    <w:p w14:paraId="7BC0A21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25-A-2637-ASTMH</w:t>
      </w:r>
    </w:p>
    <w:p w14:paraId="2816FFC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Arthropods/Entomology - Other</w:t>
      </w:r>
    </w:p>
    <w:p w14:paraId="155E974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Clinical profile of patients with Dengue fever at Patan Hospital: A retrospective study</w:t>
      </w:r>
    </w:p>
    <w:p w14:paraId="68DD9A6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br/>
        <w:t>The first case of dengue was reported in 2004 in Nepal. Initially the cases were reported only from the lower altitudes of the country. The larger outbreaks started occurring only after 2018 and since 2022 the country has seen a rapid spread of the epidemic covering all parts of the country including the higher altitudes. This study intends to explore the organ specific involvement due to dengue fever among the admitted patients. This retrospective study was conducted at Patan Hospital. Patient’s data was extracted from the electronic medical records and includes the data from May 2023 to March 2025. A total of a total of 746 patients were diagnosed as dengue fever at emergency visit, out of which 444 patients were admitted. Among the admitted patients, 84 (18.9%) were children below the age of 18 years, 360 adults over 18 years, and 280 (63%) were females. The number of admitted cases increased from 112 in 2023 to 325 in 2024, and most of the patients (93%) were from higher altitudes of the country. There were 16 patients with severe dengue, 248 with warning sign, 32 without warning signs, and in 148 patients the severity of dengue was not mentioned. Coinfections with scrub typhus (20), hepatitis A (1), and malaria (1) were recorded. Organ specific complications included: cholecystitis (8 patients), hepatitis (6), liver failure (3), pancreatitis (4), gastroenteritis (5), cholangitis (1), appendicitis (1), myocarditis (1), pericarditis (1), pneumonia (19), pleural effusion (17), ascites (8), meningitis or meningoencephalitis (7), psychosis with extrapyramidal symptoms (1), brain lesions (1), seizure (10) and myositis (1). Other complications included acute kidney injury (26), and shock (13). There were 58 pregnant women (16.11% of adult cases), and 9 were delivered by lower uterine caesarian section. One neonate had dengue, probably transmitted by transplacental route with neonatal meningitis. Total eight patients (1.8% of hospitalized patients) died. This study highlights the varied presentations of dengue and its complications, and underscores a need to screen for dengue among individuals living in or travelers returning from the endemic areas.</w:t>
      </w:r>
    </w:p>
    <w:p w14:paraId="1878B8E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25-A-2639-ASTMH</w:t>
      </w:r>
    </w:p>
    <w:p w14:paraId="6A5985A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076A13F2" w14:textId="6A6D9ECF"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Assessment of Hand Hygiene Compliance Among Healthcare Workers in Military Tertiary Care Hospitals in Bangladesh</w:t>
      </w:r>
    </w:p>
    <w:p w14:paraId="0B8BD31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Hospital-acquired infections remain a significant contributor of morbidity and mortality in hospitals. Healthcare worker's (HCWs) hands become progressively colonized with potential pathogens during their patient care. Hand hygiene (HH) is undisputedly one of the most effective infection control measures, and military hospitals in Bangladesh are known for better compliance with health system practices. This study aimed to evaluate HH compliance and associated factors among HCWs in tertiary-level military hospitals in Bangladesh. A cross-sectional observational study was carried out from October to December 2021 at two Military Hospitals in Dhaka (1650 beds) and Jashore (500 beds). HH compliance among HCWs, including physicians, nurses, and cleaning staff was assessed through non-</w:t>
      </w:r>
      <w:r w:rsidRPr="00AF28B8">
        <w:rPr>
          <w:rFonts w:ascii="Calibri" w:hAnsi="Calibri" w:cs="Calibri"/>
          <w:color w:val="000000"/>
          <w:sz w:val="22"/>
          <w:szCs w:val="22"/>
        </w:rPr>
        <w:lastRenderedPageBreak/>
        <w:t>participatory observations using the WHO’s "5 Moments for Hand Hygiene" framework. Observations were conducted across medicine, surgery, gynecology and emergency departments. Additionally, semi-structured interviews were conducted to explore perceived barriers to hand hygiene compliance among HCWs. We observed a total of 172 HH opportunities. The overall HH compliance was 30.9% - among physicians (34.5%), and Nurses (25.2%). Physicians’ performance (49.0%) on HH practice before touching a patient was higher than the nurses' (46.0%), but lesser (44.5%) after touching the patient than same practice nurses (58.0%). Study also observed that only 24.0% physicians and 18.0% nurses practiced HH before and after handling the patient file. Responded opined that workload, shortage of time, lack of facility, distance of hand washing station, inadequate supply were the key hand hygiene barriers. Qualitative assessment revealed that inadequate handwashing stations at wards (distance), insufficient training, irregular monitoring and audit, and lack of enforcement of IPC guidelines were key challenges at both study sites. HH compliance among HCWs of the study hospital was short of the standard for safe patient care. Periodical training and motivation, ensuring HH supplies, and enforcement of IPC guidelines are needed to improve the situation.</w:t>
      </w:r>
    </w:p>
    <w:p w14:paraId="0E2D678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25-A-2640-ASTMH</w:t>
      </w:r>
    </w:p>
    <w:p w14:paraId="7EE987E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600F64E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High-Throughput Platform to Identify New Antimalarial Compounds Targeting Mosquito Stages of</w:t>
      </w:r>
      <w:r w:rsidRPr="00AF28B8">
        <w:rPr>
          <w:rFonts w:ascii="Calibri" w:hAnsi="Calibri" w:cs="Calibri"/>
          <w:b/>
          <w:bCs/>
          <w:i/>
          <w:iCs/>
          <w:color w:val="000000"/>
          <w:sz w:val="22"/>
          <w:szCs w:val="22"/>
        </w:rPr>
        <w:t>Plasmodium falciparum</w:t>
      </w:r>
    </w:p>
    <w:p w14:paraId="49A011B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discovery of transmission-blocking agents and strategies is pivotal to prevent malaria spread and achieve global eradication. We recently generated a new strategy based on killing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parasites in the mosquito vector using antimalarial drugs delivered via treated surfaces like bed nets. This approach requires new, effective compounds with modes of action distinct from standard antimalarials, to minimize the risk of cross-resistance that could undermine their therapeutic use in humans. However, identification of compounds targeting </w:t>
      </w:r>
      <w:r w:rsidRPr="00AF28B8">
        <w:rPr>
          <w:rFonts w:ascii="Calibri" w:hAnsi="Calibri" w:cs="Calibri"/>
          <w:i/>
          <w:iCs/>
          <w:color w:val="000000"/>
          <w:sz w:val="22"/>
          <w:szCs w:val="22"/>
        </w:rPr>
        <w:t>P. falciparum</w:t>
      </w:r>
      <w:r w:rsidRPr="00AF28B8">
        <w:rPr>
          <w:rFonts w:ascii="Calibri" w:hAnsi="Calibri" w:cs="Calibri"/>
          <w:color w:val="000000"/>
          <w:sz w:val="22"/>
          <w:szCs w:val="22"/>
        </w:rPr>
        <w:t> development in mosquitoes is limited by the lack of a robust </w:t>
      </w:r>
      <w:r w:rsidRPr="00AF28B8">
        <w:rPr>
          <w:rFonts w:ascii="Calibri" w:hAnsi="Calibri" w:cs="Calibri"/>
          <w:i/>
          <w:iCs/>
          <w:color w:val="000000"/>
          <w:sz w:val="22"/>
          <w:szCs w:val="22"/>
        </w:rPr>
        <w:t>in vitro</w:t>
      </w:r>
      <w:r w:rsidRPr="00AF28B8">
        <w:rPr>
          <w:rFonts w:ascii="Calibri" w:hAnsi="Calibri" w:cs="Calibri"/>
          <w:color w:val="000000"/>
          <w:sz w:val="22"/>
          <w:szCs w:val="22"/>
        </w:rPr>
        <w:t> system suitable for large-scale screenings.In this study, we present a novel platform optimized for high-throughput screening of compounds against </w:t>
      </w:r>
      <w:r w:rsidRPr="00AF28B8">
        <w:rPr>
          <w:rFonts w:ascii="Calibri" w:hAnsi="Calibri" w:cs="Calibri"/>
          <w:i/>
          <w:iCs/>
          <w:color w:val="000000"/>
          <w:sz w:val="22"/>
          <w:szCs w:val="22"/>
        </w:rPr>
        <w:t>P. falciparum</w:t>
      </w:r>
      <w:r w:rsidRPr="00AF28B8">
        <w:rPr>
          <w:rFonts w:ascii="Calibri" w:hAnsi="Calibri" w:cs="Calibri"/>
          <w:color w:val="000000"/>
          <w:sz w:val="22"/>
          <w:szCs w:val="22"/>
        </w:rPr>
        <w:t>mosquito stages. We used a transgenic parasite line expressing green fluorescent and firefly luciferase proteins to generate mature gametocyte cultures, achieving oocyst formation and growth via optimized media, insect cells and matrigel. Culturing was optimized in a 384-well plate system and screening validation was initially carried out against both ookinete formation and oocyst growth by testing 54 diverse antimalarial compounds. Compound activity was assessed using a bioluminescence-based assay and validated through high-content imaging. Insect cell cytotoxicity and dose-response curves were obtained for hit compounds, followed by </w:t>
      </w:r>
      <w:r w:rsidRPr="00AF28B8">
        <w:rPr>
          <w:rFonts w:ascii="Calibri" w:hAnsi="Calibri" w:cs="Calibri"/>
          <w:i/>
          <w:iCs/>
          <w:color w:val="000000"/>
          <w:sz w:val="22"/>
          <w:szCs w:val="22"/>
        </w:rPr>
        <w:t>in vivo</w:t>
      </w:r>
      <w:r w:rsidRPr="00AF28B8">
        <w:rPr>
          <w:rFonts w:ascii="Calibri" w:hAnsi="Calibri" w:cs="Calibri"/>
          <w:color w:val="000000"/>
          <w:sz w:val="22"/>
          <w:szCs w:val="22"/>
        </w:rPr>
        <w:t> validation in mosquitoes. A pilot run to test the robustness of the high-throughput screening and hit rate was performed on a small set of compounds (320), employing a full automated system. We found the assay has good batch-to-batch consistency with Z’ factors within a range of 0.6 to 0.7 and high signal-to-noise ratios. The validation screening is revealing antimalarial compounds with selective activity against ookinete formation, as well as others with multi-stage activity that target early and/or mid-stage oocyst development. A large-scale high-throughput screening analysis using ~30,000 compounds is in progress for the identification of novel mosquito stage-selective chemotypes.</w:t>
      </w:r>
    </w:p>
    <w:p w14:paraId="1CD3B09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25-A-2641-ASTMH</w:t>
      </w:r>
    </w:p>
    <w:p w14:paraId="002A129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Arthropods/Entomology - Other</w:t>
      </w:r>
    </w:p>
    <w:p w14:paraId="6917986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Genome Assembly of </w:t>
      </w:r>
      <w:r w:rsidRPr="00AF28B8">
        <w:rPr>
          <w:rFonts w:ascii="Calibri" w:hAnsi="Calibri" w:cs="Calibri"/>
          <w:i/>
          <w:iCs/>
          <w:color w:val="000000"/>
          <w:sz w:val="22"/>
          <w:szCs w:val="22"/>
        </w:rPr>
        <w:t>Simulium damnosum</w:t>
      </w:r>
      <w:r w:rsidRPr="00AF28B8">
        <w:rPr>
          <w:rFonts w:ascii="Calibri" w:hAnsi="Calibri" w:cs="Calibri"/>
          <w:color w:val="000000"/>
          <w:sz w:val="22"/>
          <w:szCs w:val="22"/>
        </w:rPr>
        <w:t> from Ghana: Implications for Onchocerciasis Transmission</w:t>
      </w:r>
    </w:p>
    <w:p w14:paraId="493F4D3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Human onchocerciasis, or river blindness, is caused by the nematode </w:t>
      </w:r>
      <w:r w:rsidRPr="00AF28B8">
        <w:rPr>
          <w:rFonts w:ascii="Calibri" w:hAnsi="Calibri" w:cs="Calibri"/>
          <w:i/>
          <w:iCs/>
          <w:color w:val="000000"/>
          <w:sz w:val="22"/>
          <w:szCs w:val="22"/>
        </w:rPr>
        <w:t>Onchocerca volvulus</w:t>
      </w:r>
      <w:r w:rsidRPr="00AF28B8">
        <w:rPr>
          <w:rFonts w:ascii="Calibri" w:hAnsi="Calibri" w:cs="Calibri"/>
          <w:color w:val="000000"/>
          <w:sz w:val="22"/>
          <w:szCs w:val="22"/>
        </w:rPr>
        <w:t>, which is transmitted by blood-sucking blackflies of the genus </w:t>
      </w:r>
      <w:r w:rsidRPr="00AF28B8">
        <w:rPr>
          <w:rFonts w:ascii="Calibri" w:hAnsi="Calibri" w:cs="Calibri"/>
          <w:i/>
          <w:iCs/>
          <w:color w:val="000000"/>
          <w:sz w:val="22"/>
          <w:szCs w:val="22"/>
        </w:rPr>
        <w:t>Simulium</w:t>
      </w:r>
      <w:r w:rsidRPr="00AF28B8">
        <w:rPr>
          <w:rFonts w:ascii="Calibri" w:hAnsi="Calibri" w:cs="Calibri"/>
          <w:color w:val="000000"/>
          <w:sz w:val="22"/>
          <w:szCs w:val="22"/>
        </w:rPr>
        <w:t>. Despite their medical importance, we lack molecular data characterizing </w:t>
      </w:r>
      <w:r w:rsidRPr="00AF28B8">
        <w:rPr>
          <w:rFonts w:ascii="Calibri" w:hAnsi="Calibri" w:cs="Calibri"/>
          <w:i/>
          <w:iCs/>
          <w:color w:val="000000"/>
          <w:sz w:val="22"/>
          <w:szCs w:val="22"/>
        </w:rPr>
        <w:t>Simulium</w:t>
      </w:r>
      <w:r w:rsidRPr="00AF28B8">
        <w:rPr>
          <w:rFonts w:ascii="Calibri" w:hAnsi="Calibri" w:cs="Calibri"/>
          <w:color w:val="000000"/>
          <w:sz w:val="22"/>
          <w:szCs w:val="22"/>
        </w:rPr>
        <w:t xml:space="preserve"> species. Current classification is based largely on cytotaxonomy, which is dependent on expert identification of chromosomal banding patterns in the larval silk glands, and poor adult morphological differentiation further complicates taxonomic efforts. </w:t>
      </w:r>
      <w:r w:rsidRPr="00AF28B8">
        <w:rPr>
          <w:rFonts w:ascii="Calibri" w:hAnsi="Calibri" w:cs="Calibri"/>
          <w:color w:val="000000"/>
          <w:sz w:val="22"/>
          <w:szCs w:val="22"/>
        </w:rPr>
        <w:lastRenderedPageBreak/>
        <w:t>Knowledge of species dispersal ranges, critical for understanding transmission dynamics, remains limited.</w:t>
      </w:r>
      <w:r w:rsidRPr="00AF28B8">
        <w:rPr>
          <w:rFonts w:ascii="Calibri" w:hAnsi="Calibri" w:cs="Calibri"/>
          <w:b/>
          <w:bCs/>
          <w:color w:val="000000"/>
          <w:sz w:val="22"/>
          <w:szCs w:val="22"/>
        </w:rPr>
        <w:t> </w:t>
      </w:r>
      <w:r w:rsidRPr="00AF28B8">
        <w:rPr>
          <w:rFonts w:ascii="Calibri" w:hAnsi="Calibri" w:cs="Calibri"/>
          <w:color w:val="000000"/>
          <w:sz w:val="22"/>
          <w:szCs w:val="22"/>
        </w:rPr>
        <w:t>We present the first nearly complete (90.5%) genome assembly of an adult </w:t>
      </w:r>
      <w:r w:rsidRPr="00AF28B8">
        <w:rPr>
          <w:rFonts w:ascii="Calibri" w:hAnsi="Calibri" w:cs="Calibri"/>
          <w:i/>
          <w:iCs/>
          <w:color w:val="000000"/>
          <w:sz w:val="22"/>
          <w:szCs w:val="22"/>
        </w:rPr>
        <w:t>Simulium damnosum</w:t>
      </w:r>
      <w:r w:rsidRPr="00AF28B8">
        <w:rPr>
          <w:rFonts w:ascii="Calibri" w:hAnsi="Calibri" w:cs="Calibri"/>
          <w:color w:val="000000"/>
          <w:sz w:val="22"/>
          <w:szCs w:val="22"/>
        </w:rPr>
        <w:t> collected from Ghana. We used Oxford Nanopore long-read sequencing (2,915,146 million reads) and Illumina short-read sequencing (16,385,843 paired-end 2x150bp) to assemble the genome, which is ~260 million bp with 19,186 predicted genes. This was used as a reference for population genomics of 273 adult blackflies from 21 sites across Ghana. We identified three molecular operational taxonomic units (MOTUs), with further differentiation of one into two sub-MOTUs.</w:t>
      </w:r>
      <w:r w:rsidRPr="00AF28B8">
        <w:rPr>
          <w:rFonts w:ascii="Calibri" w:hAnsi="Calibri" w:cs="Calibri"/>
          <w:b/>
          <w:bCs/>
          <w:color w:val="000000"/>
          <w:sz w:val="22"/>
          <w:szCs w:val="22"/>
        </w:rPr>
        <w:t> </w:t>
      </w:r>
      <w:r w:rsidRPr="00AF28B8">
        <w:rPr>
          <w:rFonts w:ascii="Calibri" w:hAnsi="Calibri" w:cs="Calibri"/>
          <w:color w:val="000000"/>
          <w:sz w:val="22"/>
          <w:szCs w:val="22"/>
        </w:rPr>
        <w:t>This genome assembly enabled us to identify the geographic distribution of genetically distinct blackflies, which we will incorporate into vector dispersal and transmission dynamics. Future improvements, including integrating Hi-C data for haplotype phasing will enhance understanding of </w:t>
      </w:r>
      <w:r w:rsidRPr="00AF28B8">
        <w:rPr>
          <w:rFonts w:ascii="Calibri" w:hAnsi="Calibri" w:cs="Calibri"/>
          <w:i/>
          <w:iCs/>
          <w:color w:val="000000"/>
          <w:sz w:val="22"/>
          <w:szCs w:val="22"/>
        </w:rPr>
        <w:t>Simulium </w:t>
      </w:r>
      <w:r w:rsidRPr="00AF28B8">
        <w:rPr>
          <w:rFonts w:ascii="Calibri" w:hAnsi="Calibri" w:cs="Calibri"/>
          <w:color w:val="000000"/>
          <w:sz w:val="22"/>
          <w:szCs w:val="22"/>
        </w:rPr>
        <w:t>chromosomal evolution and speciation.</w:t>
      </w:r>
    </w:p>
    <w:p w14:paraId="1C82010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25-A-2642-ASTMH</w:t>
      </w:r>
    </w:p>
    <w:p w14:paraId="426D954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10384D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Modeling the Impact of Low-Cost Ventilation Interventions on Nosocomial Respiratory Infection Risk in Liberian Hospitals</w:t>
      </w:r>
    </w:p>
    <w:p w14:paraId="7F0B84E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Healthcare facilities in low and middle income countries (LMICs) are high-risk environments for the spread of infectious diseases, but ventilation remains underutilized for preventing nosocomial (i.e. hospital-acquired) airborne infections. Previous work in 10 Liberian hospitals found that two thirds (46/70) of patient care spaces failed to meet WHO ventilation guidelines ( ≥ 60 L/s/person), indicating elevated transmission risk in these spaces. Installation of louvered windows and wind turbines in 3 high-risk patient care areas resulted in an average increase of 2 air changes per hour. Using infectivity estimates from influenza, SARS-CoV-2, tuberculosis, and measles we applied a Wells-Riley transmission model to calculate the reduction in infection risk corresponding to this improvement in ventilation. Assuming one infector in a given space, we found that the interventions resulted in an average transmission risk reduction of 0.42% for influenza, 6.53% for SARS-CoV-2, 7.46% for tuberculosis, and 9.17% for measles. We then estimated the effectiveness of universally implementing these interventions for preventing SARS-CoV-2 transmission across a range of healthcare settings using a Monte Carlo simulation. We randomly sampled initial CO</w:t>
      </w:r>
      <w:r w:rsidRPr="00AF28B8">
        <w:rPr>
          <w:rFonts w:ascii="Calibri" w:hAnsi="Calibri" w:cs="Calibri"/>
          <w:color w:val="000000"/>
          <w:sz w:val="22"/>
          <w:szCs w:val="22"/>
          <w:vertAlign w:val="subscript"/>
        </w:rPr>
        <w:t>2</w:t>
      </w:r>
      <w:r w:rsidRPr="00AF28B8">
        <w:rPr>
          <w:rFonts w:ascii="Calibri" w:hAnsi="Calibri" w:cs="Calibri"/>
          <w:color w:val="000000"/>
          <w:sz w:val="22"/>
          <w:szCs w:val="22"/>
        </w:rPr>
        <w:t> concentrations and occupancy numbers from our previous dataset of 70 Liberian healthcare spaces (CO</w:t>
      </w:r>
      <w:r w:rsidRPr="00AF28B8">
        <w:rPr>
          <w:rFonts w:ascii="Calibri" w:hAnsi="Calibri" w:cs="Calibri"/>
          <w:color w:val="000000"/>
          <w:sz w:val="22"/>
          <w:szCs w:val="22"/>
          <w:vertAlign w:val="subscript"/>
        </w:rPr>
        <w:t>2</w:t>
      </w:r>
      <w:r w:rsidRPr="00AF28B8">
        <w:rPr>
          <w:rFonts w:ascii="Calibri" w:hAnsi="Calibri" w:cs="Calibri"/>
          <w:color w:val="000000"/>
          <w:sz w:val="22"/>
          <w:szCs w:val="22"/>
        </w:rPr>
        <w:t> range: 415 - 2698 ppm, n range: 6 - 39 people), and used parameter estimates from the early SARS-CoV-2 pandemic to simulate number of infectors and quanta emission rates (prevalence for best-case: 0.1%, base-case: 1%, and worst-case: 3%). The average cost of the ventilation interventions was $730.67 USD and was predicted to avert 9.42 nosocomial SARS-CoV-2 infections per year (best-case: 1.29 cases averted, worst-case 23.94 cases averted). Our findings demonstrate that low-cost, sustainable interventions are capable of reducing nosocomial respiratory infections in LMIC healthcare settings. Future work should focus on further ventilation optimization and reducing costs through local manufacturing partnerships to improve healthcare safety and resiliency at a larger scale.</w:t>
      </w:r>
    </w:p>
    <w:p w14:paraId="77F7054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25-A-2643-ASTMH</w:t>
      </w:r>
    </w:p>
    <w:p w14:paraId="5A92A5B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46EB985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Assessment of diagnostic accuracy of a uniform case definition for tuberculous meningitis among adults in Bangladesh</w:t>
      </w:r>
    </w:p>
    <w:p w14:paraId="573F68E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Tuberculous meningitis (TBM) is the most devastating manifestation of tuberculosis, which leads to mortality or severe disability in more than 50% of cases if not diagnosed and treated early. A uniform case definition based on scoring system is used for clinical diagnosis and classification of TBM. However, its performance for detection of TBM in adults in clinical settings of high TB burden countries like Bangladesh still needs to be evaluated. A prospective cross-sectional study was conducted from December 2019 to January 2022 in three tertiary hospitals of Dhaka, Bangladesh. Presumptive adult TBM patients (≥ 15 years) were enrolled and CSF specimens were collected and tested by Xpert MTB/RIF </w:t>
      </w:r>
      <w:r w:rsidRPr="00AF28B8">
        <w:rPr>
          <w:rFonts w:ascii="Calibri" w:hAnsi="Calibri" w:cs="Calibri"/>
          <w:color w:val="000000"/>
          <w:sz w:val="22"/>
          <w:szCs w:val="22"/>
        </w:rPr>
        <w:lastRenderedPageBreak/>
        <w:t>Ultra (Ultra), Xpert MTB/RIF (Xpert), Lowenstein-Jensen (L-J) culture, and acid-fast bacilli (AFB) microscopy. Diagnostic accuracy of clinical case definitions was assessed against the composite microbiological reference standard (CMRS, positive by any of the four tests employed). Among the 313 presumptive TBM patients enrolled, 93 (29.7%) were classified as probable TBM, 155 (49.5%) as possible TBM, and 65 (20.8%) as not TBM. Definite TBM was confirmed in 101 (32.3%) cases based on the results of CMRS. Compared to the CMRS, the sensitivity and specificity of probable TBM was 79.2% (95% CI, 70-86.6) and 93.9% (95% CI, 89.7-96.7), respectively with an overall accuracy of 89.14% (95% CI, 85.2-92.4). The area under the receiver operating characteristic curve was 0.94. However, 21 (20.8%) adult TBM cases would be missed using the standard clinical case definition of probable TBM.</w:t>
      </w:r>
      <w:r w:rsidRPr="00AF28B8">
        <w:rPr>
          <w:rFonts w:ascii="Calibri" w:hAnsi="Calibri" w:cs="Calibri"/>
          <w:b/>
          <w:bCs/>
          <w:color w:val="000000"/>
          <w:sz w:val="22"/>
          <w:szCs w:val="22"/>
        </w:rPr>
        <w:t> </w:t>
      </w:r>
      <w:r w:rsidRPr="00AF28B8">
        <w:rPr>
          <w:rFonts w:ascii="Calibri" w:hAnsi="Calibri" w:cs="Calibri"/>
          <w:color w:val="000000"/>
          <w:sz w:val="22"/>
          <w:szCs w:val="22"/>
        </w:rPr>
        <w:t>The probable TBM scoring system of clinical case definition demonstrates good sensitivity and excellent specificity when compared to CMRS. Our finding suggests that the case definition can assist clinicians in determining which patients require further bacteriological testing for confirmatory diagnosis of TBM. Further implementation studies are needed to assess its feasibility for routine clinical use.</w:t>
      </w:r>
    </w:p>
    <w:p w14:paraId="36A7CA4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25-A-2644-ASTMH</w:t>
      </w:r>
    </w:p>
    <w:p w14:paraId="5E0791E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637641A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Monitoring Ghana’s progress towards eliminating hepatitis B as a public health threat: a baseline assessment of the clinical care cascade in secondary and tertiary treatment facilities &amp;lt 2015 - 2022 &amp;gt</w:t>
      </w:r>
    </w:p>
    <w:p w14:paraId="4AC0CC7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Evaluating the Hepatitis B virus (HBV) care cascade is crucial for monitoring progress toward global HBV elimination targets. Currently, there is no evidence of a nationwide cascade evaluation using data from treatment facilities across Ghana. Therefore, this study characterized the HBV clinical care cascade to provide baseline data for improving HBV DNA testing and treatment in Ghana. We conducted a retrospective cohort study</w:t>
      </w:r>
      <w:r w:rsidRPr="00AF28B8">
        <w:rPr>
          <w:rFonts w:ascii="Calibri" w:hAnsi="Calibri" w:cs="Calibri"/>
          <w:b/>
          <w:bCs/>
          <w:color w:val="000000"/>
          <w:sz w:val="22"/>
          <w:szCs w:val="22"/>
        </w:rPr>
        <w:t> </w:t>
      </w:r>
      <w:r w:rsidRPr="00AF28B8">
        <w:rPr>
          <w:rFonts w:ascii="Calibri" w:hAnsi="Calibri" w:cs="Calibri"/>
          <w:color w:val="000000"/>
          <w:sz w:val="22"/>
          <w:szCs w:val="22"/>
        </w:rPr>
        <w:t>using clinical data of hepatitis B surface antigen (HBsAg) positive individuals from four teaching and two regional hospitals in Ghana to evaluate the HBV care cascade (2015 – 2022). The cascade included linkage to care, HBV DNA testing, and treatment initiation. Multiple logistic regression evaluated demographic and clinical characteristics associated with HBV DNA testing and treatment.</w:t>
      </w:r>
      <w:r w:rsidRPr="00AF28B8">
        <w:rPr>
          <w:rFonts w:ascii="Calibri" w:hAnsi="Calibri" w:cs="Calibri"/>
          <w:b/>
          <w:bCs/>
          <w:color w:val="000000"/>
          <w:sz w:val="22"/>
          <w:szCs w:val="22"/>
        </w:rPr>
        <w:t> </w:t>
      </w:r>
      <w:r w:rsidRPr="00AF28B8">
        <w:rPr>
          <w:rFonts w:ascii="Calibri" w:hAnsi="Calibri" w:cs="Calibri"/>
          <w:color w:val="000000"/>
          <w:sz w:val="22"/>
          <w:szCs w:val="22"/>
        </w:rPr>
        <w:t>The cohort of 1214 HBsAg-positive individuals had a median age of 36 (IQR: 28-45); most patients were male (57%; 692/1214) and married (63%; 765/1214). In the cohort, 23% were diagnosed with cirrhosis and 16% with liver cancer. Overall, 68% (828/1214) were linked to care, 22% (268/1214) had HBV DNA testing, and 31% (372/1214) initiated HBV treatment; among those eligible, 48% (190/393) had initiated treatment. The multivariable analysis found HBV DNA testing significantly associated with treatment facility [TH2: aOR=3.36, 95%: 1.63 - 6.94; p&lt;0.001], and tertiary education [aOR=2.60, 95% CI: 1.52 - 4.45; p&lt;0.001]. Antiviral treatment initiation was also significantly associated with the treatment facility [(RH1: aOR=2.82, 95% CI: 1.06 - 7.50) and (TH2: aOR=3.46, 95% CI: 1.61 - 7.45); p&lt;0.002], tertiary education [aOR=2.86, 95% CI: 1.69 - 4.84; p&lt;0.001] and liver cirrhosis [aOR=2.12, 95% CI: 1.37 - 3.28, p&lt;0.001].HBV DNA testing and treatment is unacceptably low in Ghanaian clinical settings. Interventions should focus on increasing public awareness to mitigate late presentation and reduce the costs of HBV-directed care and treatment. This first nationwide evaluation of the HBV care cascade establishes a baseline to monitor Ghana’s progress toward eliminating hepatitis B.</w:t>
      </w:r>
      <w:r w:rsidRPr="00AF28B8">
        <w:rPr>
          <w:rFonts w:ascii="Calibri" w:hAnsi="Calibri" w:cs="Calibri"/>
          <w:color w:val="000000"/>
          <w:sz w:val="22"/>
          <w:szCs w:val="22"/>
        </w:rPr>
        <w:br/>
        <w:t>1</w:t>
      </w:r>
    </w:p>
    <w:p w14:paraId="6170477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25-A-2645-ASTMH</w:t>
      </w:r>
    </w:p>
    <w:p w14:paraId="2B73A64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0EBFF00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Natural History of Humoral Immune Response and Post-Viral Sequelae in Lassa Fever Survivors in Eastern Sierra Leone</w:t>
      </w:r>
    </w:p>
    <w:p w14:paraId="74671EE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Lassa Fever (LF) is a viral hemorrhagic disease endemic to West Africa caused by the Lassa virus (LASV). Following acute infection, long-term health complications have been recognized in LF survivors, however, the natural history of immune responses and clinical sequelae is unknown. In this study, we </w:t>
      </w:r>
      <w:r w:rsidRPr="00AF28B8">
        <w:rPr>
          <w:rFonts w:ascii="Calibri" w:hAnsi="Calibri" w:cs="Calibri"/>
          <w:color w:val="000000"/>
          <w:sz w:val="22"/>
          <w:szCs w:val="22"/>
        </w:rPr>
        <w:lastRenderedPageBreak/>
        <w:t>provide an in-depth analysis of immune responses to LASV infection in LF survivors and their household contacts covering 30 years of serological and clinical evidence. LF survivors and contacts from Eastern Sierra Leone were identified through the Kenema Government Hospital Viral Hemorrhagic Fever Lassa Ward. Serum samples were collected from participants at enrollment and at 1-year intervals. Clinical data of survivors and contacts were collected through a self-reported symptom questionnaire and physical examination. Data was analyzed using Chi-square and t-tests for categorical and continuous variables. Conditional logistic regression was used to compare clinical data in enrolled groups. Longitudinal analysis of LASV IgG antibody concentration and neutralization were conducted using Loess regression. 126 survivors and 297 contacts were enrolled into the study. A majority of survivors and contacts were seropositive at enrollment with significantly more survivors demonstrating neutralizing antibodies compared to contacts. Throughout the duration of the study, both survivors and contacts were seropositive with higher rates of neutralization measured in the survivors. Longitudinal analysis of LASV IgG antibody concentration showed potential for waning antibody and neutralization levels which has implications for the persistence of protective antibodies. LASV survivors experience a significantly higher long-term clinical sequelae compared to their household contacts, regardless of IgG seropositivity. This study adds to the growing understanding of humoral immunological response and post-viral sequelae of LF. This research has demonstrated that LF survivors develop high levels of LASV IgG antibodies with strong neutralizing functionality, however, antibody titer and function are not uniformly maintained over time.</w:t>
      </w:r>
    </w:p>
    <w:p w14:paraId="33190A7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25-A-2646-ASTMH</w:t>
      </w:r>
    </w:p>
    <w:p w14:paraId="62B23D0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6ADC4DA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Impact of Helminth Infections on the Immunogenicity of Malaria Vaccines in Malaria-Endemic Regions: A Systematic Review</w:t>
      </w:r>
    </w:p>
    <w:p w14:paraId="209BA8C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vaccines are crucial for controlling and eliminating malaria. However, achieving consistently high vaccine effectiveness in real-world settings remains a challenge. Helminths can modulate the immune system towards a Th2-dominant and regulatory profile, dampening the efficacy of vaccines that rely on strong Th1-type responses. While the broader impact of helminths on vaccine outcomes has been reviewed, no systematic review has specifically focused on their effect on immune responses to malaria vaccines. This systematic review aims to comprehensively assess the impact of helminth infections and their treatment on the immunogenicity following malaria vaccination in both human and animal studies. This review adheres to PRISMA guidelines and is registered on PROSPERO (CRD42024586423). A literature search covering studies from 1980 to January 23, 2025, was conducted in MEDLINE, EMBASE, Web of Science, Scopus, CENTRAL, Global Index Medicus, Clinicaltrials.gov, and the WHO International Clinical Trials Registry Platform, restricted to English-language publications. The search retrieved 1,273 articles, imported to Covidence and screened by two independent review authors. After screening, 15 articles met the inclusion criteria and proceeded to data extraction, which is currently in progress using Covidence. The assessment of risk of bias will be done using the Cochrane Risk of Bias tool for randomised clinical studies, the Cochrane ROBINS-E and ROBINS-I for non-randomised exposure/intervention studies and SYRCLE for animal studies. A meta-analysis will be performed using R software to compare standard mean differences in malaria vaccine responses between individuals infected with helminths and those without infection, as well as between individuals treated with anti-helminth agents and those who received no treatment. The findings of this systematic review will provide crucial evidence to inform policy and research on the integrated management of helminth infections and malaria vaccine delivery. This will ultimately guide strategies to optimize malaria vaccine efficacy in helminth-endemic regions.</w:t>
      </w:r>
    </w:p>
    <w:p w14:paraId="0EA7B60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25-A-2647-ASTMH</w:t>
      </w:r>
    </w:p>
    <w:p w14:paraId="52FF50E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27CED13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Geographical Variation in Sulfadoxine-Pyrimethamine Resistance Markers and Implications for Malaria Chemoprevention in Cameroon</w:t>
      </w:r>
    </w:p>
    <w:p w14:paraId="443DAA3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An estimated 36% malaria-related deaths worldwide are among children under two years of age. The Plus Project is targeting this age group with perennial malaria chemoprevention (PMC) using sulfadoxine-pyrimethamine (SP). This study presents baseline data on SP resistance markers </w:t>
      </w:r>
      <w:r w:rsidRPr="00AF28B8">
        <w:rPr>
          <w:rFonts w:ascii="Calibri" w:hAnsi="Calibri" w:cs="Calibri"/>
          <w:i/>
          <w:iCs/>
          <w:color w:val="000000"/>
          <w:sz w:val="22"/>
          <w:szCs w:val="22"/>
        </w:rPr>
        <w:t>pfdhfr</w:t>
      </w:r>
      <w:r w:rsidRPr="00AF28B8">
        <w:rPr>
          <w:rFonts w:ascii="Calibri" w:hAnsi="Calibri" w:cs="Calibri"/>
          <w:color w:val="000000"/>
          <w:sz w:val="22"/>
          <w:szCs w:val="22"/>
        </w:rPr>
        <w:t> and </w:t>
      </w:r>
      <w:r w:rsidRPr="00AF28B8">
        <w:rPr>
          <w:rFonts w:ascii="Calibri" w:hAnsi="Calibri" w:cs="Calibri"/>
          <w:i/>
          <w:iCs/>
          <w:color w:val="000000"/>
          <w:sz w:val="22"/>
          <w:szCs w:val="22"/>
        </w:rPr>
        <w:t>pfdhps</w:t>
      </w:r>
      <w:r w:rsidRPr="00AF28B8">
        <w:rPr>
          <w:rFonts w:ascii="Calibri" w:hAnsi="Calibri" w:cs="Calibri"/>
          <w:color w:val="000000"/>
          <w:sz w:val="22"/>
          <w:szCs w:val="22"/>
        </w:rPr>
        <w:t> in Cameroon with the aim of informing sub-national PMC implementation. Of concern is the </w:t>
      </w:r>
      <w:r w:rsidRPr="00AF28B8">
        <w:rPr>
          <w:rFonts w:ascii="Calibri" w:hAnsi="Calibri" w:cs="Calibri"/>
          <w:i/>
          <w:iCs/>
          <w:color w:val="000000"/>
          <w:sz w:val="22"/>
          <w:szCs w:val="22"/>
        </w:rPr>
        <w:t>pfdhps</w:t>
      </w:r>
      <w:r w:rsidRPr="00AF28B8">
        <w:rPr>
          <w:rFonts w:ascii="Calibri" w:hAnsi="Calibri" w:cs="Calibri"/>
          <w:color w:val="000000"/>
          <w:sz w:val="22"/>
          <w:szCs w:val="22"/>
        </w:rPr>
        <w:t> VAGKGS haplotype (431Val-436Ala-437Gly-540Lys-581Gly-613Ser), which has emerged in West Africa with unknown implications. Using high-throughput Illumina amplicon sequencing, we analyzed over 900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DNA samples collected between 2020 and 2024 from nine regions across Cameroon. We assessed four key drug resistance genes (</w:t>
      </w:r>
      <w:r w:rsidRPr="00AF28B8">
        <w:rPr>
          <w:rFonts w:ascii="Calibri" w:hAnsi="Calibri" w:cs="Calibri"/>
          <w:i/>
          <w:iCs/>
          <w:color w:val="000000"/>
          <w:sz w:val="22"/>
          <w:szCs w:val="22"/>
        </w:rPr>
        <w:t>pfdhfr</w:t>
      </w:r>
      <w:r w:rsidRPr="00AF28B8">
        <w:rPr>
          <w:rFonts w:ascii="Calibri" w:hAnsi="Calibri" w:cs="Calibri"/>
          <w:color w:val="000000"/>
          <w:sz w:val="22"/>
          <w:szCs w:val="22"/>
        </w:rPr>
        <w:t>, </w:t>
      </w:r>
      <w:r w:rsidRPr="00AF28B8">
        <w:rPr>
          <w:rFonts w:ascii="Calibri" w:hAnsi="Calibri" w:cs="Calibri"/>
          <w:i/>
          <w:iCs/>
          <w:color w:val="000000"/>
          <w:sz w:val="22"/>
          <w:szCs w:val="22"/>
        </w:rPr>
        <w:t>pfdhps,</w:t>
      </w:r>
      <w:r w:rsidRPr="00AF28B8">
        <w:rPr>
          <w:rFonts w:ascii="Calibri" w:hAnsi="Calibri" w:cs="Calibri"/>
          <w:color w:val="000000"/>
          <w:sz w:val="22"/>
          <w:szCs w:val="22"/>
        </w:rPr>
        <w:t> </w:t>
      </w:r>
      <w:r w:rsidRPr="00AF28B8">
        <w:rPr>
          <w:rFonts w:ascii="Calibri" w:hAnsi="Calibri" w:cs="Calibri"/>
          <w:i/>
          <w:iCs/>
          <w:color w:val="000000"/>
          <w:sz w:val="22"/>
          <w:szCs w:val="22"/>
        </w:rPr>
        <w:t>pfcrt</w:t>
      </w:r>
      <w:r w:rsidRPr="00AF28B8">
        <w:rPr>
          <w:rFonts w:ascii="Calibri" w:hAnsi="Calibri" w:cs="Calibri"/>
          <w:color w:val="000000"/>
          <w:sz w:val="22"/>
          <w:szCs w:val="22"/>
        </w:rPr>
        <w:t>, and </w:t>
      </w:r>
      <w:r w:rsidRPr="00AF28B8">
        <w:rPr>
          <w:rFonts w:ascii="Calibri" w:hAnsi="Calibri" w:cs="Calibri"/>
          <w:i/>
          <w:iCs/>
          <w:color w:val="000000"/>
          <w:sz w:val="22"/>
          <w:szCs w:val="22"/>
        </w:rPr>
        <w:t>pfmdr1</w:t>
      </w:r>
      <w:r w:rsidRPr="00AF28B8">
        <w:rPr>
          <w:rFonts w:ascii="Calibri" w:hAnsi="Calibri" w:cs="Calibri"/>
          <w:color w:val="000000"/>
          <w:sz w:val="22"/>
          <w:szCs w:val="22"/>
        </w:rPr>
        <w:t>) for the presence of resistance-associated mutations. The </w:t>
      </w:r>
      <w:r w:rsidRPr="00AF28B8">
        <w:rPr>
          <w:rFonts w:ascii="Calibri" w:hAnsi="Calibri" w:cs="Calibri"/>
          <w:i/>
          <w:iCs/>
          <w:color w:val="000000"/>
          <w:sz w:val="22"/>
          <w:szCs w:val="22"/>
        </w:rPr>
        <w:t>pfdhfr</w:t>
      </w:r>
      <w:r w:rsidRPr="00AF28B8">
        <w:rPr>
          <w:rFonts w:ascii="Calibri" w:hAnsi="Calibri" w:cs="Calibri"/>
          <w:color w:val="000000"/>
          <w:sz w:val="22"/>
          <w:szCs w:val="22"/>
        </w:rPr>
        <w:t> triple mutation (N51I/C59R/S108N) was highly prevalent across most regions of Cameroon (&gt;90%), whereas </w:t>
      </w:r>
      <w:r w:rsidRPr="00AF28B8">
        <w:rPr>
          <w:rFonts w:ascii="Calibri" w:hAnsi="Calibri" w:cs="Calibri"/>
          <w:i/>
          <w:iCs/>
          <w:color w:val="000000"/>
          <w:sz w:val="22"/>
          <w:szCs w:val="22"/>
        </w:rPr>
        <w:t>pfdhps</w:t>
      </w:r>
      <w:r w:rsidRPr="00AF28B8">
        <w:rPr>
          <w:rFonts w:ascii="Calibri" w:hAnsi="Calibri" w:cs="Calibri"/>
          <w:color w:val="000000"/>
          <w:sz w:val="22"/>
          <w:szCs w:val="22"/>
        </w:rPr>
        <w:t> showed regional variation. Notably, the </w:t>
      </w:r>
      <w:r w:rsidRPr="00AF28B8">
        <w:rPr>
          <w:rFonts w:ascii="Calibri" w:hAnsi="Calibri" w:cs="Calibri"/>
          <w:i/>
          <w:iCs/>
          <w:color w:val="000000"/>
          <w:sz w:val="22"/>
          <w:szCs w:val="22"/>
        </w:rPr>
        <w:t>pfdhps</w:t>
      </w:r>
      <w:r w:rsidRPr="00AF28B8">
        <w:rPr>
          <w:rFonts w:ascii="Calibri" w:hAnsi="Calibri" w:cs="Calibri"/>
          <w:color w:val="000000"/>
          <w:sz w:val="22"/>
          <w:szCs w:val="22"/>
        </w:rPr>
        <w:t> I431V mutation prevalence ranged from 25.7-54.2% in the Far North and North regions, the regions where seasonal malaria chemoprevention with SP-AQ is widespread, but remained below 5% in the Southern and East regions. </w:t>
      </w:r>
      <w:r w:rsidRPr="00AF28B8">
        <w:rPr>
          <w:rFonts w:ascii="Calibri" w:hAnsi="Calibri" w:cs="Calibri"/>
          <w:i/>
          <w:iCs/>
          <w:color w:val="000000"/>
          <w:sz w:val="22"/>
          <w:szCs w:val="22"/>
        </w:rPr>
        <w:t>Pfdhps</w:t>
      </w:r>
      <w:r w:rsidRPr="00AF28B8">
        <w:rPr>
          <w:rFonts w:ascii="Calibri" w:hAnsi="Calibri" w:cs="Calibri"/>
          <w:color w:val="000000"/>
          <w:sz w:val="22"/>
          <w:szCs w:val="22"/>
        </w:rPr>
        <w:t> VAGKGS haplotype was most common in the North (40.8%) and less frequent in southern regions such as Littoral (7.8%). </w:t>
      </w:r>
      <w:r w:rsidRPr="00AF28B8">
        <w:rPr>
          <w:rFonts w:ascii="Calibri" w:hAnsi="Calibri" w:cs="Calibri"/>
          <w:i/>
          <w:iCs/>
          <w:color w:val="000000"/>
          <w:sz w:val="22"/>
          <w:szCs w:val="22"/>
        </w:rPr>
        <w:t>Pfmdr1</w:t>
      </w:r>
      <w:r w:rsidRPr="00AF28B8">
        <w:rPr>
          <w:rFonts w:ascii="Calibri" w:hAnsi="Calibri" w:cs="Calibri"/>
          <w:color w:val="000000"/>
          <w:sz w:val="22"/>
          <w:szCs w:val="22"/>
        </w:rPr>
        <w:t> 86Y and 184Y drug-resistance-associated mutations had a prevalence of 15% and 55.3%, respectively. The </w:t>
      </w:r>
      <w:r w:rsidRPr="00AF28B8">
        <w:rPr>
          <w:rFonts w:ascii="Calibri" w:hAnsi="Calibri" w:cs="Calibri"/>
          <w:i/>
          <w:iCs/>
          <w:color w:val="000000"/>
          <w:sz w:val="22"/>
          <w:szCs w:val="22"/>
        </w:rPr>
        <w:t>pfcrt</w:t>
      </w:r>
      <w:r w:rsidRPr="00AF28B8">
        <w:rPr>
          <w:rFonts w:ascii="Calibri" w:hAnsi="Calibri" w:cs="Calibri"/>
          <w:color w:val="000000"/>
          <w:sz w:val="22"/>
          <w:szCs w:val="22"/>
        </w:rPr>
        <w:t> CVIET haplotype, linked to chloroquine resistance, reached a prevalence of 47.3% in the Far North, 56.5% in the North, and below 5% in the West and Littoral regions. A single parasite carrying both the </w:t>
      </w:r>
      <w:r w:rsidRPr="00AF28B8">
        <w:rPr>
          <w:rFonts w:ascii="Calibri" w:hAnsi="Calibri" w:cs="Calibri"/>
          <w:i/>
          <w:iCs/>
          <w:color w:val="000000"/>
          <w:sz w:val="22"/>
          <w:szCs w:val="22"/>
        </w:rPr>
        <w:t>pfmdr1</w:t>
      </w:r>
      <w:r w:rsidRPr="00AF28B8">
        <w:rPr>
          <w:rFonts w:ascii="Calibri" w:hAnsi="Calibri" w:cs="Calibri"/>
          <w:color w:val="000000"/>
          <w:sz w:val="22"/>
          <w:szCs w:val="22"/>
        </w:rPr>
        <w:t> YYD and </w:t>
      </w:r>
      <w:r w:rsidRPr="00AF28B8">
        <w:rPr>
          <w:rFonts w:ascii="Calibri" w:hAnsi="Calibri" w:cs="Calibri"/>
          <w:i/>
          <w:iCs/>
          <w:color w:val="000000"/>
          <w:sz w:val="22"/>
          <w:szCs w:val="22"/>
        </w:rPr>
        <w:t>pfdhps</w:t>
      </w:r>
      <w:r w:rsidRPr="00AF28B8">
        <w:rPr>
          <w:rFonts w:ascii="Calibri" w:hAnsi="Calibri" w:cs="Calibri"/>
          <w:color w:val="000000"/>
          <w:sz w:val="22"/>
          <w:szCs w:val="22"/>
        </w:rPr>
        <w:t> VAGKGS haplotypes was identified in Adamaoua, with potential implications for seasonal malaria chemoprevention with SP-AQ. The regional differences in resistance marker prevalence have important implications for refining malaria control efforts and guiding the implementation of PMC strategies in Cameroon.</w:t>
      </w:r>
    </w:p>
    <w:p w14:paraId="0CB6C08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25-A-2650-ASTMH</w:t>
      </w:r>
    </w:p>
    <w:p w14:paraId="5A05447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171FD336" w14:textId="0A7261D0"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Changing Water and Sanitation Determinants of </w:t>
      </w:r>
      <w:r w:rsidRPr="00AF28B8">
        <w:rPr>
          <w:rFonts w:ascii="Calibri" w:hAnsi="Calibri" w:cs="Calibri"/>
          <w:b/>
          <w:bCs/>
          <w:i/>
          <w:iCs/>
          <w:color w:val="000000"/>
          <w:sz w:val="22"/>
          <w:szCs w:val="22"/>
        </w:rPr>
        <w:t>Vibrio Cholerae</w:t>
      </w:r>
      <w:r w:rsidRPr="00AF28B8">
        <w:rPr>
          <w:rFonts w:ascii="Calibri" w:hAnsi="Calibri" w:cs="Calibri"/>
          <w:b/>
          <w:bCs/>
          <w:color w:val="000000"/>
          <w:sz w:val="22"/>
          <w:szCs w:val="22"/>
        </w:rPr>
        <w:t> in Urban Bangladesh: Two Decades of Observation from an Urban Diarrheal Disease Hospital in Bangladesh</w:t>
      </w:r>
    </w:p>
    <w:p w14:paraId="3AF6738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Cholera is a major public health problem worldwide, particularly in developing countries. This study aimed to identify the changing factors of cholera related to water and sanitation practices from 1994-1998 to 2014-2018 in Bangladesh. We recruited 65,112 patients of all ages from the Diarrheal Disease Surveillance System of the International Centre for Diarrhoeal Disease Research, Bangladesh (icddr,b), who visited the Dhaka Hospital from January 1994 to December 2018. Of them, 16,655 and 13,310 were enrolled during 1994–1998 and 2014–2018, respectively. Stool samples are plated on taurocholate-tellurite-gelatin agar and gelatin agar (Difco, Detroit, USA) to isolate </w:t>
      </w:r>
      <w:r w:rsidRPr="00AF28B8">
        <w:rPr>
          <w:rFonts w:ascii="Calibri" w:hAnsi="Calibri" w:cs="Calibri"/>
          <w:i/>
          <w:iCs/>
          <w:color w:val="000000"/>
          <w:sz w:val="22"/>
          <w:szCs w:val="22"/>
        </w:rPr>
        <w:t>Vibrio cholerae</w:t>
      </w:r>
      <w:r w:rsidRPr="00AF28B8">
        <w:rPr>
          <w:rFonts w:ascii="Calibri" w:hAnsi="Calibri" w:cs="Calibri"/>
          <w:color w:val="000000"/>
          <w:sz w:val="22"/>
          <w:szCs w:val="22"/>
        </w:rPr>
        <w:t>. Following an overnight incubation period, slide agglutination is used to serologically confirm suspected Vibrio spp. colonies. We performed a chi-square test to evaluate the relationship between outcome and exposure variables. Finally, we performed multinomial logistic regression analysis using SPSS. The outcome variable was the presence of </w:t>
      </w:r>
      <w:r w:rsidRPr="00AF28B8">
        <w:rPr>
          <w:rFonts w:ascii="Calibri" w:hAnsi="Calibri" w:cs="Calibri"/>
          <w:i/>
          <w:iCs/>
          <w:color w:val="000000"/>
          <w:sz w:val="22"/>
          <w:szCs w:val="22"/>
        </w:rPr>
        <w:t>vibrio cholerae</w:t>
      </w:r>
      <w:r w:rsidRPr="00AF28B8">
        <w:rPr>
          <w:rFonts w:ascii="Calibri" w:hAnsi="Calibri" w:cs="Calibri"/>
          <w:color w:val="000000"/>
          <w:sz w:val="22"/>
          <w:szCs w:val="22"/>
        </w:rPr>
        <w:t> infection, and the primary exposures were using sanitary toilets, drinking tap or boiled water, having a family of more than five, and living in a slum. A total of 3,380 (20.30%) and 1,290 (9.69%) patients were positive for </w:t>
      </w:r>
      <w:r w:rsidRPr="00AF28B8">
        <w:rPr>
          <w:rFonts w:ascii="Calibri" w:hAnsi="Calibri" w:cs="Calibri"/>
          <w:i/>
          <w:iCs/>
          <w:color w:val="000000"/>
          <w:sz w:val="22"/>
          <w:szCs w:val="22"/>
        </w:rPr>
        <w:t>vibrio cholerae</w:t>
      </w:r>
      <w:r w:rsidRPr="00AF28B8">
        <w:rPr>
          <w:rFonts w:ascii="Calibri" w:hAnsi="Calibri" w:cs="Calibri"/>
          <w:color w:val="000000"/>
          <w:sz w:val="22"/>
          <w:szCs w:val="22"/>
        </w:rPr>
        <w:t> between 1994–1998 and 2014–2018, respectively. Using a sanitary toilet (adjusted odds ratio [aOR]: 0.86, 95% CI: 0.76-0.97) and drinking tap water (aOR: 0.81, 95% CI: 0.72-0.92) were protective against </w:t>
      </w:r>
      <w:r w:rsidRPr="00AF28B8">
        <w:rPr>
          <w:rFonts w:ascii="Calibri" w:hAnsi="Calibri" w:cs="Calibri"/>
          <w:i/>
          <w:iCs/>
          <w:color w:val="000000"/>
          <w:sz w:val="22"/>
          <w:szCs w:val="22"/>
        </w:rPr>
        <w:t>vibrio</w:t>
      </w:r>
      <w:r w:rsidRPr="00AF28B8">
        <w:rPr>
          <w:rFonts w:ascii="Calibri" w:hAnsi="Calibri" w:cs="Calibri"/>
          <w:color w:val="000000"/>
          <w:sz w:val="22"/>
          <w:szCs w:val="22"/>
        </w:rPr>
        <w:t> </w:t>
      </w:r>
      <w:r w:rsidRPr="00AF28B8">
        <w:rPr>
          <w:rFonts w:ascii="Calibri" w:hAnsi="Calibri" w:cs="Calibri"/>
          <w:i/>
          <w:iCs/>
          <w:color w:val="000000"/>
          <w:sz w:val="22"/>
          <w:szCs w:val="22"/>
        </w:rPr>
        <w:t>cholerae</w:t>
      </w:r>
      <w:r w:rsidRPr="00AF28B8">
        <w:rPr>
          <w:rFonts w:ascii="Calibri" w:hAnsi="Calibri" w:cs="Calibri"/>
          <w:color w:val="000000"/>
          <w:sz w:val="22"/>
          <w:szCs w:val="22"/>
        </w:rPr>
        <w:t> in 1994-1998; while in 2014-2018, drinking tap water (aOR: 1.47, 95% CI: 1.21-1.78) and living in a slum (aOR: 1.43, 95% CI: 1.10-1.86) were risk factors for </w:t>
      </w:r>
      <w:r w:rsidRPr="00AF28B8">
        <w:rPr>
          <w:rFonts w:ascii="Calibri" w:hAnsi="Calibri" w:cs="Calibri"/>
          <w:i/>
          <w:iCs/>
          <w:color w:val="000000"/>
          <w:sz w:val="22"/>
          <w:szCs w:val="22"/>
        </w:rPr>
        <w:t>vibrio cholerae</w:t>
      </w:r>
      <w:r w:rsidRPr="00AF28B8">
        <w:rPr>
          <w:rFonts w:ascii="Calibri" w:hAnsi="Calibri" w:cs="Calibri"/>
          <w:color w:val="000000"/>
          <w:sz w:val="22"/>
          <w:szCs w:val="22"/>
        </w:rPr>
        <w:t> infection after adjusting for age, gender, monthly income, and seasonality. Improving the water, sanitation, and hygiene (WASH) situation is crucial since cholera determinants, like drinking tap water, can alter over time in developing countries. In addition, widespread oral cholera immunization should be implemented to prevent cholera in areas like urban slums where it may be challenging to conduct long-term WASH surveillance.</w:t>
      </w:r>
    </w:p>
    <w:p w14:paraId="1BBA71F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25-A-2651-ASTMH</w:t>
      </w:r>
    </w:p>
    <w:p w14:paraId="5AB1B5A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6E9229E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Investigation of Borrelia in Acute Fever in Senegal</w:t>
      </w:r>
    </w:p>
    <w:p w14:paraId="785F184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The diagnosis of tick-borne relapsing fever (TBRF) is commonly made on the basis of the detection of Borrelia spirochetes on Giemsa-stained thin blood films and confirmed by polymerase chain reaction (PCR). In the present study, out of samples from malaria-negative RDTs for Plasmodium falciparum (malaria Neg RDTs P.f) and from differents localities in Senegal (Dakar, Diourbel, Kaolack and Tambacounda), we used quantitative PCR (qPCR) to investigate the species causing tick-borne diseases that cause non-malarial febrile illnesses. Firstly, from 400 samples using bacterial detection by qPCR. 14 samples were potentially positif by Borrelia spp and Coxiella burnetii in cutaneous swabs and dust samples targeting spacers Bor 16S and IS1111 gene and we found in 1.5% (6/400) and 2% (8/400) of cases, respectively. After we focused on these 14 samples to achieve comprehensive microbial detection and genomic characterization, whole metagenomic untargeted sequencing was performed using the Illumina NovaSeq platform, generating high-throughput sequencing data. Sequencing undiagnosed detect Borrelia crocidurae in 35.7% (5/14) according with Borrelia spp founding on qPCR detection. Malaria Neg RDTs P.f are potentially a good source of pathogen sampling for the molecular identification of other causes of fever and the results of our study point to significant diagnostic challenges, particularly with Borrelia, highlighting the need for improved tools to strengthen both patient care and public health surveillance.</w:t>
      </w:r>
    </w:p>
    <w:p w14:paraId="73342C9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25-A-2652-ASTMH</w:t>
      </w:r>
    </w:p>
    <w:p w14:paraId="339FAF5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10167AA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Dynamics of malaria specific antibody immune responses in a setting implementing seasonal malaria chemoprevention in Uganda</w:t>
      </w:r>
    </w:p>
    <w:p w14:paraId="496BBDD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Implementation of seasonal malaria chemoprevention (SMC) has led to significant reduction in malaria associated morbidity and mortality across different settings. However, data on the impact of SMC on host immunity is limited. To understand the dynamics of malaria specific antibody immune responses in settings implementing SMC, we comprehensively profiled antibody immune responses in 300 children aged 3 months to 15 years before and after single and multiple rounds of SMC in Karamoja sub-region, Northeastern Uganda using the Luminex multiplex platform. Preliminary results show higher antibody responses including AMA-1, GLURP-2, EBA-140 and MSP-1 in settings not implementing SMC compared to SMC implementing areas, suggesting a reduction in exposure to malaria due to SMC hence lowering malaria specific antibody responses. In both SMC and non-SMC settings, antibody responses including AMA-1, EBA-140 and MSP-1 were higher in the older children. Analysis for antibody responses in relation to the number of SMC cycles received, whole blood RNA sequencing to compare gene expression pre- and post-SMC and immune phenotyping to profile innate and adaptive cellular immune responses that correlate with anti-parasite and anti-disease immunity and rates of change in cellular phenotypes following SMC is ongoing and will be presented. Our results are relevant in understanding the impact of SMC on naturally acquired immunity to malaria. This knowledge will lay the foundation for developing novel therapeutic or malaria prevention strategies to maintain gains and identify exit strategies when chemoprevention interventions are withdrawn.</w:t>
      </w:r>
    </w:p>
    <w:p w14:paraId="455EE04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25-A-2653-ASTMH</w:t>
      </w:r>
    </w:p>
    <w:p w14:paraId="63CE272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76C1FC6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Preclinical Evaluation of a Bivalent PvRBP2b-PvDBP-RII Plasmodium vivax Malaria Vaccine in Aotus Monkeys</w:t>
      </w:r>
    </w:p>
    <w:p w14:paraId="0AFDF74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Plasmodium vivax poses a significant challenge to malaria elimination due to its ability to cause relapses and facilitate early transmission. The development of vaccines targeting blood-stage antigens involved in reticulocyte invasion presents a promising strategy. This ongoing preclinical study assesses the safety, immunogenicity, and efficacy of a recombinant vaccine composed of PvRBP2b and PvDBP-RII proteins, formulated with aluminum hydroxide adjuvant, in Aotus l. lemurinus monkeys. In this study, five groups of four monkeys each were immunized subcutaneously in the lower abdomen with three doses of the vaccine at monthly intervals. Each protein was administered alone or in combination, with a control </w:t>
      </w:r>
      <w:r w:rsidRPr="00AF28B8">
        <w:rPr>
          <w:rFonts w:ascii="Calibri" w:hAnsi="Calibri" w:cs="Calibri"/>
          <w:color w:val="000000"/>
          <w:sz w:val="22"/>
          <w:szCs w:val="22"/>
        </w:rPr>
        <w:lastRenderedPageBreak/>
        <w:t>group receiving only the AlOH3 adjuvant. Two weeks after the final immunization, the animals were challenged with the homologous P. vivax AMRU-1 strain. Safety was monitored through clinical assessments and hematological parameters. Humoral and cellular immune responses were evaluated using ELISA, receptor-ligand binding inhibition assays, and the measurement of pro-inflammatory and anti-inflammatory cytokines and chemokines via a multiplexed Luminex MAGPIX® assay. The vaccine was well tolerated, with no adverse clinical or laboratory findings reported. Ongoing assessments of ELISA antibody titers against both PvDBP-RII and PvRBp2, along with functional assays and cellular immune responses, are underway. We anticipate observing delayed parasitemia and reduced peak parasite densities in vaccinated animals compared to the controls. Additionally, we expect that the bivalent PvRBp2 PvDBP-RII vaccine will elicit robust functional immune responses in Aotus monkeys, indicating early signs of protection against homologous P. vivax infection. Targeting multiple invasion pathways may enhance vaccine efficacy and mitigate the risk of immune escape. This experiment holds promise for supporting further development and potential advancement into clinical testing.</w:t>
      </w:r>
    </w:p>
    <w:p w14:paraId="4C05422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25-A-2655-ASTMH</w:t>
      </w:r>
    </w:p>
    <w:p w14:paraId="00C8A63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2C9C8A9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IMMUNE SIGNATURES OF WILD-TYPE YELLOW FEVER VIRUS INFECTION: INSIGHTS FROM THE 2016-2018 BRAZILIAN OUTBREAK</w:t>
      </w:r>
    </w:p>
    <w:p w14:paraId="0C7D355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recent reemergence of sylvatic yellow fever in Brazil provided a rare opportunity to evaluate immune responses to wild-type yellow fever virus (WT YFV) in naturally infected individuals. This study aimed to characterize systemic immune responses in outbreak patients with different clinical outcomes (death, hospital discharge, and late-relapsing hepatitis(LH)) and compare them to responses observed in 17D vaccine recipients and seronegative controls. Using a 48-plex Luminex assay, we quantified circulating levels of pro-inflammatory (IFN-α2/γ, TNF-α/β, IL-1α/β, IL-6, IL-12, IL-15, IL-16, IL-18, TRAIL, MIF, LIF) and regulatory cytokines (IL-1ra, IL-2ra, IL-3, IL-4, IL-5, IL-9, IL-10, IL-13, IL-17A), chemokines (CXCL1, CXCL8, CXCL9, CXCL10, CXCL12, CCL2, CCL3, CCL4, CCL5, CCL7, CCL11, CCL27), and growth factors (basic FGF, PDGF-β, VEGF, G-CSF, GM-CSF, M-CSF, β-NGF, HGF, SCGF-β, SCF) in serum samples collected at 1-15, 30-60, and 85-120 days post-infection. Vaccinees were sampled 30-60 days post-vaccination. Plaque reduction neutralization tests were used to measure neutralizing antibody (nAb) levels in all groups. WT YFV infection triggered a robust and sustained inflammatory response, with significantly elevated soluble mediators compared to vaccinees and controls. Most chemokines and growth factors were also increased, suggesting continued immune cell recruitment and tissue repair. Patients who died during the acute phase showed a highly dysregulated cytokine storm with elevated inflammatory and regulatory mediators. In LH patients, early immune signatures included elevated IFN-α2, IL-15, IL-2ra, IL-3, IL-4, IL-13, CCL2, CXCL8, G-CSF, and GM-CSF. These patterns persisted or intensified into convalescence, especially for regulatory cytokines. WT YFV-infected individuals had higher nAb levels than vaccinees. Ongoing analyses aim to further explore associations between soluble mediators, humoral response, and disease outcome. These findings shed light on WT YFV immunopathogenesis, distinguish natural from vaccine-induced responses, and highlights potential biomarkers of severity and complications.</w:t>
      </w:r>
    </w:p>
    <w:p w14:paraId="3A75482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25-A-2657-ASTMH</w:t>
      </w:r>
    </w:p>
    <w:p w14:paraId="405ED38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10E6D1A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Sustaining Pandemic Labs for Routine and Emergency Health Services in Iraq 2025</w:t>
      </w:r>
    </w:p>
    <w:p w14:paraId="02055F5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COVID-19 pandemic brought immense pressure on healthcare systems globally-forcing countries to rapidly set up laboratory infrastructure to handle surge in diagnostic testing and surveillance demands. In Iraq, pandemic exposed weaknesses in laboratory systems yet it also paved the way for innovations and improvements through a mix of repurposed spaces, expanded facilities, and new setups. To support the goals of International Health Regulations and strengthen laboratory systems for future emergency preparedness, we examined the need for sustaining or reactivating the interim laboratory capacities </w:t>
      </w:r>
      <w:r w:rsidRPr="00AF28B8">
        <w:rPr>
          <w:rFonts w:ascii="Calibri" w:hAnsi="Calibri" w:cs="Calibri"/>
          <w:color w:val="000000"/>
          <w:sz w:val="22"/>
          <w:szCs w:val="22"/>
        </w:rPr>
        <w:lastRenderedPageBreak/>
        <w:t>established during COVID-19 pandemic in Iraq. A desk review was conducted to understand the landscape of interim capacities established during the response and assess their contributions to future laboratory preparedness. Assuming continued utility, we explored opportunities and barriers to leveraging these assets and integrating them into routine health services through interviews with key government officials and laboratory personnel. In 2020, Iraq expanded its PCR capacity in four phases, from Central Public Health Lab in Baghdad to all 16 subnational governorates and Kurdistan Region by 2022 (13,515 daily tests performed at COVID-19 peak). This was supported through partnership with private sector and introduction of rapid diagnostic testing kits. These capacities have since supported responses to endemic and emerging diseases, such as seasonal influenza, cholera (2022), measles (2024),and Crimean-Congo hemorrhagic fever (2022-24). All interim PCR capacity remains in place across Iraq, though not at full utilization. Despite having infrastructure, equipment, and trained personnel, sustaining operations is challenged by limited access to reagents, supply chain disruptions, and geographic disparities, particularly at subnational level.To preserve these capacities for endemic and future epidemic threats, reliable access to testing materials and continued training for personnel are essential. Given Iraq’s recurrent mass gathering events, high-risk areas should be prioritized for access to diagnostic supplies.</w:t>
      </w:r>
    </w:p>
    <w:p w14:paraId="2328440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25-A-2658-ASTMH</w:t>
      </w:r>
    </w:p>
    <w:p w14:paraId="5AC5D6A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72C95C1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Previously unreported </w:t>
      </w:r>
      <w:r w:rsidRPr="00AF28B8">
        <w:rPr>
          <w:rFonts w:ascii="Calibri" w:hAnsi="Calibri" w:cs="Calibri"/>
          <w:i/>
          <w:iCs/>
          <w:color w:val="000000"/>
          <w:sz w:val="22"/>
          <w:szCs w:val="22"/>
        </w:rPr>
        <w:t>P. falciparum</w:t>
      </w:r>
      <w:r w:rsidRPr="00AF28B8">
        <w:rPr>
          <w:rFonts w:ascii="Calibri" w:hAnsi="Calibri" w:cs="Calibri"/>
          <w:color w:val="000000"/>
          <w:sz w:val="22"/>
          <w:szCs w:val="22"/>
        </w:rPr>
        <w:t> clones cause outbreaks and maintain malaria transmission in elimination areas of South America</w:t>
      </w:r>
    </w:p>
    <w:p w14:paraId="31DE2BB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is endemic to the north coastal areas and the Amazon region of Ecuador. Most cases are reported in border areas where transmission still occurs. Ecuador has been in elimination since 2012 but faces substantial challenges in achieving its elimination goal. Several outbreaks have occurred in the country hampering the elimination of malaria. In this work, we characterize two recent </w:t>
      </w:r>
      <w:r w:rsidRPr="00AF28B8">
        <w:rPr>
          <w:rFonts w:ascii="Calibri" w:hAnsi="Calibri" w:cs="Calibri"/>
          <w:i/>
          <w:iCs/>
          <w:color w:val="000000"/>
          <w:sz w:val="22"/>
          <w:szCs w:val="22"/>
        </w:rPr>
        <w:t>P. falciparum</w:t>
      </w:r>
      <w:r w:rsidRPr="00AF28B8">
        <w:rPr>
          <w:rFonts w:ascii="Calibri" w:hAnsi="Calibri" w:cs="Calibri"/>
          <w:color w:val="000000"/>
          <w:sz w:val="22"/>
          <w:szCs w:val="22"/>
        </w:rPr>
        <w:t> outbreaks in the north coast of Ecuador: An outbreak that occurred between 2019 and 2021 in the suburbs of the city of Esmeraldas and an outbreak in San Lorenzo county that occurred between 2023-2024 related to mining activities. This study analyzes the origin, distribution, and genotypic polymorphisms of the two outbreaks using microsatellites, multiplex amplicon sequencing and whole genome sequencing. The results show that both outbreaks were largely clonal but the two clones were unrelated to each other. Additionally, drug resistance mutations not previously identified in Ecuador in </w:t>
      </w:r>
      <w:r w:rsidRPr="00AF28B8">
        <w:rPr>
          <w:rFonts w:ascii="Calibri" w:hAnsi="Calibri" w:cs="Calibri"/>
          <w:i/>
          <w:iCs/>
          <w:color w:val="000000"/>
          <w:sz w:val="22"/>
          <w:szCs w:val="22"/>
        </w:rPr>
        <w:t>pfcrt</w:t>
      </w:r>
      <w:r w:rsidRPr="00AF28B8">
        <w:rPr>
          <w:rFonts w:ascii="Calibri" w:hAnsi="Calibri" w:cs="Calibri"/>
          <w:color w:val="000000"/>
          <w:sz w:val="22"/>
          <w:szCs w:val="22"/>
        </w:rPr>
        <w:t>, </w:t>
      </w:r>
      <w:r w:rsidRPr="00AF28B8">
        <w:rPr>
          <w:rFonts w:ascii="Calibri" w:hAnsi="Calibri" w:cs="Calibri"/>
          <w:i/>
          <w:iCs/>
          <w:color w:val="000000"/>
          <w:sz w:val="22"/>
          <w:szCs w:val="22"/>
        </w:rPr>
        <w:t>pfdhfr</w:t>
      </w:r>
      <w:r w:rsidRPr="00AF28B8">
        <w:rPr>
          <w:rFonts w:ascii="Calibri" w:hAnsi="Calibri" w:cs="Calibri"/>
          <w:color w:val="000000"/>
          <w:sz w:val="22"/>
          <w:szCs w:val="22"/>
        </w:rPr>
        <w:t>, </w:t>
      </w:r>
      <w:r w:rsidRPr="00AF28B8">
        <w:rPr>
          <w:rFonts w:ascii="Calibri" w:hAnsi="Calibri" w:cs="Calibri"/>
          <w:i/>
          <w:iCs/>
          <w:color w:val="000000"/>
          <w:sz w:val="22"/>
          <w:szCs w:val="22"/>
        </w:rPr>
        <w:t>pfdhps</w:t>
      </w:r>
      <w:r w:rsidRPr="00AF28B8">
        <w:rPr>
          <w:rFonts w:ascii="Calibri" w:hAnsi="Calibri" w:cs="Calibri"/>
          <w:color w:val="000000"/>
          <w:sz w:val="22"/>
          <w:szCs w:val="22"/>
        </w:rPr>
        <w:t> and </w:t>
      </w:r>
      <w:r w:rsidRPr="00AF28B8">
        <w:rPr>
          <w:rFonts w:ascii="Calibri" w:hAnsi="Calibri" w:cs="Calibri"/>
          <w:i/>
          <w:iCs/>
          <w:color w:val="000000"/>
          <w:sz w:val="22"/>
          <w:szCs w:val="22"/>
        </w:rPr>
        <w:t>pfmdr1</w:t>
      </w:r>
      <w:r w:rsidRPr="00AF28B8">
        <w:rPr>
          <w:rFonts w:ascii="Calibri" w:hAnsi="Calibri" w:cs="Calibri"/>
          <w:color w:val="000000"/>
          <w:sz w:val="22"/>
          <w:szCs w:val="22"/>
        </w:rPr>
        <w:t> were present for the first time in both outbreaks. The clones had not been reported previously in the north of Ecuador but had been sampled in neighboring Colombia, which raises the hypothesis that they were imported. Our study shows that even in low transmission areas, previously low prevalence clones can cause important outbreaks, underlining the importance of continuous molecular surveillance. Active diagnosis and more aggressive treatments may be needed in elimination settings to prevent the expansion of outbreaks.</w:t>
      </w:r>
    </w:p>
    <w:p w14:paraId="333F7A5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25-A-2659-ASTMH</w:t>
      </w:r>
    </w:p>
    <w:p w14:paraId="2544852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0B4786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u w:val="single"/>
        </w:rPr>
        <w:t>Pregnancy dating based on the last menstrual period and symphysis-fundal height compared to ultrasound and its impact on birth outcomes.</w:t>
      </w:r>
    </w:p>
    <w:p w14:paraId="367B64A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Accurate gestational age (GA) estimation is necessary for estimating the true levels of population indicators like the burden of preterm births (PTB) and small for gestational age (SGA) infants. This is most reliably achieved from the reported last menstrual period (LMP) confirmed by Ultrasound (US) scan in the first trimester. However, many rural clinics in low-resource settings lack US equipment and where available, the equipment is expensive to use. In addition, women frequently seek prenatal care late in pregnancy limiting the use of US scans for estimating GA. Therefore, in these settings, alternative methods for determining GA and estimating EDD are required. However, the accuracy of these alternative methods remains poorly established. This may lead to inadequate risk assessment and </w:t>
      </w:r>
      <w:r w:rsidRPr="00AF28B8">
        <w:rPr>
          <w:rFonts w:ascii="Calibri" w:hAnsi="Calibri" w:cs="Calibri"/>
          <w:color w:val="000000"/>
          <w:sz w:val="22"/>
          <w:szCs w:val="22"/>
        </w:rPr>
        <w:lastRenderedPageBreak/>
        <w:t>failure to identify adverse pregnancy outcomes like PTB during pregnancy potentially contributing to high neonatal mortality rates. Using US scan as the gold standard, I evaluated the accuracy of symphysis fundal height (SFH) measurement and reported LMP in estimating GA and compared the impact on the prevalence of PTB and SGA. I utilized data from two individually randomized controlled trials conducted in western Kenya, Malawi, and Tanzania. A total of 5584 women were enrolled and 1425 (90%) had GA estimated by all 3 methods and were included in the analyses. The mean GA was lower by US than by SFH measurement and reported LMP, with mean differences statistically significant (P &lt; 0.001) for both. At delivery, approximately 88% of the GAs estimated by the SFH method were within 7 days, and almost 95% were within 14 days, of the US-based estimates, compared with 78% and 85% for the GAs estimated by the reported LMP. Furthermore, using US as the reference standard, SFH correctly classified 76.1% of PTB, 73% of term and 81.0% of SGA deliveries, compared to 65.0%, 67% and 68.0% predicted by LMP. While SFH may be a more reliable alternative to LMP in low-resource settings where ultrasound is unavailable, caution is needed when interpreting PTB and SGA outcomes as both methods tend to overestimate GA leading to misclassification.</w:t>
      </w:r>
    </w:p>
    <w:p w14:paraId="36D129B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25-A-2660-ASTMH</w:t>
      </w:r>
    </w:p>
    <w:p w14:paraId="113A438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033D30B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Investigating household water sources in Galápagos, Ecuador for uropathogenic </w:t>
      </w:r>
      <w:r w:rsidRPr="00AF28B8">
        <w:rPr>
          <w:rFonts w:ascii="Calibri" w:hAnsi="Calibri" w:cs="Calibri"/>
          <w:b/>
          <w:bCs/>
          <w:i/>
          <w:iCs/>
          <w:color w:val="000000"/>
          <w:sz w:val="22"/>
          <w:szCs w:val="22"/>
        </w:rPr>
        <w:t>Escherichia coli (UPEC)</w:t>
      </w:r>
    </w:p>
    <w:p w14:paraId="5D81B4F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Urinary tract infections (UTIs) are a critical public health concern impacting millions of people, particularly women globally, with uropathogenic </w:t>
      </w:r>
      <w:r w:rsidRPr="00AF28B8">
        <w:rPr>
          <w:rFonts w:ascii="Calibri" w:hAnsi="Calibri" w:cs="Calibri"/>
          <w:i/>
          <w:iCs/>
          <w:color w:val="000000"/>
          <w:sz w:val="22"/>
          <w:szCs w:val="22"/>
        </w:rPr>
        <w:t>E.coli </w:t>
      </w:r>
      <w:r w:rsidRPr="00AF28B8">
        <w:rPr>
          <w:rFonts w:ascii="Calibri" w:hAnsi="Calibri" w:cs="Calibri"/>
          <w:color w:val="000000"/>
          <w:sz w:val="22"/>
          <w:szCs w:val="22"/>
        </w:rPr>
        <w:t>(UPEC) as the main causative agent. In San Cristóbal, Galápagos, prior research among this team found decreasing reported rates of UTIs after the introduction of the drinking water treatment plant (DWTP) that prompted a follow up study. This cross-sectional study sampled from 20 households in San Cristóbal, Galápagos, sampling water from cisterns, taps, and drinking water sources. Total and free chlorine was measured at the point of sampling and fecal contamination measured with the IDEXX Colilert system. </w:t>
      </w:r>
      <w:r w:rsidRPr="00AF28B8">
        <w:rPr>
          <w:rFonts w:ascii="Calibri" w:hAnsi="Calibri" w:cs="Calibri"/>
          <w:i/>
          <w:iCs/>
          <w:color w:val="000000"/>
          <w:sz w:val="22"/>
          <w:szCs w:val="22"/>
        </w:rPr>
        <w:t>E.coli</w:t>
      </w:r>
      <w:r w:rsidRPr="00AF28B8">
        <w:rPr>
          <w:rFonts w:ascii="Calibri" w:hAnsi="Calibri" w:cs="Calibri"/>
          <w:color w:val="000000"/>
          <w:sz w:val="22"/>
          <w:szCs w:val="22"/>
        </w:rPr>
        <w:t>-positive samples were analyzed via culture, API 20E biochemical tests, and whole metagenomic sequencing (WMS) to identify uropathogenic virulence genes and their associated resistance. Results revealed higher levels of total coliforms and </w:t>
      </w:r>
      <w:r w:rsidRPr="00AF28B8">
        <w:rPr>
          <w:rFonts w:ascii="Calibri" w:hAnsi="Calibri" w:cs="Calibri"/>
          <w:i/>
          <w:iCs/>
          <w:color w:val="000000"/>
          <w:sz w:val="22"/>
          <w:szCs w:val="22"/>
        </w:rPr>
        <w:t>E.coli </w:t>
      </w:r>
      <w:r w:rsidRPr="00AF28B8">
        <w:rPr>
          <w:rFonts w:ascii="Calibri" w:hAnsi="Calibri" w:cs="Calibri"/>
          <w:color w:val="000000"/>
          <w:sz w:val="22"/>
          <w:szCs w:val="22"/>
        </w:rPr>
        <w:t>in the drinking water compared to other sampled sources, with lower chlorine residuals correlating with increased contamination. Sequence results confirmed the presence of uropathogenic markers and multidrug resistance, illustrating the potential risk of uropathogenic bacteria transmission in water sources. Overall, this study emphasizes the need for future research in understanding the risk associated with waterborne UPEC.</w:t>
      </w:r>
    </w:p>
    <w:p w14:paraId="540755B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25-A-2661-ASTMH</w:t>
      </w:r>
    </w:p>
    <w:p w14:paraId="386F7DD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283B2AF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MESH's interactive online training course on Community Engagement and Involvement with Global Health Research</w:t>
      </w:r>
    </w:p>
    <w:p w14:paraId="00ED519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MESH, established in 2016, is The Global Health Network’s online hub and community of practice for community engagement and involvement (CEI) with health research. It facilitates learning across Africa, Asia and Latin America and the Caribbean, by providing a wide range of tools, resources and trainings. Mesh has a growing community of over five thousand engagement practitioners, health professionals and health researchers who frequently access its online contents, utilize and engage in its resources and participate in both virtual and in-person MESH activities. An example of a very popular resource on MESH, is “An introduction and practical guide to community engagement and involvement in global health research.” This seven-module online training course is free to users worldwide and was authored and reviewed by community engagement practitioners with extensive experience in a wide range of global contexts. The course’s comprehensive content comprises foundational elements for community engagement including who the key stakeholders might be; ethical CEI; principles and methods; and evaluation of CEI. Web-analytics and post-module surveys are employed to evaluate learning, gather </w:t>
      </w:r>
      <w:r w:rsidRPr="00AF28B8">
        <w:rPr>
          <w:rFonts w:ascii="Calibri" w:hAnsi="Calibri" w:cs="Calibri"/>
          <w:color w:val="000000"/>
          <w:sz w:val="22"/>
          <w:szCs w:val="22"/>
        </w:rPr>
        <w:lastRenderedPageBreak/>
        <w:t>feedback into user experience, and inform priorities for future MESH content needs, and follow-up interviews explore the courses impact on individual practice. Between May and December 2024 over 2000 module-completion certificates were awarded to participants from 116 countries worldwide, representing a range of professions and cadres. This report focuses on the participant’s experiences with the course, their recommendations for future content, and the effect it had on their engagement and involvement activities.</w:t>
      </w:r>
    </w:p>
    <w:p w14:paraId="2B5F658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25-A-2663-ASTMH</w:t>
      </w:r>
    </w:p>
    <w:p w14:paraId="05C769F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4E39710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Transcriptomic profile of </w:t>
      </w:r>
      <w:r w:rsidRPr="00AF28B8">
        <w:rPr>
          <w:rFonts w:ascii="Calibri" w:hAnsi="Calibri" w:cs="Calibri"/>
          <w:b/>
          <w:bCs/>
          <w:i/>
          <w:iCs/>
          <w:color w:val="000000"/>
          <w:sz w:val="22"/>
          <w:szCs w:val="22"/>
        </w:rPr>
        <w:t>Anopheles gambiae</w:t>
      </w:r>
      <w:r w:rsidRPr="00AF28B8">
        <w:rPr>
          <w:rFonts w:ascii="Calibri" w:hAnsi="Calibri" w:cs="Calibri"/>
          <w:b/>
          <w:bCs/>
          <w:color w:val="000000"/>
          <w:sz w:val="22"/>
          <w:szCs w:val="22"/>
        </w:rPr>
        <w:t> mosquitoes infected with the neglected malaria parasite </w:t>
      </w:r>
      <w:r w:rsidRPr="00AF28B8">
        <w:rPr>
          <w:rFonts w:ascii="Calibri" w:hAnsi="Calibri" w:cs="Calibri"/>
          <w:b/>
          <w:bCs/>
          <w:i/>
          <w:iCs/>
          <w:color w:val="000000"/>
          <w:sz w:val="22"/>
          <w:szCs w:val="22"/>
        </w:rPr>
        <w:t>Plasmodium ovale</w:t>
      </w:r>
    </w:p>
    <w:p w14:paraId="0CB2DE0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Successful transmission of malaria depends on the complex interactions between the Anopheles mosquito vector and the </w:t>
      </w:r>
      <w:r w:rsidRPr="00AF28B8">
        <w:rPr>
          <w:rFonts w:ascii="Calibri" w:hAnsi="Calibri" w:cs="Calibri"/>
          <w:i/>
          <w:iCs/>
          <w:color w:val="000000"/>
          <w:sz w:val="22"/>
          <w:szCs w:val="22"/>
        </w:rPr>
        <w:t>Plasmodium</w:t>
      </w:r>
      <w:r w:rsidRPr="00AF28B8">
        <w:rPr>
          <w:rFonts w:ascii="Calibri" w:hAnsi="Calibri" w:cs="Calibri"/>
          <w:color w:val="000000"/>
          <w:sz w:val="22"/>
          <w:szCs w:val="22"/>
        </w:rPr>
        <w:t> parasites. </w:t>
      </w:r>
      <w:r w:rsidRPr="00AF28B8">
        <w:rPr>
          <w:rFonts w:ascii="Calibri" w:hAnsi="Calibri" w:cs="Calibri"/>
          <w:i/>
          <w:iCs/>
          <w:color w:val="000000"/>
          <w:sz w:val="22"/>
          <w:szCs w:val="22"/>
        </w:rPr>
        <w:t>Plasmodium ovale</w:t>
      </w:r>
      <w:r w:rsidRPr="00AF28B8">
        <w:rPr>
          <w:rFonts w:ascii="Calibri" w:hAnsi="Calibri" w:cs="Calibri"/>
          <w:color w:val="000000"/>
          <w:sz w:val="22"/>
          <w:szCs w:val="22"/>
        </w:rPr>
        <w:t>, a neglected malaria parasite, successfully develops from ookinete to sporozoite within the </w:t>
      </w:r>
      <w:r w:rsidRPr="00AF28B8">
        <w:rPr>
          <w:rFonts w:ascii="Calibri" w:hAnsi="Calibri" w:cs="Calibri"/>
          <w:i/>
          <w:iCs/>
          <w:color w:val="000000"/>
          <w:sz w:val="22"/>
          <w:szCs w:val="22"/>
        </w:rPr>
        <w:t>Anopheles </w:t>
      </w:r>
      <w:r w:rsidRPr="00AF28B8">
        <w:rPr>
          <w:rFonts w:ascii="Calibri" w:hAnsi="Calibri" w:cs="Calibri"/>
          <w:color w:val="000000"/>
          <w:sz w:val="22"/>
          <w:szCs w:val="22"/>
        </w:rPr>
        <w:t>vector. To elucidate the molecular mechanisms underlying this interaction, we compared RNA-seq-based gene expression profiles of </w:t>
      </w:r>
      <w:r w:rsidRPr="00AF28B8">
        <w:rPr>
          <w:rFonts w:ascii="Calibri" w:hAnsi="Calibri" w:cs="Calibri"/>
          <w:i/>
          <w:iCs/>
          <w:color w:val="000000"/>
          <w:sz w:val="22"/>
          <w:szCs w:val="22"/>
        </w:rPr>
        <w:t>Anopheles gambiae </w:t>
      </w:r>
      <w:r w:rsidRPr="00AF28B8">
        <w:rPr>
          <w:rFonts w:ascii="Calibri" w:hAnsi="Calibri" w:cs="Calibri"/>
          <w:color w:val="000000"/>
          <w:sz w:val="22"/>
          <w:szCs w:val="22"/>
        </w:rPr>
        <w:t>infected with </w:t>
      </w:r>
      <w:r w:rsidRPr="00AF28B8">
        <w:rPr>
          <w:rFonts w:ascii="Calibri" w:hAnsi="Calibri" w:cs="Calibri"/>
          <w:i/>
          <w:iCs/>
          <w:color w:val="000000"/>
          <w:sz w:val="22"/>
          <w:szCs w:val="22"/>
        </w:rPr>
        <w:t>P. ovale </w:t>
      </w:r>
      <w:r w:rsidRPr="00AF28B8">
        <w:rPr>
          <w:rFonts w:ascii="Calibri" w:hAnsi="Calibri" w:cs="Calibri"/>
          <w:color w:val="000000"/>
          <w:sz w:val="22"/>
          <w:szCs w:val="22"/>
        </w:rPr>
        <w:t>and uninfected mosquitoes at 24 hours, 9 days, and 17 days post-infection. The results showed that 2,885 </w:t>
      </w:r>
      <w:r w:rsidRPr="00AF28B8">
        <w:rPr>
          <w:rFonts w:ascii="Calibri" w:hAnsi="Calibri" w:cs="Calibri"/>
          <w:i/>
          <w:iCs/>
          <w:color w:val="000000"/>
          <w:sz w:val="22"/>
          <w:szCs w:val="22"/>
        </w:rPr>
        <w:t>P. ovale</w:t>
      </w:r>
      <w:r w:rsidRPr="00AF28B8">
        <w:rPr>
          <w:rFonts w:ascii="Calibri" w:hAnsi="Calibri" w:cs="Calibri"/>
          <w:color w:val="000000"/>
          <w:sz w:val="22"/>
          <w:szCs w:val="22"/>
        </w:rPr>
        <w:t> transcripts were present only 24 hours after infection. During ookinete invasion (24 h post-infection), differential gene expression analyses revealed the up-regulation of genes related to metabolic processes and the down-regulation of genes associated with cytoskeletal activity in the mosquito. Notably, the non-immune genes Troponin C (Fold Change, FC 85) and Myofilin (FC33.3) exhibited the most significant overexpression. Among the immune genes that were upregulated were CLIPB12 (FC 49), TRYP7 (FC 24), TRYP5 (FC 12) and LRIM10 (FC 11). Few transcripts were observed in the mosquito at day 9 post-infection. On day 17 post-infection, Gene Ontology (GO) analysis showed that 'multicellular organismal process' was the most up-regulated term in infected mosquitoes, followed by 'G protein-coupled receptor signaling pathway, while 'response to stimulus' and 'olfactory sensation' were the most down-regulated. This first analysis of the interaction between </w:t>
      </w:r>
      <w:r w:rsidRPr="00AF28B8">
        <w:rPr>
          <w:rFonts w:ascii="Calibri" w:hAnsi="Calibri" w:cs="Calibri"/>
          <w:i/>
          <w:iCs/>
          <w:color w:val="000000"/>
          <w:sz w:val="22"/>
          <w:szCs w:val="22"/>
        </w:rPr>
        <w:t>P. ovale</w:t>
      </w:r>
      <w:r w:rsidRPr="00AF28B8">
        <w:rPr>
          <w:rFonts w:ascii="Calibri" w:hAnsi="Calibri" w:cs="Calibri"/>
          <w:color w:val="000000"/>
          <w:sz w:val="22"/>
          <w:szCs w:val="22"/>
        </w:rPr>
        <w:t> and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reveals the potential involvement of non-immune genes as well as immune genes whose function has not yet been explored. This suggests new avenues for research into transmission-blocking strategies.</w:t>
      </w:r>
    </w:p>
    <w:p w14:paraId="44FC435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25-A-2664-ASTMH</w:t>
      </w:r>
    </w:p>
    <w:p w14:paraId="1CAFBB5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1CB3D46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Sustaining Interim COVID-19 Diagnostic Laboratories for Routine and Emergency Health Services in Iraq</w:t>
      </w:r>
    </w:p>
    <w:p w14:paraId="39E913D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COVID-19 pandemic brought immense pressure on healthcare systems globally, forcing countries to rapidly set up laboratory infrastructure to handle surge in diagnostic testing. In Iraq the pandemic exposed weaknesses in laboratory systems yet also paved the way for innovations and improvements through a mix of repurposed veterinary laboratories and expanded existing diagnostic facilities. To support the goals of the International Health Regulations and strengthen laboratory systems for future emergencies, we examined the need for sustaining or reactivating interim laboratory capacities established during the COVID-19 pandemic in Iraq. A desk review was conducted to understand the landscape of interim capacities established during response and assess their contributions to future laboratory preparedness. Assuming continued utility, we explored opportunities and barriers to leveraging assets and integrating them into routine health services through interviews with key government officials and laboratory personnel. In 2020 Iraq expanded PCR capacity in four phases, from the Central Public Health Lab in Baghdad to all 16 subnational governorates and the Kurdistan Region by 2022 (13,515 daily tests performed at COVID-19 peak). This was supported through a partnership with the private sector and the introduction of rapid diagnostic testing kits. These capacities have since supported responses to endemic and emerging diseases, such as seasonal influenza, cholera (2022), measles (2024), and Crimean-Congo hemorrhagic fever (2022-24). All interim PCR capacity remains in place across Iraq, though not at full utilization. Despite having infrastructure, equipment, and trained </w:t>
      </w:r>
      <w:r w:rsidRPr="00AF28B8">
        <w:rPr>
          <w:rFonts w:ascii="Calibri" w:hAnsi="Calibri" w:cs="Calibri"/>
          <w:color w:val="000000"/>
          <w:sz w:val="22"/>
          <w:szCs w:val="22"/>
        </w:rPr>
        <w:lastRenderedPageBreak/>
        <w:t>personnel, sustaining operations is challenged by limited access to reagents, supply chain disruptions, and geographic disparities, particularly at the subnational level. To preserve these capacities for endemic and future epidemic threats, reliable access to testing materials and continued training for personnel are essential. Given Iraq’s recurrent mass gathering events, high-risk areas should be prioritized for access to diagnostic supplies.</w:t>
      </w:r>
    </w:p>
    <w:p w14:paraId="3DAA17E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25-A-2666-ASTMH</w:t>
      </w:r>
    </w:p>
    <w:p w14:paraId="416511F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5D6E873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Microbial communities linked to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larval breeding sites in Ghana</w:t>
      </w:r>
    </w:p>
    <w:p w14:paraId="7446576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Mosquito breeding habitats function as ecosystems that host a diverse and intricately connected community of microorganisms. This study sought to characterize the bacterial communities associated with Anopheles larval habitats and examine how their presence correlates with the occurrence or absence of mosquito larvae. Using Oxford Nanopore’s MinION sequencing platform, 16S rRNA profiles were generated from water and larval samples collected from </w:t>
      </w:r>
      <w:r w:rsidRPr="00AF28B8">
        <w:rPr>
          <w:rFonts w:ascii="Calibri" w:hAnsi="Calibri" w:cs="Calibri"/>
          <w:i/>
          <w:iCs/>
          <w:color w:val="000000"/>
          <w:sz w:val="22"/>
          <w:szCs w:val="22"/>
        </w:rPr>
        <w:t>Anopheles</w:t>
      </w:r>
      <w:r w:rsidRPr="00AF28B8">
        <w:rPr>
          <w:rFonts w:ascii="Calibri" w:hAnsi="Calibri" w:cs="Calibri"/>
          <w:color w:val="000000"/>
          <w:sz w:val="22"/>
          <w:szCs w:val="22"/>
        </w:rPr>
        <w:t>-positive (productive and semi-productive) and </w:t>
      </w:r>
      <w:r w:rsidRPr="00AF28B8">
        <w:rPr>
          <w:rFonts w:ascii="Calibri" w:hAnsi="Calibri" w:cs="Calibri"/>
          <w:i/>
          <w:iCs/>
          <w:color w:val="000000"/>
          <w:sz w:val="22"/>
          <w:szCs w:val="22"/>
        </w:rPr>
        <w:t>Anopheles</w:t>
      </w:r>
      <w:r w:rsidRPr="00AF28B8">
        <w:rPr>
          <w:rFonts w:ascii="Calibri" w:hAnsi="Calibri" w:cs="Calibri"/>
          <w:color w:val="000000"/>
          <w:sz w:val="22"/>
          <w:szCs w:val="22"/>
        </w:rPr>
        <w:t>-negative (non-productive) breeding sites in Southern Ghana. A total of 15 bacterial taxa were identified across the habitats, categorized by their productivity. Notably, habitats containing mosquito larvae (productive and semi-productive) exhibited greater bacterial diversity than those without larvae (non-productive). Analysis of bacterial composition across different habitat types showed that non-productive sites were dominated by Epsilonproteobacteria (58.1%), whereas productive and semi-productive habitats had higher proportions of Gammaproteobacteria (33.2%) and Betaproteobacteria (30.5%). Among </w:t>
      </w:r>
      <w:r w:rsidRPr="00AF28B8">
        <w:rPr>
          <w:rFonts w:ascii="Calibri" w:hAnsi="Calibri" w:cs="Calibri"/>
          <w:i/>
          <w:iCs/>
          <w:color w:val="000000"/>
          <w:sz w:val="22"/>
          <w:szCs w:val="22"/>
        </w:rPr>
        <w:t>Anopheles</w:t>
      </w:r>
      <w:r w:rsidRPr="00AF28B8">
        <w:rPr>
          <w:rFonts w:ascii="Calibri" w:hAnsi="Calibri" w:cs="Calibri"/>
          <w:color w:val="000000"/>
          <w:sz w:val="22"/>
          <w:szCs w:val="22"/>
        </w:rPr>
        <w:t> larvae, Gammaproteobacteria and Betaproteobacteria were the most prevalent bacterial classes. A comparison between the microbial communities in water and larval samples revealed notable differences: Betaproteobacteria (58.5%) and Cytophagia (10.7%) were predominant in water samples, while Betaproteobacteria (47.9%) and Gammaproteobacteria (21.6%) were more abundant in the larval microbiome. These findings suggest that higher bacterial communities can influence attractiveness of a habitat for </w:t>
      </w:r>
      <w:r w:rsidRPr="00AF28B8">
        <w:rPr>
          <w:rFonts w:ascii="Calibri" w:hAnsi="Calibri" w:cs="Calibri"/>
          <w:i/>
          <w:iCs/>
          <w:color w:val="000000"/>
          <w:sz w:val="22"/>
          <w:szCs w:val="22"/>
        </w:rPr>
        <w:t>Anopheles </w:t>
      </w:r>
      <w:r w:rsidRPr="00AF28B8">
        <w:rPr>
          <w:rFonts w:ascii="Calibri" w:hAnsi="Calibri" w:cs="Calibri"/>
          <w:color w:val="000000"/>
          <w:sz w:val="22"/>
          <w:szCs w:val="22"/>
        </w:rPr>
        <w:t>breeding. This research enhances our understanding of how specific bacterial taxa may be associated with the presence or absence of mosquito larvae and lays the groundwork for potential use of microbial agents in mosquito vector control strategies.</w:t>
      </w:r>
    </w:p>
    <w:p w14:paraId="4994892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25-A-2667-ASTMH</w:t>
      </w:r>
    </w:p>
    <w:p w14:paraId="625F4D0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7D19E80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Reviewing the emergence of Highly-Pathogenic Avian Influenza (HPAI/H5N1) and public health response in Peru using multiple data streams</w:t>
      </w:r>
    </w:p>
    <w:p w14:paraId="65E7CF2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late 2022, the Highly Pathogenic Avian Influenza (HPAI/H5N1) virus was reported in Peru, rapidly spreading along the coast and affecting poultry and wildlife, including seabirds and shorebirds, while putting people at risk. The World Organization for Animal Health (WOAH) issues early warning notifications of exceptional epidemiological events through its Information System (WAHIS), including follow-up reports detailing investigations and control measures. Due to the multi-sectoral nature of the outbreaks, various national authorities, such as those responsible for wildlife, agriculture, and public health, documented different metrics separately. This study leverages this diverse data to understand the sequence of events and response during the outbreaks. We used multiple publicly available data sources, including WAHIS and public health and wildlife records from the Peruvian Ministries of Environment and Agriculture, to describe the emergence and distribution of HPAI outbreaks since the first reported wild bird mortalities. We focused on diagnostic testing, reporting timeliness, and disease control measures. We reviewed a total of 400 epidemiologically related outbreaks of Influenza A/H5 in animals that were registered from early November 2022 to February 2024. Most (395/400) outbreaks pertain to the first occurrence of the event in the country, which took place mainly along the Peruvian coast in backyard and farmed poultry as well as wild birds. This analysis reveals the value and challenges of integrating data across wildlife, agriculture, and public health sectors. Despite available data, issues </w:t>
      </w:r>
      <w:r w:rsidRPr="00AF28B8">
        <w:rPr>
          <w:rFonts w:ascii="Calibri" w:hAnsi="Calibri" w:cs="Calibri"/>
          <w:color w:val="000000"/>
          <w:sz w:val="22"/>
          <w:szCs w:val="22"/>
        </w:rPr>
        <w:lastRenderedPageBreak/>
        <w:t>like inconsistent formats, reporting delays, and fragmented systems limited an integrated understanding. These findings emphasize the need for coordinated, cross-sectoral reporting systems that enable real-time data sharing, improve preparedness, and enhance responses to zoonotic outbreaks and public health emergencies, especially those with pandemic potential.</w:t>
      </w:r>
    </w:p>
    <w:p w14:paraId="0903E1D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25-A-2668-ASTMH</w:t>
      </w:r>
    </w:p>
    <w:p w14:paraId="74FADB0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56B2708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Schisto-Score: Development of a Multivariable Prediction Model for the Diagnosis of Schistosoma haematobium infections in individuals living in hard-to-reach endemic areas around the Mapé dam, West Cameroon</w:t>
      </w:r>
    </w:p>
    <w:p w14:paraId="169450D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Urogenital schistosomiasis (USCH) remains an important public health problem in communities around the Mapé dam in the West Region-Cameroon. The diagnosis of individuals is challenging given the difficulties to access these communities. Our objective was to develop a diagnostic score (Schisto-Score) from a multivariable prediction model to equip community health-workers with a diagnostic tool for USCH in these settings. A community-based cross-sectional study was conducted in February 2021 across five communities. Demographic, behavioral, and clinical data were collected prospectively from participants. The latent class analysis using laboratory test results (urine filtration and Loop-mediated Amplification tests), enabled to categorize participants into high, or low USCH likelihood. Variables associated with a high USCH likelihood in the multivariate model were included in the Schisto-Score. Score cut-offs were chosen based on calculated predictive values. Based on the latent class model, participants were categorized into high (29.05%, n= 183) or low (70.95%, n= 447) USCH likelihood. The variables identified for the Schisto-Score were: age 5-14 (+1), age ≥ 15 (-1), distance from the household to the transmission site &gt; 1Km (-2), bath in transmission site daily (+3), bath in transmission site weekly (+3), bath in transmission site monthly (+3), and blood in urines (+1). The Schisto-Score had an area under the ROC curve (AUC) of 0.7243 (95%CI 0.6781 - 0.7705), indicating good discrimination between infected and non-infected individuals. The cut-off to reasonably exclude USCH was set at scores &lt;0 (NPV 96.5%, 95%CI 93.0-98.6). The treatment threshold was set at a cut-off ≥ 4 points (PPV 49.5%, 95%CI 41.2-64.7). The specificity and sensitivity of the Schisto-Score were 78.95% (95%CI 71.30-86.60), and 88.24% (95%CI 83.57-92.91) respectively. The Schisto-Score could be used as a screening test to identify infected individuals to be treated with praziquantel from those in need to be tested with a more accurate diagnostic test such as PCR.</w:t>
      </w:r>
    </w:p>
    <w:p w14:paraId="52EE723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25-A-2670-ASTMH</w:t>
      </w:r>
    </w:p>
    <w:p w14:paraId="209FA81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27FFDEC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Comparative Evaluation of Environmental Surveillance Methods for Detecting </w:t>
      </w:r>
      <w:r w:rsidRPr="00AF28B8">
        <w:rPr>
          <w:rFonts w:ascii="Calibri" w:hAnsi="Calibri" w:cs="Calibri"/>
          <w:i/>
          <w:iCs/>
          <w:color w:val="000000"/>
          <w:sz w:val="22"/>
          <w:szCs w:val="22"/>
        </w:rPr>
        <w:t>Salmonella Typhi</w:t>
      </w:r>
      <w:r w:rsidRPr="00AF28B8">
        <w:rPr>
          <w:rFonts w:ascii="Calibri" w:hAnsi="Calibri" w:cs="Calibri"/>
          <w:color w:val="000000"/>
          <w:sz w:val="22"/>
          <w:szCs w:val="22"/>
        </w:rPr>
        <w:t> in Wastewater: Cost-Effectiveness and Efficiency Assessment</w:t>
      </w:r>
    </w:p>
    <w:p w14:paraId="1E127E7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Salmonella </w:t>
      </w:r>
      <w:r w:rsidRPr="00AF28B8">
        <w:rPr>
          <w:rFonts w:ascii="Calibri" w:hAnsi="Calibri" w:cs="Calibri"/>
          <w:color w:val="000000"/>
          <w:sz w:val="22"/>
          <w:szCs w:val="22"/>
        </w:rPr>
        <w:t>enterica serovar </w:t>
      </w:r>
      <w:r w:rsidRPr="00AF28B8">
        <w:rPr>
          <w:rFonts w:ascii="Calibri" w:hAnsi="Calibri" w:cs="Calibri"/>
          <w:i/>
          <w:iCs/>
          <w:color w:val="000000"/>
          <w:sz w:val="22"/>
          <w:szCs w:val="22"/>
        </w:rPr>
        <w:t>S.</w:t>
      </w:r>
      <w:r w:rsidRPr="00AF28B8">
        <w:rPr>
          <w:rFonts w:ascii="Calibri" w:hAnsi="Calibri" w:cs="Calibri"/>
          <w:color w:val="000000"/>
          <w:sz w:val="22"/>
          <w:szCs w:val="22"/>
        </w:rPr>
        <w:t> Typhi, are the causative agent of typhoid fever, which remains a major public health concern in low- and middle-income countries (LMICs), driven mainly by poor sanitation, limited diagnostics, and increased trends of antibiotic resistance. While blood culture is currently a clinical gold standard for diagnosis, it is logistically difficult, resource-intensive, and often unavailable in endemic areas. On the other hand, Environmental Surveillance (ES) can be a better alternative due to its non-invasive approach. It can be a cost-effective solution, as it is time-efficient and can provide snapshots of pathogen circulation even when the individuals remain asymptomatic. This is particularly effective in early outbreak detection and in tailoring protocols for prevention. ES for </w:t>
      </w:r>
      <w:r w:rsidRPr="00AF28B8">
        <w:rPr>
          <w:rFonts w:ascii="Calibri" w:hAnsi="Calibri" w:cs="Calibri"/>
          <w:i/>
          <w:iCs/>
          <w:color w:val="000000"/>
          <w:sz w:val="22"/>
          <w:szCs w:val="22"/>
        </w:rPr>
        <w:t>S.</w:t>
      </w:r>
      <w:r w:rsidRPr="00AF28B8">
        <w:rPr>
          <w:rFonts w:ascii="Calibri" w:hAnsi="Calibri" w:cs="Calibri"/>
          <w:color w:val="000000"/>
          <w:sz w:val="22"/>
          <w:szCs w:val="22"/>
        </w:rPr>
        <w:t> Typhi is still a nascent field as it lacks standardized protocols. By comparing three ES methods—Moore Swabs, Bag-Mediated Filtration System (BMFS), and Ultrafiltration (UF)—for detection of </w:t>
      </w:r>
      <w:r w:rsidRPr="00AF28B8">
        <w:rPr>
          <w:rFonts w:ascii="Calibri" w:hAnsi="Calibri" w:cs="Calibri"/>
          <w:i/>
          <w:iCs/>
          <w:color w:val="000000"/>
          <w:sz w:val="22"/>
          <w:szCs w:val="22"/>
        </w:rPr>
        <w:t>S.</w:t>
      </w:r>
      <w:r w:rsidRPr="00AF28B8">
        <w:rPr>
          <w:rFonts w:ascii="Calibri" w:hAnsi="Calibri" w:cs="Calibri"/>
          <w:color w:val="000000"/>
          <w:sz w:val="22"/>
          <w:szCs w:val="22"/>
        </w:rPr>
        <w:t> Typhi and </w:t>
      </w:r>
      <w:r w:rsidRPr="00AF28B8">
        <w:rPr>
          <w:rFonts w:ascii="Calibri" w:hAnsi="Calibri" w:cs="Calibri"/>
          <w:i/>
          <w:iCs/>
          <w:color w:val="000000"/>
          <w:sz w:val="22"/>
          <w:szCs w:val="22"/>
        </w:rPr>
        <w:t>S.</w:t>
      </w:r>
      <w:r w:rsidRPr="00AF28B8">
        <w:rPr>
          <w:rFonts w:ascii="Calibri" w:hAnsi="Calibri" w:cs="Calibri"/>
          <w:color w:val="000000"/>
          <w:sz w:val="22"/>
          <w:szCs w:val="22"/>
        </w:rPr>
        <w:t> Paratyphi in wastewater we aimed to establish a valid gold standard. We collected samples in a 36-hour window and processed the Moore Swab samples using Selenite-F enrichment, followed by DNA extraction with the Qiagen PowerFecal kit. Detection was performed via TaqMan multiplex real-time PCR targeting </w:t>
      </w:r>
      <w:r w:rsidRPr="00AF28B8">
        <w:rPr>
          <w:rFonts w:ascii="Calibri" w:hAnsi="Calibri" w:cs="Calibri"/>
          <w:i/>
          <w:iCs/>
          <w:color w:val="000000"/>
          <w:sz w:val="22"/>
          <w:szCs w:val="22"/>
        </w:rPr>
        <w:t>ttr</w:t>
      </w:r>
      <w:r w:rsidRPr="00AF28B8">
        <w:rPr>
          <w:rFonts w:ascii="Calibri" w:hAnsi="Calibri" w:cs="Calibri"/>
          <w:color w:val="000000"/>
          <w:sz w:val="22"/>
          <w:szCs w:val="22"/>
        </w:rPr>
        <w:t>, </w:t>
      </w:r>
      <w:r w:rsidRPr="00AF28B8">
        <w:rPr>
          <w:rFonts w:ascii="Calibri" w:hAnsi="Calibri" w:cs="Calibri"/>
          <w:i/>
          <w:iCs/>
          <w:color w:val="000000"/>
          <w:sz w:val="22"/>
          <w:szCs w:val="22"/>
        </w:rPr>
        <w:t>tviB</w:t>
      </w:r>
      <w:r w:rsidRPr="00AF28B8">
        <w:rPr>
          <w:rFonts w:ascii="Calibri" w:hAnsi="Calibri" w:cs="Calibri"/>
          <w:color w:val="000000"/>
          <w:sz w:val="22"/>
          <w:szCs w:val="22"/>
        </w:rPr>
        <w:t>, and </w:t>
      </w:r>
      <w:r w:rsidRPr="00AF28B8">
        <w:rPr>
          <w:rFonts w:ascii="Calibri" w:hAnsi="Calibri" w:cs="Calibri"/>
          <w:i/>
          <w:iCs/>
          <w:color w:val="000000"/>
          <w:sz w:val="22"/>
          <w:szCs w:val="22"/>
        </w:rPr>
        <w:t>staG</w:t>
      </w:r>
      <w:r w:rsidRPr="00AF28B8">
        <w:rPr>
          <w:rFonts w:ascii="Calibri" w:hAnsi="Calibri" w:cs="Calibri"/>
          <w:color w:val="000000"/>
          <w:sz w:val="22"/>
          <w:szCs w:val="22"/>
        </w:rPr>
        <w:t> genes. Moore Swabs showed the highest sensitivity. It also proved to be the most cost-</w:t>
      </w:r>
      <w:r w:rsidRPr="00AF28B8">
        <w:rPr>
          <w:rFonts w:ascii="Calibri" w:hAnsi="Calibri" w:cs="Calibri"/>
          <w:color w:val="000000"/>
          <w:sz w:val="22"/>
          <w:szCs w:val="22"/>
        </w:rPr>
        <w:lastRenderedPageBreak/>
        <w:t>effective and field-friendly option, requiring minimal equipment and technical expertise. BMFS and UF yielded similar results in terms of detection, however, they had at greater cost and complexity in terms of sampling and extraction. In conclusion, Moore Swabs, especially when combined with enrichment, may be a validated gold standard due to its sensitivity, affordability, and operational feasibility. Our findings support the integration of ES into routine surveillance and highlight its role in guiding vaccine and WASH interventions especially in endemic settings.</w:t>
      </w:r>
    </w:p>
    <w:p w14:paraId="468B677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25-A-2671-ASTMH</w:t>
      </w:r>
    </w:p>
    <w:p w14:paraId="6D0D02D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Vaccine Clinical Trials</w:t>
      </w:r>
    </w:p>
    <w:p w14:paraId="2732DE4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Melatonin: A Sleep Aid that could Favorably Modulate the Immune Responses Induced by the Seasonal Influenza Vaccine</w:t>
      </w:r>
    </w:p>
    <w:p w14:paraId="658714E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Naturally produced melatonin acts as an antioxidant and immunomodulator, regulating sleep and vital functions. With synthetic melatonin widely used as a sleep aid by U.S. military personnel, its immunomodulatory effects on vaccines and therapeutics must be studied to ensure military readiness. Here, we evaluated exogenous melatonin mediated immune modulation during seasonal influenza vaccination using the samples generated in the MAVRICS (Melatonin and Vaccine Response, Immunity, and Chronobiology Study) clinical study conducted by the NMRC. MAVRICS participants had received quadrivalent inactivated influenza vaccine (IIV4) (2022/23 season) after being randomized to melatonin (REMfresh® 5mg melatonin caplets one hour before the planned bedtime for 14 days, starting on the night of vaccination) or no treatment (control). The hemagglutination inhibition (HAI) antibody responses, serum cytokine/chemokines, and </w:t>
      </w:r>
      <w:r w:rsidRPr="00AF28B8">
        <w:rPr>
          <w:rFonts w:ascii="Calibri" w:hAnsi="Calibri" w:cs="Calibri"/>
          <w:i/>
          <w:iCs/>
          <w:color w:val="000000"/>
          <w:sz w:val="22"/>
          <w:szCs w:val="22"/>
        </w:rPr>
        <w:t>in vitro </w:t>
      </w:r>
      <w:r w:rsidRPr="00AF28B8">
        <w:rPr>
          <w:rFonts w:ascii="Calibri" w:hAnsi="Calibri" w:cs="Calibri"/>
          <w:color w:val="000000"/>
          <w:sz w:val="22"/>
          <w:szCs w:val="22"/>
        </w:rPr>
        <w:t>antigen-specific cellular responses were measured at 24-48h pre-vaccination and 14-21 days post-vaccination. Peripheral blood mononuclear cells were stimulated with recombinant hemagglutinin proteins </w:t>
      </w:r>
      <w:r w:rsidRPr="00AF28B8">
        <w:rPr>
          <w:rFonts w:ascii="Calibri" w:hAnsi="Calibri" w:cs="Calibri"/>
          <w:i/>
          <w:iCs/>
          <w:color w:val="000000"/>
          <w:sz w:val="22"/>
          <w:szCs w:val="22"/>
        </w:rPr>
        <w:t>in vitro</w:t>
      </w:r>
      <w:r w:rsidRPr="00AF28B8">
        <w:rPr>
          <w:rFonts w:ascii="Calibri" w:hAnsi="Calibri" w:cs="Calibri"/>
          <w:color w:val="000000"/>
          <w:sz w:val="22"/>
          <w:szCs w:val="22"/>
        </w:rPr>
        <w:t> to measure antigen-specific responses. Vaccination induced a significant increase in HAI antibodies, antigen specific T follicular helper 17 (Tfh17) cells and IL-2, IL-4, IL-17a, IL-13 cytokines in the melatonin recipients who had high baseline titers against the A/Victoria vaccine strain. Those changes were not seen in the control vaccinees with a high baseline. In the absence of melatonin, the response was limited to a substantial increase in A/Victoria HAI titers and antigen activated CD4+ T cells only in the control vaccinees with a low HAI baseline. Notably, melatonin itself did not significantly impact the global cytokine milieu in the serum. Overall, the melatonin appears to selectively and favorably modulate antigen-specific immune responses by mitigating the negative effects of the pre-existing immune landscape. Thus, melatonin shows promise as a potential adjuvant for seasonal influenza vaccines, given the disease's complex immune history.</w:t>
      </w:r>
    </w:p>
    <w:p w14:paraId="0A39AF1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25-A-2672-ASTMH</w:t>
      </w:r>
    </w:p>
    <w:p w14:paraId="61FF090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10094AA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Frequency of Neurocysticercosis Among People with Neurological Clinical Manifestations: An Updated Systematic Review (1990-2023)</w:t>
      </w:r>
    </w:p>
    <w:p w14:paraId="4F82841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Neurocysticercosis (NCC) results from infection of the central nervous system with the larval stage of </w:t>
      </w:r>
      <w:r w:rsidRPr="00AF28B8">
        <w:rPr>
          <w:rFonts w:ascii="Calibri" w:hAnsi="Calibri" w:cs="Calibri"/>
          <w:i/>
          <w:iCs/>
          <w:color w:val="000000"/>
          <w:sz w:val="22"/>
          <w:szCs w:val="22"/>
        </w:rPr>
        <w:t>Taenia solium</w:t>
      </w:r>
      <w:r w:rsidRPr="00AF28B8">
        <w:rPr>
          <w:rFonts w:ascii="Calibri" w:hAnsi="Calibri" w:cs="Calibri"/>
          <w:color w:val="000000"/>
          <w:sz w:val="22"/>
          <w:szCs w:val="22"/>
        </w:rPr>
        <w:t xml:space="preserve">. While the condition causes epileptic seizures globally, it can also be asymptomatic or present with other clinical manifestations. The objective of this systematic review was to determine the frequency of NCC among people with epileptic seizures (PWES) and other clinical manifestations in different regions from 1990 to 2023. Twenty databases were searched for articles published between January 1990 and May 2023. The review was conducted by two independent reviewers in three phases: 1) title and abstract screening, 2) full article evaluation, and 3) data extraction. The pooled proportion of NCC among PWES was estimated using a Bayesian hierarchical logistic model. Meta-analysis was not conducted for other clinical manifestations due to methodological heterogeneity. Final analysis included 102 studies from 21 countries, with 36 studies included in a meta-analysis. The median proportion of NCC among PWES was 22% (95% Bayesian credible interval [BCI]: 17-28%), with large heterogeneity (τ = 1.12). This proportion was lower in studies conducted after June 2008 (Odds Ratio [OR]=0.5; 95% BCI: </w:t>
      </w:r>
      <w:r w:rsidRPr="00AF28B8">
        <w:rPr>
          <w:rFonts w:ascii="Calibri" w:hAnsi="Calibri" w:cs="Calibri"/>
          <w:color w:val="000000"/>
          <w:sz w:val="22"/>
          <w:szCs w:val="22"/>
        </w:rPr>
        <w:lastRenderedPageBreak/>
        <w:t>0.3-0.9). A higher estimate was observed in studies from South-East Asia versus Africa (OR=2.1; 95% BCI: 1.1-4.1). The proportion of NCC among asymptomatic people was reported in four studies, with the proportion ranging from 8% (95% confidence interval [CI]: 4-13%) to 29% (95% CI: 21-38%). There was variability in NCC proportion among people reporting other clinical manifestations. The NCC proportion was 4% (95% CI: 3-8%) among people with primary headaches, 28% (95% CI: 18-39%) among people with severe headaches, and ranged from 1% (95% CI: 0.2-2%) to 24% (95% CI: 23-25%) in studies of people receiving brain imaging for non-specific causes. In conclusion, proportion with NCC varied among people with different clinical manifestations. Proportion of NCC among PWES was lower in the second half of the study period, with some regions showing higher burden highlighting its continued importance as an endemic zoonosis in those areas.</w:t>
      </w:r>
    </w:p>
    <w:p w14:paraId="5D1378B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25-A-2673-ASTMH</w:t>
      </w:r>
    </w:p>
    <w:p w14:paraId="4F0B146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771B241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SEROPREVALENCE OF HEPATITIS B AND C VIRUSES AMONG OUTPATIENTS IN PERI-URBAN SETTINGS: A STUDY AT AGONA AND MAMPONG GOVERNMENT HOSPITALS, GHANA.</w:t>
      </w:r>
    </w:p>
    <w:p w14:paraId="67444A5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Hepatitis B and C viruses are major global health concerns, particularly in resource-limited countries, where they significantly contribute to illness and mortality. These hepatotropic viruses share similar transmission routes and are leading causes of cirrhosis, liver cancer, and death. This study aimed to assess the seroprevalence of hepatitis B surface antigen (HBsAg) and hepatitis C virus (HCV) antibodies among outpatients at Agona and Asante Mampong Government Hospitals in Ghana.A hospital-based cross-sectional study was conducted at the outpatient departments of the two hospitals from January to March 2024. A total of 461 patients were recruited through convenience sampling. For each participant, 1 mL of venous blood was collected into serum separator tubes, allowed to clot, and then centrifuged at 1000–1500 g for 10 minutes. Separate Spot Rapid One-Step Test Strips (United Kingdom) were used to detect HBsAg and anti-HCV antibodies in the serum, following the manufacturer’s instructions to ensure test accuracy.The overall prevalence of hepatitis B and C among the participants was 9.8% (45/461), with individual prevalences of 7.4% for HBsAg and 2.4% for HCV. Females recorded a higher combined prevalence (6.5%) than males (3.3%). The highest HBsAg prevalence (3.9%) was observed among individuals aged 20–29 years. In terms of religious affiliation, Christians accounted for the majority of cases (6.0%), with 4.8% testing positive for HBsAg and 1.3% for HCV. Students recorded the highest occupational prevalence at 2.8% (13/461). Community-wise, Mampong recorded a higher combined prevalence (5.6%) compared to Agona (4.1%). Participants with no formal education had a slightly higher prevalence (3.3%) than those with diploma-level education (3.0%).These findings underscore the need to enhance public health initiatives focused on increasing awareness about hepatitis B and C transmission and prevention. Enhanced community education, along with expanded vaccination and screening programs, is essential in reducing the burden of viral hepatitis.</w:t>
      </w:r>
    </w:p>
    <w:p w14:paraId="41E3D5A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25-A-2674-ASTMH</w:t>
      </w:r>
    </w:p>
    <w:p w14:paraId="5C8915E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121B1B4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Harmful Effects Of Environmental Pollution On Health and Healthcare Expenditure in Sub-Saharan Africa: Perspectives and Call to Action</w:t>
      </w:r>
    </w:p>
    <w:p w14:paraId="34F19DF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With the advent of globalization and rapid technological advancement, environmental pollution has significantly increased in Sub-Saharan Africa, leading to numerous life-threatening health conditions. Poor waste and sewage management, poverty, increased human activities due to population growth, and weak government policies have all contributed to this crisis. Children under five and adults over sixty-five are disproportionately affected. Despite the burden, environmental pollution receives less attention than infectious diseases or maternal and child health. Healthcare expenditure remains low, contributing less than 2% to the region’s GDP, even as pollution-related health issues rise. A scoping review was conducted using databases such as PubMed and Google Scholar with search terms including “Harmful Effects of Environmental Pollution,” “Healthcare Expenditure,” and “Sub-Saharan Africa.” </w:t>
      </w:r>
      <w:r w:rsidRPr="00AF28B8">
        <w:rPr>
          <w:rFonts w:ascii="Calibri" w:hAnsi="Calibri" w:cs="Calibri"/>
          <w:color w:val="000000"/>
          <w:sz w:val="22"/>
          <w:szCs w:val="22"/>
        </w:rPr>
        <w:lastRenderedPageBreak/>
        <w:t>Studies focusing on types of environmental pollution, carbon dioxide emissions, and the role of stakeholders were included. Findings show that pollution has resulted in increased disease burden, loss of income, and decreased productivity. Poor households often forgo treatment due to cost, deepening health inequities. Environmental pollution also imposes intangible economic losses, including reduced labor output and opportunity costs. Increased public spending on health and environmental protection could foster a healthier and more productive population, contributing to economic growth. Policymakers must recognize the health, economic, and social benefits of addressing pollution and integrate environmental health into national priorities. A regional, multi-sectoral response is urgently needed.</w:t>
      </w:r>
    </w:p>
    <w:p w14:paraId="344641F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25-A-2675-ASTMH</w:t>
      </w:r>
    </w:p>
    <w:p w14:paraId="065E22F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646F021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Wound Myiasis of the Neck Complicated by Polymicrobial Sepsis and Cavitary Lung Lesion in a Homeless Patient</w:t>
      </w:r>
    </w:p>
    <w:p w14:paraId="11B103D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Wound myiasis, the infestation of necrotic or open wounds by dipterous larvae, is increasingly recognized in subtropical urban settings, particularly among socially vulnerable populations. While historically associated with tropical climates, it is now documented in high-income countries in the context of neglected malignancies, poor hygiene, and limited healthcare access. </w:t>
      </w:r>
      <w:r w:rsidRPr="00AF28B8">
        <w:rPr>
          <w:rFonts w:ascii="Calibri" w:hAnsi="Calibri" w:cs="Calibri"/>
          <w:b/>
          <w:bCs/>
          <w:color w:val="000000"/>
          <w:sz w:val="22"/>
          <w:szCs w:val="22"/>
        </w:rPr>
        <w:t>Case Presentation:</w:t>
      </w:r>
      <w:r w:rsidRPr="00AF28B8">
        <w:rPr>
          <w:rFonts w:ascii="Calibri" w:hAnsi="Calibri" w:cs="Calibri"/>
          <w:color w:val="000000"/>
          <w:sz w:val="22"/>
          <w:szCs w:val="22"/>
        </w:rPr>
        <w:t>We report the case of a 49-year-old homeless male found unresponsive, with a large, malodorous ulcerated neck wound containing active maggot infestation. Imaging revealed extensive invasion of the sternocleidomastoid and paravertebral musculature and a cavitary lesion in the left lower lung lobe. Blood cultures grew </w:t>
      </w:r>
      <w:r w:rsidRPr="00AF28B8">
        <w:rPr>
          <w:rFonts w:ascii="Calibri" w:hAnsi="Calibri" w:cs="Calibri"/>
          <w:i/>
          <w:iCs/>
          <w:color w:val="000000"/>
          <w:sz w:val="22"/>
          <w:szCs w:val="22"/>
        </w:rPr>
        <w:t>Streptococcus</w:t>
      </w:r>
      <w:r w:rsidRPr="00AF28B8">
        <w:rPr>
          <w:rFonts w:ascii="Calibri" w:hAnsi="Calibri" w:cs="Calibri"/>
          <w:color w:val="000000"/>
          <w:sz w:val="22"/>
          <w:szCs w:val="22"/>
        </w:rPr>
        <w:t> species and </w:t>
      </w:r>
      <w:r w:rsidRPr="00AF28B8">
        <w:rPr>
          <w:rFonts w:ascii="Calibri" w:hAnsi="Calibri" w:cs="Calibri"/>
          <w:i/>
          <w:iCs/>
          <w:color w:val="000000"/>
          <w:sz w:val="22"/>
          <w:szCs w:val="22"/>
        </w:rPr>
        <w:t>Providencia stuartii</w:t>
      </w:r>
      <w:r w:rsidRPr="00AF28B8">
        <w:rPr>
          <w:rFonts w:ascii="Calibri" w:hAnsi="Calibri" w:cs="Calibri"/>
          <w:color w:val="000000"/>
          <w:sz w:val="22"/>
          <w:szCs w:val="22"/>
        </w:rPr>
        <w:t>, consistent with polymicrobial sepsis. While initially treated empirically for mucormycosis, antifungal therapy was de-escalated. The patient underwent serial debridements and was managed with broad-spectrum antibiotics and systemic ivermectin. </w:t>
      </w:r>
      <w:r w:rsidRPr="00AF28B8">
        <w:rPr>
          <w:rFonts w:ascii="Calibri" w:hAnsi="Calibri" w:cs="Calibri"/>
          <w:b/>
          <w:bCs/>
          <w:color w:val="000000"/>
          <w:sz w:val="22"/>
          <w:szCs w:val="22"/>
        </w:rPr>
        <w:t>Discussion:</w:t>
      </w:r>
      <w:r w:rsidRPr="00AF28B8">
        <w:rPr>
          <w:rFonts w:ascii="Calibri" w:hAnsi="Calibri" w:cs="Calibri"/>
          <w:color w:val="000000"/>
          <w:sz w:val="22"/>
          <w:szCs w:val="22"/>
        </w:rPr>
        <w:t>This case underscores the importance of considering myiasis as a marker of underlying malignancy, immunocompromise, and healthcare neglect. It also highlights the need to evaluate for rare or emerging pathogens associated with larval colonization, such as </w:t>
      </w:r>
      <w:r w:rsidRPr="00AF28B8">
        <w:rPr>
          <w:rFonts w:ascii="Calibri" w:hAnsi="Calibri" w:cs="Calibri"/>
          <w:i/>
          <w:iCs/>
          <w:color w:val="000000"/>
          <w:sz w:val="22"/>
          <w:szCs w:val="22"/>
        </w:rPr>
        <w:t>Ignatzschineria</w:t>
      </w:r>
      <w:r w:rsidRPr="00AF28B8">
        <w:rPr>
          <w:rFonts w:ascii="Calibri" w:hAnsi="Calibri" w:cs="Calibri"/>
          <w:color w:val="000000"/>
          <w:sz w:val="22"/>
          <w:szCs w:val="22"/>
        </w:rPr>
        <w:t> spp. Early imaging, multidisciplinary care, and wound management are essential, especially when infestation occurs near critical vascular or respiratory structures. </w:t>
      </w:r>
      <w:r w:rsidRPr="00AF28B8">
        <w:rPr>
          <w:rFonts w:ascii="Calibri" w:hAnsi="Calibri" w:cs="Calibri"/>
          <w:b/>
          <w:bCs/>
          <w:color w:val="000000"/>
          <w:sz w:val="22"/>
          <w:szCs w:val="22"/>
        </w:rPr>
        <w:t>Conclusion:</w:t>
      </w:r>
      <w:r w:rsidRPr="00AF28B8">
        <w:rPr>
          <w:rFonts w:ascii="Calibri" w:hAnsi="Calibri" w:cs="Calibri"/>
          <w:color w:val="000000"/>
          <w:sz w:val="22"/>
          <w:szCs w:val="22"/>
        </w:rPr>
        <w:t>Wound myiasis in high-income, subtropical settings reflects the convergence of environmental exposure, chronic disease, and social vulnerability. Clinicians should maintain a high index of suspicion for malignancy and systemic complications in patients presenting with maggot-infested wounds.</w:t>
      </w:r>
    </w:p>
    <w:p w14:paraId="4EECA81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25-A-2676-ASTMH</w:t>
      </w:r>
    </w:p>
    <w:p w14:paraId="67F87C0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Arthropods/Entomology - Other</w:t>
      </w:r>
    </w:p>
    <w:p w14:paraId="42BAE8F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Comparative analysis of the sand fly bacterial and fungal communities across three leishmaniasis endemic localities of Antioquia, Colombia</w:t>
      </w:r>
    </w:p>
    <w:p w14:paraId="17873B9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Sand flies (Diptera: Psychodidae) are primary vectors of </w:t>
      </w:r>
      <w:r w:rsidRPr="00AF28B8">
        <w:rPr>
          <w:rFonts w:ascii="Calibri" w:hAnsi="Calibri" w:cs="Calibri"/>
          <w:i/>
          <w:iCs/>
          <w:color w:val="000000"/>
          <w:sz w:val="22"/>
          <w:szCs w:val="22"/>
        </w:rPr>
        <w:t>Leishmania</w:t>
      </w:r>
      <w:r w:rsidRPr="00AF28B8">
        <w:rPr>
          <w:rFonts w:ascii="Calibri" w:hAnsi="Calibri" w:cs="Calibri"/>
          <w:color w:val="000000"/>
          <w:sz w:val="22"/>
          <w:szCs w:val="22"/>
        </w:rPr>
        <w:t> parasites, the causative agents of leishmaniasis—a neglected tropical disease with a significant burden in Latin America. In Colombia, multiple sand fly species are implicated in leishmaniasis</w:t>
      </w:r>
      <w:r w:rsidRPr="00AF28B8">
        <w:rPr>
          <w:rFonts w:ascii="Calibri" w:hAnsi="Calibri" w:cs="Calibri"/>
          <w:i/>
          <w:iCs/>
          <w:color w:val="000000"/>
          <w:sz w:val="22"/>
          <w:szCs w:val="22"/>
        </w:rPr>
        <w:t> </w:t>
      </w:r>
      <w:r w:rsidRPr="00AF28B8">
        <w:rPr>
          <w:rFonts w:ascii="Calibri" w:hAnsi="Calibri" w:cs="Calibri"/>
          <w:color w:val="000000"/>
          <w:sz w:val="22"/>
          <w:szCs w:val="22"/>
        </w:rPr>
        <w:t>transmission, yet their microbiomes, which can influence vector competence, remain poorly understood. This study analyzed the bacterial and fungal microbiomes of female sand flies (n=40) from San Francisco, Carepa and Turbo, leishmaniasis endemic rural areas in Antioquia state, Colombia. Sand flies were collected using CDC incandescent light and blue LED traps with dry ice, morphologically identified and confirmed via cytochrome c oxidase I (COI) sequencing. </w:t>
      </w:r>
      <w:r w:rsidRPr="00AF28B8">
        <w:rPr>
          <w:rFonts w:ascii="Calibri" w:hAnsi="Calibri" w:cs="Calibri"/>
          <w:i/>
          <w:iCs/>
          <w:color w:val="000000"/>
          <w:sz w:val="22"/>
          <w:szCs w:val="22"/>
        </w:rPr>
        <w:t>Leishmania</w:t>
      </w:r>
      <w:r w:rsidRPr="00AF28B8">
        <w:rPr>
          <w:rFonts w:ascii="Calibri" w:hAnsi="Calibri" w:cs="Calibri"/>
          <w:color w:val="000000"/>
          <w:sz w:val="22"/>
          <w:szCs w:val="22"/>
        </w:rPr>
        <w:t> infection was assessed using nested PCR, and microbiome composition was characterized via high-throughput sequencing of the 16S rRNA (bacteria) and ITS2 (fungi) regions. Five sand fly species were identified: </w:t>
      </w:r>
      <w:r w:rsidRPr="00AF28B8">
        <w:rPr>
          <w:rFonts w:ascii="Calibri" w:hAnsi="Calibri" w:cs="Calibri"/>
          <w:i/>
          <w:iCs/>
          <w:color w:val="000000"/>
          <w:sz w:val="22"/>
          <w:szCs w:val="22"/>
        </w:rPr>
        <w:t>Pressatia dysponeta</w:t>
      </w:r>
      <w:r w:rsidRPr="00AF28B8">
        <w:rPr>
          <w:rFonts w:ascii="Calibri" w:hAnsi="Calibri" w:cs="Calibri"/>
          <w:color w:val="000000"/>
          <w:sz w:val="22"/>
          <w:szCs w:val="22"/>
        </w:rPr>
        <w:t>, </w:t>
      </w:r>
      <w:r w:rsidRPr="00AF28B8">
        <w:rPr>
          <w:rFonts w:ascii="Calibri" w:hAnsi="Calibri" w:cs="Calibri"/>
          <w:i/>
          <w:iCs/>
          <w:color w:val="000000"/>
          <w:sz w:val="22"/>
          <w:szCs w:val="22"/>
        </w:rPr>
        <w:t>Pr. camposi </w:t>
      </w:r>
      <w:r w:rsidRPr="00AF28B8">
        <w:rPr>
          <w:rFonts w:ascii="Calibri" w:hAnsi="Calibri" w:cs="Calibri"/>
          <w:color w:val="000000"/>
          <w:sz w:val="22"/>
          <w:szCs w:val="22"/>
        </w:rPr>
        <w:t>and the </w:t>
      </w:r>
      <w:r w:rsidRPr="00AF28B8">
        <w:rPr>
          <w:rFonts w:ascii="Calibri" w:hAnsi="Calibri" w:cs="Calibri"/>
          <w:i/>
          <w:iCs/>
          <w:color w:val="000000"/>
          <w:sz w:val="22"/>
          <w:szCs w:val="22"/>
        </w:rPr>
        <w:t>Leishmania</w:t>
      </w:r>
      <w:r w:rsidRPr="00AF28B8">
        <w:rPr>
          <w:rFonts w:ascii="Calibri" w:hAnsi="Calibri" w:cs="Calibri"/>
          <w:color w:val="000000"/>
          <w:sz w:val="22"/>
          <w:szCs w:val="22"/>
        </w:rPr>
        <w:t> vectors</w:t>
      </w:r>
      <w:r w:rsidRPr="00AF28B8">
        <w:rPr>
          <w:rFonts w:ascii="Calibri" w:hAnsi="Calibri" w:cs="Calibri"/>
          <w:i/>
          <w:iCs/>
          <w:color w:val="000000"/>
          <w:sz w:val="22"/>
          <w:szCs w:val="22"/>
        </w:rPr>
        <w:t> Nyssomyia olmeca bicolor</w:t>
      </w:r>
      <w:r w:rsidRPr="00AF28B8">
        <w:rPr>
          <w:rFonts w:ascii="Calibri" w:hAnsi="Calibri" w:cs="Calibri"/>
          <w:color w:val="000000"/>
          <w:sz w:val="22"/>
          <w:szCs w:val="22"/>
        </w:rPr>
        <w:t>, </w:t>
      </w:r>
      <w:r w:rsidRPr="00AF28B8">
        <w:rPr>
          <w:rFonts w:ascii="Calibri" w:hAnsi="Calibri" w:cs="Calibri"/>
          <w:i/>
          <w:iCs/>
          <w:color w:val="000000"/>
          <w:sz w:val="22"/>
          <w:szCs w:val="22"/>
        </w:rPr>
        <w:t>Lutzomyia gomezi</w:t>
      </w:r>
      <w:r w:rsidRPr="00AF28B8">
        <w:rPr>
          <w:rFonts w:ascii="Calibri" w:hAnsi="Calibri" w:cs="Calibri"/>
          <w:color w:val="000000"/>
          <w:sz w:val="22"/>
          <w:szCs w:val="22"/>
        </w:rPr>
        <w:t>, and </w:t>
      </w:r>
      <w:r w:rsidRPr="00AF28B8">
        <w:rPr>
          <w:rFonts w:ascii="Calibri" w:hAnsi="Calibri" w:cs="Calibri"/>
          <w:i/>
          <w:iCs/>
          <w:color w:val="000000"/>
          <w:sz w:val="22"/>
          <w:szCs w:val="22"/>
        </w:rPr>
        <w:t>Psychodopygus panamensis</w:t>
      </w:r>
      <w:r w:rsidRPr="00AF28B8">
        <w:rPr>
          <w:rFonts w:ascii="Calibri" w:hAnsi="Calibri" w:cs="Calibri"/>
          <w:color w:val="000000"/>
          <w:sz w:val="22"/>
          <w:szCs w:val="22"/>
        </w:rPr>
        <w:t>. While all samples tested negative for </w:t>
      </w:r>
      <w:r w:rsidRPr="00AF28B8">
        <w:rPr>
          <w:rFonts w:ascii="Calibri" w:hAnsi="Calibri" w:cs="Calibri"/>
          <w:i/>
          <w:iCs/>
          <w:color w:val="000000"/>
          <w:sz w:val="22"/>
          <w:szCs w:val="22"/>
        </w:rPr>
        <w:t>Leishmania</w:t>
      </w:r>
      <w:r w:rsidRPr="00AF28B8">
        <w:rPr>
          <w:rFonts w:ascii="Calibri" w:hAnsi="Calibri" w:cs="Calibri"/>
          <w:color w:val="000000"/>
          <w:sz w:val="22"/>
          <w:szCs w:val="22"/>
        </w:rPr>
        <w:t>, bacterial communities were dominated by </w:t>
      </w:r>
      <w:r w:rsidRPr="00AF28B8">
        <w:rPr>
          <w:rFonts w:ascii="Calibri" w:hAnsi="Calibri" w:cs="Calibri"/>
          <w:i/>
          <w:iCs/>
          <w:color w:val="000000"/>
          <w:sz w:val="22"/>
          <w:szCs w:val="22"/>
        </w:rPr>
        <w:t>Proteobacteria</w:t>
      </w:r>
      <w:r w:rsidRPr="00AF28B8">
        <w:rPr>
          <w:rFonts w:ascii="Calibri" w:hAnsi="Calibri" w:cs="Calibri"/>
          <w:color w:val="000000"/>
          <w:sz w:val="22"/>
          <w:szCs w:val="22"/>
        </w:rPr>
        <w:t>, </w:t>
      </w:r>
      <w:r w:rsidRPr="00AF28B8">
        <w:rPr>
          <w:rFonts w:ascii="Calibri" w:hAnsi="Calibri" w:cs="Calibri"/>
          <w:i/>
          <w:iCs/>
          <w:color w:val="000000"/>
          <w:sz w:val="22"/>
          <w:szCs w:val="22"/>
        </w:rPr>
        <w:t>Firmicutes</w:t>
      </w:r>
      <w:r w:rsidRPr="00AF28B8">
        <w:rPr>
          <w:rFonts w:ascii="Calibri" w:hAnsi="Calibri" w:cs="Calibri"/>
          <w:color w:val="000000"/>
          <w:sz w:val="22"/>
          <w:szCs w:val="22"/>
        </w:rPr>
        <w:t>, and </w:t>
      </w:r>
      <w:r w:rsidRPr="00AF28B8">
        <w:rPr>
          <w:rFonts w:ascii="Calibri" w:hAnsi="Calibri" w:cs="Calibri"/>
          <w:i/>
          <w:iCs/>
          <w:color w:val="000000"/>
          <w:sz w:val="22"/>
          <w:szCs w:val="22"/>
        </w:rPr>
        <w:t>Actinobacteria</w:t>
      </w:r>
      <w:r w:rsidRPr="00AF28B8">
        <w:rPr>
          <w:rFonts w:ascii="Calibri" w:hAnsi="Calibri" w:cs="Calibri"/>
          <w:color w:val="000000"/>
          <w:sz w:val="22"/>
          <w:szCs w:val="22"/>
        </w:rPr>
        <w:t xml:space="preserve">, with low-abundance archaea. Fungal communities were largely composed </w:t>
      </w:r>
      <w:r w:rsidRPr="00AF28B8">
        <w:rPr>
          <w:rFonts w:ascii="Calibri" w:hAnsi="Calibri" w:cs="Calibri"/>
          <w:color w:val="000000"/>
          <w:sz w:val="22"/>
          <w:szCs w:val="22"/>
        </w:rPr>
        <w:lastRenderedPageBreak/>
        <w:t>of </w:t>
      </w:r>
      <w:r w:rsidRPr="00AF28B8">
        <w:rPr>
          <w:rFonts w:ascii="Calibri" w:hAnsi="Calibri" w:cs="Calibri"/>
          <w:i/>
          <w:iCs/>
          <w:color w:val="000000"/>
          <w:sz w:val="22"/>
          <w:szCs w:val="22"/>
        </w:rPr>
        <w:t>Basidiomycota</w:t>
      </w:r>
      <w:r w:rsidRPr="00AF28B8">
        <w:rPr>
          <w:rFonts w:ascii="Calibri" w:hAnsi="Calibri" w:cs="Calibri"/>
          <w:color w:val="000000"/>
          <w:sz w:val="22"/>
          <w:szCs w:val="22"/>
        </w:rPr>
        <w:t> and </w:t>
      </w:r>
      <w:r w:rsidRPr="00AF28B8">
        <w:rPr>
          <w:rFonts w:ascii="Calibri" w:hAnsi="Calibri" w:cs="Calibri"/>
          <w:i/>
          <w:iCs/>
          <w:color w:val="000000"/>
          <w:sz w:val="22"/>
          <w:szCs w:val="22"/>
        </w:rPr>
        <w:t>Ascomycota</w:t>
      </w:r>
      <w:r w:rsidRPr="00AF28B8">
        <w:rPr>
          <w:rFonts w:ascii="Calibri" w:hAnsi="Calibri" w:cs="Calibri"/>
          <w:color w:val="000000"/>
          <w:sz w:val="22"/>
          <w:szCs w:val="22"/>
        </w:rPr>
        <w:t>, with notable entomopathogenic fungi (</w:t>
      </w:r>
      <w:r w:rsidRPr="00AF28B8">
        <w:rPr>
          <w:rFonts w:ascii="Calibri" w:hAnsi="Calibri" w:cs="Calibri"/>
          <w:i/>
          <w:iCs/>
          <w:color w:val="000000"/>
          <w:sz w:val="22"/>
          <w:szCs w:val="22"/>
        </w:rPr>
        <w:t>Cordycipitaceae</w:t>
      </w:r>
      <w:r w:rsidRPr="00AF28B8">
        <w:rPr>
          <w:rFonts w:ascii="Calibri" w:hAnsi="Calibri" w:cs="Calibri"/>
          <w:color w:val="000000"/>
          <w:sz w:val="22"/>
          <w:szCs w:val="22"/>
        </w:rPr>
        <w:t>) in </w:t>
      </w:r>
      <w:r w:rsidRPr="00AF28B8">
        <w:rPr>
          <w:rFonts w:ascii="Calibri" w:hAnsi="Calibri" w:cs="Calibri"/>
          <w:i/>
          <w:iCs/>
          <w:color w:val="000000"/>
          <w:sz w:val="22"/>
          <w:szCs w:val="22"/>
        </w:rPr>
        <w:t>P. panamensis</w:t>
      </w:r>
      <w:r w:rsidRPr="00AF28B8">
        <w:rPr>
          <w:rFonts w:ascii="Calibri" w:hAnsi="Calibri" w:cs="Calibri"/>
          <w:color w:val="000000"/>
          <w:sz w:val="22"/>
          <w:szCs w:val="22"/>
        </w:rPr>
        <w:t>. Although alpha diversity did not differ significantly across species or locations, fungal beta diversity varied significantly among sand fly genera, indicating a more species-specific fungal composition. This study provides, to the best of our knowledge, the first microbiome characterization of </w:t>
      </w:r>
      <w:r w:rsidRPr="00AF28B8">
        <w:rPr>
          <w:rFonts w:ascii="Calibri" w:hAnsi="Calibri" w:cs="Calibri"/>
          <w:i/>
          <w:iCs/>
          <w:color w:val="000000"/>
          <w:sz w:val="22"/>
          <w:szCs w:val="22"/>
        </w:rPr>
        <w:t>Pr. camposi</w:t>
      </w:r>
      <w:r w:rsidRPr="00AF28B8">
        <w:rPr>
          <w:rFonts w:ascii="Calibri" w:hAnsi="Calibri" w:cs="Calibri"/>
          <w:color w:val="000000"/>
          <w:sz w:val="22"/>
          <w:szCs w:val="22"/>
        </w:rPr>
        <w:t> and </w:t>
      </w:r>
      <w:r w:rsidRPr="00AF28B8">
        <w:rPr>
          <w:rFonts w:ascii="Calibri" w:hAnsi="Calibri" w:cs="Calibri"/>
          <w:i/>
          <w:iCs/>
          <w:color w:val="000000"/>
          <w:sz w:val="22"/>
          <w:szCs w:val="22"/>
        </w:rPr>
        <w:t>Pr. dysponeta</w:t>
      </w:r>
      <w:r w:rsidRPr="00AF28B8">
        <w:rPr>
          <w:rFonts w:ascii="Calibri" w:hAnsi="Calibri" w:cs="Calibri"/>
          <w:color w:val="000000"/>
          <w:sz w:val="22"/>
          <w:szCs w:val="22"/>
        </w:rPr>
        <w:t>, two species with unclear vector competence. These results contribute to our understanding of sand fly-associated microbial diversity, which can play an important role in modulating pathogen acquisition, development, and transmission. Such insights could help to improve vector control strategies and enhance our understanding of leishmaniasis ecology.</w:t>
      </w:r>
    </w:p>
    <w:p w14:paraId="3A05179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25-A-2677-ASTMH</w:t>
      </w:r>
    </w:p>
    <w:p w14:paraId="70670DF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3C8F9E3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Novel Antitubulin Agents with Multistage Antiplasmodial Activity</w:t>
      </w:r>
    </w:p>
    <w:p w14:paraId="6CB5639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Multidrug-resistant </w:t>
      </w:r>
      <w:r w:rsidRPr="00AF28B8">
        <w:rPr>
          <w:rFonts w:ascii="Calibri" w:hAnsi="Calibri" w:cs="Calibri"/>
          <w:i/>
          <w:iCs/>
          <w:color w:val="000000"/>
          <w:sz w:val="22"/>
          <w:szCs w:val="22"/>
        </w:rPr>
        <w:t>Plasmodium</w:t>
      </w:r>
      <w:r w:rsidRPr="00AF28B8">
        <w:rPr>
          <w:rFonts w:ascii="Calibri" w:hAnsi="Calibri" w:cs="Calibri"/>
          <w:color w:val="000000"/>
          <w:sz w:val="22"/>
          <w:szCs w:val="22"/>
        </w:rPr>
        <w:t> parasites threaten the efficacy of current antimalarial therapies and control efforts, highlighting the urgent need for innovative treatment strategies. This project aims to identify novel compounds with potential for development into effective antimalarial agents. Ideal therapeutic candidates must possess a validated drug target, multistage activity, and be able to block parasite transmission. </w:t>
      </w:r>
      <w:r w:rsidRPr="00AF28B8">
        <w:rPr>
          <w:rFonts w:ascii="Calibri" w:hAnsi="Calibri" w:cs="Calibri"/>
          <w:i/>
          <w:iCs/>
          <w:color w:val="000000"/>
          <w:sz w:val="22"/>
          <w:szCs w:val="22"/>
        </w:rPr>
        <w:t>Plasmodium</w:t>
      </w:r>
      <w:r w:rsidRPr="00AF28B8">
        <w:rPr>
          <w:rFonts w:ascii="Calibri" w:hAnsi="Calibri" w:cs="Calibri"/>
          <w:color w:val="000000"/>
          <w:sz w:val="22"/>
          <w:szCs w:val="22"/>
        </w:rPr>
        <w:t> parasites express α and ß tubulins that polymerize to form microtubules, essential for parasite morphology, reproduction, and host cell invasion, positioning them as potential drug targets. Using known tubulin binding scaffolds as templates, a focused library of 183 compounds was designed, synthesized, and screened for activity across various </w:t>
      </w:r>
      <w:r w:rsidRPr="00AF28B8">
        <w:rPr>
          <w:rFonts w:ascii="Calibri" w:hAnsi="Calibri" w:cs="Calibri"/>
          <w:i/>
          <w:iCs/>
          <w:color w:val="000000"/>
          <w:sz w:val="22"/>
          <w:szCs w:val="22"/>
        </w:rPr>
        <w:t>Plasmodium</w:t>
      </w:r>
      <w:r w:rsidRPr="00AF28B8">
        <w:rPr>
          <w:rFonts w:ascii="Calibri" w:hAnsi="Calibri" w:cs="Calibri"/>
          <w:color w:val="000000"/>
          <w:sz w:val="22"/>
          <w:szCs w:val="22"/>
        </w:rPr>
        <w:t> life cycle stages. Transcriptomic data from PlasmoDB and the Malaria Cell Atlas confirm broad expression of α1-, α2-, and ß-tubulin isoforms throughout the parasite life cycle, supporting their candidacy as multistage targets. </w:t>
      </w:r>
      <w:r w:rsidRPr="00AF28B8">
        <w:rPr>
          <w:rFonts w:ascii="Calibri" w:hAnsi="Calibri" w:cs="Calibri"/>
          <w:i/>
          <w:iCs/>
          <w:color w:val="000000"/>
          <w:sz w:val="22"/>
          <w:szCs w:val="22"/>
        </w:rPr>
        <w:t>In vitro</w:t>
      </w:r>
      <w:r w:rsidRPr="00AF28B8">
        <w:rPr>
          <w:rFonts w:ascii="Calibri" w:hAnsi="Calibri" w:cs="Calibri"/>
          <w:color w:val="000000"/>
          <w:sz w:val="22"/>
          <w:szCs w:val="22"/>
        </w:rPr>
        <w:t> screening identified 9 compounds with inhibitory activity against </w:t>
      </w:r>
      <w:r w:rsidRPr="00AF28B8">
        <w:rPr>
          <w:rFonts w:ascii="Calibri" w:hAnsi="Calibri" w:cs="Calibri"/>
          <w:i/>
          <w:iCs/>
          <w:color w:val="000000"/>
          <w:sz w:val="22"/>
          <w:szCs w:val="22"/>
        </w:rPr>
        <w:t>P. berghei</w:t>
      </w:r>
      <w:r w:rsidRPr="00AF28B8">
        <w:rPr>
          <w:rFonts w:ascii="Calibri" w:hAnsi="Calibri" w:cs="Calibri"/>
          <w:color w:val="000000"/>
          <w:sz w:val="22"/>
          <w:szCs w:val="22"/>
        </w:rPr>
        <w:t> asexual blood stages (IC</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 2.2 - 7.9 µM) and 16 compounds active against drug-sensitive and multidrug-resistant </w:t>
      </w:r>
      <w:r w:rsidRPr="00AF28B8">
        <w:rPr>
          <w:rFonts w:ascii="Calibri" w:hAnsi="Calibri" w:cs="Calibri"/>
          <w:i/>
          <w:iCs/>
          <w:color w:val="000000"/>
          <w:sz w:val="22"/>
          <w:szCs w:val="22"/>
        </w:rPr>
        <w:t>P. falciparum</w:t>
      </w:r>
      <w:r w:rsidRPr="00AF28B8">
        <w:rPr>
          <w:rFonts w:ascii="Calibri" w:hAnsi="Calibri" w:cs="Calibri"/>
          <w:color w:val="000000"/>
          <w:sz w:val="22"/>
          <w:szCs w:val="22"/>
        </w:rPr>
        <w:t> strains (IC</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 1.5 - 9.1 µM). Notably, none of the tested compounds induced erythrocyte lysis and preliminary toxicity profiling suggests a favorable safety profile. Furthermore, 4 of 10 prioritized compounds inhibited male gamete exflagellation in </w:t>
      </w:r>
      <w:r w:rsidRPr="00AF28B8">
        <w:rPr>
          <w:rFonts w:ascii="Calibri" w:hAnsi="Calibri" w:cs="Calibri"/>
          <w:i/>
          <w:iCs/>
          <w:color w:val="000000"/>
          <w:sz w:val="22"/>
          <w:szCs w:val="22"/>
        </w:rPr>
        <w:t>P. berghei,</w:t>
      </w:r>
      <w:r w:rsidRPr="00AF28B8">
        <w:rPr>
          <w:rFonts w:ascii="Calibri" w:hAnsi="Calibri" w:cs="Calibri"/>
          <w:color w:val="000000"/>
          <w:sz w:val="22"/>
          <w:szCs w:val="22"/>
        </w:rPr>
        <w:t> while 6 impaired </w:t>
      </w:r>
      <w:r w:rsidRPr="00AF28B8">
        <w:rPr>
          <w:rFonts w:ascii="Calibri" w:hAnsi="Calibri" w:cs="Calibri"/>
          <w:i/>
          <w:iCs/>
          <w:color w:val="000000"/>
          <w:sz w:val="22"/>
          <w:szCs w:val="22"/>
        </w:rPr>
        <w:t>in vitro</w:t>
      </w:r>
      <w:r w:rsidRPr="00AF28B8">
        <w:rPr>
          <w:rFonts w:ascii="Calibri" w:hAnsi="Calibri" w:cs="Calibri"/>
          <w:color w:val="000000"/>
          <w:sz w:val="22"/>
          <w:szCs w:val="22"/>
        </w:rPr>
        <w:t> ookinete development in </w:t>
      </w:r>
      <w:r w:rsidRPr="00AF28B8">
        <w:rPr>
          <w:rFonts w:ascii="Calibri" w:hAnsi="Calibri" w:cs="Calibri"/>
          <w:i/>
          <w:iCs/>
          <w:color w:val="000000"/>
          <w:sz w:val="22"/>
          <w:szCs w:val="22"/>
        </w:rPr>
        <w:t>P. berghei</w:t>
      </w:r>
      <w:r w:rsidRPr="00AF28B8">
        <w:rPr>
          <w:rFonts w:ascii="Calibri" w:hAnsi="Calibri" w:cs="Calibri"/>
          <w:color w:val="000000"/>
          <w:sz w:val="22"/>
          <w:szCs w:val="22"/>
        </w:rPr>
        <w:t> (IC</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2.7 - 33.3 µM). This study identifies novel compounds with multistage activity and transmission blocking potential, making them ideal candidates for lead optimization and the further development of antimalarial therapeutics. Material has been reviewed by the Walter Reed Army Institute of Research. There is no objection to its presentation and/or publication. The opinions or assertions contained herein are the private views of the author, and are not to be construed as official, or as reflecting true views of the Department of the Army or the Department of Defense.</w:t>
      </w:r>
    </w:p>
    <w:p w14:paraId="05BAA03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25-A-2678-ASTMH</w:t>
      </w:r>
    </w:p>
    <w:p w14:paraId="63A19B0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49C519B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Amplicon Sequencing identifies Non-falciparum Malaria species in Senegal</w:t>
      </w:r>
    </w:p>
    <w:p w14:paraId="297911F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Co-infections involving Plasmodium falciparum and non-falciparum species pose significant challenges to malaria elimination in sub-Saharan Africa. However, their prevalence and epidemiological impact remain underestimated due to diagnostic limitations of traditional methods. In this study, we employed MAD4HatTeR, an innovative targeted sequencing approach with high sensitivity and specificity, to identify and characterize Plasmodium co-infections in Senegal. A total of 812 P. falciparum-positive samples confirmed by PfHRP2 RDT, qPCR targeting varATS were collected in 2023 from six malaria-endemic regions with varying transmission intensities. Samples were sequenced using the MAD4HatTeR protocol, which targets the lactate dehydrogenase (ldh) gene to discriminate Plasmodium speciesNon-falciparum species were detected in 0.9% (7/812) of samples, including 0.6% (5/812) co-infections with P. malariae and 0.2% (2/812) with P. ovale. Neither P. vivax nor P. knowlesi was detected. These results were validated by qPCR, demonstrating high concordance (R² = 0.99) between MAD4HatTeR and qPCR for P. falciparum detection. Regional analysis revealed that all co-infections were found south east, the </w:t>
      </w:r>
      <w:r w:rsidRPr="00AF28B8">
        <w:rPr>
          <w:rFonts w:ascii="Calibri" w:hAnsi="Calibri" w:cs="Calibri"/>
          <w:color w:val="000000"/>
          <w:sz w:val="22"/>
          <w:szCs w:val="22"/>
        </w:rPr>
        <w:lastRenderedPageBreak/>
        <w:t>high incidence malaria transmission in Senegal.These findings underscore the utility of targeted sequencing for detecting low-prevalence mixed-species infections, advancing genomic surveillance, and refining strategies for malaria elimination in Senegal.</w:t>
      </w:r>
    </w:p>
    <w:p w14:paraId="24B42F2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25-A-2679-ASTMH</w:t>
      </w:r>
    </w:p>
    <w:p w14:paraId="2F823BB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3238E28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Polymorphisms in the Pfcoronin gene in Plasmodium falciparum clinical Isolates in Ghana and their Potential Role in Antimalarial Drug Resistance</w:t>
      </w:r>
    </w:p>
    <w:p w14:paraId="4B57E84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Several genes in </w:t>
      </w:r>
      <w:r w:rsidRPr="00AF28B8">
        <w:rPr>
          <w:rFonts w:ascii="Calibri" w:hAnsi="Calibri" w:cs="Calibri"/>
          <w:i/>
          <w:iCs/>
          <w:color w:val="000000"/>
          <w:sz w:val="22"/>
          <w:szCs w:val="22"/>
        </w:rPr>
        <w:t>Plasmodium falciparum (Pf)</w:t>
      </w:r>
      <w:r w:rsidRPr="00AF28B8">
        <w:rPr>
          <w:rFonts w:ascii="Calibri" w:hAnsi="Calibri" w:cs="Calibri"/>
          <w:color w:val="000000"/>
          <w:sz w:val="22"/>
          <w:szCs w:val="22"/>
        </w:rPr>
        <w:t> have been implicated in the emergence and spread of antimalarial drug resistance, a major challenge in malaria control. The </w:t>
      </w:r>
      <w:r w:rsidRPr="00AF28B8">
        <w:rPr>
          <w:rFonts w:ascii="Calibri" w:hAnsi="Calibri" w:cs="Calibri"/>
          <w:i/>
          <w:iCs/>
          <w:color w:val="000000"/>
          <w:sz w:val="22"/>
          <w:szCs w:val="22"/>
        </w:rPr>
        <w:t>Pfcoronin</w:t>
      </w:r>
      <w:r w:rsidRPr="00AF28B8">
        <w:rPr>
          <w:rFonts w:ascii="Calibri" w:hAnsi="Calibri" w:cs="Calibri"/>
          <w:color w:val="000000"/>
          <w:sz w:val="22"/>
          <w:szCs w:val="22"/>
        </w:rPr>
        <w:t> gene encodes an actin-binding protein crucial for parasite motility and invasion and has recently been implicated in drug resistance mechanisms. We investigated the genetic diversity of </w:t>
      </w:r>
      <w:r w:rsidRPr="00AF28B8">
        <w:rPr>
          <w:rFonts w:ascii="Calibri" w:hAnsi="Calibri" w:cs="Calibri"/>
          <w:i/>
          <w:iCs/>
          <w:color w:val="000000"/>
          <w:sz w:val="22"/>
          <w:szCs w:val="22"/>
        </w:rPr>
        <w:t>Pfcoronin</w:t>
      </w:r>
      <w:r w:rsidRPr="00AF28B8">
        <w:rPr>
          <w:rFonts w:ascii="Calibri" w:hAnsi="Calibri" w:cs="Calibri"/>
          <w:color w:val="000000"/>
          <w:sz w:val="22"/>
          <w:szCs w:val="22"/>
        </w:rPr>
        <w:t> across Ghana to identify region-specific patterns that could inform antimalarial resistance surveillance and intervention strategies. Our study involved 1,301 monoclonal (Fws≥0.98) </w:t>
      </w:r>
      <w:r w:rsidRPr="00AF28B8">
        <w:rPr>
          <w:rFonts w:ascii="Calibri" w:hAnsi="Calibri" w:cs="Calibri"/>
          <w:i/>
          <w:iCs/>
          <w:color w:val="000000"/>
          <w:sz w:val="22"/>
          <w:szCs w:val="22"/>
        </w:rPr>
        <w:t>Pf</w:t>
      </w:r>
      <w:r w:rsidRPr="00AF28B8">
        <w:rPr>
          <w:rFonts w:ascii="Calibri" w:hAnsi="Calibri" w:cs="Calibri"/>
          <w:color w:val="000000"/>
          <w:sz w:val="22"/>
          <w:szCs w:val="22"/>
        </w:rPr>
        <w:t> infections collected between 2009 and 2018 across seven regions in Ghana, sequenced as part of the MalariaGEN project. Population genetics analyses included Fst, PCA, nucleotide diversity (π), and Tajima’s D. We identified 165 SNPs, with 56.97% of isolates carrying missense mutations. Notably, S183G and P76A substitutions were highly prevalent across Ghana, occurring in 51-60% of samples in Upper East, Ashanti, and Greater Accra regions, suggesting a possible local selective advantage. Other variants linked to altered drug binding or invasion efficiency, like E450K, D546N, K388M, and V62M, were rare (&lt;3%). Nucleotide diversity peaked in Accra. Tajima’s D varied by region, with some showing negative values, suggesting purifying selection at certain loci. While overall population differentiation between the regions was low (Fst= -0.0017), localized genetic divergence was observed. PCA indicated modest regional clustering, suggesting potential local adaptation, which will be explored further in phylogenetic analyses. The enrichment of specific protein-altering mutations in and across regions suggests varying significant local selection pressure, possibly through front-line treatments, and may be driving parasite evolution. Our findings emphasize the need for genomic surveillance to detect variants that may be under selection early. Our data support growing evidence that </w:t>
      </w:r>
      <w:r w:rsidRPr="00AF28B8">
        <w:rPr>
          <w:rFonts w:ascii="Calibri" w:hAnsi="Calibri" w:cs="Calibri"/>
          <w:i/>
          <w:iCs/>
          <w:color w:val="000000"/>
          <w:sz w:val="22"/>
          <w:szCs w:val="22"/>
        </w:rPr>
        <w:t>Pfcoronin</w:t>
      </w:r>
      <w:r w:rsidRPr="00AF28B8">
        <w:rPr>
          <w:rFonts w:ascii="Calibri" w:hAnsi="Calibri" w:cs="Calibri"/>
          <w:color w:val="000000"/>
          <w:sz w:val="22"/>
          <w:szCs w:val="22"/>
        </w:rPr>
        <w:t> may serve as a supplementary resistance marker for monitoring. Further functional studies are needed to validate the role of these variants in drug susceptibility and parasite fitness.</w:t>
      </w:r>
    </w:p>
    <w:p w14:paraId="0675E5D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25-A-2680-ASTMH</w:t>
      </w:r>
    </w:p>
    <w:p w14:paraId="73FE8BD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0746CBA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Comprehensive Spatiotemporal Analysis of Antimalarial Drug Resistance Markers in Mali: A Genomic Surveillance Approach</w:t>
      </w:r>
    </w:p>
    <w:p w14:paraId="41FFDA4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w:t>
      </w:r>
      <w:r w:rsidRPr="00AF28B8">
        <w:rPr>
          <w:rFonts w:ascii="Calibri" w:hAnsi="Calibri" w:cs="Calibri"/>
          <w:color w:val="000000"/>
          <w:sz w:val="22"/>
          <w:szCs w:val="22"/>
        </w:rPr>
        <w:br/>
        <w:t>Malaria remains a leading cause of morbidity and mortality in Mali, accounting for 40% of outpatient visits and 20% of under-five deaths. The emergence and spread of drug-resistant Plasmodium falciparum parasites threatens to reverse recent gains in malaria control. This study presents a comprehensive genomic analysis of 2,887 clinical isolates collected from 2014-2022 across four epidemiologically distinct regions in Mali, integrated with data from MalariaGEN's Pf7 and Pf8 global resources.</w:t>
      </w:r>
      <w:r w:rsidRPr="00AF28B8">
        <w:rPr>
          <w:rFonts w:ascii="Calibri" w:hAnsi="Calibri" w:cs="Calibri"/>
          <w:color w:val="000000"/>
          <w:sz w:val="22"/>
          <w:szCs w:val="22"/>
        </w:rPr>
        <w:br/>
        <w:t>Method</w:t>
      </w:r>
      <w:r w:rsidRPr="00AF28B8">
        <w:rPr>
          <w:rFonts w:ascii="Calibri" w:hAnsi="Calibri" w:cs="Calibri"/>
          <w:color w:val="000000"/>
          <w:sz w:val="22"/>
          <w:szCs w:val="22"/>
        </w:rPr>
        <w:br/>
        <w:t>Using targeted amplicon sequencing, we characterized resistance markers in five key genes (pfk13, pfcrt, pfmdr1, pfdhfr, and pfdhps), following standardized Genetic Report Card protocols. Our approach combined high-throughput sequencing with advanced geospatial modeling and Bayesian statistical analyses to track spatiotemporal resistance patterns and identify emerging hotspots.</w:t>
      </w:r>
      <w:r w:rsidRPr="00AF28B8">
        <w:rPr>
          <w:rFonts w:ascii="Calibri" w:hAnsi="Calibri" w:cs="Calibri"/>
          <w:color w:val="000000"/>
          <w:sz w:val="22"/>
          <w:szCs w:val="22"/>
        </w:rPr>
        <w:br/>
        <w:t>Results</w:t>
      </w:r>
      <w:r w:rsidRPr="00AF28B8">
        <w:rPr>
          <w:rFonts w:ascii="Calibri" w:hAnsi="Calibri" w:cs="Calibri"/>
          <w:color w:val="000000"/>
          <w:sz w:val="22"/>
          <w:szCs w:val="22"/>
        </w:rPr>
        <w:br/>
        <w:t xml:space="preserve">Our analysis revealed alarming trends in antimalarial resistance evolution. Most concerning is the near-fixation of sulfadoxine-pyrimethamine (SP) resistance markers (pfdhfr IRNI + pfdhps AGEAA), which reached 91% prevalence by 2022 and was associated with 2.3-fold higher treatment failure rates (95% </w:t>
      </w:r>
      <w:r w:rsidRPr="00AF28B8">
        <w:rPr>
          <w:rFonts w:ascii="Calibri" w:hAnsi="Calibri" w:cs="Calibri"/>
          <w:color w:val="000000"/>
          <w:sz w:val="22"/>
          <w:szCs w:val="22"/>
        </w:rPr>
        <w:lastRenderedPageBreak/>
        <w:t>CI: 1.7-3.1). Equally worrying is the emergence of artemisinin resistance precursors (pfarps10-V127M) detected in 12.1% of isolates from Koila, suggesting potential vulnerability to artemisinin-based therapies. Furthermore, we observed the unexpected persistence of chloroquine resistance (pfcrt CVIET) showing cyclical patterns (19-29% prevalence) despite the drug's withdrawal from clinical use.</w:t>
      </w:r>
      <w:r w:rsidRPr="00AF28B8">
        <w:rPr>
          <w:rFonts w:ascii="Calibri" w:hAnsi="Calibri" w:cs="Calibri"/>
          <w:color w:val="000000"/>
          <w:sz w:val="22"/>
          <w:szCs w:val="22"/>
        </w:rPr>
        <w:br/>
        <w:t>Conclusion</w:t>
      </w:r>
      <w:r w:rsidRPr="00AF28B8">
        <w:rPr>
          <w:rFonts w:ascii="Calibri" w:hAnsi="Calibri" w:cs="Calibri"/>
          <w:color w:val="000000"/>
          <w:sz w:val="22"/>
          <w:szCs w:val="22"/>
        </w:rPr>
        <w:br/>
        <w:t>Our results underscore the urgent need to transition from SP-based preventive therapies in high-prevalence areas, enhance surveillance for emerging artemisinin resistance, and implement targeted containment strategies in high-risk transmission corridors. The integrated genomic and geospatial approach developed here provides a framework for real-time resistance monitoring that can be adapted to other malaria-endemic regions.</w:t>
      </w:r>
    </w:p>
    <w:p w14:paraId="0F64AA8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25-A-2681-ASTMH</w:t>
      </w:r>
    </w:p>
    <w:p w14:paraId="23EE0E3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7EA4881B" w14:textId="611F30A4"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 experimental approach to strengthening the health system through free healthcare accessibility for Southeast Asian migrants to prevent dengue outbreaks in Dhofar Governorate, Sultanate of Oman</w:t>
      </w:r>
    </w:p>
    <w:p w14:paraId="0906672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Dhofar Governorate of Oman consists of 45.27% (239,782/529,625) Southeast Asian migrant workers, the majority of whom had remained infected or untreated for prolonged durations due to financial constraints and the high expense of medical care. This phenomenon transitioned Oman into an endemic state for dengue in 2018 and intensified the outbreak in Dhofar, with the incidence rate rising by 21.2-fold, from 4.9 cases per 100,000 population (24 cases) in 2019 to 104 cases per 100,000 population (509 cases) in 2022. To mitigate the dengue outbreak, the Sultanate of Oman has been providing complimentary dengue treatment to all migrants since October 2023. Therefore, the aim of this study was to evaluate the impact of providing free dengue treatment to migrants, which ensures health access for all, in the Dhofar Governorate of Oman. Dengue patients reported in the Ministry of Health's electronic surveillance system from 2022 to March 2025 were analyzed to determine the incidence rate of dengue before and after the implementation of universal free healthcare for migrants. The incidence of dengue among Southeast Asian migrants diminished by 17-fold, from 39 cases per 100,000 population (199 cases) in 2022 to 2.3 cases per 100,000 population (12 cases) in 2024 following the implementation of free healthcare access. The overall incidence rate of dengue decreased by 22 times, from 104 cases per 100,000 population (509 cases) in 2022 to 4.6 cases per 100,000 of the population (24 cases) in 2024 after the introduction of free health access for migrants. From January to March 2025, no dengue cases were reported. Providing free healthcare access to the Southeast Asian migrants effectively controls the outbreaks and prevents disease transmission in the Dhofar Governorate of Oman.</w:t>
      </w:r>
    </w:p>
    <w:p w14:paraId="55AEFF1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25-A-2682-ASTMH</w:t>
      </w:r>
    </w:p>
    <w:p w14:paraId="357C94E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Trachoma</w:t>
      </w:r>
    </w:p>
    <w:p w14:paraId="07695EA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Persistent Trachoma in Al Rahad locality, Sudan: Evaluating </w:t>
      </w:r>
      <w:r w:rsidRPr="00AF28B8">
        <w:rPr>
          <w:rFonts w:ascii="Calibri" w:hAnsi="Calibri" w:cs="Calibri"/>
          <w:i/>
          <w:iCs/>
          <w:color w:val="000000"/>
          <w:sz w:val="22"/>
          <w:szCs w:val="22"/>
        </w:rPr>
        <w:t>Chlamydia trachomatis</w:t>
      </w:r>
      <w:r w:rsidRPr="00AF28B8">
        <w:rPr>
          <w:rFonts w:ascii="Calibri" w:hAnsi="Calibri" w:cs="Calibri"/>
          <w:color w:val="000000"/>
          <w:sz w:val="22"/>
          <w:szCs w:val="22"/>
        </w:rPr>
        <w:t> infection prevalence as a complementary epidemiologic indicator</w:t>
      </w:r>
    </w:p>
    <w:p w14:paraId="7061D6E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Trachoma remains a public health problem in Sudan, particularly in the eastern state of Gedarif. A 2009 baseline trachoma survey conducted in Al Rahad locality, Gedarif, revealed a trachomatous inflammation-follicular (TF) prevalence of 7.1%, prompting intervention with azithromycin mass drug administration (MDA). After 1 round of MDA, several parts of the locality were surveyed and found to be highly endemic (&gt;20% TF). This led to 3 additional MDA rounds (2014–2016) across the entire locality. Given the conflicting results of the first 2 surveys, this study aimed to estimate the clinical signs of trachoma and collect conjunctival swabs to monitor </w:t>
      </w:r>
      <w:r w:rsidRPr="00AF28B8">
        <w:rPr>
          <w:rFonts w:ascii="Calibri" w:hAnsi="Calibri" w:cs="Calibri"/>
          <w:i/>
          <w:iCs/>
          <w:color w:val="000000"/>
          <w:sz w:val="22"/>
          <w:szCs w:val="22"/>
        </w:rPr>
        <w:t>Chlamydia trachomatis</w:t>
      </w:r>
      <w:r w:rsidRPr="00AF28B8">
        <w:rPr>
          <w:rFonts w:ascii="Calibri" w:hAnsi="Calibri" w:cs="Calibri"/>
          <w:color w:val="000000"/>
          <w:sz w:val="22"/>
          <w:szCs w:val="22"/>
        </w:rPr>
        <w:t> (</w:t>
      </w:r>
      <w:r w:rsidRPr="00AF28B8">
        <w:rPr>
          <w:rFonts w:ascii="Calibri" w:hAnsi="Calibri" w:cs="Calibri"/>
          <w:i/>
          <w:iCs/>
          <w:color w:val="000000"/>
          <w:sz w:val="22"/>
          <w:szCs w:val="22"/>
        </w:rPr>
        <w:t>Ct</w:t>
      </w:r>
      <w:r w:rsidRPr="00AF28B8">
        <w:rPr>
          <w:rFonts w:ascii="Calibri" w:hAnsi="Calibri" w:cs="Calibri"/>
          <w:color w:val="000000"/>
          <w:sz w:val="22"/>
          <w:szCs w:val="22"/>
        </w:rPr>
        <w:t>) infection prevalence in a 2017 impact survey in Al Rahad. The survey was conducted using a cross-sectional, multi-stage cluster-randomized design. Certified graders assessed participants for clinical signs and swabbed children for </w:t>
      </w:r>
      <w:r w:rsidRPr="00AF28B8">
        <w:rPr>
          <w:rFonts w:ascii="Calibri" w:hAnsi="Calibri" w:cs="Calibri"/>
          <w:i/>
          <w:iCs/>
          <w:color w:val="000000"/>
          <w:sz w:val="22"/>
          <w:szCs w:val="22"/>
        </w:rPr>
        <w:t>Ct</w:t>
      </w:r>
      <w:r w:rsidRPr="00AF28B8">
        <w:rPr>
          <w:rFonts w:ascii="Calibri" w:hAnsi="Calibri" w:cs="Calibri"/>
          <w:color w:val="000000"/>
          <w:sz w:val="22"/>
          <w:szCs w:val="22"/>
        </w:rPr>
        <w:t xml:space="preserve">. Swabs were assayed on the Cobas 6800 using a commercial assay. A total of 924 children ages 1–9 years were examined and 866 children (93.7%) were swabbed. The TF prevalence among children 1–9 years </w:t>
      </w:r>
      <w:r w:rsidRPr="00AF28B8">
        <w:rPr>
          <w:rFonts w:ascii="Calibri" w:hAnsi="Calibri" w:cs="Calibri"/>
          <w:color w:val="000000"/>
          <w:sz w:val="22"/>
          <w:szCs w:val="22"/>
        </w:rPr>
        <w:lastRenderedPageBreak/>
        <w:t>was 6.3% (95% Confidence Interval [CI]: 4.0–10.0), and the prevalence of trachomatous inflammation-intense was 0.2% (95% CI: 0.0–0.8). </w:t>
      </w:r>
      <w:r w:rsidRPr="00AF28B8">
        <w:rPr>
          <w:rFonts w:ascii="Calibri" w:hAnsi="Calibri" w:cs="Calibri"/>
          <w:i/>
          <w:iCs/>
          <w:color w:val="000000"/>
          <w:sz w:val="22"/>
          <w:szCs w:val="22"/>
        </w:rPr>
        <w:t>Ct</w:t>
      </w:r>
      <w:r w:rsidRPr="00AF28B8">
        <w:rPr>
          <w:rFonts w:ascii="Calibri" w:hAnsi="Calibri" w:cs="Calibri"/>
          <w:color w:val="000000"/>
          <w:sz w:val="22"/>
          <w:szCs w:val="22"/>
        </w:rPr>
        <w:t> prevalence among this age group was 0.8% (95% CI: 0.2–3.1). Among children with TF, 27.9% tested positive for </w:t>
      </w:r>
      <w:r w:rsidRPr="00AF28B8">
        <w:rPr>
          <w:rFonts w:ascii="Calibri" w:hAnsi="Calibri" w:cs="Calibri"/>
          <w:i/>
          <w:iCs/>
          <w:color w:val="000000"/>
          <w:sz w:val="22"/>
          <w:szCs w:val="22"/>
        </w:rPr>
        <w:t>Ct</w:t>
      </w:r>
      <w:r w:rsidRPr="00AF28B8">
        <w:rPr>
          <w:rFonts w:ascii="Calibri" w:hAnsi="Calibri" w:cs="Calibri"/>
          <w:color w:val="000000"/>
          <w:sz w:val="22"/>
          <w:szCs w:val="22"/>
        </w:rPr>
        <w:t> (N=6/47); while among children without TF, &lt;1% tested positive for </w:t>
      </w:r>
      <w:r w:rsidRPr="00AF28B8">
        <w:rPr>
          <w:rFonts w:ascii="Calibri" w:hAnsi="Calibri" w:cs="Calibri"/>
          <w:i/>
          <w:iCs/>
          <w:color w:val="000000"/>
          <w:sz w:val="22"/>
          <w:szCs w:val="22"/>
        </w:rPr>
        <w:t>Ct </w:t>
      </w:r>
      <w:r w:rsidRPr="00AF28B8">
        <w:rPr>
          <w:rFonts w:ascii="Calibri" w:hAnsi="Calibri" w:cs="Calibri"/>
          <w:color w:val="000000"/>
          <w:sz w:val="22"/>
          <w:szCs w:val="22"/>
        </w:rPr>
        <w:t>(N=6/809). This enhanced impact survey showed that despite 4 rounds of MDA, TF prevalence remained above the World Health Organization’s established 5% elimination threshold. While </w:t>
      </w:r>
      <w:r w:rsidRPr="00AF28B8">
        <w:rPr>
          <w:rFonts w:ascii="Calibri" w:hAnsi="Calibri" w:cs="Calibri"/>
          <w:i/>
          <w:iCs/>
          <w:color w:val="000000"/>
          <w:sz w:val="22"/>
          <w:szCs w:val="22"/>
        </w:rPr>
        <w:t>Ct </w:t>
      </w:r>
      <w:r w:rsidRPr="00AF28B8">
        <w:rPr>
          <w:rFonts w:ascii="Calibri" w:hAnsi="Calibri" w:cs="Calibri"/>
          <w:color w:val="000000"/>
          <w:sz w:val="22"/>
          <w:szCs w:val="22"/>
        </w:rPr>
        <w:t>was detected in survey communities, the prevalence was &lt;1%. As seen in many endemic settings, a high proportion of children with TF did not have detectable </w:t>
      </w:r>
      <w:r w:rsidRPr="00AF28B8">
        <w:rPr>
          <w:rFonts w:ascii="Calibri" w:hAnsi="Calibri" w:cs="Calibri"/>
          <w:i/>
          <w:iCs/>
          <w:color w:val="000000"/>
          <w:sz w:val="22"/>
          <w:szCs w:val="22"/>
        </w:rPr>
        <w:t>Ct</w:t>
      </w:r>
      <w:r w:rsidRPr="00AF28B8">
        <w:rPr>
          <w:rFonts w:ascii="Calibri" w:hAnsi="Calibri" w:cs="Calibri"/>
          <w:color w:val="000000"/>
          <w:sz w:val="22"/>
          <w:szCs w:val="22"/>
        </w:rPr>
        <w:t>; the inclusion of </w:t>
      </w:r>
      <w:r w:rsidRPr="00AF28B8">
        <w:rPr>
          <w:rFonts w:ascii="Calibri" w:hAnsi="Calibri" w:cs="Calibri"/>
          <w:i/>
          <w:iCs/>
          <w:color w:val="000000"/>
          <w:sz w:val="22"/>
          <w:szCs w:val="22"/>
        </w:rPr>
        <w:t>Ct</w:t>
      </w:r>
      <w:r w:rsidRPr="00AF28B8">
        <w:rPr>
          <w:rFonts w:ascii="Calibri" w:hAnsi="Calibri" w:cs="Calibri"/>
          <w:color w:val="000000"/>
          <w:sz w:val="22"/>
          <w:szCs w:val="22"/>
        </w:rPr>
        <w:t> helped to better understand trachoma endemicity in Al Rahad. Continued use of complementary indicators should be considered, including </w:t>
      </w:r>
      <w:r w:rsidRPr="00AF28B8">
        <w:rPr>
          <w:rFonts w:ascii="Calibri" w:hAnsi="Calibri" w:cs="Calibri"/>
          <w:i/>
          <w:iCs/>
          <w:color w:val="000000"/>
          <w:sz w:val="22"/>
          <w:szCs w:val="22"/>
        </w:rPr>
        <w:t>Ct</w:t>
      </w:r>
      <w:r w:rsidRPr="00AF28B8">
        <w:rPr>
          <w:rFonts w:ascii="Calibri" w:hAnsi="Calibri" w:cs="Calibri"/>
          <w:color w:val="000000"/>
          <w:sz w:val="22"/>
          <w:szCs w:val="22"/>
        </w:rPr>
        <w:t> and serological monitoring, which can reveal historical transmission patterns. Alongside community-wide WASH and MDA, these diagnostic indicators can help develop targeted interventions in Al Rahad and elsewhere.</w:t>
      </w:r>
    </w:p>
    <w:p w14:paraId="747D733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25-A-2683-ASTMH</w:t>
      </w:r>
    </w:p>
    <w:p w14:paraId="0BBAF4F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1E540FF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Immune Fingerprints of Malaria: Profiles of IgG, TNF-α, and IL-8 in Symptomatic and Asymptomatic individuals in Southern Nigeria</w:t>
      </w:r>
    </w:p>
    <w:p w14:paraId="19F5D3C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Understanding host immune responses that distinguish symptomatic and asymptomatic malaria infections is crucial for advancing diagnostic, therapeutic, and vaccine strategies. This study investigated the immunological profiles of IgG, TNF-α, and IL-8 among individuals infected with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 Southern Nigeria. This is a purposive multi-site cross-sectional study conducted across health facilities and rural communities in Anambra and Lagos States, Nigeria. A total of 544 participants were screened across Lagos and Anambra states, Nigeria. Symptomatic participants were recruited from four hospitals: Nnamdi Azikiwe University Teaching Hospital (43), Iyienu Mission Hospital (135), Regina Mundi Catholic Hospital (41), Agura Health Centre (131), while asymptomatic participants were sampled from Aguleri community (194). Microscopy was used to detect malaria and determine parasitemia using 8,000 cells/μL. Immune profiling was performed using ELISA for IgG, TNF-α, and IL-8. Axillary temperatures were recorded, and venous blood samples collected. Malaria prevalence was 35.5% in Lagos, 9% in Anambra facilities, and 9.8% in the Aguleri community (Asymptomatic). Infected individuals harbored </w:t>
      </w:r>
      <w:r w:rsidRPr="00AF28B8">
        <w:rPr>
          <w:rFonts w:ascii="Calibri" w:hAnsi="Calibri" w:cs="Calibri"/>
          <w:i/>
          <w:iCs/>
          <w:color w:val="000000"/>
          <w:sz w:val="22"/>
          <w:szCs w:val="22"/>
        </w:rPr>
        <w:t>P. falciparum</w:t>
      </w:r>
      <w:r w:rsidRPr="00AF28B8">
        <w:rPr>
          <w:rFonts w:ascii="Calibri" w:hAnsi="Calibri" w:cs="Calibri"/>
          <w:color w:val="000000"/>
          <w:sz w:val="22"/>
          <w:szCs w:val="22"/>
        </w:rPr>
        <w:t>, with symptomatic parasitemia ranging from 15-451,440 parasites/μL (GMPD: 8,009) and asymptomatic parasitemia from 63-13,084 (GMPD: 953). IgG levels were significantly higher in asymptomatic parasitemic individuals (mean: 122.4 ng/mL) compared to symptomatic ones (mean: 85.2 ng/mL, p&lt;0.001), suggesting a protective role. TNF-α and IL-8 concentrations were elevated in symptomatic cases, with IL-8 particularly high in children aged 1-5 years (600.1 pg/mL), indicating potential as biomarkers of disease severity. Elevated IgG levels may confer protection and explain asymptomatic carriage in endemic settings, while TNF-α and IL-8 are potential markers of inflammation and disease progression. These immune biomarker signatures underscores their relevance in the protective and inflammatory process following malaria infection in the asymptomatic and symptomatic persons in malaria endemic settings.</w:t>
      </w:r>
    </w:p>
    <w:p w14:paraId="06CA004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25-A-2684-ASTMH</w:t>
      </w:r>
    </w:p>
    <w:p w14:paraId="0E78E01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4E38717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Adaptive Programming: Conducting Mass Drug Administration (MDA) in Insecure Areas of Amhara, Ethiopia</w:t>
      </w:r>
    </w:p>
    <w:p w14:paraId="6666EB0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Amhara Trachoma Program has implemented the WHO-endorsed SAFE (Surgery, Antibiotics, Facial Cleanliness, Environmental Improvement) strategy for 2 decades. Since August 2023, regional insecurity has impacted trachoma interventions. MDA has been postponed, surveys delayed, schools closed, and trachomatous trichiasis (TT) surgical services limited to static sites. Such delays, particularly MDA, extend trachoma elimination timelines; according to a 2021 NTD Modeling Consortium analysis, for every delayed MDA year, a district will require 2 additional years of intervention to “catch up”. To limit such delays, in 2024, the Amhara Program implemented adaptive MDA campaigns in select areas, </w:t>
      </w:r>
      <w:r w:rsidRPr="00AF28B8">
        <w:rPr>
          <w:rFonts w:ascii="Calibri" w:hAnsi="Calibri" w:cs="Calibri"/>
          <w:color w:val="000000"/>
          <w:sz w:val="22"/>
          <w:szCs w:val="22"/>
        </w:rPr>
        <w:lastRenderedPageBreak/>
        <w:t>revising training strategies and involving additional local stakeholders. The regional-level training of trainers was conducted virtually, as movement between zones was not possible; the zonal level training sessions were conducted at a central point, and subsequent district-level training was conducted by the district health office; and where direct supervision was not possible, remote supportive supervision was conducted via messaging platforms. Transportation of materials and drugs to districts was by rental vehicles, motorbikes, and 3-wheeled carts. Throughout the MDA, security assessments were conducted with governmental and non-governmental actors, and frequent communication took place with government officials and communities controlled by armed groups. While adaptive MDA was possible in some areas, it was not possible for TT surgery campaigns. Therefore, to conduct TT surgical services, the region integrated TT screening into MDA campaigns; health extension workers examined individuals for signs of TT and referred suspected cases to local TT surgeons. In 2024, despite insecurity, MDA was conducted in 36 districts in Amhara, treating 4,412,769 people (about 29% of the MDA regional eligible population); and 8,002 suspected TT cases were identified and referred for services. These efforts demonstrate despite insecurity, progress toward elimination is possible while ensuring the safety of communities and stakeholders.</w:t>
      </w:r>
    </w:p>
    <w:p w14:paraId="1552655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25-A-2686-ASTMH</w:t>
      </w:r>
    </w:p>
    <w:p w14:paraId="1506D4F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42249BB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Serological Monitoring of </w:t>
      </w:r>
      <w:r w:rsidRPr="00AF28B8">
        <w:rPr>
          <w:rFonts w:ascii="Calibri" w:hAnsi="Calibri" w:cs="Calibri"/>
          <w:i/>
          <w:iCs/>
          <w:color w:val="000000"/>
          <w:sz w:val="22"/>
          <w:szCs w:val="22"/>
        </w:rPr>
        <w:t>Chlamydia trachomatis </w:t>
      </w:r>
      <w:r w:rsidRPr="00AF28B8">
        <w:rPr>
          <w:rFonts w:ascii="Calibri" w:hAnsi="Calibri" w:cs="Calibri"/>
          <w:color w:val="000000"/>
          <w:sz w:val="22"/>
          <w:szCs w:val="22"/>
        </w:rPr>
        <w:t>Antibodies in Low-Prevalence Districts of Amhara, Ethiopia: Insights from a Highly Trachoma-Endemic Region</w:t>
      </w:r>
    </w:p>
    <w:p w14:paraId="1177683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Trachoma, an infectious eye disease caused by </w:t>
      </w:r>
      <w:r w:rsidRPr="00AF28B8">
        <w:rPr>
          <w:rFonts w:ascii="Calibri" w:hAnsi="Calibri" w:cs="Calibri"/>
          <w:i/>
          <w:iCs/>
          <w:color w:val="000000"/>
          <w:sz w:val="22"/>
          <w:szCs w:val="22"/>
        </w:rPr>
        <w:t>Chlamydia trachomatis</w:t>
      </w:r>
      <w:r w:rsidRPr="00AF28B8">
        <w:rPr>
          <w:rFonts w:ascii="Calibri" w:hAnsi="Calibri" w:cs="Calibri"/>
          <w:color w:val="000000"/>
          <w:sz w:val="22"/>
          <w:szCs w:val="22"/>
        </w:rPr>
        <w:t> (</w:t>
      </w:r>
      <w:r w:rsidRPr="00AF28B8">
        <w:rPr>
          <w:rFonts w:ascii="Calibri" w:hAnsi="Calibri" w:cs="Calibri"/>
          <w:i/>
          <w:iCs/>
          <w:color w:val="000000"/>
          <w:sz w:val="22"/>
          <w:szCs w:val="22"/>
        </w:rPr>
        <w:t>Ct</w:t>
      </w:r>
      <w:r w:rsidRPr="00AF28B8">
        <w:rPr>
          <w:rFonts w:ascii="Calibri" w:hAnsi="Calibri" w:cs="Calibri"/>
          <w:color w:val="000000"/>
          <w:sz w:val="22"/>
          <w:szCs w:val="22"/>
        </w:rPr>
        <w:t>), remains endemic in Ethiopia's Amhara region despite the Surgery, Antibiotic, Facial Cleanliness, and Environmental Improvement (SAFE) strategy efforts since 2010. Once a formerly endemic district has reached the trachoma elimination threshold of a trachomatous inflammation-follicular (TF) prevalence of &lt;5% among children ages 1–9 years, there is concern that the prevalence could recrudesce back above 5% over time. Formerly endemic districts that are adjacent to still-endemic districts may be at greater risk of recrudescence. This study aimed to evaluate the inclusion of </w:t>
      </w:r>
      <w:r w:rsidRPr="00AF28B8">
        <w:rPr>
          <w:rFonts w:ascii="Calibri" w:hAnsi="Calibri" w:cs="Calibri"/>
          <w:i/>
          <w:iCs/>
          <w:color w:val="000000"/>
          <w:sz w:val="22"/>
          <w:szCs w:val="22"/>
        </w:rPr>
        <w:t>Ct</w:t>
      </w:r>
      <w:r w:rsidRPr="00AF28B8">
        <w:rPr>
          <w:rFonts w:ascii="Calibri" w:hAnsi="Calibri" w:cs="Calibri"/>
          <w:color w:val="000000"/>
          <w:sz w:val="22"/>
          <w:szCs w:val="22"/>
        </w:rPr>
        <w:t> infection and antibody testing to complement traditional clinical measures (TF) in Albuko, Debre Birhan, Fagita Lekoma, and Bibugn, 4 low-endemic districts at risk for recrudescence. These 4 district-level surveys were conducted between March and May 2022, which included 3 surveillance surveys and 1 impact survey. Children ages 1–9 years were assessed for TF by certified graders and provided dried blood spots (DBS) for serological analysis. Children ages 1–5 years further provided conjunctival swabs to test for </w:t>
      </w:r>
      <w:r w:rsidRPr="00AF28B8">
        <w:rPr>
          <w:rFonts w:ascii="Calibri" w:hAnsi="Calibri" w:cs="Calibri"/>
          <w:i/>
          <w:iCs/>
          <w:color w:val="000000"/>
          <w:sz w:val="22"/>
          <w:szCs w:val="22"/>
        </w:rPr>
        <w:t>Ct</w:t>
      </w:r>
      <w:r w:rsidRPr="00AF28B8">
        <w:rPr>
          <w:rFonts w:ascii="Calibri" w:hAnsi="Calibri" w:cs="Calibri"/>
          <w:color w:val="000000"/>
          <w:sz w:val="22"/>
          <w:szCs w:val="22"/>
        </w:rPr>
        <w:t> infection. A total of 2,424 children 1–9 years were examined and provided DBS, and 1,588 children 1–5 years provided a conjunctival swab. The TF prevalence in this age group was &lt;5% in all 4 districts. The seroconversion rate (SCR) ranged from 0.2 per 100 children per year in Fagita Lekoma to 1.1 per 100 children per year in Debre Birhan, suggesting low transmission compared to proposed low endemicity thresholds (SCR ≤2.2). Further, no positive </w:t>
      </w:r>
      <w:r w:rsidRPr="00AF28B8">
        <w:rPr>
          <w:rFonts w:ascii="Calibri" w:hAnsi="Calibri" w:cs="Calibri"/>
          <w:i/>
          <w:iCs/>
          <w:color w:val="000000"/>
          <w:sz w:val="22"/>
          <w:szCs w:val="22"/>
        </w:rPr>
        <w:t>Ct</w:t>
      </w:r>
      <w:r w:rsidRPr="00AF28B8">
        <w:rPr>
          <w:rFonts w:ascii="Calibri" w:hAnsi="Calibri" w:cs="Calibri"/>
          <w:color w:val="000000"/>
          <w:sz w:val="22"/>
          <w:szCs w:val="22"/>
        </w:rPr>
        <w:t> infection cases were detected across the 4 districts. The data confirmed that despite being adjacent to trachoma-endemic districts, the 4 surveyed districts have maintained or achieved the elimination threshold. Additionally, the use of complementary indicators supported clinical evidence of very low disease transmission in these districts. This study highlights that including complementary indicators in surveys provides additional certainty for low endemicity settings within a region still working towards trachoma elimination.</w:t>
      </w:r>
    </w:p>
    <w:p w14:paraId="2CE6F06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25-A-2687-ASTMH</w:t>
      </w:r>
    </w:p>
    <w:p w14:paraId="32A1B67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00E220FE" w14:textId="0499F9BE"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Association Between Neurocysticercosis and Mental Health Outcomes in School-Aged Children in Rural Sichuan, People’s Republic of China</w:t>
      </w:r>
    </w:p>
    <w:p w14:paraId="7E186C5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Neurocysticercosis (NCC) is a tissue-invasive parasitic disease of the central nervous system caused by </w:t>
      </w:r>
      <w:r w:rsidRPr="00AF28B8">
        <w:rPr>
          <w:rFonts w:ascii="Calibri" w:hAnsi="Calibri" w:cs="Calibri"/>
          <w:i/>
          <w:iCs/>
          <w:color w:val="000000"/>
          <w:sz w:val="22"/>
          <w:szCs w:val="22"/>
        </w:rPr>
        <w:t>Taenia solium</w:t>
      </w:r>
      <w:r w:rsidRPr="00AF28B8">
        <w:rPr>
          <w:rFonts w:ascii="Calibri" w:hAnsi="Calibri" w:cs="Calibri"/>
          <w:color w:val="000000"/>
          <w:sz w:val="22"/>
          <w:szCs w:val="22"/>
        </w:rPr>
        <w:t xml:space="preserve">, a pork tapeworm endemic to low-resource regions such as rural China. NCC can cause headaches, cognitive deficits, and seizures, but its impact on mental health remains poorly </w:t>
      </w:r>
      <w:r w:rsidRPr="00AF28B8">
        <w:rPr>
          <w:rFonts w:ascii="Calibri" w:hAnsi="Calibri" w:cs="Calibri"/>
          <w:color w:val="000000"/>
          <w:sz w:val="22"/>
          <w:szCs w:val="22"/>
        </w:rPr>
        <w:lastRenderedPageBreak/>
        <w:t>characterized. We investigated the association between NCC and child mental health in rural Sichuan, where our team has previously documented high </w:t>
      </w:r>
      <w:r w:rsidRPr="00AF28B8">
        <w:rPr>
          <w:rFonts w:ascii="Calibri" w:hAnsi="Calibri" w:cs="Calibri"/>
          <w:i/>
          <w:iCs/>
          <w:color w:val="000000"/>
          <w:sz w:val="22"/>
          <w:szCs w:val="22"/>
        </w:rPr>
        <w:t>T. solium</w:t>
      </w:r>
      <w:r w:rsidRPr="00AF28B8">
        <w:rPr>
          <w:rFonts w:ascii="Calibri" w:hAnsi="Calibri" w:cs="Calibri"/>
          <w:color w:val="000000"/>
          <w:sz w:val="22"/>
          <w:szCs w:val="22"/>
        </w:rPr>
        <w:t> prevalence among primary school children. We enrolled 3,029 children and their parents from three counties in Sichuan. Cross-sectional surveys were conducted to assess </w:t>
      </w:r>
      <w:r w:rsidRPr="00AF28B8">
        <w:rPr>
          <w:rFonts w:ascii="Calibri" w:hAnsi="Calibri" w:cs="Calibri"/>
          <w:i/>
          <w:iCs/>
          <w:color w:val="000000"/>
          <w:sz w:val="22"/>
          <w:szCs w:val="22"/>
        </w:rPr>
        <w:t>T. solium</w:t>
      </w:r>
      <w:r w:rsidRPr="00AF28B8">
        <w:rPr>
          <w:rFonts w:ascii="Calibri" w:hAnsi="Calibri" w:cs="Calibri"/>
          <w:color w:val="000000"/>
          <w:sz w:val="22"/>
          <w:szCs w:val="22"/>
        </w:rPr>
        <w:t> exposure, medical history, and mental health outcomes. We collected cysticercosis antibody serum titers and stool samples from children. Due to limited neuroimaging access, only 63 children were scanned by MRI to assess CNS involvement. To accommodate resource constraints, we established a modified definition of probable NCC based on Del Brutto et al., excluding neuroimaging criteria. Preliminary analyses show a 3.9% prevalence of probable NCC. Most children were of Tibetan ethnicity (2,398; 79.2%), and many had parents with limited education: 1,558 mothers (51.4%) and 942 fathers (31.1%) reported being illiterate/unschooled. Regarding </w:t>
      </w:r>
      <w:r w:rsidRPr="00AF28B8">
        <w:rPr>
          <w:rFonts w:ascii="Calibri" w:hAnsi="Calibri" w:cs="Calibri"/>
          <w:i/>
          <w:iCs/>
          <w:color w:val="000000"/>
          <w:sz w:val="22"/>
          <w:szCs w:val="22"/>
        </w:rPr>
        <w:t>T. solium</w:t>
      </w:r>
      <w:r w:rsidRPr="00AF28B8">
        <w:rPr>
          <w:rFonts w:ascii="Calibri" w:hAnsi="Calibri" w:cs="Calibri"/>
          <w:color w:val="000000"/>
          <w:sz w:val="22"/>
          <w:szCs w:val="22"/>
        </w:rPr>
        <w:t> exposure, 921 children (30.4%) frequently consumed pork (≥11 times/week), while 745 (24.6%) and 919 (30.3%) rarely washed hands after defecation or before eating, respectively. Intestinal worms were reported by 806 children (26.6%) in the past year, though only 379 (12.5%) received treatment. Regarding mental health outcomes, 2599 (85.8%) reported anxiety symptoms, 1013 (33.4%) reported poor concentration, and 677 (22.4%) reported suicidal ideation. To assess the relationship between NCC and mental health, we will perform multivariate logistic regression using probable NCC status as the independent variable and mental health outcomes as dependent variables. We hypothesize that children with probable NCC will show higher odds of adverse mental health outcomes, highlighting the need for integrated parasitic control and mental health efforts in endemic regions.</w:t>
      </w:r>
    </w:p>
    <w:p w14:paraId="0A021F8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25-A-2688-ASTMH</w:t>
      </w:r>
    </w:p>
    <w:p w14:paraId="0E813BA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0EDAC1A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Investigating social and environmental pathways to genetic relatedness between </w:t>
      </w:r>
      <w:r w:rsidRPr="00AF28B8">
        <w:rPr>
          <w:rFonts w:ascii="Calibri" w:hAnsi="Calibri" w:cs="Calibri"/>
          <w:i/>
          <w:iCs/>
          <w:color w:val="000000"/>
          <w:sz w:val="22"/>
          <w:szCs w:val="22"/>
        </w:rPr>
        <w:t>Schistosoma japonicum</w:t>
      </w:r>
      <w:r w:rsidRPr="00AF28B8">
        <w:rPr>
          <w:rFonts w:ascii="Calibri" w:hAnsi="Calibri" w:cs="Calibri"/>
          <w:color w:val="000000"/>
          <w:sz w:val="22"/>
          <w:szCs w:val="22"/>
        </w:rPr>
        <w:t> infected households in rural China</w:t>
      </w:r>
    </w:p>
    <w:p w14:paraId="7942DAE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Although China has orchestrated decades of control measures to eliminate </w:t>
      </w:r>
      <w:r w:rsidRPr="00AF28B8">
        <w:rPr>
          <w:rFonts w:ascii="Calibri" w:hAnsi="Calibri" w:cs="Calibri"/>
          <w:i/>
          <w:iCs/>
          <w:color w:val="000000"/>
          <w:sz w:val="22"/>
          <w:szCs w:val="22"/>
        </w:rPr>
        <w:t>Schistosoma japonicum</w:t>
      </w:r>
      <w:r w:rsidRPr="00AF28B8">
        <w:rPr>
          <w:rFonts w:ascii="Calibri" w:hAnsi="Calibri" w:cs="Calibri"/>
          <w:color w:val="000000"/>
          <w:sz w:val="22"/>
          <w:szCs w:val="22"/>
        </w:rPr>
        <w:t> transmission, persistent hotspots remain. One hypothesis is that parasites are moving along social gradients, by human or animal movement, or along environmental channels. In this study, we investigate the roles of social and environmental pathways in the dispersion and genetic relatedness of </w:t>
      </w:r>
      <w:r w:rsidRPr="00AF28B8">
        <w:rPr>
          <w:rFonts w:ascii="Calibri" w:hAnsi="Calibri" w:cs="Calibri"/>
          <w:i/>
          <w:iCs/>
          <w:color w:val="000000"/>
          <w:sz w:val="22"/>
          <w:szCs w:val="22"/>
        </w:rPr>
        <w:t>S. japonicum</w:t>
      </w:r>
      <w:r w:rsidRPr="00AF28B8">
        <w:rPr>
          <w:rFonts w:ascii="Calibri" w:hAnsi="Calibri" w:cs="Calibri"/>
          <w:color w:val="000000"/>
          <w:sz w:val="22"/>
          <w:szCs w:val="22"/>
        </w:rPr>
        <w:t> infections among households in rural Sichuan, China. Cross-sectional data collected from </w:t>
      </w:r>
      <w:r w:rsidRPr="00AF28B8">
        <w:rPr>
          <w:rFonts w:ascii="Calibri" w:hAnsi="Calibri" w:cs="Calibri"/>
          <w:i/>
          <w:iCs/>
          <w:color w:val="000000"/>
          <w:sz w:val="22"/>
          <w:szCs w:val="22"/>
        </w:rPr>
        <w:t>S. japonicum</w:t>
      </w:r>
      <w:r w:rsidRPr="00AF28B8">
        <w:rPr>
          <w:rFonts w:ascii="Calibri" w:hAnsi="Calibri" w:cs="Calibri"/>
          <w:color w:val="000000"/>
          <w:sz w:val="22"/>
          <w:szCs w:val="22"/>
        </w:rPr>
        <w:t> infected households in 2007 (N=53) and 2019 (N=15) were leveraged to investigate potential social and environmental pathways to genetic relatedness across 27 villages. All household members over the age of five and household-owned bovines were invited to participate in schistosomiasis infection surveys. Individual </w:t>
      </w:r>
      <w:r w:rsidRPr="00AF28B8">
        <w:rPr>
          <w:rFonts w:ascii="Calibri" w:hAnsi="Calibri" w:cs="Calibri"/>
          <w:i/>
          <w:iCs/>
          <w:color w:val="000000"/>
          <w:sz w:val="22"/>
          <w:szCs w:val="22"/>
        </w:rPr>
        <w:t>S. japonicum </w:t>
      </w:r>
      <w:r w:rsidRPr="00AF28B8">
        <w:rPr>
          <w:rFonts w:ascii="Calibri" w:hAnsi="Calibri" w:cs="Calibri"/>
          <w:color w:val="000000"/>
          <w:sz w:val="22"/>
          <w:szCs w:val="22"/>
        </w:rPr>
        <w:t>samples were whole genome sequenced to estimate the genetic relatedness and historical migration patterns among villages and households. Participant demographics, household GPS coordinates, and household- and village-level mobility patterns were assessed via household and village leader surveys. Survey data was paired with open-source environmental data to generate metrics that describe connectivity (e.g., road networks, hydrological channels, etc.), along which parasites were hypothesized to spread. A combination of mapping, Pearson’s correlation coefficients, multivariable regression models and ensemble machine learning methods will be used to evaluate our connectivity metrics and their roles in household and village level genetic relatedness. Our preliminary analyses demonstrate that extra-village genetic connectivity is limited, though correlation assessments with social (e.g., road distance to nearest city) and environmental (e.g., stream network) connectivity metrics suggest that more connected villages have higher extra-village genetic relatedness. This analysis provides insight into the geographic scales of schistosome transmission, as well as the most likely social and environmental transmission pathways, which can be used to improve schistosomiasis control programs.</w:t>
      </w:r>
    </w:p>
    <w:p w14:paraId="14D5EB6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25-A-2689-ASTMH</w:t>
      </w:r>
    </w:p>
    <w:p w14:paraId="6DB57DF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66ADCCC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Mapping Fcy-receptor-mediated responses against P. falciparum merozoites reveals protective targets for next generation vaccines</w:t>
      </w:r>
    </w:p>
    <w:p w14:paraId="3497130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Acquired humoral immunity protects from clinical malaria, but there are major knowledge gaps in understanding the role of functional antibody mechanisms and their targets in protective immunity. Identifying targets of protective functional antibodies will support the development of highly protective vaccines and the development of better correlates of protection. Antibodies can act by engaging Fcγ-receptors (FcγR) on the surface of immune cells such as monocytes, neutrophils and NK cells to promote phagocytosis and cytotoxicity against pathogens. In a longitudinal cohort of children in Papua New Guinea, we identified antibody functions and target antigens associated with protective immunity. We evaluated the predicted protective efficacy of functional antibodies against whole merozoites and found that FcγR-binding antibodies were more strongly correlated with protection than growth-inhibitory antibodies, which is widely used as a measure of functional immunity. Using a novel multi-antigen, multi-function antibody platform that we developed, we quantified FcγR functional activity against a large number of merozoite antigens as targets of antibodies that can engage different FcγR types (FcγRI, IIa, and III, which are expressed on monocytes, neutrophils and/or NK cells). We identified a subset of merozoite antigens were prominent targets of FcγR functional activity and those were most strongly associated with protection from clinical malaria. Using biostatistical modelling, we evaluated thousands of possible antibody combinations for protective associations, including different antigens and functions. We identified a short-list of antigens in the most protective combinations and specific antigen-function combinations with very high protective associations against malaria. Our results reveal the importance of FcγR-mediated functions against specific merozoite antigens as important malaria in immunity and provide new leads for developing highly protective multi-antigen </w:t>
      </w:r>
      <w:r w:rsidRPr="00AF28B8">
        <w:rPr>
          <w:rFonts w:ascii="Calibri" w:hAnsi="Calibri" w:cs="Calibri"/>
          <w:i/>
          <w:iCs/>
          <w:color w:val="000000"/>
          <w:sz w:val="22"/>
          <w:szCs w:val="22"/>
        </w:rPr>
        <w:t>P. falciparum</w:t>
      </w:r>
      <w:r w:rsidRPr="00AF28B8">
        <w:rPr>
          <w:rFonts w:ascii="Calibri" w:hAnsi="Calibri" w:cs="Calibri"/>
          <w:color w:val="000000"/>
          <w:sz w:val="22"/>
          <w:szCs w:val="22"/>
        </w:rPr>
        <w:t> vaccines to achieve and sustain elimination.</w:t>
      </w:r>
    </w:p>
    <w:p w14:paraId="22C156E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25-A-2690-ASTMH</w:t>
      </w:r>
    </w:p>
    <w:p w14:paraId="6E3066B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51E233A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Mosquito Diversity, Arbovirus Surveillance, and Host-Feeding Patterns in Western Virginia</w:t>
      </w:r>
    </w:p>
    <w:p w14:paraId="6DE57DF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Mosquito-borne arboviruses are a growing concern in the United States, yet surveillance in ruralregions often remains sparse. In Virginia, state surveillance is limited to urban centers, leavinginland counties in Appalachia underserved in vector monitoring, with poor understanding ofarboviral threats and enzootic transmission. This study aims to fill critical gaps in mosquitospecies diversity, host-feeding behavior, and arbovirus prevalence across western Virginia.Weekly mosquito collections were conducted in summer 2023, 2024, and ongoing in 2025 acrossup to five counties using BG-Pro, CDC light, and GAT traps, deployed in both urban andsylvatic habitats. Specimens were identified to species level, pooled by trap-type, site, and week,and then screened for arboviruses using cell culture followed by PCR-based diagnostics.Engorged females were subjected to blood meal analysis via DNA extraction and amplificationof the 16s rRNA gene and sequencing. Collections in 2023 yielded 997 mosquitoes from 18species across 7 genera, including</w:t>
      </w:r>
      <w:r w:rsidRPr="00AF28B8">
        <w:rPr>
          <w:rFonts w:ascii="Calibri" w:hAnsi="Calibri" w:cs="Calibri"/>
          <w:i/>
          <w:iCs/>
          <w:color w:val="000000"/>
          <w:sz w:val="22"/>
          <w:szCs w:val="22"/>
        </w:rPr>
        <w:t> Aedes albopictus, Aedes japonicus, Culex pipiens,</w:t>
      </w:r>
      <w:r w:rsidRPr="00AF28B8">
        <w:rPr>
          <w:rFonts w:ascii="Calibri" w:hAnsi="Calibri" w:cs="Calibri"/>
          <w:color w:val="000000"/>
          <w:sz w:val="22"/>
          <w:szCs w:val="22"/>
        </w:rPr>
        <w:t> and</w:t>
      </w:r>
      <w:r w:rsidRPr="00AF28B8">
        <w:rPr>
          <w:rFonts w:ascii="Calibri" w:hAnsi="Calibri" w:cs="Calibri"/>
          <w:i/>
          <w:iCs/>
          <w:color w:val="000000"/>
          <w:sz w:val="22"/>
          <w:szCs w:val="22"/>
        </w:rPr>
        <w:t>Anopheles punctipennis</w:t>
      </w:r>
      <w:r w:rsidRPr="00AF28B8">
        <w:rPr>
          <w:rFonts w:ascii="Calibri" w:hAnsi="Calibri" w:cs="Calibri"/>
          <w:color w:val="000000"/>
          <w:sz w:val="22"/>
          <w:szCs w:val="22"/>
        </w:rPr>
        <w:t>. Collections in 2024 yielded 1,668 mosquitoes from 22 species of 5genera, further indicating the presence of known arbovirus vectors -</w:t>
      </w:r>
      <w:r w:rsidRPr="00AF28B8">
        <w:rPr>
          <w:rFonts w:ascii="Calibri" w:hAnsi="Calibri" w:cs="Calibri"/>
          <w:i/>
          <w:iCs/>
          <w:color w:val="000000"/>
          <w:sz w:val="22"/>
          <w:szCs w:val="22"/>
        </w:rPr>
        <w:t> Ae. albopictus, Ae.japonicus, Ae. triseriatus, Ae. vexans, An. quadrimaculatus, An. crucians, Ps. columbia</w:t>
      </w:r>
      <w:r w:rsidRPr="00AF28B8">
        <w:rPr>
          <w:rFonts w:ascii="Calibri" w:hAnsi="Calibri" w:cs="Calibri"/>
          <w:color w:val="000000"/>
          <w:sz w:val="22"/>
          <w:szCs w:val="22"/>
        </w:rPr>
        <w:t>e.Screened as 424 pools, samples from 2023 revealed West Nile virus isolates in Rockingham andRockbridge counties. Screening of pooled samples from 2024 is in progress, and an analysis ofvector community and arbovirus across all three years will be presented. Blood meal analysisindicates feeding on a broad range of hosts, including humans and wildlife. These findingsprovide the first regional catalog of mosquito diversity and arboviral activity in this underservedregion. Continued sampling will enhance understanding of vector-host-pathogen dynamics andinform local public health and vector control strategies.</w:t>
      </w:r>
    </w:p>
    <w:p w14:paraId="181D575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25-A-2693-ASTMH</w:t>
      </w:r>
    </w:p>
    <w:p w14:paraId="38ABDDC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3468C25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Structure of Malaria Sporozoite-Stage Antibody 3C1 and Potential Therapeutic Applications</w:t>
      </w:r>
    </w:p>
    <w:p w14:paraId="31F528C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is a major current global health issue, causing over half a million deaths each year. Though multiple species of plasmodium can cause malaria, the parasite Plasmodium falciparum induces the most lethal form of the illness, is becoming resistant to current therapeutics, and has a multistage lifecycle. The pre-erythrocytic (sporozoite) stage may be ideal for intervention due to its relatively low parasite copy number compared to later stages. The P. falciparum circumsporozoite protein (PfCSP) is the dominant antigen on the surface of sporozoites making it an attractive candidate for antibody-mediated neutralization. Here, we report the structure of monoclonal antibody 3C1, which targets the highly conserved major repeat region of PfCSP and has shown promise as a potential therapeutic. By using X-ray crystallography, we solved the structure of the antigen-binding fragment of 3C1 to 1.85Å and used biophysical methods to probe interactions with immunodominant NANP major repeat peptides, with surface plasmon resonance suggesting tetrameric binding of antibody 3C1 to full-length PfCSP. We are currently working to define atomic-level interactions between 3C1 and PfCSP as well as exploring combinations of 3C1 with other malaria-protective antibodies. Collectively, we anticipate both structural studies and experimental bispecifics to enable optimization of antibody 3C1-induced protection from P. falciparum.</w:t>
      </w:r>
    </w:p>
    <w:p w14:paraId="252B111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25-A-2694-ASTMH</w:t>
      </w:r>
    </w:p>
    <w:p w14:paraId="003BB0A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Molecular Biology, Population Genetics and Genomics</w:t>
      </w:r>
    </w:p>
    <w:p w14:paraId="0CF4652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tale of two </w:t>
      </w:r>
      <w:r w:rsidRPr="00AF28B8">
        <w:rPr>
          <w:rFonts w:ascii="Calibri" w:hAnsi="Calibri" w:cs="Calibri"/>
          <w:i/>
          <w:iCs/>
          <w:color w:val="000000"/>
          <w:sz w:val="22"/>
          <w:szCs w:val="22"/>
        </w:rPr>
        <w:t>Anopheles coluzzii</w:t>
      </w:r>
      <w:r w:rsidRPr="00AF28B8">
        <w:rPr>
          <w:rFonts w:ascii="Calibri" w:hAnsi="Calibri" w:cs="Calibri"/>
          <w:color w:val="000000"/>
          <w:sz w:val="22"/>
          <w:szCs w:val="22"/>
        </w:rPr>
        <w:t>: genetic and resistance divergence within a major malaria vector in Cameroon</w:t>
      </w:r>
    </w:p>
    <w:p w14:paraId="16D8B63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significant but stagnating recent progress, malaria remains a major public health burden in Cameroon. While An. gambiae s.s. has historically been the primary malaria vector, An. coluzzii is gaining prominence. Moreover, although insecticide resistance is well-documented in An. gambiae s.s., its extent and mechanisms in An. coluzzii are comparatively understudied. Characterizing the population structure and adaptive potential of An. coluzzii is crucial for effective vector control especially amid intervention challenges and environmental change. Given this complexity and Cameroon’s diverse ecology, a detailed in-country characterization is needed. To address these gaps, we conducted a genome-wide characterization of An. coluzzii populations sampled across Cameroon via two studies representing the ecological and epidemiological diversity of the country. The first, focused on the north, sampled from 2019-2021 across four ecologically distinct sites at significant population centers. The second, in 2020, targeted four southern sites spanning peripheral urban to remote densely forested environments. PCA revealed two geographically distinct An. coluzzii groups: North and South. The prevalence of the inversions 2La and 2Rb in the North, and absence in the South, suggest ecological speciation. Target site resistance (VGSC-L995F) and metabolic resistance (Cyp9k1 amplification) to pyrethroids are omnipresent but there is more variety (VGSC-V402L+I1527T, Cyp6aa/p amplification) in the North. Target-site resistance to organochlorines and organophosphates (Rdl, Coeae1/2f) is largely limited to the South. We identified region-specific selection signals including a novel locus (mAChR2), previously unexplored in the context of insecticide resistance. Despite several selective sweeps, signals of shared sweeps were only observed at the Vgsc and Gste, indicating limited gene flow. Our findings contribute to knowledge of vector population diversity, its spatial structure and the forces shaping it; insights essential for the success of control strategies aimed at controlling or manipulating malaria vectors.</w:t>
      </w:r>
    </w:p>
    <w:p w14:paraId="12D38E0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25-A-2695-ASTMH</w:t>
      </w:r>
    </w:p>
    <w:p w14:paraId="58FB76C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420840D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Assessment of Disease Severity Score Trajectory in a Controlled Human Infection Model Challenge with </w:t>
      </w:r>
      <w:r w:rsidRPr="00AF28B8">
        <w:rPr>
          <w:rFonts w:ascii="Calibri" w:hAnsi="Calibri" w:cs="Calibri"/>
          <w:i/>
          <w:iCs/>
          <w:color w:val="000000"/>
          <w:sz w:val="22"/>
          <w:szCs w:val="22"/>
        </w:rPr>
        <w:t>Shigella flexneri</w:t>
      </w:r>
      <w:r w:rsidRPr="00AF28B8">
        <w:rPr>
          <w:rFonts w:ascii="Calibri" w:hAnsi="Calibri" w:cs="Calibri"/>
          <w:color w:val="000000"/>
          <w:sz w:val="22"/>
          <w:szCs w:val="22"/>
        </w:rPr>
        <w:t> 2a and </w:t>
      </w:r>
      <w:r w:rsidRPr="00AF28B8">
        <w:rPr>
          <w:rFonts w:ascii="Calibri" w:hAnsi="Calibri" w:cs="Calibri"/>
          <w:i/>
          <w:iCs/>
          <w:color w:val="000000"/>
          <w:sz w:val="22"/>
          <w:szCs w:val="22"/>
        </w:rPr>
        <w:t>S. sonnei</w:t>
      </w:r>
    </w:p>
    <w:p w14:paraId="51AB5A9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Shigella Controlled Human Infection Models (CHIMs) have been used since 1946 to evaluate products targeting primary and secondary prevention of shigellosis, a military-relevant disease. Currently, the primary endpoint in Shigella CHIMs is a summative three-component disease score. The comparison of disease severity between Shigella serotypes and disease score trajectory over time is not well-defined and warrants more comprehensive assessment as development of preventive and treatment interventions for Shigellosis accelerate. We conducted a longitudinal data analysis to characterize </w:t>
      </w:r>
      <w:r w:rsidRPr="00AF28B8">
        <w:rPr>
          <w:rFonts w:ascii="Calibri" w:hAnsi="Calibri" w:cs="Calibri"/>
          <w:i/>
          <w:iCs/>
          <w:color w:val="000000"/>
          <w:sz w:val="22"/>
          <w:szCs w:val="22"/>
        </w:rPr>
        <w:t>Shigella </w:t>
      </w:r>
      <w:r w:rsidRPr="00AF28B8">
        <w:rPr>
          <w:rFonts w:ascii="Calibri" w:hAnsi="Calibri" w:cs="Calibri"/>
          <w:color w:val="000000"/>
          <w:sz w:val="22"/>
          <w:szCs w:val="22"/>
        </w:rPr>
        <w:t>serotypes by disease score and determine whether they can be distinguished by trajectory or rate of change over time. We analyzed data from a CHIM conducted at the Johns Hopkins CIR in 2023. The study enrolled 46 naive volunteers challenged with either </w:t>
      </w:r>
      <w:r w:rsidRPr="00AF28B8">
        <w:rPr>
          <w:rFonts w:ascii="Calibri" w:hAnsi="Calibri" w:cs="Calibri"/>
          <w:i/>
          <w:iCs/>
          <w:color w:val="000000"/>
          <w:sz w:val="22"/>
          <w:szCs w:val="22"/>
        </w:rPr>
        <w:t>S. flexneri</w:t>
      </w:r>
      <w:r w:rsidRPr="00AF28B8">
        <w:rPr>
          <w:rFonts w:ascii="Calibri" w:hAnsi="Calibri" w:cs="Calibri"/>
          <w:color w:val="000000"/>
          <w:sz w:val="22"/>
          <w:szCs w:val="22"/>
        </w:rPr>
        <w:t> 2a (2457T) or </w:t>
      </w:r>
      <w:r w:rsidRPr="00AF28B8">
        <w:rPr>
          <w:rFonts w:ascii="Calibri" w:hAnsi="Calibri" w:cs="Calibri"/>
          <w:i/>
          <w:iCs/>
          <w:color w:val="000000"/>
          <w:sz w:val="22"/>
          <w:szCs w:val="22"/>
        </w:rPr>
        <w:t>S. sonnei</w:t>
      </w:r>
      <w:r w:rsidRPr="00AF28B8">
        <w:rPr>
          <w:rFonts w:ascii="Calibri" w:hAnsi="Calibri" w:cs="Calibri"/>
          <w:color w:val="000000"/>
          <w:sz w:val="22"/>
          <w:szCs w:val="22"/>
        </w:rPr>
        <w:t> (53G) on study day 1. After 4 months, participants were then re-challenged with the other serotype to evaluate cross-species protection from initial challenge. Our analyses were limited to 29 participants who participated in the initial challenge and rechallenge events. We used Welch T – tests and a linear mixed model examine the association between disease score mean/trajectory and </w:t>
      </w:r>
      <w:r w:rsidRPr="00AF28B8">
        <w:rPr>
          <w:rFonts w:ascii="Calibri" w:hAnsi="Calibri" w:cs="Calibri"/>
          <w:i/>
          <w:iCs/>
          <w:color w:val="000000"/>
          <w:sz w:val="22"/>
          <w:szCs w:val="22"/>
        </w:rPr>
        <w:t>Shigella </w:t>
      </w:r>
      <w:r w:rsidRPr="00AF28B8">
        <w:rPr>
          <w:rFonts w:ascii="Calibri" w:hAnsi="Calibri" w:cs="Calibri"/>
          <w:color w:val="000000"/>
          <w:sz w:val="22"/>
          <w:szCs w:val="22"/>
        </w:rPr>
        <w:t>serotype. Upon initial challenge, there was no statistical difference in either mean score or trajectory of disease score between </w:t>
      </w:r>
      <w:r w:rsidRPr="00AF28B8">
        <w:rPr>
          <w:rFonts w:ascii="Calibri" w:hAnsi="Calibri" w:cs="Calibri"/>
          <w:i/>
          <w:iCs/>
          <w:color w:val="000000"/>
          <w:sz w:val="22"/>
          <w:szCs w:val="22"/>
        </w:rPr>
        <w:t>Shigella</w:t>
      </w:r>
      <w:r w:rsidRPr="00AF28B8">
        <w:rPr>
          <w:rFonts w:ascii="Calibri" w:hAnsi="Calibri" w:cs="Calibri"/>
          <w:color w:val="000000"/>
          <w:sz w:val="22"/>
          <w:szCs w:val="22"/>
        </w:rPr>
        <w:t> serotypes. In contrast, upon rechallenge, the mean disease score for those who were inoculated with 53G was statistically higher than among those inoculated with 2457T, indicating protection in those challenged with 53G upon rechallenge with 2457T. The trajectory of disease score was also statistically different between the two serotypes, with the mean daily disease score tending to be higher among those inoculated with 53G as compared to 2457T. This longitudinal analysis revealed the potential ability to distinguish </w:t>
      </w:r>
      <w:r w:rsidRPr="00AF28B8">
        <w:rPr>
          <w:rFonts w:ascii="Calibri" w:hAnsi="Calibri" w:cs="Calibri"/>
          <w:i/>
          <w:iCs/>
          <w:color w:val="000000"/>
          <w:sz w:val="22"/>
          <w:szCs w:val="22"/>
        </w:rPr>
        <w:t>Shigella </w:t>
      </w:r>
      <w:r w:rsidRPr="00AF28B8">
        <w:rPr>
          <w:rFonts w:ascii="Calibri" w:hAnsi="Calibri" w:cs="Calibri"/>
          <w:color w:val="000000"/>
          <w:sz w:val="22"/>
          <w:szCs w:val="22"/>
        </w:rPr>
        <w:t>based on a temporal disease score. Further analyses will aid in evaluating the utility of daily disease severe score calculations which may have implications for clinical management of shigellosis.</w:t>
      </w:r>
    </w:p>
    <w:p w14:paraId="35BFCD7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25-A-2697-ASTMH</w:t>
      </w:r>
    </w:p>
    <w:p w14:paraId="1A3B24C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69FFB7F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Antibiotic use according to the World Health Organization AWaRe classification and antimicrobial resistance pattern among hospitalized under-five children with suspected pneumococcal disease in Bangladesh</w:t>
      </w:r>
    </w:p>
    <w:p w14:paraId="12427E3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World Health Organization (WHO) designated macrolide-resistant Streptococcus pneumoniae as a medium-priority pathogen. Inappropriate use of antibiotics and high antibiotic consumption, are primary drivers of antimicrobial-resistant </w:t>
      </w:r>
      <w:r w:rsidRPr="00AF28B8">
        <w:rPr>
          <w:rFonts w:ascii="Calibri" w:hAnsi="Calibri" w:cs="Calibri"/>
          <w:i/>
          <w:iCs/>
          <w:color w:val="000000"/>
          <w:sz w:val="22"/>
          <w:szCs w:val="22"/>
        </w:rPr>
        <w:t>S. pneumoniae</w:t>
      </w:r>
      <w:r w:rsidRPr="00AF28B8">
        <w:rPr>
          <w:rFonts w:ascii="Calibri" w:hAnsi="Calibri" w:cs="Calibri"/>
          <w:color w:val="000000"/>
          <w:sz w:val="22"/>
          <w:szCs w:val="22"/>
        </w:rPr>
        <w:t> strains. To support antibiotic stewardship, the WHO developed the AWaRe classification, categorizing antibiotics into Access, Watch, and Reserve groups. We investigated antibiotic use according to WHO AWaRe classification in children with suspected pneumococcal infections and assessed </w:t>
      </w:r>
      <w:r w:rsidRPr="00AF28B8">
        <w:rPr>
          <w:rFonts w:ascii="Calibri" w:hAnsi="Calibri" w:cs="Calibri"/>
          <w:i/>
          <w:iCs/>
          <w:color w:val="000000"/>
          <w:sz w:val="22"/>
          <w:szCs w:val="22"/>
        </w:rPr>
        <w:t>S. pneumoniae</w:t>
      </w:r>
      <w:r w:rsidRPr="00AF28B8">
        <w:rPr>
          <w:rFonts w:ascii="Calibri" w:hAnsi="Calibri" w:cs="Calibri"/>
          <w:color w:val="000000"/>
          <w:sz w:val="22"/>
          <w:szCs w:val="22"/>
        </w:rPr>
        <w:t> resistance to inform control strategies. From May 2023 to January 2025, we enrolled hospitalized children aged 2-59 months with suspected pneumonia, meningitis, or sepsis and recorded antibiotic usage from 4 tertiary care hospitals across Bangladesh. We cultured nasopharyngeal (NP) swabs for </w:t>
      </w:r>
      <w:r w:rsidRPr="00AF28B8">
        <w:rPr>
          <w:rFonts w:ascii="Calibri" w:hAnsi="Calibri" w:cs="Calibri"/>
          <w:i/>
          <w:iCs/>
          <w:color w:val="000000"/>
          <w:sz w:val="22"/>
          <w:szCs w:val="22"/>
        </w:rPr>
        <w:t>S. pneumoniae;</w:t>
      </w:r>
      <w:r w:rsidRPr="00AF28B8">
        <w:rPr>
          <w:rFonts w:ascii="Calibri" w:hAnsi="Calibri" w:cs="Calibri"/>
          <w:color w:val="000000"/>
          <w:sz w:val="22"/>
          <w:szCs w:val="22"/>
        </w:rPr>
        <w:t> pneumococcal isolates were tested for antimicrobial susceptibility using the VITEK-2 system. Of 2020 children, 99.5% received at least one dose of antibiotics before enrollment; 24% received antibiotics prior to admission. Of those receiving antibiotics, the top three prescribed antibiotics were ceftriaxone (Watch, 77%), cloxacillin (Access, 14%), and vancomycin (Access, 11%). Overall, 28% (565) of patients received "Access" antibiotics and 72% (1454) "Watch" antibiotics; only one patient received "Reserve" antibiotics. Among 122 (6%) </w:t>
      </w:r>
      <w:r w:rsidRPr="00AF28B8">
        <w:rPr>
          <w:rFonts w:ascii="Calibri" w:hAnsi="Calibri" w:cs="Calibri"/>
          <w:i/>
          <w:iCs/>
          <w:color w:val="000000"/>
          <w:sz w:val="22"/>
          <w:szCs w:val="22"/>
        </w:rPr>
        <w:t>S. pneumoniae</w:t>
      </w:r>
      <w:r w:rsidRPr="00AF28B8">
        <w:rPr>
          <w:rFonts w:ascii="Calibri" w:hAnsi="Calibri" w:cs="Calibri"/>
          <w:color w:val="000000"/>
          <w:sz w:val="22"/>
          <w:szCs w:val="22"/>
        </w:rPr>
        <w:t> isolates detected in NP swabs, 100 (82%) exhibited multidrug resistant (MDR) and 18 (15%) were resistant to 2 drug groups. Isolates showed high levels of resistance to erythromycin (Watch, 100%), tetracycline (Access, 83%), and trimethoprim/sulfamethoxazole (Access, 70%), and lower levels of resistance to benzylpenicillin (Access, 45%) and clindamycin (Access, 40%). Frequent usage of "Watch" antibiotics and the high prevalence of MDR </w:t>
      </w:r>
      <w:r w:rsidRPr="00AF28B8">
        <w:rPr>
          <w:rFonts w:ascii="Calibri" w:hAnsi="Calibri" w:cs="Calibri"/>
          <w:i/>
          <w:iCs/>
          <w:color w:val="000000"/>
          <w:sz w:val="22"/>
          <w:szCs w:val="22"/>
        </w:rPr>
        <w:t>S. pneumoniae</w:t>
      </w:r>
      <w:r w:rsidRPr="00AF28B8">
        <w:rPr>
          <w:rFonts w:ascii="Calibri" w:hAnsi="Calibri" w:cs="Calibri"/>
          <w:color w:val="000000"/>
          <w:sz w:val="22"/>
          <w:szCs w:val="22"/>
        </w:rPr>
        <w:t> colonization underscores the necessity to implement antibiotic stewardship programs.</w:t>
      </w:r>
    </w:p>
    <w:p w14:paraId="1BF0CFE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25-A-2700-ASTMH</w:t>
      </w:r>
    </w:p>
    <w:p w14:paraId="0063EB0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143BD119" w14:textId="220EB2A9"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Characterizing P. falciparum heme-detoxification pathway through time-domain Nuclear Magnetic Resonance</w:t>
      </w:r>
    </w:p>
    <w:p w14:paraId="55D15AF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path towards malaria control and elimination has been hindered by drug resistance and ineffective diagnostic tools to detect low density and asymptomatic infections. With the limited portfolio of drugs available to treat malaria, it is fundamental to improve the understanding of resistance mechanisms and appraise parasite cell biology and pathogenesis. In this work, we aimed to exploit low-field Nuclear Magnetic Resonance (NMR) spectroscopic technology, along with reverse genetics approaches to study hemozoin, a natural malaria parasite biomarker with unique magnetic properties and which biological pathway to its formation, is somehow related with most of the known antimalarial drugs. We have characterized the parasite at different morphological stages using low-field NMR in order to define the paramagnetic interactions and the exchange dynamics of parasite-resistant strains. From these measurements, we successfully characterized the entire intraerythrocytic cycle of the Plasmodium falciparum parasite linking some behavioral time-domain NMR patterns to specific physiological changes such as the specific time-point parasites move to a new stage development. To explore the capability of detecting distinct NMR features related with disturbance in haem detoxification pathway, we focused on the study of PfMDR2, a heavy metal transporter and on plasmepsins, aspartic proteases that degrade haemoglobin inside the parasite food vacuole. We designed a strategy to KO pfmdr2 into P. falciparum Dd2 strain and performed a haem fractionation assay on previously genetic engineered parasites over-expressing plasmepsins.The low-field NMR fingerprints obtained from this study was capable to distinguish parasite stage and parasitaemia as low as 0.01% and revealed high potential to further exploit the magnetic balance between haem species and its possible correlation with parasite susceptibility to drugs. Given the portability characteristics of a low-field NMR device, the capture of specific NMR fingerprint could provide a proof-of-concept towards potential delivery of future precision malaria medicine, at the patients side.</w:t>
      </w:r>
    </w:p>
    <w:p w14:paraId="5B9C78E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25-A-2702-ASTMH</w:t>
      </w:r>
    </w:p>
    <w:p w14:paraId="1CD61B0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5CD83D8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u w:val="single"/>
        </w:rPr>
        <w:t>Genetic diversity of </w:t>
      </w:r>
      <w:r w:rsidRPr="00AF28B8">
        <w:rPr>
          <w:rFonts w:ascii="Calibri" w:hAnsi="Calibri" w:cs="Calibri"/>
          <w:b/>
          <w:bCs/>
          <w:i/>
          <w:iCs/>
          <w:color w:val="000000"/>
          <w:sz w:val="22"/>
          <w:szCs w:val="22"/>
          <w:u w:val="single"/>
        </w:rPr>
        <w:t>Plasmodium falciparum </w:t>
      </w:r>
      <w:r w:rsidRPr="00AF28B8">
        <w:rPr>
          <w:rFonts w:ascii="Calibri" w:hAnsi="Calibri" w:cs="Calibri"/>
          <w:b/>
          <w:bCs/>
          <w:color w:val="000000"/>
          <w:sz w:val="22"/>
          <w:szCs w:val="22"/>
          <w:u w:val="single"/>
        </w:rPr>
        <w:t>in complex community infections in a high malaria transmission area</w:t>
      </w:r>
    </w:p>
    <w:p w14:paraId="6EBD374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malaria burden is currently more challenging due to the asymptomatic reservoir that contributes to malaria transmission and emergence of drug resistance parasites in Africa. Understanding the population genetics of the parasites in various malaria transmission settings would facilitate the development of novel antimalarial drugs and control strategies for malaria elimination. Here, we determined the population genetic diversity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isolates in individuals from high transmission areas in Ghana. Clinical malaria individuals were recruited from health facilities while asymptomatic cases were recruited from community surveillance in the Upper East Region of Ghana. After DNA extraction and selective amplification of </w:t>
      </w:r>
      <w:r w:rsidRPr="00AF28B8">
        <w:rPr>
          <w:rFonts w:ascii="Calibri" w:hAnsi="Calibri" w:cs="Calibri"/>
          <w:i/>
          <w:iCs/>
          <w:color w:val="000000"/>
          <w:sz w:val="22"/>
          <w:szCs w:val="22"/>
        </w:rPr>
        <w:t>Plasmodium</w:t>
      </w:r>
      <w:r w:rsidRPr="00AF28B8">
        <w:rPr>
          <w:rFonts w:ascii="Calibri" w:hAnsi="Calibri" w:cs="Calibri"/>
          <w:color w:val="000000"/>
          <w:sz w:val="22"/>
          <w:szCs w:val="22"/>
        </w:rPr>
        <w:t> </w:t>
      </w:r>
      <w:r w:rsidRPr="00AF28B8">
        <w:rPr>
          <w:rFonts w:ascii="Calibri" w:hAnsi="Calibri" w:cs="Calibri"/>
          <w:i/>
          <w:iCs/>
          <w:color w:val="000000"/>
          <w:sz w:val="22"/>
          <w:szCs w:val="22"/>
        </w:rPr>
        <w:t>falciparum</w:t>
      </w:r>
      <w:r w:rsidRPr="00AF28B8">
        <w:rPr>
          <w:rFonts w:ascii="Calibri" w:hAnsi="Calibri" w:cs="Calibri"/>
          <w:color w:val="000000"/>
          <w:sz w:val="22"/>
          <w:szCs w:val="22"/>
        </w:rPr>
        <w:t> whole genome, Illumina Sequencing was performed. Reads were analyzed using the Genome Analysis Toolkit (GATK) and the mutations were further analyzed using F</w:t>
      </w:r>
      <w:r w:rsidRPr="00AF28B8">
        <w:rPr>
          <w:rFonts w:ascii="Calibri" w:hAnsi="Calibri" w:cs="Calibri"/>
          <w:i/>
          <w:iCs/>
          <w:color w:val="000000"/>
          <w:sz w:val="22"/>
          <w:szCs w:val="22"/>
        </w:rPr>
        <w:t>ws</w:t>
      </w:r>
      <w:r w:rsidRPr="00AF28B8">
        <w:rPr>
          <w:rFonts w:ascii="Calibri" w:hAnsi="Calibri" w:cs="Calibri"/>
          <w:color w:val="000000"/>
          <w:sz w:val="22"/>
          <w:szCs w:val="22"/>
        </w:rPr>
        <w:t> statistic for multiplicity of infection (MOI), principal component analysis, identity by state, and population structure. Our results show that clinical malaria individuals had significantly higher parasite densities than community cases across all age groups (</w:t>
      </w:r>
      <w:r w:rsidRPr="00AF28B8">
        <w:rPr>
          <w:rFonts w:ascii="Calibri" w:hAnsi="Calibri" w:cs="Calibri"/>
          <w:i/>
          <w:iCs/>
          <w:color w:val="000000"/>
          <w:sz w:val="22"/>
          <w:szCs w:val="22"/>
        </w:rPr>
        <w:t>P</w:t>
      </w:r>
      <w:r w:rsidRPr="00AF28B8">
        <w:rPr>
          <w:rFonts w:ascii="Calibri" w:hAnsi="Calibri" w:cs="Calibri"/>
          <w:color w:val="000000"/>
          <w:sz w:val="22"/>
          <w:szCs w:val="22"/>
        </w:rPr>
        <w:t>&lt;0.05). We identified 1,257,923 single nucleotide polymorphisms (SNPs) in 79 clinical and 80 community isolates, which were filtered to 21,880 high-quality SNPs. Median F</w:t>
      </w:r>
      <w:r w:rsidRPr="00AF28B8">
        <w:rPr>
          <w:rFonts w:ascii="Calibri" w:hAnsi="Calibri" w:cs="Calibri"/>
          <w:i/>
          <w:iCs/>
          <w:color w:val="000000"/>
          <w:sz w:val="22"/>
          <w:szCs w:val="22"/>
        </w:rPr>
        <w:t>w</w:t>
      </w:r>
      <w:r w:rsidRPr="00AF28B8">
        <w:rPr>
          <w:rFonts w:ascii="Calibri" w:hAnsi="Calibri" w:cs="Calibri"/>
          <w:color w:val="000000"/>
          <w:sz w:val="22"/>
          <w:szCs w:val="22"/>
        </w:rPr>
        <w:t>s for clinical cases was significantly higher compared to community cases (</w:t>
      </w:r>
      <w:r w:rsidRPr="00AF28B8">
        <w:rPr>
          <w:rFonts w:ascii="Calibri" w:hAnsi="Calibri" w:cs="Calibri"/>
          <w:i/>
          <w:iCs/>
          <w:color w:val="000000"/>
          <w:sz w:val="22"/>
          <w:szCs w:val="22"/>
        </w:rPr>
        <w:t>P</w:t>
      </w:r>
      <w:r w:rsidRPr="00AF28B8">
        <w:rPr>
          <w:rFonts w:ascii="Calibri" w:hAnsi="Calibri" w:cs="Calibri"/>
          <w:color w:val="000000"/>
          <w:sz w:val="22"/>
          <w:szCs w:val="22"/>
        </w:rPr>
        <w:t>&lt;0.01), and higher across age groups (</w:t>
      </w:r>
      <w:r w:rsidRPr="00AF28B8">
        <w:rPr>
          <w:rFonts w:ascii="Calibri" w:hAnsi="Calibri" w:cs="Calibri"/>
          <w:i/>
          <w:iCs/>
          <w:color w:val="000000"/>
          <w:sz w:val="22"/>
          <w:szCs w:val="22"/>
        </w:rPr>
        <w:t>P</w:t>
      </w:r>
      <w:r w:rsidRPr="00AF28B8">
        <w:rPr>
          <w:rFonts w:ascii="Calibri" w:hAnsi="Calibri" w:cs="Calibri"/>
          <w:color w:val="000000"/>
          <w:sz w:val="22"/>
          <w:szCs w:val="22"/>
        </w:rPr>
        <w:t>&lt;0.05). MOI was not significantly correlated with parasite density, in both community and clinical cases. Population structure analysis showed that all the parasites share a similar ancestral history, but clinical cases had significantly high allele frequencies (AF) compared to community cases. The regions with high AF are in chromosomes 8, 9, 10, and 14, which include MSP1 and GLURP genes. In summary, we show that parasites in the community are more complex than previously described in high-transmission areas. Our nuanced genetic insights could be used in designing control strategies against the malaria reservoir such as the seasonal malaria chemoprevention.</w:t>
      </w:r>
    </w:p>
    <w:p w14:paraId="6BFEE42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25-A-2703-ASTMH</w:t>
      </w:r>
    </w:p>
    <w:p w14:paraId="2C83971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4F482EF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of a decision analytic model for optimizing interventions for malaria control in Cameroon</w:t>
      </w:r>
    </w:p>
    <w:p w14:paraId="1F3F6D6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substantial global progress in malaria control, advancements have stagnated since 2015. In Cameroon, specific targets were established to reduce malaria-related cases and deaths. However, domestic investments in malaria control declined in the last decade. Also, uncertainties regarding external funding, persistent high morbidity and mortality especially among vulnerable populations raise concerns that national malaria targets may not be achieved. Optimization modelling presents a pragmatic approach to informing resource allocation decisions in resource-constrained settings. A recent systematic review highlighted existing malaria control optimization models in malaria endemic countries. However, no such model exists for Cameroon. This study aimed to develop a robust model tailored to Cameroon's context with the research question being: What are the epidemiologic drivers for an effective model for malaria control optimization in Cameroon? A decision analytic model was developed in RStudio, incorporating all major malaria interventions implemented in 2023: ITNs; SMC; PMC; IPTp; Health Facility-Based Case Management; and Community Health Worker activities. The model was designed to account for spatial and demographic heterogeneity. Output indicators included: Reported cases; Hospitalisations; Reported deaths; Total deaths. Country-specific epidemiological and intervention coverage data for 2023 were systematically compiled and calibrated using grid and random searches to align with observed 2023 malaria outcomes. Univariate and multivariate sensitivity analyses were performed. The model demonstrated that total deaths were most sensitive to ITN, SMC, PMC and CHW coverage, and Health facility access. Subgroup analysis showed that mortality among pregnant women was significantly influenced by IPTp coverage. This study successfully developed a robust and open-source model for malaria control optimization in Cameroon. The model provides a foundation for future research on cost-effective resource allocation for malaria intervention impact and support progress toward malaria elimination.</w:t>
      </w:r>
    </w:p>
    <w:p w14:paraId="5F5441C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25-A-2704-ASTMH</w:t>
      </w:r>
    </w:p>
    <w:p w14:paraId="3E6BA4A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4298EAE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Portable Microhaplotype Object (PMO): Standardized Ontology for Targeted Sequencing Data and Metadata with Open-Source Tools</w:t>
      </w:r>
    </w:p>
    <w:p w14:paraId="7F78248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Rapid growth of targeted sequencing data offers immense value for research and public health, but lab-specific storage formats hinder analysis. A widely accepted standard is essential for data sharing and the development of interoperable, scalable, and accessible downstream tools. We propose the Portable Microhaplotype Object (PMO) - a standardized format for efficiently and losslessly storing microhaplotypes and associated metadata. The PMO format is JSON-based, and therefore supported by most programming languages, and is easily extensible, modular, relationally structured, and compatible with database integration. The format includes a set of required fields that provide the minimal information necessary to ensure the data are shareable and useful to recipients, along with a curated set of optional fields leveraging established ontologies. Required metadata includes specimens, sequencing, bioinformatics information, and more. The microhaplotype data are efficiently structured using a representative table of unique microhaplotypes that is referenced per sample. To promote adoption, we developed pmotools-python, an open-source package for converting, manipulating, and extracting PMO data into common formats. Documentation and tutorials are available on GitHub. Additionally, we provide a web-based app for creating PMO files from tabular inputs, making the format accessible to non-coding users. The app includes a smart field matcher designed to streamline the conversion of varied field names into standardized names from the PMO ontology. The app runs entirely in the browser, eliminating the need to install Python dependencies, and ensuring privacy as no data is transferred from the user's computer. Future plans include extending the app to allow interactive merging and filtering. Development of downstream pipelines utilizing PMO and extension of optional fields to accommodate other organisms are already underway. The standardized PMO format will </w:t>
      </w:r>
      <w:r w:rsidRPr="00AF28B8">
        <w:rPr>
          <w:rFonts w:ascii="Calibri" w:hAnsi="Calibri" w:cs="Calibri"/>
          <w:color w:val="000000"/>
          <w:sz w:val="22"/>
          <w:szCs w:val="22"/>
        </w:rPr>
        <w:lastRenderedPageBreak/>
        <w:t>significantly accelerate robust, automated analysis and enhance the usability of tools, facilitating data sharing to maximize insights from available data.</w:t>
      </w:r>
    </w:p>
    <w:p w14:paraId="3F1F8C3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25-A-2705-ASTMH</w:t>
      </w:r>
    </w:p>
    <w:p w14:paraId="3852129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3F9FD5B7" w14:textId="28E8BF8F"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Determining the Seroprevalence and Risk Factors of Selected Viral Hemorrhagic Fever in three Communities in Edo State</w:t>
      </w:r>
    </w:p>
    <w:p w14:paraId="71D6A36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Lassa fever, an acute hemorrhagic illness caused by Lassa virus, is endemic in some West African countries. Also of public health concern are some re-emerging mosquito-borne viruses like Yellow fever, Dengue, Chikungunya, Zika and West Nile viruses. This study was aimed at determining the seroprevalence of Lassa fever, the incidence rate of the infection, the dynamics of the antibody in seropositive individuals, risk factors that could be associated with the infection and possible prevalence of other viral hemorrhagic fevers in three communities in Edo state. A cross-sectional study was conducted with questionnaire interviews administered to consenting individuals followed by blood draw. Same set of people, still residing in the community and willing to be re-sampled, were targeted for the second and third blood draw, with an interval of more than 9months between each time-point. Serum obtained from blood samples were tested for the presence of IgG and IgM antibodies to Lassa virus. 685 individuals were sampled at t0 (first sampling), 419 of them consented to second sampling and 331 were available for the third sampling. Most participants in t0 were females (460, 67.2%), married (319, 46.6%); and either unemployed (232, 33.9%) or artisan (97, 14.2%) with a median age of 34years. The seroprevalence of IgG during t0 was 61.8% (423/685), with a prevalence of 74.8% (202/270), 83.8% (83/99), and 43.7% (138/316) respectively. The seroprevalence of IgG at t1 was 63.0% and rose to 69.5% at t2. Out of the 423 individuals that were positive during the first sampling, two became negative at t1 with an addition of two at t2. Out of the 262 IgG negative individuals at t0, four became positive at t1 and remained positive at t2. Data analysis is ongoing to identify the risk factors associated with the fever; and the remaining phase of the study will provide an answer to seroprevalence of other viral hemorrhagic fevers in these endemic communities. This study provided a true picture of Lassa virus infection among seemingly asymptomatic individuals in the communities and will also spell out practices that account for the endemicity of Lassa fever in the studied area.</w:t>
      </w:r>
    </w:p>
    <w:p w14:paraId="52484D2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25-A-2706-ASTMH</w:t>
      </w:r>
    </w:p>
    <w:p w14:paraId="3AC5F41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5732056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Streamlining Malaria Genomic Analysis: Open-Source, Interoperable Pipelines for Antimalarial Resistance and Transmission Estimation</w:t>
      </w:r>
    </w:p>
    <w:p w14:paraId="3505FB3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Plasmodium genomic data can provide valuable insights for public health and research, but many existing analysis tools are fragmented and difficult to use. To improve impact, uptake, and sustainability, integrated analysis workflows must be adaptable across diverse compute environments, well-documented, and accessible to a variety of users. We created PGEcore, a centralized GitHub repository housing peer-reviewed wrapper scripts of published tools and bespoke code for common functionalities, all using standardized inputs and outputs to ensure interoperability. The repository contains comprehensive documentation and example datasets, enhancing approachability. Each script links to PGEforge where possible, a public website housing tutorials and landscaping information of currently available analysis tools. To support two key use cases - (i) monitoring drug resistance marker prevalence and frequency, and (ii) evaluating transmission intensity - we developed two open-source computational pipelines: plasmodiumdrugres and plasmodiumtransmissionintensity. Both pipelines integrate PGEcore as a submodule, minimizing code duplication. plasmodiumdrugres outputs estimates of single- and multilocus genotype prevalence and frequencies, while plasmodiumtransmissionintensity provides measures of complexity of infection, relatedness within and between hosts, and key per-locus statistics (e.g., nucleotide diversity and heterozygosity), among others. These pipelines are implemented in both Nextflow - following nf-core standards - and WDL, supporting execution on Terra, making them </w:t>
      </w:r>
      <w:r w:rsidRPr="00AF28B8">
        <w:rPr>
          <w:rFonts w:ascii="Calibri" w:hAnsi="Calibri" w:cs="Calibri"/>
          <w:color w:val="000000"/>
          <w:sz w:val="22"/>
          <w:szCs w:val="22"/>
        </w:rPr>
        <w:lastRenderedPageBreak/>
        <w:t>accessible to a broad user base with varying levels of computational expertise. Additional features include containerization, configurable tool selection where multiple options are available, and compatibility with allele tables or Portable Microhaplotype Objects (PMOs) as input. Workflows can be configured to run on different populations in parallel and have been extensively benchmarked. This work represents a significant step toward standardized, scalable genomic analyses for malaria research and surveillance.</w:t>
      </w:r>
    </w:p>
    <w:p w14:paraId="41841D3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25-A-2708-ASTMH</w:t>
      </w:r>
    </w:p>
    <w:p w14:paraId="0460A5F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0ACB9AF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New Threat in the Tropics: Modeling Reemergent 2024 Oropouche Virus Pathogenesis and Immunity in Rhesus Macaques</w:t>
      </w:r>
    </w:p>
    <w:p w14:paraId="400401D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Oropouche virus (OROV) is an arthropod-transmitted </w:t>
      </w:r>
      <w:r w:rsidRPr="00AF28B8">
        <w:rPr>
          <w:rFonts w:ascii="Calibri" w:hAnsi="Calibri" w:cs="Calibri"/>
          <w:i/>
          <w:iCs/>
          <w:color w:val="000000"/>
          <w:sz w:val="22"/>
          <w:szCs w:val="22"/>
        </w:rPr>
        <w:t>Orthobunyavirus</w:t>
      </w:r>
      <w:r w:rsidRPr="00AF28B8">
        <w:rPr>
          <w:rFonts w:ascii="Calibri" w:hAnsi="Calibri" w:cs="Calibri"/>
          <w:color w:val="000000"/>
          <w:sz w:val="22"/>
          <w:szCs w:val="22"/>
        </w:rPr>
        <w:t> that is endemic to Latin America. Since the 1950s, OROV has caused several low-disease related outbreaks in the Amazon River basin; however, a recent OROV outbreak is causing debilitating and relapsing febrile illness in humans, which in some cases can lead to neurological complications, death, and fetal demise. The increase in viral pathogenesis of OROV has been traced to a reassortment event that might be contributing to the current epidemic spread of OROV fever cases. Miscarriage and stillbirth have also been associated with the current epidemic, but little remains known about the pathogenesis, reproductive tissue tropism, and placental complications that occur. Thus, there is a critical need to develop relevant translational models for OROV. Here, we report the development of an OROV model in nonhuman primates (NHP) using two 2024 OROV isolates obtained by the US CDC. OROV #240023 was isolated from a traveler to Cuba and minimally passaged to generate the working stock for the first dosage experiment. Six adult rhesus macaques were subcutaneously inoculated in both arms with escalating doses of OROV (1×10⁴, 1×10⁵, and 1×10⁶ PFU), and animals were euthanized for necropsy at 14 days post-infection (dpi). All animals developed serum viremia between 2-4 dpi, resolving by 5 dpi. A dose of 1×10⁵ PFU produced the most consistent infection and was used to compare pathogenesis with a Brazilian isolate in a second cohort of five animals per isolate. For both cohorts, flow cytometry revealed robust activation of peripheral blood monocytes, marked by CD169 upregulation, concurrent with viremia. At 14 dpi a robust proliferation of T-cells and B-cells was observed. Similarly, neutralization and IgG responses had a range of 10</w:t>
      </w:r>
      <w:r w:rsidRPr="00AF28B8">
        <w:rPr>
          <w:rFonts w:ascii="Calibri" w:hAnsi="Calibri" w:cs="Calibri"/>
          <w:color w:val="000000"/>
          <w:sz w:val="22"/>
          <w:szCs w:val="22"/>
          <w:vertAlign w:val="superscript"/>
        </w:rPr>
        <w:t>6</w:t>
      </w:r>
      <w:r w:rsidRPr="00AF28B8">
        <w:rPr>
          <w:rFonts w:ascii="Calibri" w:hAnsi="Calibri" w:cs="Calibri"/>
          <w:color w:val="000000"/>
          <w:sz w:val="22"/>
          <w:szCs w:val="22"/>
        </w:rPr>
        <w:t>-10</w:t>
      </w:r>
      <w:r w:rsidRPr="00AF28B8">
        <w:rPr>
          <w:rFonts w:ascii="Calibri" w:hAnsi="Calibri" w:cs="Calibri"/>
          <w:color w:val="000000"/>
          <w:sz w:val="22"/>
          <w:szCs w:val="22"/>
          <w:vertAlign w:val="superscript"/>
        </w:rPr>
        <w:t>9</w:t>
      </w:r>
      <w:r w:rsidRPr="00AF28B8">
        <w:rPr>
          <w:rFonts w:ascii="Calibri" w:hAnsi="Calibri" w:cs="Calibri"/>
          <w:color w:val="000000"/>
          <w:sz w:val="22"/>
          <w:szCs w:val="22"/>
        </w:rPr>
        <w:t> correlating with the dose of inoculum. At necropsy, viral RNA was detected in all major organ systems, including nervous and reproductive tissues. This study establishes an NHP model of OROV infection, creating a crucial tool for exploring viral pathogenesis, studying potential impacts during pregnancy, and testing vaccines and treatments for human use.</w:t>
      </w:r>
    </w:p>
    <w:p w14:paraId="74C688D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25-A-2710-ASTMH</w:t>
      </w:r>
    </w:p>
    <w:p w14:paraId="7F7C78B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65310CB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Utility of Xpert MTB/XDR in GeneXpert MTB/RIF positive extrapulmonary tuberculosis (EPTB)samples: a step towards precision in EPTB management</w:t>
      </w:r>
    </w:p>
    <w:p w14:paraId="25C2379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 xml:space="preserve">Background-EPTB poses difficulties in the optimization of an effective treatment regimen, due to high culture negativity and non-availability of drug susceptibility profile. The emergence of drug-resistant TB, the presence of comorbidities, or adverse drug reactions (hepatotoxicity) complicates EPTB management and necessitates testing to ensure comprehensive drug-resistance profiling and optimizing anti-TB therapy. Xpert XDR/MTB, a novel diagnostic tool, extends diagnostic capability by detecting resistance to additional anti-TB drugs. Methods- This retrospective study included cases of EPTB where Xpert MTB/XDR was employed as a second-line test following positive GeneXpert MTB/RIF ultra. The extrapulmonary samples were collected as part of routine diagnostic workflows and subjected to GeneXpert MTB/RIF ultra. Following a positive result, Xpert MTB/XDR testing was performed on the same specimens to detect/characterize additional resistance to other anti-TB drugs. Data were reviewed to assess patterns of resistance and the diagnostic utility of Xpert MTB/XDR in EPTB. Results- 19 EPTB cases, whose specimens were subjected to Xpert MTB/XDR, were </w:t>
      </w:r>
      <w:r w:rsidRPr="00AF28B8">
        <w:rPr>
          <w:rFonts w:ascii="Calibri" w:hAnsi="Calibri" w:cs="Calibri"/>
          <w:b/>
          <w:bCs/>
          <w:color w:val="000000"/>
          <w:sz w:val="22"/>
          <w:szCs w:val="22"/>
        </w:rPr>
        <w:lastRenderedPageBreak/>
        <w:t>included. The spectrum of EPTB included Spine TB (8), Lymphadenitis (8; Cervical - 4, Mediastinal - 2, Generalised - 2), pleural TB (2; pleural effusion - 1, pleural nodule - 1), and TB meningitis (1). The type of specimens included tissue (10), pus (7), pleural fluid (1), and CSF (n = 1). Rifampicin resistance was detected in 21.95% (4/19) cases. Xpert MTB/XDR was positive in 94.7% (18/19) cases. Further, resistance to isoniazid was detected in 11.11% (2/18) cases; fluoroquinolones in 16.67% (3/18) cases, and second-line injectable drugs in 5.5% (1/18) cases. Additional resistance in the absence of rifampicin resistance was detected in one case i.e. to fluoroquinolones. Xpert MTB/XDR yielded conclusive results in all but one case (Figure 2). Conclusions - Xpert MTB/XDR demonstrates the potential as a pivotal tool in enhancing the diagnostic precision for EPTB. The findings underscore the need to evaluate its utility on a large scale and to incorporate it routinely in EPTB diagnostics.</w:t>
      </w:r>
    </w:p>
    <w:p w14:paraId="26DAF3D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25-A-2711-ASTMH</w:t>
      </w:r>
    </w:p>
    <w:p w14:paraId="38C97F7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Systemic Infections</w:t>
      </w:r>
    </w:p>
    <w:p w14:paraId="252B8B1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Modeling Antibody Decay to Strengthen Melioidosis Surveillance and Diagnostic Tools</w:t>
      </w:r>
    </w:p>
    <w:p w14:paraId="1284A8B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Melioidosis is a life-threatening infectious disease caused by the environmental bacterium Burkholderia pseudomallei. It is endemic to South Asia, Southeast Asia, and Northern Australia, with potential for global expansion due to climate change. Diagnostic limitations result in significant underrecognition of cases and gaps in surveillance. To enhance diagnostic accuracy and seroepidemiological surveillance, we developed a kinetic enzyme-linked immunosorbent assay (K-ELISA) quantifying IgA and IgG responses to hemolysin-coregulated protein 1 (Hcp1) and O-polysaccharide (OPS) antigens. We analyzed longitudinal serum samples from two cohorts of culture-confirmed melioidosis patients in Northeastern Thailand. Cohort 1 (N=74) was sampled at enrollment and days 5, 12, and 28; Cohort 2 (N=68) at enrollment and days 28, 90, and 180. Seventy-six healthy controls were also included. Antibody kinetics were modeled using two-phase within-host Bayesian hierarchical models implemented using the serodynamics package in R. The median age of patients was 54 years (IQR: 46-61), and 69% had diabetes mellitus. The K-ELISA showed similar overall accuracy to endpoint ELISA but provided a broader dynamic range at high antibody levels, where endpoint assays saturated. OPS IgG measured by K-ELISA had the highest diagnostic accuracy at one month (AUC = 0.978). At presentation, 90% of patients had responses above the cutoff for at least one biomarker; 99% seroconverted within one month. Responses peaked between 3.9 days (Hcp1 IgA) and 16.5 days (OPS IgG) post-symptom onset. Patients with diabetes had higher peaks and slower decay, suggesting prior exposure or higher bacterial load. Antibody levels remained above diagnostic thresholds for over a year, reducing assay specificity in endemic settings due to potential false-positive results from prior exposures. Combining two biomarkers enabled higher cutoff thresholds, improving specificity without compromising sensitivity. These findings highlight the potential of OPS and Hcp1 kinetic ELISAs as effective tools for diagnosing melioidosis and conducting serosurveillance in endemic settings.</w:t>
      </w:r>
    </w:p>
    <w:p w14:paraId="0648108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25-A-2712-ASTMH</w:t>
      </w:r>
    </w:p>
    <w:p w14:paraId="15AFB5E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10E35AF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Evaluation of Nucleic Acid Amplification Testing in Saliva and Urine for Dengue Diagnosis in Colombia</w:t>
      </w:r>
    </w:p>
    <w:p w14:paraId="7D25274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diagnosis relies on serum-based testing. With over 12 million suspected dengue cases in the Americas in 2024, improved diagnostics that are effective and less invasive are critically needed. This study aimed to evaluate the diagnostic accuracy of saliva and urine dengue reverse transcription polymerase chain reaction (RT-PCR) compared to a composite reference standard of serum dengue RT-PCR or dengue immunoglobulin M (IgM) capture enzyme-linked immunosorbent assay (ELISA) and to assess patient preferences. We present initial results from 22 participants aged 7-90 presenting at hospitals in Cali, Colombia, with fever and clinical suspicion of dengue based on symptoms defined by the Colombian National Institutes of Health and positive non-structural protein 1 (NS1) or dengue IgM rapid tests, or who presented with febrile illnesses with an alternative diagnosis other than dengue. Fourteen patients were confirmed to have dengue using the reference standard in serum. Median age </w:t>
      </w:r>
      <w:r w:rsidRPr="00AF28B8">
        <w:rPr>
          <w:rFonts w:ascii="Calibri" w:hAnsi="Calibri" w:cs="Calibri"/>
          <w:color w:val="000000"/>
          <w:sz w:val="22"/>
          <w:szCs w:val="22"/>
        </w:rPr>
        <w:lastRenderedPageBreak/>
        <w:t>was 45.5 years (IQR 26.0-61.0) among dengue cases and 56.5 years (IQR 40.5-71.0) in non-dengue cases. Samples of saliva, urine, and blood were collected at presentation and around day 6 (±2) later and days from fever onset were recorded. Results reported include initial and follow-up test results. Saliva RT-PCR sensitivity was 35.7% (5/14) overall, with 100% specificity (8/8). Sensitivity of saliva RT-PCR was notably higher (75.0%, 3/4) among patients tested within fewer than five days of fever onset, but decreased to 20.0% (2/10) among those tested five or more days after fever onset. Urine RT-PCR was negative in all 14 confirmed dengue cases. Among 13 patients surveyed, nearly half expressed no preference for sample type (47%), followed by saliva (23%), and equally urine and blood (15% each). These results suggest saliva RT-PCR is a less invasive diagnostic method with promising utility for dengue diagnosis, particularly before five days of fever onset, and is acceptable to patients. This highlights its potential role in patient care and dengue surveillance in endemic regions such as Cali, Colombia. We will present updated data for the complete cohort (n=98).</w:t>
      </w:r>
    </w:p>
    <w:p w14:paraId="156059B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25-A-2713-ASTMH</w:t>
      </w:r>
    </w:p>
    <w:p w14:paraId="2C5F48D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E7ABEF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1. </w:t>
      </w:r>
      <w:r w:rsidRPr="00AF28B8">
        <w:rPr>
          <w:rFonts w:ascii="Calibri" w:hAnsi="Calibri" w:cs="Calibri"/>
          <w:color w:val="000000"/>
          <w:sz w:val="22"/>
          <w:szCs w:val="22"/>
        </w:rPr>
        <w:t>Unveiling the Causes of Women's Deaths Due to Infectious Diseases in Bangladesh Insights from the CHAMPS Study</w:t>
      </w:r>
    </w:p>
    <w:p w14:paraId="25FC050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Infectious diseases are a leading cause of death globally, accounting for approximately 13.7 million deaths annually. Women, especially in LMICs, bear a significant portion of this burden due to limited access to healthcare. The impact of infectious diseases on women is often overlooked in national statistics and policies. This study aimed to explore the primary causes of death among women of reproductive age. Verbal autopsy (VA) data were collected for 335 deceased women of reproductive age who died between 2019 and 2023 at the CHAMPS Bangladesh site in Baliakandi of Rajbari district. The CHAMPS network, operating in seven countries across sub-Saharan Africa and South Asia, provides detailed data on child deaths in high-mortality settings. Trained physicians reviewed the VAs to assign causes of death, and the data were analyzed using STATA (v17.0 MP), with descriptive statistics reported. This evidence supports targeted interventions to reduce preventable deaths. Our findings indicate that among women who died during their reproductive ages, 11% were maternal deaths. Of the maternal deaths, 3% were caused by infectious diseases, while the proportion among non-maternal deaths was 6%. Overall, the leading causes of women’s death were stroke (18%), intentional self-harm (14%), other and unspecified neoplasms (9%), renal failure (8%), and acute cardiac disease (5%). Among the women who died due to infectious diseases (19 out of 335), the primary causes of death were pulmonary tuberculosis (32%), sepsis (26%), dengue fever (16%), and acute respiratory infection, including pneumonia (11%). These findings underscore the urgent need to address both infectious and non-infectious health challenges to reduce mortality in this population. The significant burden of infectious diseases on women's health, particularly in LMIC countries, demands immediate attention. Policymakers must prioritize the prevention and treatment of infectious diseases among women to save lives and improve health outcomes. By implementing targeted interventions and enhancing healthcare access, we can reduce preventable deaths and foster healthier communities.</w:t>
      </w:r>
    </w:p>
    <w:p w14:paraId="5059E9C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25-A-2714-ASTMH</w:t>
      </w:r>
    </w:p>
    <w:p w14:paraId="246B853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4BE3433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Identification of multiple arbovirus infections or exposure in Brazil using a multiplex microsphere immunoassay</w:t>
      </w:r>
    </w:p>
    <w:p w14:paraId="689738F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the past few decades, several mosquito-borne arboviruses including dengue (DENV), Zika (ZIKV), West Nile (WNV), yellow fever (YFV), chikungunya (CHIKV), and Mayaro (MAYV) viruses have caused disease outbreaks of public health concern. The overlap distribution of these arboviruses and cross-reactivities of antibodies to flavivirus envelope protein highlight the need of a reliable and convenient serological test to distinguish these arboviruses in countries such as Brazil. We developed a multiplex IgG microsphere immunoassay (MIA) including 13 antigens (non-structural protein 1 [NS1], E protein and </w:t>
      </w:r>
      <w:r w:rsidRPr="00AF28B8">
        <w:rPr>
          <w:rFonts w:ascii="Calibri" w:hAnsi="Calibri" w:cs="Calibri"/>
          <w:color w:val="000000"/>
          <w:sz w:val="22"/>
          <w:szCs w:val="22"/>
        </w:rPr>
        <w:lastRenderedPageBreak/>
        <w:t>virus-like particles [VLP]) to test serum panels (n=374) of RT-PCR or neutralization-confirmed arbovirus infection including primary DENV, ZIKV and WNV infections, secondary DENV, ZIKV plus DENV, and CHIKV infections, as well as YF-17D vaccinees and negative samples reported previously. The sensitivity/specificity of combined DENV1-4 NS1, ZIKV NS1, WNV NS1, YFV NS1, and CHIKV VLP IgG MIAs were 96.0%/98.3%, 100%/79.9%, 94.4%/73.4%, 52.2%/94.4%, and 100%/99.7% for DENV, ZIKV, WNV, YF-17D, and CHIKV panels, respectively. We employed the assay to test serum samples (n=300) collected from Saude, a town in the state of Bahia, Brazil; equivocal samples were confirmed by previously reported neutralization tests and Western blot analysis. We found a seropositivity of 70.3%, 22.3%, 39.7% and 5.7% for DENV, ZIKV, YFV and CHIKV, respectively and the majority with multiple arbovirus infections or exposure including DENV+ZIKV, DENV+YFV, DENV+ZIKV+YFV. The results were further compared with a commercial ELISA kit for DENV, ZIKV and CHIKV. In summary, the multiplex and high-throughput MIA assay combined with other confirmations tests can be applied to serodiagnosis and serosurveillance of DENV, ZIKV, WNV, CHIKV and YFV infections/exposure in countries where multiple arboviruses co-circulate.</w:t>
      </w:r>
    </w:p>
    <w:p w14:paraId="0C71A30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25-A-2715-ASTMH</w:t>
      </w:r>
    </w:p>
    <w:p w14:paraId="7E8896C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590CB8C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Integrated Disease Surveillance and Response, Meningitis Cases from 2015-2024 in the Bono Region, Ghana</w:t>
      </w:r>
    </w:p>
    <w:p w14:paraId="58190FD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Meningococcal meningitis is a major health concern in Ghana. We reviewed data from the District Health Information Management System (DHIMS2) of the Ghana Health Service to assess trends in Bono Region from 2015 to 2024. The data was extracted using the DHIMS2 on reported meningococcal meningitis cases, laboratory confirmation and deaths across districts of Bono Region. The data covered all age groups and was analyzed to identify trends and district hotspots. Data cleaning and organization were done using Microsoft Excel. A total of 679 suspected cases were reported between 2015 and 2024. The highest burden occurred in 2016, with Tain (18.3%), Wenchi (10.8%) and Sunyani Municipal (4.7%) recording major outbreaks. Laboratory-confirmed cases and deaths were also highest in 2016. Notable spikes reoccurred in Berekum (2023-2024), recording 28 cases and 5 deaths. Dormaa East, Wenchi and Jaman North remained active zones over the years. The findings from the summary report show that meningitis in the Bono Region of Ghana exhibits seasonal and geographical clustering. Districts with recurrent cases may face challenges like limited vaccines access, climatic vulnerability or surveillance gaps. Use of DHIMS2 proved effective in tracking real-time data for response planning. Meningococcal meningitis remains recurring issue in the Bono Region. DHIMS2 data confirm the need for enhanced disease surveillance, vaccination, and preparedness, particularly in high-risk districts like Berekum, Wenchi and Tain.</w:t>
      </w:r>
    </w:p>
    <w:p w14:paraId="5481A6B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25-A-2717-ASTMH</w:t>
      </w:r>
    </w:p>
    <w:p w14:paraId="0CE66F4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7F47259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Childhood Immunization Disparities in Pakistan: A Mixed-Methods Study of Sociodemographic and Knowledge Barriers in Rural and Urban Khyber Pakhtunkhwa</w:t>
      </w:r>
    </w:p>
    <w:p w14:paraId="67792FC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Childhood immunization is a cornerstone of preventing vaccine-preventable diseases (VPDs), yet significant disparities persist in Pakistan, especially in low-resource and conflict-affected regions. Sociodemographic and knowledge-related barriers remain key contributors to these gaps. This mixed-methods study aimed to identify factors associated with immunization defaulting among caregivers of children under two years of age and to explore contextual barriers and facilitators to vaccine adherence in rural and urban Khyber Pakhtunkhwa, Pakistan. From February to July 2023, data were collected from 380 caregivers in three tehsils of District Kohat using validated questionnaires, immunization card verification, and multistage cluster sampling. Logistic regression assessed predictors of defaulting, while qualitative interviews provided deeper insights into local challenges. Among respondents, 96.1% were fathers and 41.8% lived in rural areas. Early vaccine coverage was high (BCG: 97.9%, OPV0: 100%) but </w:t>
      </w:r>
      <w:r w:rsidRPr="00AF28B8">
        <w:rPr>
          <w:rFonts w:ascii="Calibri" w:hAnsi="Calibri" w:cs="Calibri"/>
          <w:color w:val="000000"/>
          <w:sz w:val="22"/>
          <w:szCs w:val="22"/>
        </w:rPr>
        <w:lastRenderedPageBreak/>
        <w:t>declined sharply for later doses (Penta3: 26.1%, Measles2: 4.2%). Overall, 73.7% of children defaulted on one or more vaccines, particularly those under four months old (73.9%). Rural residence tripled the odds of defaulting (AOR: 2.81; 95% CI: 1.93-4.09; P &lt; 0.001), while maternal illiteracy also significantly increased the risk (AOR: 2.42; 95% CI: 1.38-4.26; P = 0.002). Although 95.3% of caregivers recognized the importance of immunization, only 49.5% knew the correct starting age, and 39.7% could identify four or more VPDs. Higher parental knowledge was associated with reduced odds of defaulting (AOR: 0.61; 95% CI: 0.41-0.89; P = 0.012). Qualitative findings highlighted cultural norms, healthcare access barriers, and seasonal migration as major contributors to missed vaccinations. These findings underscore the urgent need for mobile immunization services, maternal education initiatives, and community-led outreach to address persistent inequities and advance global immunization goals and SDG3 in low- and middle-income countries.</w:t>
      </w:r>
    </w:p>
    <w:p w14:paraId="2F2AA1C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25-A-2719-ASTMH</w:t>
      </w:r>
    </w:p>
    <w:p w14:paraId="118C7FB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560C936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High Prevalence of Dyslipidemia and Associated Factors Among ART Naïve People Living With HIV in Accra, Ghana</w:t>
      </w:r>
    </w:p>
    <w:p w14:paraId="3B80B7C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Dyslipidemia is a common complication of HIV infection accounting for 50% excess risk for cardiovascular diseases among People living with HIV (PLWH). We estimated the prevalence and factors associated with dyslipidemia among ART Naïve PLWH in Accra, Ghana. A cross-sectional study conducted from March 2023 to June 2024 consecutively enrolled Adult ART-Naïve PLWH. Dyslipidemia was defined using the National Cholesterol Education Program Adult Panel III (NCEP-ATP III) guidelines as having at least one lipid abnormality with the following cutoff points; Triglycerides 150mg/dl or greater, HDLc &lt;40mg/dl in men and &lt; 50mg/dl in women, LDL-c ≥ 130 mg/dl or Total Cholesterol ≥ 200 mg/dl. Information was collected on demographics (age, marital status), behavioral (exercise, smoking, alcohol consumption, diet), and physical measurements (blood pressure, weight, height, waist circumference). Fasting blood samples were taken for lipid measurements. Dyslipidemia prevalence was estimated as number of participants with at least one lipid abnormality divided by total number of participants. Logistic regression was used to determine associated factors with adjusted odds ratios reported and p-values &lt;0.05 considered significant. Of 347 ART naïve PLWH with median age 38 (IQR=19,67), 61.1% (212/347) were female. Prevalence of dyslipidemia was at 76.1% (95% CI: 71.2-80.5) with 64.8% (95% CI: 59.6-69.8), 18.2% (95% CI: 14.2-22.6), 16.7% (95% CI: 10.9-18.6), and 14.4% (95% CI: 12.9-21.1), having abnormal HDL-c, LDL-c, Total Cholesterol and Triglycerides respectively. Majority had one lipid abnormality 50.14% (174/347). Females had 2.9 times higher odds of having dyslipidemia compared to males (AOR=2.9; 95% CI: 1.7-5.0). Being obese increased the odds of dyslipidemia by 3.2 times compared to being of healthy weight (AOR=3.2; 95% CI: 1.0-9.8). Being at WHO clinical stage four decreased the odds of dyslipidemia by 76% compared to being at stage one (AOR=0.2; 95% CI: 0.1-0.8). The high prevalence of</w:t>
      </w:r>
      <w:r w:rsidRPr="00AF28B8">
        <w:rPr>
          <w:rFonts w:ascii="Calibri" w:hAnsi="Calibri" w:cs="Calibri"/>
          <w:b/>
          <w:bCs/>
          <w:color w:val="000000"/>
          <w:sz w:val="22"/>
          <w:szCs w:val="22"/>
        </w:rPr>
        <w:t> l</w:t>
      </w:r>
      <w:r w:rsidRPr="00AF28B8">
        <w:rPr>
          <w:rFonts w:ascii="Calibri" w:hAnsi="Calibri" w:cs="Calibri"/>
          <w:color w:val="000000"/>
          <w:sz w:val="22"/>
          <w:szCs w:val="22"/>
        </w:rPr>
        <w:t>ipid abnormalities among ART naïve adults highlights the need for screening for dyslipidemia as part of routine care for PLWH.</w:t>
      </w:r>
    </w:p>
    <w:p w14:paraId="54173EC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25-A-2720-ASTMH</w:t>
      </w:r>
    </w:p>
    <w:p w14:paraId="1AD16C2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6F2F160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Improving Access to Care in Underserved Areas: Contribution of Mobile Clinics to Malaria Control in Guinea</w:t>
      </w:r>
    </w:p>
    <w:p w14:paraId="7C6C8F5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Guinea, limited access to healthcare services in certain vulnerable areas hampers malaria prevention and timely case management, particularly among pregnant women and children under five. To address this challenge, the </w:t>
      </w:r>
      <w:r w:rsidRPr="00AF28B8">
        <w:rPr>
          <w:rFonts w:ascii="Calibri" w:hAnsi="Calibri" w:cs="Calibri"/>
          <w:i/>
          <w:iCs/>
          <w:color w:val="000000"/>
          <w:sz w:val="22"/>
          <w:szCs w:val="22"/>
        </w:rPr>
        <w:t>USAID Notre Santé</w:t>
      </w:r>
      <w:r w:rsidRPr="00AF28B8">
        <w:rPr>
          <w:rFonts w:ascii="Calibri" w:hAnsi="Calibri" w:cs="Calibri"/>
          <w:color w:val="000000"/>
          <w:sz w:val="22"/>
          <w:szCs w:val="22"/>
        </w:rPr>
        <w:t xml:space="preserve"> project, in partnership with the National Malaria Control Program (NMCP), deployed mobile clinics to bring essential health services closer to isolated communities. A mobile clinic is a temporary, mobile, and flexible healthcare delivery strategy designed to provide an integrated package of preventive, curative, and educational services to populations living in remote or underserved areas. From January to September 2024, 79 mobile clinic sessions were conducted in 79 </w:t>
      </w:r>
      <w:r w:rsidRPr="00AF28B8">
        <w:rPr>
          <w:rFonts w:ascii="Calibri" w:hAnsi="Calibri" w:cs="Calibri"/>
          <w:color w:val="000000"/>
          <w:sz w:val="22"/>
          <w:szCs w:val="22"/>
        </w:rPr>
        <w:lastRenderedPageBreak/>
        <w:t>high-malaria-burden villages located far from conventional health facilities and poorly covered by community health workers. These sites were situated around 67 health centers across 16 prefectures. Each session took place over two days: one day of preparation including meetings with local authorities and community leaders as well as community mobilization followed by one day of medical activities. The operational approach combined fixed service points and household visits to deliver services such as: screening and treatment of uncomplicated malaria cases, referral of severe cases, administration of Sulfadoxine-Pyrimethamine (SP) to pregnant women, distribution of long-lasting insecticide-treated nets (LLINs), and community sensitization sessions. In total, 15,220 febrile individuals were tested, with 4,311 confirmed malaria cases. Among them, 4,302 uncomplicated cases were treated on-site, while 9 severe cases were referred to health facilities. Additionally, 1,944 pregnant women received care, including 1,604 SP doses, and 1,121 LLINs were distributed. Mobile clinics accounted for 21% of malaria tests and 12% of treatments recorded in the supported health centers, demonstrating their effectiveness in improving access to malaria services in hard-to-reach areas, as a complement to the existing health system</w:t>
      </w:r>
    </w:p>
    <w:p w14:paraId="6BC3C80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25-A-2721-ASTMH</w:t>
      </w:r>
    </w:p>
    <w:p w14:paraId="50DEBDF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0C2B8B5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Changing the Paradigm: Development and Validation of a Serological Point-of-Care Testto Support Decisions for Schistosomiasis Transmission Interruption and Subsequent Surveillance</w:t>
      </w:r>
    </w:p>
    <w:p w14:paraId="7D8C9EA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Schistosomiasis is a parasitic disease that affects 240 million people globally, with 780 million people living at risk of contracting the disease; thus, it is only surpassed in worldwide case numbers by malaria. Around 90% of cases and morbidity occur in sub-Saharan Africa, caused by two trematodes of the genus </w:t>
      </w:r>
      <w:r w:rsidRPr="00AF28B8">
        <w:rPr>
          <w:rFonts w:ascii="Calibri" w:hAnsi="Calibri" w:cs="Calibri"/>
          <w:i/>
          <w:iCs/>
          <w:color w:val="000000"/>
          <w:sz w:val="22"/>
          <w:szCs w:val="22"/>
        </w:rPr>
        <w:t>Schistosoma</w:t>
      </w:r>
      <w:r w:rsidRPr="00AF28B8">
        <w:rPr>
          <w:rFonts w:ascii="Calibri" w:hAnsi="Calibri" w:cs="Calibri"/>
          <w:color w:val="000000"/>
          <w:sz w:val="22"/>
          <w:szCs w:val="22"/>
        </w:rPr>
        <w:t>: </w:t>
      </w:r>
      <w:r w:rsidRPr="00AF28B8">
        <w:rPr>
          <w:rFonts w:ascii="Calibri" w:hAnsi="Calibri" w:cs="Calibri"/>
          <w:i/>
          <w:iCs/>
          <w:color w:val="000000"/>
          <w:sz w:val="22"/>
          <w:szCs w:val="22"/>
        </w:rPr>
        <w:t>S. mansoni</w:t>
      </w:r>
      <w:r w:rsidRPr="00AF28B8">
        <w:rPr>
          <w:rFonts w:ascii="Calibri" w:hAnsi="Calibri" w:cs="Calibri"/>
          <w:color w:val="000000"/>
          <w:sz w:val="22"/>
          <w:szCs w:val="22"/>
        </w:rPr>
        <w:t> and </w:t>
      </w:r>
      <w:r w:rsidRPr="00AF28B8">
        <w:rPr>
          <w:rFonts w:ascii="Calibri" w:hAnsi="Calibri" w:cs="Calibri"/>
          <w:i/>
          <w:iCs/>
          <w:color w:val="000000"/>
          <w:sz w:val="22"/>
          <w:szCs w:val="22"/>
        </w:rPr>
        <w:t>S. haematobium</w:t>
      </w:r>
      <w:r w:rsidRPr="00AF28B8">
        <w:rPr>
          <w:rFonts w:ascii="Calibri" w:hAnsi="Calibri" w:cs="Calibri"/>
          <w:color w:val="000000"/>
          <w:sz w:val="22"/>
          <w:szCs w:val="22"/>
        </w:rPr>
        <w:t>. The reference diagnostic test for </w:t>
      </w:r>
      <w:r w:rsidRPr="00AF28B8">
        <w:rPr>
          <w:rFonts w:ascii="Calibri" w:hAnsi="Calibri" w:cs="Calibri"/>
          <w:i/>
          <w:iCs/>
          <w:color w:val="000000"/>
          <w:sz w:val="22"/>
          <w:szCs w:val="22"/>
        </w:rPr>
        <w:t>S. mansoni</w:t>
      </w:r>
      <w:r w:rsidRPr="00AF28B8">
        <w:rPr>
          <w:rFonts w:ascii="Calibri" w:hAnsi="Calibri" w:cs="Calibri"/>
          <w:color w:val="000000"/>
          <w:sz w:val="22"/>
          <w:szCs w:val="22"/>
        </w:rPr>
        <w:t> - Kato-Katz stool examination - requires skilled personnel and tends to underestimate infection prevalence due to low sensitivity. Recognizing the need for new point-of-care (POC) diagnostics, WHO issued two Target Product Profiles (TPPs) in 2021 defining the criteria for new tests to have value in (1) Monitoring &amp; Evaluation (M&amp;E), or (2) Transmission Interruption (TI) and Surveillance. POC antigen tests show promise for supporting M&amp;E but may be suboptimal in lower prevalence settings when programs are nearing TI. Serological POC testing is usually considered inappropriate for M&amp;E because antibody tests are unable to distinguish active from former infections. By contrast, serological POC tests, by common consent among experts, represent a highly appropriate and feasible solution to support programmatic decision making in TI and Surveillance settings. We have developed such new serological POC tests, designed to detect IgG1-antibodies raised by the human host against two well validated </w:t>
      </w:r>
      <w:r w:rsidRPr="00AF28B8">
        <w:rPr>
          <w:rFonts w:ascii="Calibri" w:hAnsi="Calibri" w:cs="Calibri"/>
          <w:i/>
          <w:iCs/>
          <w:color w:val="000000"/>
          <w:sz w:val="22"/>
          <w:szCs w:val="22"/>
        </w:rPr>
        <w:t>S. mansoni </w:t>
      </w:r>
      <w:r w:rsidRPr="00AF28B8">
        <w:rPr>
          <w:rFonts w:ascii="Calibri" w:hAnsi="Calibri" w:cs="Calibri"/>
          <w:color w:val="000000"/>
          <w:sz w:val="22"/>
          <w:szCs w:val="22"/>
        </w:rPr>
        <w:t>antigens. Preliminary analysis showed the current best-mode prototype to be 86% sensitive (n=59) and 97% specific (n=99). Test performance remained unchanged after storage at 50°C for 10 weeks and at 40°C for 24 weeks projecting at least a two-year stability at 25°C. Furthermore, comparable test performance was seen with serum </w:t>
      </w:r>
      <w:r w:rsidRPr="00AF28B8">
        <w:rPr>
          <w:rFonts w:ascii="Calibri" w:hAnsi="Calibri" w:cs="Calibri"/>
          <w:i/>
          <w:iCs/>
          <w:color w:val="000000"/>
          <w:sz w:val="22"/>
          <w:szCs w:val="22"/>
        </w:rPr>
        <w:t>vs.</w:t>
      </w:r>
      <w:r w:rsidRPr="00AF28B8">
        <w:rPr>
          <w:rFonts w:ascii="Calibri" w:hAnsi="Calibri" w:cs="Calibri"/>
          <w:color w:val="000000"/>
          <w:sz w:val="22"/>
          <w:szCs w:val="22"/>
        </w:rPr>
        <w:t> blood samples </w:t>
      </w:r>
      <w:r w:rsidRPr="00AF28B8">
        <w:rPr>
          <w:rFonts w:ascii="Calibri" w:hAnsi="Calibri" w:cs="Calibri"/>
          <w:i/>
          <w:iCs/>
          <w:color w:val="000000"/>
          <w:sz w:val="22"/>
          <w:szCs w:val="22"/>
        </w:rPr>
        <w:t>vs. </w:t>
      </w:r>
      <w:r w:rsidRPr="00AF28B8">
        <w:rPr>
          <w:rFonts w:ascii="Calibri" w:hAnsi="Calibri" w:cs="Calibri"/>
          <w:color w:val="000000"/>
          <w:sz w:val="22"/>
          <w:szCs w:val="22"/>
        </w:rPr>
        <w:t>dried blood spots. In January 2025, a schistosomiasis diagnostics expert meeting in Kigali, Rwanda concluded that these tests merit further development. The prototype tests are being characterized in additional laboratory and field studies. We will summarize the data obtained so far and present the on-going optimization efforts aimed at delivering a fully TPP-compliant test ready for ERPD review by 2027.</w:t>
      </w:r>
    </w:p>
    <w:p w14:paraId="16AF730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25-A-2722-ASTMH</w:t>
      </w:r>
    </w:p>
    <w:p w14:paraId="63DC2E2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10E375D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Host Infectivity and </w:t>
      </w:r>
      <w:r w:rsidRPr="00AF28B8">
        <w:rPr>
          <w:rFonts w:ascii="Calibri" w:hAnsi="Calibri" w:cs="Calibri"/>
          <w:i/>
          <w:iCs/>
          <w:color w:val="000000"/>
          <w:sz w:val="22"/>
          <w:szCs w:val="22"/>
        </w:rPr>
        <w:t>csp </w:t>
      </w:r>
      <w:r w:rsidRPr="00AF28B8">
        <w:rPr>
          <w:rFonts w:ascii="Calibri" w:hAnsi="Calibri" w:cs="Calibri"/>
          <w:color w:val="000000"/>
          <w:sz w:val="22"/>
          <w:szCs w:val="22"/>
        </w:rPr>
        <w:t>Genetic Structure Independence of Plasmodium vivax During Malaria Resurgence in Thailand</w:t>
      </w:r>
    </w:p>
    <w:p w14:paraId="012DAE7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vivax</w:t>
      </w:r>
      <w:r w:rsidRPr="00AF28B8">
        <w:rPr>
          <w:rFonts w:ascii="Calibri" w:hAnsi="Calibri" w:cs="Calibri"/>
          <w:color w:val="000000"/>
          <w:sz w:val="22"/>
          <w:szCs w:val="22"/>
        </w:rPr>
        <w:t> circumsporozoite surface protein (</w:t>
      </w:r>
      <w:r w:rsidRPr="00AF28B8">
        <w:rPr>
          <w:rFonts w:ascii="Calibri" w:hAnsi="Calibri" w:cs="Calibri"/>
          <w:i/>
          <w:iCs/>
          <w:color w:val="000000"/>
          <w:sz w:val="22"/>
          <w:szCs w:val="22"/>
        </w:rPr>
        <w:t>pvcsp</w:t>
      </w:r>
      <w:r w:rsidRPr="00AF28B8">
        <w:rPr>
          <w:rFonts w:ascii="Calibri" w:hAnsi="Calibri" w:cs="Calibri"/>
          <w:color w:val="000000"/>
          <w:sz w:val="22"/>
          <w:szCs w:val="22"/>
        </w:rPr>
        <w:t>) plays a critical role in pre-erythrocytic development and host cell invasion, making it a prime candidate for malaria vaccine development. This study investigated the genetic diversity of </w:t>
      </w:r>
      <w:r w:rsidRPr="00AF28B8">
        <w:rPr>
          <w:rFonts w:ascii="Calibri" w:hAnsi="Calibri" w:cs="Calibri"/>
          <w:i/>
          <w:iCs/>
          <w:color w:val="000000"/>
          <w:sz w:val="22"/>
          <w:szCs w:val="22"/>
        </w:rPr>
        <w:t>pvcsp</w:t>
      </w:r>
      <w:r w:rsidRPr="00AF28B8">
        <w:rPr>
          <w:rFonts w:ascii="Calibri" w:hAnsi="Calibri" w:cs="Calibri"/>
          <w:color w:val="000000"/>
          <w:sz w:val="22"/>
          <w:szCs w:val="22"/>
        </w:rPr>
        <w:t xml:space="preserve"> during a recent malaria resurgence in northwestern Thailand (2022-2023) and examined whether polymorphic variation in this gene is associated with host </w:t>
      </w:r>
      <w:r w:rsidRPr="00AF28B8">
        <w:rPr>
          <w:rFonts w:ascii="Calibri" w:hAnsi="Calibri" w:cs="Calibri"/>
          <w:color w:val="000000"/>
          <w:sz w:val="22"/>
          <w:szCs w:val="22"/>
        </w:rPr>
        <w:lastRenderedPageBreak/>
        <w:t>infectivity. A total of 69 </w:t>
      </w:r>
      <w:r w:rsidRPr="00AF28B8">
        <w:rPr>
          <w:rFonts w:ascii="Calibri" w:hAnsi="Calibri" w:cs="Calibri"/>
          <w:i/>
          <w:iCs/>
          <w:color w:val="000000"/>
          <w:sz w:val="22"/>
          <w:szCs w:val="22"/>
        </w:rPr>
        <w:t>P. vivax</w:t>
      </w:r>
      <w:r w:rsidRPr="00AF28B8">
        <w:rPr>
          <w:rFonts w:ascii="Calibri" w:hAnsi="Calibri" w:cs="Calibri"/>
          <w:color w:val="000000"/>
          <w:sz w:val="22"/>
          <w:szCs w:val="22"/>
        </w:rPr>
        <w:t> isolates were collected and analyzed using PCR amplification and amplicon deep sequencing (AmpSeq). Genetic structure was assessed in the context of Thailand and global </w:t>
      </w:r>
      <w:r w:rsidRPr="00AF28B8">
        <w:rPr>
          <w:rFonts w:ascii="Calibri" w:hAnsi="Calibri" w:cs="Calibri"/>
          <w:i/>
          <w:iCs/>
          <w:color w:val="000000"/>
          <w:sz w:val="22"/>
          <w:szCs w:val="22"/>
        </w:rPr>
        <w:t>pvcsp</w:t>
      </w:r>
      <w:r w:rsidRPr="00AF28B8">
        <w:rPr>
          <w:rFonts w:ascii="Calibri" w:hAnsi="Calibri" w:cs="Calibri"/>
          <w:color w:val="000000"/>
          <w:sz w:val="22"/>
          <w:szCs w:val="22"/>
        </w:rPr>
        <w:t> sequences. Phenotypic assays, including oocyst and sporozoite density and parasitemia, were used to evaluate host infectivity. Two </w:t>
      </w:r>
      <w:r w:rsidRPr="00AF28B8">
        <w:rPr>
          <w:rFonts w:ascii="Calibri" w:hAnsi="Calibri" w:cs="Calibri"/>
          <w:i/>
          <w:iCs/>
          <w:color w:val="000000"/>
          <w:sz w:val="22"/>
          <w:szCs w:val="22"/>
        </w:rPr>
        <w:t>pvcsp</w:t>
      </w:r>
      <w:r w:rsidRPr="00AF28B8">
        <w:rPr>
          <w:rFonts w:ascii="Calibri" w:hAnsi="Calibri" w:cs="Calibri"/>
          <w:color w:val="000000"/>
          <w:sz w:val="22"/>
          <w:szCs w:val="22"/>
        </w:rPr>
        <w:t> subtypes were identified: VK210 (n = 66) and VK247 (n = 3). VK210 exhibited substantial polymorphism in the central repeat region, revealing 21 distinct haplotypes. Among these, haplotype H2 was the most prevalent (50%) in northwestern Thailand and was one of four variants shared globally. Genetic diversity in the N- and C-terminal regions increased in 2023, aligning with elevated transmission intensity. Structural modeling and B-cell epitope predictions indicated immunogenic potential in the central repeat region. Despite the dominance of H2, no statistically significant differences in infectivity metrics were found between H2 and non-H2 variants. These findings suggest that while H2 is the predominant haplotype during resurgence, its abundance does not confer a selective advantage in terms of host infectivity. This study highlights the genetic plasticity of </w:t>
      </w:r>
      <w:r w:rsidRPr="00AF28B8">
        <w:rPr>
          <w:rFonts w:ascii="Calibri" w:hAnsi="Calibri" w:cs="Calibri"/>
          <w:i/>
          <w:iCs/>
          <w:color w:val="000000"/>
          <w:sz w:val="22"/>
          <w:szCs w:val="22"/>
        </w:rPr>
        <w:t>pvcsp </w:t>
      </w:r>
      <w:r w:rsidRPr="00AF28B8">
        <w:rPr>
          <w:rFonts w:ascii="Calibri" w:hAnsi="Calibri" w:cs="Calibri"/>
          <w:color w:val="000000"/>
          <w:sz w:val="22"/>
          <w:szCs w:val="22"/>
        </w:rPr>
        <w:t>in response to transmission dynamics and contributes to the broader understanding needed for </w:t>
      </w:r>
      <w:r w:rsidRPr="00AF28B8">
        <w:rPr>
          <w:rFonts w:ascii="Calibri" w:hAnsi="Calibri" w:cs="Calibri"/>
          <w:i/>
          <w:iCs/>
          <w:color w:val="000000"/>
          <w:sz w:val="22"/>
          <w:szCs w:val="22"/>
        </w:rPr>
        <w:t>pvcsp</w:t>
      </w:r>
      <w:r w:rsidRPr="00AF28B8">
        <w:rPr>
          <w:rFonts w:ascii="Calibri" w:hAnsi="Calibri" w:cs="Calibri"/>
          <w:color w:val="000000"/>
          <w:sz w:val="22"/>
          <w:szCs w:val="22"/>
        </w:rPr>
        <w:t>-based vaccine development.</w:t>
      </w:r>
    </w:p>
    <w:p w14:paraId="508B363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25-A-2723-ASTMH</w:t>
      </w:r>
    </w:p>
    <w:p w14:paraId="07ABC92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6450B50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Prevalence and Determinants of Malnutrition and Micronutrient Deficiencies Among Children (6-59 months) and Women of Reproductive Age (15-49 years) in Tajikistan</w:t>
      </w:r>
    </w:p>
    <w:p w14:paraId="073EDCC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br/>
        <w:t>Malnutrition and micronutrient deficiencies are major global health concerns, especially for children under five and women of reproductive age (WRA: 15-49 years) in low- and middle-income countries (LMICs). These conditions cause immune deficiency, high morbidity and mortality, poor cognitive development, and stunted growth. In Tajikistan’s Gorno-Badakhshan Autonomous Region (GBAO), a mountainous area with harsh socioeconomic conditions, malnutrition and deficiencies are highly prevalent among children and WRA. However, limited data exists on their prevalence and determinants. </w:t>
      </w:r>
      <w:r w:rsidRPr="00AF28B8">
        <w:rPr>
          <w:rFonts w:ascii="Calibri" w:hAnsi="Calibri" w:cs="Calibri"/>
          <w:b/>
          <w:bCs/>
          <w:color w:val="000000"/>
          <w:sz w:val="22"/>
          <w:szCs w:val="22"/>
        </w:rPr>
        <w:t>Objective:</w:t>
      </w:r>
      <w:r w:rsidRPr="00AF28B8">
        <w:rPr>
          <w:rFonts w:ascii="Calibri" w:hAnsi="Calibri" w:cs="Calibri"/>
          <w:color w:val="000000"/>
          <w:sz w:val="22"/>
          <w:szCs w:val="22"/>
        </w:rPr>
        <w:br/>
        <w:t>This study assessed the prevalence of malnutrition and micronutrient deficiencies (stunting, wasting, underweight, overweight, anemia, vitamin A deficiency) among children in Tajikistan and examined socioeconomic and health-related factors influencing these outcomes. </w:t>
      </w:r>
      <w:r w:rsidRPr="00AF28B8">
        <w:rPr>
          <w:rFonts w:ascii="Calibri" w:hAnsi="Calibri" w:cs="Calibri"/>
          <w:b/>
          <w:bCs/>
          <w:color w:val="000000"/>
          <w:sz w:val="22"/>
          <w:szCs w:val="22"/>
        </w:rPr>
        <w:t>Methods:</w:t>
      </w:r>
      <w:r w:rsidRPr="00AF28B8">
        <w:rPr>
          <w:rFonts w:ascii="Calibri" w:hAnsi="Calibri" w:cs="Calibri"/>
          <w:color w:val="000000"/>
          <w:sz w:val="22"/>
          <w:szCs w:val="22"/>
        </w:rPr>
        <w:br/>
        <w:t>A cross-sectional survey was conducted in six GBAO districts using a two-stage stratified random sampling method. Data was collected from 500 children (6-59 months) and 500 WRA. A validated tool gathered data on household status, food security, maternal health, and anthropometric measures. Blood samples were taken to assess hemoglobin and serum retinol levels; hemoglobin was adjusted for altitude. Binary logistic regression explored associations with sociodemographic factors. </w:t>
      </w:r>
      <w:r w:rsidRPr="00AF28B8">
        <w:rPr>
          <w:rFonts w:ascii="Calibri" w:hAnsi="Calibri" w:cs="Calibri"/>
          <w:b/>
          <w:bCs/>
          <w:color w:val="000000"/>
          <w:sz w:val="22"/>
          <w:szCs w:val="22"/>
        </w:rPr>
        <w:t>Results:</w:t>
      </w:r>
      <w:r w:rsidRPr="00AF28B8">
        <w:rPr>
          <w:rFonts w:ascii="Calibri" w:hAnsi="Calibri" w:cs="Calibri"/>
          <w:color w:val="000000"/>
          <w:sz w:val="22"/>
          <w:szCs w:val="22"/>
        </w:rPr>
        <w:br/>
        <w:t>Among children, 18.4% were stunted, 3.4% wasted, 15.4% anemic, and 21.3% had vitamin A deficiency. Among WRA, underweight, overweight/obesity, anemia, and VAD rates were 9.0%, 28.5%, 17.3%, and 40.9%, respectively. Stunting was linked to low maternal education and socioeconomic status. Anemia was common in younger children and those with anemic mothers, while VAD was associated with food insecurity. Underweight in WRA correlated with young age and high parity; overweight/obesity was higher among those with better socioeconomic status. </w:t>
      </w:r>
      <w:r w:rsidRPr="00AF28B8">
        <w:rPr>
          <w:rFonts w:ascii="Calibri" w:hAnsi="Calibri" w:cs="Calibri"/>
          <w:b/>
          <w:bCs/>
          <w:color w:val="000000"/>
          <w:sz w:val="22"/>
          <w:szCs w:val="22"/>
        </w:rPr>
        <w:t>Conclusion:</w:t>
      </w:r>
      <w:r w:rsidRPr="00AF28B8">
        <w:rPr>
          <w:rFonts w:ascii="Calibri" w:hAnsi="Calibri" w:cs="Calibri"/>
          <w:color w:val="000000"/>
          <w:sz w:val="22"/>
          <w:szCs w:val="22"/>
        </w:rPr>
        <w:br/>
        <w:t>Nutrition gaps persist among WRA and children under five. Addressing these requires integrated strategies, including nutritional support, food security initiatives, and maternal education programs.</w:t>
      </w:r>
    </w:p>
    <w:p w14:paraId="11A7F64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25-A-2724-ASTMH</w:t>
      </w:r>
    </w:p>
    <w:p w14:paraId="73A0395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64C5A5B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Molecular Insights into </w:t>
      </w:r>
      <w:r w:rsidRPr="00AF28B8">
        <w:rPr>
          <w:rFonts w:ascii="Calibri" w:hAnsi="Calibri" w:cs="Calibri"/>
          <w:b/>
          <w:bCs/>
          <w:i/>
          <w:iCs/>
          <w:color w:val="000000"/>
          <w:sz w:val="22"/>
          <w:szCs w:val="22"/>
        </w:rPr>
        <w:t>Plasmodium falciparum</w:t>
      </w:r>
      <w:r w:rsidRPr="00AF28B8">
        <w:rPr>
          <w:rFonts w:ascii="Calibri" w:hAnsi="Calibri" w:cs="Calibri"/>
          <w:b/>
          <w:bCs/>
          <w:color w:val="000000"/>
          <w:sz w:val="22"/>
          <w:szCs w:val="22"/>
        </w:rPr>
        <w:t>Drug Resistance Markers and Vaccine Targets in Malaria Holoendemic Region of Africa</w:t>
      </w:r>
    </w:p>
    <w:p w14:paraId="0D740E5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major public health challenge in sub-Saharan Africa, with rising concern over multidrug-resistant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xml:space="preserve"> strains. Northern Nigeria, a region of high transmission, </w:t>
      </w:r>
      <w:r w:rsidRPr="00AF28B8">
        <w:rPr>
          <w:rFonts w:ascii="Calibri" w:hAnsi="Calibri" w:cs="Calibri"/>
          <w:color w:val="000000"/>
          <w:sz w:val="22"/>
          <w:szCs w:val="22"/>
        </w:rPr>
        <w:lastRenderedPageBreak/>
        <w:t>faces critical surveillance gaps that threaten treatment and vaccine efficacy. This study explores the molecular landscape of </w:t>
      </w:r>
      <w:r w:rsidRPr="00AF28B8">
        <w:rPr>
          <w:rFonts w:ascii="Calibri" w:hAnsi="Calibri" w:cs="Calibri"/>
          <w:i/>
          <w:iCs/>
          <w:color w:val="000000"/>
          <w:sz w:val="22"/>
          <w:szCs w:val="22"/>
        </w:rPr>
        <w:t>P. falciparum</w:t>
      </w:r>
      <w:r w:rsidRPr="00AF28B8">
        <w:rPr>
          <w:rFonts w:ascii="Calibri" w:hAnsi="Calibri" w:cs="Calibri"/>
          <w:color w:val="000000"/>
          <w:sz w:val="22"/>
          <w:szCs w:val="22"/>
        </w:rPr>
        <w:t> drug resistance and vaccine target gene diversity in isolates from malaria-endemic and holoendemic areas. Infections were confirmed via RDT and microscopy, followed by multiplex PCR targeting </w:t>
      </w:r>
      <w:r w:rsidRPr="00AF28B8">
        <w:rPr>
          <w:rFonts w:ascii="Calibri" w:hAnsi="Calibri" w:cs="Calibri"/>
          <w:i/>
          <w:iCs/>
          <w:color w:val="000000"/>
          <w:sz w:val="22"/>
          <w:szCs w:val="22"/>
        </w:rPr>
        <w:t>pfcrt, pfmdr1, pfk13, pfdhfr,</w:t>
      </w:r>
      <w:r w:rsidRPr="00AF28B8">
        <w:rPr>
          <w:rFonts w:ascii="Calibri" w:hAnsi="Calibri" w:cs="Calibri"/>
          <w:color w:val="000000"/>
          <w:sz w:val="22"/>
          <w:szCs w:val="22"/>
        </w:rPr>
        <w:t> and </w:t>
      </w:r>
      <w:r w:rsidRPr="00AF28B8">
        <w:rPr>
          <w:rFonts w:ascii="Calibri" w:hAnsi="Calibri" w:cs="Calibri"/>
          <w:i/>
          <w:iCs/>
          <w:color w:val="000000"/>
          <w:sz w:val="22"/>
          <w:szCs w:val="22"/>
        </w:rPr>
        <w:t>pfdhps</w:t>
      </w:r>
      <w:r w:rsidRPr="00AF28B8">
        <w:rPr>
          <w:rFonts w:ascii="Calibri" w:hAnsi="Calibri" w:cs="Calibri"/>
          <w:color w:val="000000"/>
          <w:sz w:val="22"/>
          <w:szCs w:val="22"/>
        </w:rPr>
        <w:t>. Amplicons were sequenced using Oxford Nanopore technology and analyzed with NanoRave and R-based workflows. We report high </w:t>
      </w:r>
      <w:r w:rsidRPr="00AF28B8">
        <w:rPr>
          <w:rFonts w:ascii="Calibri" w:hAnsi="Calibri" w:cs="Calibri"/>
          <w:i/>
          <w:iCs/>
          <w:color w:val="000000"/>
          <w:sz w:val="22"/>
          <w:szCs w:val="22"/>
        </w:rPr>
        <w:t>dhfr</w:t>
      </w:r>
      <w:r w:rsidRPr="00AF28B8">
        <w:rPr>
          <w:rFonts w:ascii="Calibri" w:hAnsi="Calibri" w:cs="Calibri"/>
          <w:color w:val="000000"/>
          <w:sz w:val="22"/>
          <w:szCs w:val="22"/>
        </w:rPr>
        <w:t>-IRNI (90%) and </w:t>
      </w:r>
      <w:r w:rsidRPr="00AF28B8">
        <w:rPr>
          <w:rFonts w:ascii="Calibri" w:hAnsi="Calibri" w:cs="Calibri"/>
          <w:i/>
          <w:iCs/>
          <w:color w:val="000000"/>
          <w:sz w:val="22"/>
          <w:szCs w:val="22"/>
        </w:rPr>
        <w:t>dhps</w:t>
      </w:r>
      <w:r w:rsidRPr="00AF28B8">
        <w:rPr>
          <w:rFonts w:ascii="Calibri" w:hAnsi="Calibri" w:cs="Calibri"/>
          <w:color w:val="000000"/>
          <w:sz w:val="22"/>
          <w:szCs w:val="22"/>
        </w:rPr>
        <w:t>-SGKAA (45%) haplotypes, confirming widespread SP resistance. However, absence of SP-IPTp-associated mutations suggests continued preventive efficacy. Chloroquine resistance (</w:t>
      </w:r>
      <w:r w:rsidRPr="00AF28B8">
        <w:rPr>
          <w:rFonts w:ascii="Calibri" w:hAnsi="Calibri" w:cs="Calibri"/>
          <w:i/>
          <w:iCs/>
          <w:color w:val="000000"/>
          <w:sz w:val="22"/>
          <w:szCs w:val="22"/>
        </w:rPr>
        <w:t>crt</w:t>
      </w:r>
      <w:r w:rsidRPr="00AF28B8">
        <w:rPr>
          <w:rFonts w:ascii="Calibri" w:hAnsi="Calibri" w:cs="Calibri"/>
          <w:color w:val="000000"/>
          <w:sz w:val="22"/>
          <w:szCs w:val="22"/>
        </w:rPr>
        <w:t> 76T) was found in 25% of isolates, indicating partial susceptibility restoration. While no WHO-validated </w:t>
      </w:r>
      <w:r w:rsidRPr="00AF28B8">
        <w:rPr>
          <w:rFonts w:ascii="Calibri" w:hAnsi="Calibri" w:cs="Calibri"/>
          <w:i/>
          <w:iCs/>
          <w:color w:val="000000"/>
          <w:sz w:val="22"/>
          <w:szCs w:val="22"/>
        </w:rPr>
        <w:t>k13</w:t>
      </w:r>
      <w:r w:rsidRPr="00AF28B8">
        <w:rPr>
          <w:rFonts w:ascii="Calibri" w:hAnsi="Calibri" w:cs="Calibri"/>
          <w:color w:val="000000"/>
          <w:sz w:val="22"/>
          <w:szCs w:val="22"/>
        </w:rPr>
        <w:t> mutations were detected, novel polymorphisms were identified, warranting further monitoring. c</w:t>
      </w:r>
      <w:r w:rsidRPr="00AF28B8">
        <w:rPr>
          <w:rFonts w:ascii="Calibri" w:hAnsi="Calibri" w:cs="Calibri"/>
          <w:i/>
          <w:iCs/>
          <w:color w:val="000000"/>
          <w:sz w:val="22"/>
          <w:szCs w:val="22"/>
        </w:rPr>
        <w:t>sp</w:t>
      </w:r>
      <w:r w:rsidRPr="00AF28B8">
        <w:rPr>
          <w:rFonts w:ascii="Calibri" w:hAnsi="Calibri" w:cs="Calibri"/>
          <w:color w:val="000000"/>
          <w:sz w:val="22"/>
          <w:szCs w:val="22"/>
        </w:rPr>
        <w:t> gene analysis showed clustered mutations in immunodominant regions, potentially impacting RTS,S and R21 vaccine efficacy. Regional analysis revealed variation in resistance, with crisis-affected Yobe and Maiduguri showing the highest burden, and Kano exhibiting high mutation diversity, including emerging </w:t>
      </w:r>
      <w:r w:rsidRPr="00AF28B8">
        <w:rPr>
          <w:rFonts w:ascii="Calibri" w:hAnsi="Calibri" w:cs="Calibri"/>
          <w:i/>
          <w:iCs/>
          <w:color w:val="000000"/>
          <w:sz w:val="22"/>
          <w:szCs w:val="22"/>
        </w:rPr>
        <w:t>k13</w:t>
      </w:r>
      <w:r w:rsidRPr="00AF28B8">
        <w:rPr>
          <w:rFonts w:ascii="Calibri" w:hAnsi="Calibri" w:cs="Calibri"/>
          <w:color w:val="000000"/>
          <w:sz w:val="22"/>
          <w:szCs w:val="22"/>
        </w:rPr>
        <w:t> variants. Predictive modeling identified Kano and Yobe as resistance hotspots with 90.9% accuracy. These findings highlight the urgent need for expanded genomic surveillance, reassessment of SP-based interventions, and targeted malaria control. Drawing lessons from Southeast Asia’s artemisinin resistance, proactive strategies are essential to prevent treatment failure and limit the spread of resistant </w:t>
      </w:r>
      <w:r w:rsidRPr="00AF28B8">
        <w:rPr>
          <w:rFonts w:ascii="Calibri" w:hAnsi="Calibri" w:cs="Calibri"/>
          <w:i/>
          <w:iCs/>
          <w:color w:val="000000"/>
          <w:sz w:val="22"/>
          <w:szCs w:val="22"/>
        </w:rPr>
        <w:t>P. falciparum</w:t>
      </w:r>
      <w:r w:rsidRPr="00AF28B8">
        <w:rPr>
          <w:rFonts w:ascii="Calibri" w:hAnsi="Calibri" w:cs="Calibri"/>
          <w:color w:val="000000"/>
          <w:sz w:val="22"/>
          <w:szCs w:val="22"/>
        </w:rPr>
        <w:t> strains in Nigeria.</w:t>
      </w:r>
    </w:p>
    <w:p w14:paraId="3857E34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25-A-2725-ASTMH</w:t>
      </w:r>
    </w:p>
    <w:p w14:paraId="1EB7A87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06C6862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Efficacy of household larval control practices: across different seasons and levels of urbanization levels in communities living in a dengue hotspot district in Thailand</w:t>
      </w:r>
    </w:p>
    <w:p w14:paraId="0914F3A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is a significant public health concern in Thailand. A repeated cross-sectional study assessed the efficacy of larval control practices in household water containers recommended by the Ministry of Health, including covering containers, weekly cleaning, and using the larvicide temephos. We surveyed 1,000 households across three seasons, with 250 households in each of four urbanized areas (rural, semi-rural, semi-urban, and urban) in Ban Pong district, Ratchaburi province. The presence of Aedes immature stages, container locations, and control measures were recorded using a mobile app (ArcGIS Survey 123).We identified 9,860 containers, of which 39% (n=3,804) were domestic water storage containers and 61% (n=6,076) were non-water storage or discarded waste containers. Results revealed that the Breteau index (BI) exceeded WHO standards in all seasons: 23.1% in dry, 37.1% in hot, and 42.5% in wet seasons. BI was higher in semi-rural (47.3%) and rural (36%) areas compared to urban (28.8%) and semi-urban (25.3%).Key containers with Aedes immature stages included cement tanks (22.6%) and buckets (19.9%). Less than half of cement tanks (44.4%) and buckets (42.2%) had at least one larval control method applied. With control, 8.5% of cement tanks and 6.58% of buckets contained larvae, compared to 33.8% of cement tanks and 28.2% of buckets without control. Weekly cleaning and temephos were the most common methods in cement tanks, with weekly cleaning found more effective (7.4% vs. 15.1% larvae positive). Overall, we found a complex interaction between water use, container characteristics, and larval control practices across different urbanization levels. Effective larval control strategies in Thailand require ongoing entomological surveillance to identify key breeding sources and optimize methods.</w:t>
      </w:r>
    </w:p>
    <w:p w14:paraId="03D4796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25-A-2726-ASTMH</w:t>
      </w:r>
    </w:p>
    <w:p w14:paraId="09424A8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4F32A67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Neuregulin-1 Mitigates Heme-Induced Injury in iPSC-Derived Endothelial Cells from Children with Various Hemoglobin Genotypes</w:t>
      </w:r>
    </w:p>
    <w:p w14:paraId="6527FEC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Intravascular hemolysis is a key contributor to disease severity in both malaria and sickle cell disease (SCD), leading to the release of toxic cell-free heme into circulation. Under normal conditions, heme is regulated by scavengers such as hemopexin (HPX), haptoglobin (HG), and heme oxygenase-1 (HO-1). However, in SCD and malaria, these systems become depleted, contributing to vascular dysfunction, </w:t>
      </w:r>
      <w:r w:rsidRPr="00AF28B8">
        <w:rPr>
          <w:rFonts w:ascii="Calibri" w:hAnsi="Calibri" w:cs="Calibri"/>
          <w:color w:val="000000"/>
          <w:sz w:val="22"/>
          <w:szCs w:val="22"/>
        </w:rPr>
        <w:lastRenderedPageBreak/>
        <w:t>inflammation, and oxidative stress, which leads to morbidity and mortality associated with both diseases. To understand the mechanisms mediating hemolysis-induced effects in patients, non-invasive approaches are needed. We utilized induced pluripotent stem cells (iPSCs) reprogrammed from somatic cells to generate vascular endothelial cells to model genotype-specific responses to heme. We hypothesize that heme exposure in iPSC-derived endothelial cells from individuals with different hemoglobin genotypes induces distinct inflammatory profiles, and that Neuregulin-1 (NRG-1), a cytoprotective peptide, mitigates this injury by enhancing anti-inflammatory signaling and HO-1 expression. In collaboration with the Children’s Health Department of Korle-Bu Teaching Hospital in Accra, Ghana, we assessed hemoglobin (Hb), malaria, and HIV status were assessed. Urine-derived epithelial cells (UDC) and peripheral blood mononuclear cells (PBMC) were reprogrammed into iPSCs and differentiated into endothelial cells. iPSC-ECs were treated with Heme (38 µM), recombinant NRG-1, or Cobalt protoporphyrin IX (CoPP), a HO-1 inducer. Cell supernatant and cell lysates were evaluated for inflammatory markers and HMOX levels. Heme exposure decreased cell proliferation and increased CXCL10, IL-6, IL-1β, TNF-α, Ang-2, VEGFA, VCAM-1, ICAM-1, and BDNF with most pronounced effects observed in HbSS iPSC-ECs. NRG-1 reduced inflammatory markers, restored endothelial integrity (VE-Cadherin, PECAM-1) and upregulated HO-1. Patient-specific iPSC-ECs offer a personalized ex vivo model to study hemolysis-induced vascular injury. NRG-1 shows promise as a therapeutic for reducing inflammation and endothelial dysfunction in SCD and malaria.</w:t>
      </w:r>
    </w:p>
    <w:p w14:paraId="4A65642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25-A-2727-ASTMH</w:t>
      </w:r>
    </w:p>
    <w:p w14:paraId="2EBFA91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09C6ECC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Burden of Inguinal Hernia among Filarial Hydrocele Patients in Kwale County in Kenya. An opportunity for Integrated Clinical Management</w:t>
      </w:r>
    </w:p>
    <w:p w14:paraId="2F75D60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Lymphatic filariasis (LF) remains a public health concern in Kenya, with hydrocele as a common chronic manifestation in coastal regions. During routine facility visits and hydrocelectomy camps, some suspected hydrocele cases are later diagnosed with inguinal hernia—a globally prevalent condition caused by weakened abdominal muscles. Risk factors include obesity, chronic coughing, and strenuous activity. This study aimed to determine the burden and associated risk factors of inguinal hernia among suspected filarial hydrocele patients in Kwale County, Kenya. A descriptive cross-sectional study was conducted in Kwale County, Kenya, using mixed methods approach. Data was collected from patients, healthcare workers, and health facilities with functional theatres. Questionnaires captured information on risk factors and infrastructure. Descriptive statistics was used to identify frequency of occurrences, and tests for association were conducted to determine factors associated with the occurrence of hydrocele, inguinal hernia, or both conditions. Among 447 participants, most were over 60 years (47%), with 58% having formal education and 56% unemployed. Filarial hydrocele (42%) and combined hydrocele with hernia (43%) were more common than hernia alone (13%). A significant association was found between hernia and family history (p = 0.005), while heavy lifting approached significance (p = 0.068). Most had symptoms for over 5 years; pain was common, especially in hernia cases (87%). Transillumination was positive in 78% of hydrocele cases. Health-seeking behavior was highest among hernia patients (83%) and lowest among hydrocele cases (51%), indicating potential barriers to care. The findings highlight a substantial burden of inguinal hernia, often coexisting with filarial hydrocele, among patients in coastal Kenya with diagnostic overlap between hernia and hydrocele emphasizing the importance of accurate clinical assessment. Strengthening community awareness and improving access to surgical care are critical to addressing morbidity and enhancing outcomes in lymphatic filariasis-endemic regions.</w:t>
      </w:r>
    </w:p>
    <w:p w14:paraId="56A06E3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25-A-2728-ASTMH</w:t>
      </w:r>
    </w:p>
    <w:p w14:paraId="63B0D2C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1192E8D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Plasmodium falciparum Gametocytemia carriage and Transmission-blocking Immunity in Dangassa, an area of long malaria transmission in Mali</w:t>
      </w:r>
    </w:p>
    <w:p w14:paraId="4BFC7EE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P. falciparum continues to resist control efforts in part through the complexity of its life cycle involving both humans and mosquitoes. P. falciparum gametocytes play a crucial role in malaria resilience as a transmission stage of the parasite. However less is known about its distribution across different populations. Recent studies suggest that natural immune responses against P. falciparum gametocytes could play a critical role by reducing transmission to mosquito vectors. This study aimed to determine P. falciparum gametocytes carriage and specific antibodies in high transmission area to understand transmission patterns. The study was conducted in Dangassa long malaria transmission area. A cross-sectional survey was carried out in June 2019 to collect data on malaria. Blood samples were collected to assess antibodies levels against Pfs230, Pfs48/45 and Pfs47 antigens using ELISA assay N=294. RNA was also collected in RNA protect and extracted using QIAGEN kit and RT-qPCR was performed to quantify gametocytemia N=212. Hemoglobin types were determined using Bio-Rad D10 machine N=111. REDCap was used for data management and STATA14 was used for data analysis. Chi2 was used to compare proportion. Overall gametocyte carriage was 40.1% using RT-qPCR. Gametocyte carriage was not significantly different according to age groups 43.1% (5-9 years) vs 36.5% (10-15 years, p=0.326). Similarly there was no variation in hemoglobin types of AA (32.3) AS (50) AC (25, p=0.636). However it was higher in individual infected with asexual forms p=0.001. The seroprevalence for gametocyte antigen Pfs230 (28.6%), Pfs47 (12.9%) and Pfs48/45 (10.5%) was significantly higher in children aged 10-15 years-old compared to those aged 5-9 years-old p&lt;0.05 and did not vary according to hemoglobin types p&gt;0.05. This study shows that individual serum recognized mainly P. falciparum antigen Pfs230 and children aged 10-15 years-old have higher level of antibodies for all tested antigens. In perspective we plan to continue studies on factors associated with gametocyte carriage during the dry season to better understand residual transmission in Dangassa village.</w:t>
      </w:r>
    </w:p>
    <w:p w14:paraId="309DB0E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25-A-2729-ASTMH</w:t>
      </w:r>
    </w:p>
    <w:p w14:paraId="2C99266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A620626" w14:textId="0409935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spatial and temporal trends in seasonal malaria chemoprevention coverage and other key indicators, and identifying factors associated with the trends in Nampula Province, Mozambique.</w:t>
      </w:r>
    </w:p>
    <w:p w14:paraId="6D92880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2020, a mid-term review of Mozambique’s Malaria Strategic Plan recommended the adoption of seasonal malaria chemoprevention (SMC) using sulfadoxine-pyrimethamine plus amodiaquine (SPAQ) to accelerate malaria control. Following a successful pilot implementation study in Nampula province in 2021-2022 , SMC was scaled up across all 23 districts in 2023-2024, targeting approximately 1 million children aged 3-59 months. This analysis compared SMC coverage and other key indicators between 2023 and 2024 and identify factors associated with observed trends. We performed secondary analyses of data collected during household surveys assessing the coverage of SMC and other programme indicators at the end of each round. Surveys were cross-sectional, involving multi-stage sampling of children within participating clusters and households. Day 1 SPAQ coverage in cycle 4 was 75.9% in 2023, with a significant decrease in 2024 (71.65%, p value = 0.007). Geographically, Day 1 coverage ranged from 15.9% in Nacala Porto to 97.6% in Rapale in 2024, while ranging from 35.5% in Mossuril to 100% in Mecuburi district in 2023. Adherence to Day 1 SPAQ as directly observed treatment in cycle 4 was similar in 2023 and 2024 (92.18% vs 90.73%, p value=0.240). The percentage of children who completed the three-day course of SPAQ in cycle 4 remained stable in 2023 and 2024 (98.6.3% vs 98.7%, p=0.926). The percentage of eligible children who received all four cycles was 54.18% in 2023, and declined to 48.11% in 2024 (p value = 0.008). The odds of receiving Day 1 SPAQ were higher in children aged 12-59 months compared with those aged 2-11 months (Odds ratio, 1.20 [95% CI: 1.06-1.35]). Children with educated caregivers had higher odds of receiving Day 1 SPAQ compared with the uneducated (Odds ratio, 2.86 [95% CI: 1.79-4.55]). Conversely, children whose caregivers had limited SMC knowledge had lower odds of receiving Day 1 SPAQ compared with those of more knowledgeable caregivers (Odds ratio, 0.68 [95% CI: 0.47- 0.98]). Future interventions should focus on strengthening caregiver engagement and refining distribution strategies, especially in underperforming districts.</w:t>
      </w:r>
    </w:p>
    <w:p w14:paraId="2979D63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25-A-2730-ASTMH</w:t>
      </w:r>
    </w:p>
    <w:p w14:paraId="421C4CC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52BB5D9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Assessment of knowledge and willingness to use of rapid diagnostic tests for malaria by health professionals in Republic of Congo</w:t>
      </w:r>
    </w:p>
    <w:p w14:paraId="7902532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the availability of Rapid Diagnostic Tests (RDT) at health centers, Malaria diagnosis in the Republic of Congo is still a challenge. Therefore, this study assessed the knowledge, attitudes and willingness of health professionals to use malaria RDTs with the goal to improve its adoption. A cross-sectional descriptive using an open questionnaire was conducted among health professionals (HP) working in 09 health districts including 36 health centers in Brazzaville. A total of 211 HP were enrolled, public health facilities represented 74%, knowledge about malaria was not influenced by any of the variable. 88% of health professionals lack practical knowledge in RDT usage, 59% consider RDT reliable and 97% find easy to use, 100% RDT are provided by NGO donation or MoPH, 65% have never been trained on RDTs usage. Importantly, only 7.6% of HP follow national guidelines for RDT. As a conclusion, there is a crucial necessity to organize regular training on the use of RDT in RoC for better acceptance of this tool in low resource setting.</w:t>
      </w:r>
    </w:p>
    <w:p w14:paraId="693BFAB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25-A-2731-ASTMH</w:t>
      </w:r>
    </w:p>
    <w:p w14:paraId="3D0D531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433A27D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of a Protocol for Splenomegaly and Pallor Predictive Value in Pediatric Malaria in Matola, Mozambique</w:t>
      </w:r>
    </w:p>
    <w:p w14:paraId="29177F0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leading cause of morbidity and mortality in children under five years old in Mozambique, where diagnostic resources are often limited. Accurate clinical diagnosis is crucial, especially in settings with limited access to laboratory diagnostics. Previous studies have shown that pallor and splenomegaly may be associated with malaria parasitemia. This retrospective study will evaluate the predictive value of splenomegaly and pallor on physical examination in supporting a malaria diagnosis in febrile children at Matola Provincial Clinic. Medical records of children aged 0 to 59 months presenting with documented fever or history of fever between January 2018 and December 2024 will be reviewed. Inclusion criteria will require documentation of spleen and pallor examination and a laboratory-confirmed malaria result by rapid diagnostic test or microscopy. Data collected will include patient demographics, physical exam findings, and malaria test results. Sensitivity, specificity, positive predictive value, and negative predictive value will be calculated for splenomegaly and pallor individually and in combination. Additionally, sensitivity and specificity of pallor and splenomegaly in diagnosing malaria will be compared between peak and non-peak seasons. Findings will be used to improve clinical decisionmaking algorithms, especially across peak malarial seasons in southern Mozambique.</w:t>
      </w:r>
    </w:p>
    <w:p w14:paraId="05712F8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25-A-2733-ASTMH</w:t>
      </w:r>
    </w:p>
    <w:p w14:paraId="6238E47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3BA0CF2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LF Elimination in India: Data Quality, Management and Challenges</w:t>
      </w:r>
    </w:p>
    <w:p w14:paraId="233871B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Lymphatic Filariasis (LF) elimination campaign in India after pilot from 1997-2002 was launched in 2004 to cover all LF endemic districts. The gap in actual drug compliance was a challenge indicated in scientific publications and by experts emphasising for compliance improvements as it was a major impediment for delay in reducing the microfilaria prevalence. India has made significant progress towards achieving LF elimination especially after introduction of triple drug combination for MDA in identified districts and morbidity management disability prevention. However, reduction in microfilaria rate is due to various factors including resources. The reporting of data, its quality and management therefore need to be relooked for analysis and taking corrective measures. The usual ongoing reporting under programme covering over 600 million population continued from 21 states/Union Territories. The programme reporting formats are through13 Tables capturing information of LF endemic districts, mf survey, MDA coverage, training, IEC, adverse reactions, logistics, funds, listing of LF cases, morbidity management, etc. The data entry by ground level workers, at facility are transmitted to districts for further compilation </w:t>
      </w:r>
      <w:r w:rsidRPr="00AF28B8">
        <w:rPr>
          <w:rFonts w:ascii="Calibri" w:hAnsi="Calibri" w:cs="Calibri"/>
          <w:color w:val="000000"/>
          <w:sz w:val="22"/>
          <w:szCs w:val="22"/>
        </w:rPr>
        <w:lastRenderedPageBreak/>
        <w:t>and sharing with states and national authority.Checking the data for action to be taken to improve coverage in areas reporting lesser coverage and to convey revised figure to national authority is crucial. Quality of microfilaria (mf) survey, its staining and examination by trained microscopist pose a challenge as it facilitates decision making process. Similarly, line listing of lymphedema cases done by village level health worker need to be confirmed for LF by medical practitioner failing which all swellings of legs will continue to be recorded as LF case. Financial resources for LF elimination are usually delayed resulting in compromised actions but it is not reflected in overall budget performance. Reallocation of skilled human resource or bridging gap of human resource is continued challenge. The integrated resource management should not hamper priority in achieving LF elimination.</w:t>
      </w:r>
    </w:p>
    <w:p w14:paraId="476F9C8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25-A-2734-ASTMH</w:t>
      </w:r>
    </w:p>
    <w:p w14:paraId="1FD4A41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3BA8A16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Melioidosis in Southern India: A Six-Case Series Exploring Clinical Variability and Diagnostic Challenges</w:t>
      </w:r>
    </w:p>
    <w:p w14:paraId="4F46024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Melioidosis</w:t>
      </w:r>
      <w:r w:rsidRPr="00AF28B8">
        <w:rPr>
          <w:rFonts w:ascii="Calibri" w:hAnsi="Calibri" w:cs="Calibri"/>
          <w:color w:val="000000"/>
          <w:sz w:val="22"/>
          <w:szCs w:val="22"/>
        </w:rPr>
        <w:t>, caused by </w:t>
      </w:r>
      <w:r w:rsidRPr="00AF28B8">
        <w:rPr>
          <w:rFonts w:ascii="Calibri" w:hAnsi="Calibri" w:cs="Calibri"/>
          <w:i/>
          <w:iCs/>
          <w:color w:val="000000"/>
          <w:sz w:val="22"/>
          <w:szCs w:val="22"/>
        </w:rPr>
        <w:t>Burkholderia pseudomallei</w:t>
      </w:r>
      <w:r w:rsidRPr="00AF28B8">
        <w:rPr>
          <w:rFonts w:ascii="Calibri" w:hAnsi="Calibri" w:cs="Calibri"/>
          <w:color w:val="000000"/>
          <w:sz w:val="22"/>
          <w:szCs w:val="22"/>
        </w:rPr>
        <w:t> - a severe bacterial infection endemic to Southeast Asia and Northern Australia, presents with a wide clinical spectrum including pneumonia, osteomyelitis, abscesses, and neurological involvement. The disease carries high morbidity and mortality, especially among uncontrolled diabetics and immunocompromised individuals, often mimicking chronic conditions like tuberculosis, making early diagnosis difficult. Hence, an acute clinical awareness for Melioidosis results in timely identification and appropriate antibiotic therapy, thus preventing complications and recurrence. This series describes six patients (four males, two females; mean age 42.6 ±11.7 years) diagnosed with melioidosis. Diabetes mellitus was the most common comorbidity (in five patients), followed by chronic kidney disease (two patients). Median symptom duration before diagnosis was 12 days. Fever was the most common presentation (100%) with other systemic involvement not limited to musculoskeletal (66%), pulmonary (50%), gastrointestinal (50%), skin and soft tissue infections (33%) and neurological (33%). Three had environmental exposure (farming or animal contact), suggesting soil- or water-borne transmission. Initial differentials included tuberculosis, bacterial sepsis, and tropical fevers. Diagnosis was confirmed via culture of blood, bone marrow, Bronchoalveolar lavage fluid and joint aspirates. Our patients were treated with intravenous ceftazidime (3 cases) while the others were on meropenem due to severe critical illness (median duration: 14 days), followed by oral eradication therapy (co-trimoxazole or doxycycline) with a median duration of 12 weeks, with 3 patients requiring orthopaedic interventions. We were successful in achieving 100% cure rates. This series highlights the diagnostic challenge of melioidosis in India, where its clinical mimicry and endemic diseases like tuberculosis often cause delays. Greater awareness and early microbiological confirmation are essential for improving outcomes.</w:t>
      </w:r>
    </w:p>
    <w:p w14:paraId="4BD3422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25-A-2735-ASTMH</w:t>
      </w:r>
    </w:p>
    <w:p w14:paraId="029DA78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7530222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Mpox genomic surveillance in the Democratic Republic of the Congo</w:t>
      </w:r>
      <w:r w:rsidRPr="00AF28B8">
        <w:rPr>
          <w:rFonts w:ascii="Calibri" w:hAnsi="Calibri" w:cs="Calibri"/>
          <w:color w:val="000000"/>
          <w:sz w:val="22"/>
          <w:szCs w:val="22"/>
        </w:rPr>
        <w:t> (</w:t>
      </w:r>
      <w:r w:rsidRPr="00AF28B8">
        <w:rPr>
          <w:rFonts w:ascii="Calibri" w:hAnsi="Calibri" w:cs="Calibri"/>
          <w:b/>
          <w:bCs/>
          <w:color w:val="000000"/>
          <w:sz w:val="22"/>
          <w:szCs w:val="22"/>
        </w:rPr>
        <w:t>DRC) from 2017 - 2025: High clade I genetic diversity and emergence of sustained outbreaks from repeated zoonotic introductions</w:t>
      </w:r>
    </w:p>
    <w:p w14:paraId="529B430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Increasing trends of mpox notifications in DRC and other African regions was the primary driver for the declaration of a second public health emergency of international concern in August 2024. The changing epidemiology of mpox in the DRC included sexual clusters, emergence in health zones that had not previously had reported cases and sustained human-to-human transmission. We sequenced mpox virus PCR-positive samples collected from 24/26 provinces in DRC from 2017 to 2025, using either probe enrichment or amplicon based NGS sequencing protocols. Maximum likelihood phylogenetic analysis was performed using clade I mpox nextstrain pipeline.A total of 2021 genomes from 2000 patients have been generated from 1484 vesicles, 463 crusts and 74 other sample types. Near full-length genomes (≥90% coverage) were obtained for 1029 samples while 501 were covered between 80-90%. Among the 2021 sequences, half were collected after February 2024 and have not yet been published. Genomes belonged to Clade I – 1493 Clade Ia and 528 Clade Ib. Clade Ia has been detected in 19 provinces, Clade </w:t>
      </w:r>
      <w:r w:rsidRPr="00AF28B8">
        <w:rPr>
          <w:rFonts w:ascii="Calibri" w:hAnsi="Calibri" w:cs="Calibri"/>
          <w:color w:val="000000"/>
          <w:sz w:val="22"/>
          <w:szCs w:val="22"/>
        </w:rPr>
        <w:lastRenderedPageBreak/>
        <w:t>Ib in 10 provinces, with co-circulation of both subclades in 7 provinces. While clade Ib spread is related to sustained human to human transmission in urban areas, clade Ia remains predominantly related to zoonotic transmission in rural areas. The latter is based on the observation that during the same outbreak, genetically diverse clade Ia lineages were found to cocirculate. Moreover, an increasing diversity is observed within clade Ia, reflecting the diversity in the animal reservoir, including observation of a novel subgroup in the southern Lualaba province. However, emergence of clade Ia lineages with evidence of sustained human to human transmission and a high proportion of APOBEC3 mutations have been observed since mid-2024 in a large urban center (Kinshasa). In the context of multiple zoonotic introductions, it is very likely that other variants will continue to emerge in the human population. It is essential to continue monitoring and increase efforts to document the animals involved in zoonotic transmission events and provide countermeasures as vaccination or cares.</w:t>
      </w:r>
    </w:p>
    <w:p w14:paraId="2966727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25-A-2736-ASTMH</w:t>
      </w:r>
    </w:p>
    <w:p w14:paraId="5A42887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(Immunology)</w:t>
      </w:r>
    </w:p>
    <w:p w14:paraId="457AF8E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Revisiting the SXP-1 antigen based urinary enzyme-linked immunosorbent assay for post-validation serosurveillance of Lymphatic Filariasis in Bangladesh</w:t>
      </w:r>
    </w:p>
    <w:p w14:paraId="19AB996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Bangladesh was declared of elimination from lymphatic filariasis(LF) by World Health Organization(WHO) in April 2023 and is now at LF post-validation phase. Due to low infection levels present in the community, sensitive, accurate, cost-effective and scalable surveillance strategy is imperative to gauge residual LF infection towards preventing reemergence of the disease. Antibody against filarial antigen persist in high levels despite infection clearance and can be found in urine alongside serum. This serves a massive advantage, as urine offers a non-invasive and simple means of sample collection while preserving/restoring the assay accuracy. Although effectiveness of anti-SXP-1 IgG4 urine ELISA was previously established in MDA stage for LF case detection a decade ago, declining microfilariae/circulating filarial antigen prevalence in endemic regions over time has influenced positive predictive value of the ELISA. Therefore, revisiting this assay is imperative before any potential large-scale application at post-validation stage. Considering the dearth of LF-positive cases and little information on pre-test positivity, we revalidated the assay by using urine samples from 3 non-endemic normals spiked with pooled and diluted CFA-positive serum. Optical density (OD) readings were taken at 405nm with reference at 490nm. A receiver-operating-characteristic (ROC) curve was generated based on delta OD values, resulting in a cutoff OD value of 0.03650 corresponding to 9 antibody units (U) as per standard curve attributing to sensitivity and specificity of 88.1% and 100% respectively. Our findings mark the first step towards performing IgG4 urine ELISA at LF post-validation phase in Bangladesh. Furthermore, the results from our work will support potential large-scale application of this assay by National Lymphatic Filariasis Elimination Programme for identifying regions with ongoing LF transmission.</w:t>
      </w:r>
    </w:p>
    <w:p w14:paraId="6729A67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25-A-2737-ASTMH</w:t>
      </w:r>
    </w:p>
    <w:p w14:paraId="43E4021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1D31048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GLP-1 Receptor Activation and Stroke Risk in African Populations: A Mendelian Randomization Analysis of Subtype-Specific Effects</w:t>
      </w:r>
    </w:p>
    <w:p w14:paraId="7C8840A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 Glucagon-like peptide-1 receptor agonists (GLP-1RAs) demonstrate cardioprotective benefits in trials of predominantly European ancestry populations, but their effects on stroke risk in African ancestry individuals remain unclear. This Mendelian randomization (MR) study investigates the causal relationship between genetically proxied GLP1RAs and stroke subtypes in African populations, addressing a critical evidence gap in precision medicine.</w:t>
      </w:r>
      <w:r w:rsidRPr="00AF28B8">
        <w:rPr>
          <w:rFonts w:ascii="Calibri" w:hAnsi="Calibri" w:cs="Calibri"/>
          <w:color w:val="000000"/>
          <w:sz w:val="22"/>
          <w:szCs w:val="22"/>
        </w:rPr>
        <w:br/>
        <w:t xml:space="preserve">Methods: We leveraged the largest African American (AFA)-specific genome-wide association study (GWAS) meta-analyses: the Type 2 Diabetes Global Genomics Initiative (T2D-GGI; 50,251 AFA cases, 103,909 controls) for exposure data, and the GIGASTROKE consortium (4,077 AFA stroke cases, ~55,644 controls) for outcome data. Genetic variants near GLP1R were selected as instrumental variables (p &lt; </w:t>
      </w:r>
      <w:r w:rsidRPr="00AF28B8">
        <w:rPr>
          <w:rFonts w:ascii="Calibri" w:hAnsi="Calibri" w:cs="Calibri"/>
          <w:color w:val="000000"/>
          <w:sz w:val="22"/>
          <w:szCs w:val="22"/>
        </w:rPr>
        <w:lastRenderedPageBreak/>
        <w:t>5×10ֿ⁷, LD r² &lt; 0.1) and validated for strength (F-statistic &gt; 10) and absence of pleiotropy (MR-Egger intercept). Stroke outcomes included cardioembolic (CES; n≈473), ischemic (IS), large artery (LAS; n≈341), small vessel (SVS; n≈503), and total stroke (TSV). Primary analysis used inverse-variance weighted (IVW) regression, and sensitivity analyses.</w:t>
      </w:r>
      <w:r w:rsidRPr="00AF28B8">
        <w:rPr>
          <w:rFonts w:ascii="Calibri" w:hAnsi="Calibri" w:cs="Calibri"/>
          <w:color w:val="000000"/>
          <w:sz w:val="22"/>
          <w:szCs w:val="22"/>
        </w:rPr>
        <w:br/>
        <w:t>Results: Genetically predicted GLP1R agonism showed divergent effects across stroke subtypes: Strong protection against LAS (OR = 0.06, 95% CI: 0.01-0.53; p = 0.011), suggesting a 94% risk reduction. Increased risk of CES (OR = 1.63, 95% CI: 1.21-2.19; p = 1.0×10−12) and IS (OR = 2.82, 95% CI: 1.72-4.63; p = 4.1×10−5). Neutral effects on SVS (OR = 1.13, 95% CI: 0.36-3.56) and TSV (OR = 1.26, 95% CI: 0.90-1.76).</w:t>
      </w:r>
      <w:r w:rsidRPr="00AF28B8">
        <w:rPr>
          <w:rFonts w:ascii="Calibri" w:hAnsi="Calibri" w:cs="Calibri"/>
          <w:color w:val="000000"/>
          <w:sz w:val="22"/>
          <w:szCs w:val="22"/>
        </w:rPr>
        <w:br/>
        <w:t>Sensitivity analyses confirmed robustness (no pleiotropy; Cochran’s Q p &gt; 0.05).</w:t>
      </w:r>
      <w:r w:rsidRPr="00AF28B8">
        <w:rPr>
          <w:rFonts w:ascii="Calibri" w:hAnsi="Calibri" w:cs="Calibri"/>
          <w:color w:val="000000"/>
          <w:sz w:val="22"/>
          <w:szCs w:val="22"/>
        </w:rPr>
        <w:br/>
        <w:t>Conclusions: This first ancestry-specific MR study of GLP1R agonism in African populations reveals subtype-specific stroke effects: profound protection against LAS but potential risk elevation for CES/IS. Findings highlight the importance of tailored cardiovascular prevention strategies and underscore the need for inclusive pharmacogenomic research to optimize GLP-1RA use across diverse populations.</w:t>
      </w:r>
    </w:p>
    <w:p w14:paraId="12263A8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25-A-2738-ASTMH</w:t>
      </w:r>
    </w:p>
    <w:p w14:paraId="5FA0863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2C48D94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Efficacy of Doxycycline and Hygiene measures in the management of Podoconiosis - A double blinded, placebo controlled clinical trial</w:t>
      </w:r>
    </w:p>
    <w:p w14:paraId="01C4133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Podoconiosis is an endemic non-filarial, non-communicable lower limb lymphedema (LE) caused by prolonged exposure of bare feet to irritant red clay soils. It is accompanied by disability and painful intermittent acute inflammatory episodes. Regular limb hygiene has been the standard of care for management, however, observational studies in LE due to lymphatic filariasis suggested the inclusion of doxycycline (DOX) to halt or reverse progression on early stages of LE. Hence, a randomized, double-blinded, placebo-controlled trial (RCT) was conducted to investigate the impact of a 6-week DOX treatment in addition to intensive hygiene measures on participants with at least one leg with LE stage 2 or 3 due to podoconiosis. Participants were followed-up for 24 months at 2 months intervals with the main endpoints being lack of progression or improvement of LE stage. Secondary endpoints included frequency of acute inflammatory episodes (ADL), hygiene compliance, assessment of disability (WHODAS 2.0) and depressive symptoms (PHQ-9). A total of 203 participants (18 - 60 years; 181 females, 22 males) were randomized and received, in addition to intensive hygiene measures, either DOX 200mg once daily (n = 102) or matching placebo (n = 101) for 6 weeks. Overall, 4.6% participants showed progression of LE stage at 24-month (DOX: 5.9%, placebo: 3.4%), whereas 40% in the DOX and 43.2% in the placebo group displayed improved limb conditions, with the majority in the group of participants who started treatment with LE stage 2. Both groups saw a reduction in the probability of ADL compared to baseline and the median time to a new attack was 10 months and 18 months for the DOX and placebo group respectively, though not significant (p=0.38). The WHODAS 2.0 score dropped from 33.41 at baseline to 12.9 at 12-month and 18.5 at 24-month in the DOX and from 34.0, to 11.6 and 15.5 in the placebo group, respectively. These data demonstrate, for the first time in a RCT, the strong benefit from adhering to a strict hygiene protocol in terms of improving LE in early stages of podoconiosis.</w:t>
      </w:r>
    </w:p>
    <w:p w14:paraId="5A230FE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25-A-2739-ASTMH</w:t>
      </w:r>
    </w:p>
    <w:p w14:paraId="0E27189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0CE6743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Evaluation of Novel Ov16 ELISA Storage Techniques to Improve Onchocerciasis Diagnostics Applications</w:t>
      </w:r>
    </w:p>
    <w:p w14:paraId="0005B11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World Health Organization’s guidelines regarding onchocerciasis elimination advise measuring disease prevalence in children to assess transmission and suppression. These guidelines recommend implementation of serological testing using Enzyme-Linked Immunosorbent Assay (ELISA) with an</w:t>
      </w:r>
      <w:r w:rsidRPr="00AF28B8">
        <w:rPr>
          <w:rFonts w:ascii="Calibri" w:hAnsi="Calibri" w:cs="Calibri"/>
          <w:i/>
          <w:iCs/>
          <w:color w:val="000000"/>
          <w:sz w:val="22"/>
          <w:szCs w:val="22"/>
        </w:rPr>
        <w:t> Onchocerca volvulus</w:t>
      </w:r>
      <w:r w:rsidRPr="00AF28B8">
        <w:rPr>
          <w:rFonts w:ascii="Calibri" w:hAnsi="Calibri" w:cs="Calibri"/>
          <w:color w:val="000000"/>
          <w:sz w:val="22"/>
          <w:szCs w:val="22"/>
        </w:rPr>
        <w:t xml:space="preserve"> specific antigen Ov16. The Ov16 ELISA requires purified Ov16 recombinant antigen which has historically required a cold chain, something that can be difficult to maintain when </w:t>
      </w:r>
      <w:r w:rsidRPr="00AF28B8">
        <w:rPr>
          <w:rFonts w:ascii="Calibri" w:hAnsi="Calibri" w:cs="Calibri"/>
          <w:color w:val="000000"/>
          <w:sz w:val="22"/>
          <w:szCs w:val="22"/>
        </w:rPr>
        <w:lastRenderedPageBreak/>
        <w:t>shipping internationally. To overcome this problem, we have explored the stability of the Ov16 antigen on dried pre-coated ELISA plates. To accomplish this, we evaluated reactivity of the Ov16 antigen coated plates against known positive dried blood spots (DBS) under three storage conditions. Plates were tested in duplicate weekly for each storage condition for 12 consecutive weeks utilizing the Ov16 ELISA protocol, employing McAb standards and a known positive DBS. Preliminary results demonstrated that this Ov16 antigen plate storage technique can detect </w:t>
      </w:r>
      <w:r w:rsidRPr="00AF28B8">
        <w:rPr>
          <w:rFonts w:ascii="Calibri" w:hAnsi="Calibri" w:cs="Calibri"/>
          <w:i/>
          <w:iCs/>
          <w:color w:val="000000"/>
          <w:sz w:val="22"/>
          <w:szCs w:val="22"/>
        </w:rPr>
        <w:t>O. volvulus</w:t>
      </w:r>
      <w:r w:rsidRPr="00AF28B8">
        <w:rPr>
          <w:rFonts w:ascii="Calibri" w:hAnsi="Calibri" w:cs="Calibri"/>
          <w:color w:val="000000"/>
          <w:sz w:val="22"/>
          <w:szCs w:val="22"/>
        </w:rPr>
        <w:t> antibodies in known positive DBS with similar proficiency to standard testing protocols when stored at 4°C at 12 weeks. Further testing is ongoing to determine the limitations of storage at other temperatures and for longer durations.</w:t>
      </w:r>
    </w:p>
    <w:p w14:paraId="75674E9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25-A-2741-ASTMH</w:t>
      </w:r>
    </w:p>
    <w:p w14:paraId="173DE5A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3C9FD1F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Pregnancy malaria and stillbirth at Monkole Hospital, Kinshasa, D.R Congo</w:t>
      </w:r>
    </w:p>
    <w:p w14:paraId="5A46E79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Placental malaria (PM) is a major public health problem. Access to antenatal care allows pregnant women to benefit from preventive and curative services which improve pregnancy outcomes.</w:t>
      </w:r>
      <w:r w:rsidRPr="00AF28B8">
        <w:rPr>
          <w:rFonts w:ascii="Calibri" w:hAnsi="Calibri" w:cs="Calibri"/>
          <w:color w:val="000000"/>
          <w:sz w:val="22"/>
          <w:szCs w:val="22"/>
        </w:rPr>
        <w:br/>
      </w:r>
      <w:r w:rsidRPr="00AF28B8">
        <w:rPr>
          <w:rFonts w:ascii="Calibri" w:hAnsi="Calibri" w:cs="Calibri"/>
          <w:b/>
          <w:bCs/>
          <w:color w:val="000000"/>
          <w:sz w:val="22"/>
          <w:szCs w:val="22"/>
        </w:rPr>
        <w:t>Methods:</w:t>
      </w:r>
      <w:r w:rsidRPr="00AF28B8">
        <w:rPr>
          <w:rFonts w:ascii="Calibri" w:hAnsi="Calibri" w:cs="Calibri"/>
          <w:color w:val="000000"/>
          <w:sz w:val="22"/>
          <w:szCs w:val="22"/>
        </w:rPr>
        <w:t> A single-center, cross-sectional, case-control study was conducted in the in Monkole Hospital and its associated primary care clinics, which provide care to the Mont Ngafula community of Kinshasa, Democratic Republic of Congo. The aim was to determine the prevalence of gestational malaria based on a review of the clinical records of women who gave birth and their newborns at the Monkole Hospital in Kinshasa, between January 1, 2020, and December 9, 2023.</w:t>
      </w:r>
      <w:r w:rsidRPr="00AF28B8">
        <w:rPr>
          <w:rFonts w:ascii="Calibri" w:hAnsi="Calibri" w:cs="Calibri"/>
          <w:color w:val="000000"/>
          <w:sz w:val="22"/>
          <w:szCs w:val="22"/>
        </w:rPr>
        <w:br/>
      </w:r>
      <w:r w:rsidRPr="00AF28B8">
        <w:rPr>
          <w:rFonts w:ascii="Calibri" w:hAnsi="Calibri" w:cs="Calibri"/>
          <w:b/>
          <w:bCs/>
          <w:color w:val="000000"/>
          <w:sz w:val="22"/>
          <w:szCs w:val="22"/>
        </w:rPr>
        <w:t>Results</w:t>
      </w:r>
      <w:r w:rsidRPr="00AF28B8">
        <w:rPr>
          <w:rFonts w:ascii="Calibri" w:hAnsi="Calibri" w:cs="Calibri"/>
          <w:color w:val="000000"/>
          <w:sz w:val="22"/>
          <w:szCs w:val="22"/>
        </w:rPr>
        <w:t>: This study included 5,888 newborns and 3,778 women, attending antenatal care and delivery services throughout the 4 year-period of the study . Over 44% of the women had at least three antenatal care visits Malaria was diagnosed in 26.7% of pregnant women during antenatal care visits. IPTp access was high with just over 36% of them had not receiving it. Of the newborns, 21% were premature and , 11.7% were admitted to the neonatology unit. We recorded an overall neonatal mortality rate of 3.3%, including 2.7% among newborns admitted to the neonatology unit. The relationship between antenatal care attendance, maternal malaria, IPTp and adverse pregnancy outcomes are presented and discussed.</w:t>
      </w:r>
      <w:r w:rsidRPr="00AF28B8">
        <w:rPr>
          <w:rFonts w:ascii="Calibri" w:hAnsi="Calibri" w:cs="Calibri"/>
          <w:color w:val="000000"/>
          <w:sz w:val="22"/>
          <w:szCs w:val="22"/>
        </w:rPr>
        <w:br/>
      </w:r>
      <w:r w:rsidRPr="00AF28B8">
        <w:rPr>
          <w:rFonts w:ascii="Calibri" w:hAnsi="Calibri" w:cs="Calibri"/>
          <w:b/>
          <w:bCs/>
          <w:color w:val="000000"/>
          <w:sz w:val="22"/>
          <w:szCs w:val="22"/>
        </w:rPr>
        <w:t>Conclusion</w:t>
      </w:r>
      <w:r w:rsidRPr="00AF28B8">
        <w:rPr>
          <w:rFonts w:ascii="Calibri" w:hAnsi="Calibri" w:cs="Calibri"/>
          <w:color w:val="000000"/>
          <w:sz w:val="22"/>
          <w:szCs w:val="22"/>
        </w:rPr>
        <w:t>: Access to antenatal care remains limited in Mont Ngafula, malaria is prevalent among pregnancy cohorts and IPTp usage is high. Still, improving attendance to antenatal care and increasing the uptake of IPTp can greatly improve pregnancy outcomes in this setting.</w:t>
      </w:r>
    </w:p>
    <w:p w14:paraId="6D2E82A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25-A-2742-ASTMH</w:t>
      </w:r>
    </w:p>
    <w:p w14:paraId="2C57773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32847EE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Geographic variability in Soil Transmitted Helminthes prevalence declines: Lessons from the Kenya National School-Based Deworming Program</w:t>
      </w:r>
    </w:p>
    <w:p w14:paraId="200601B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Kenya National School-Based Deworming Program was launched in 2012 achieving an 82.7% rate reduction in Soil Transmitted Helminth (STH) prevalence among school children after nine years of operation. Prevalence reductions however, have not been uniform across counties and sub-counties despite often similar coverage of mass drug administration. This study aimed to explore contributory factors to inconsistent progress on STH control across Kenya, focusing on treatment coverage trends, while also reviewing other contextual factors at county and sub-county level.</w:t>
      </w:r>
      <w:r w:rsidRPr="00AF28B8">
        <w:rPr>
          <w:rFonts w:ascii="Calibri" w:hAnsi="Calibri" w:cs="Calibri"/>
          <w:b/>
          <w:bCs/>
          <w:color w:val="000000"/>
          <w:sz w:val="22"/>
          <w:szCs w:val="22"/>
        </w:rPr>
        <w:t> </w:t>
      </w:r>
      <w:r w:rsidRPr="00AF28B8">
        <w:rPr>
          <w:rFonts w:ascii="Calibri" w:hAnsi="Calibri" w:cs="Calibri"/>
          <w:color w:val="000000"/>
          <w:sz w:val="22"/>
          <w:szCs w:val="22"/>
        </w:rPr>
        <w:t>Information was drawn from program monitoring data, including STH prevalence and intensity trends across five survey rounds over nine years of program operation. Counties and sub-counties were classified into exemplary, normal or suspect based on most recent prevalence estimates alongside trends in rate reduction since baseline. Counties/sub-counties with persistently high prevalence (&gt;9%) or decreasing marginal reductions were recognized as suspect. Suspect treatment coverage trends were explored alongside; baseline prevalence, implementation partner activity, accessibility, and limited WASH indicators to help identify contributory factors.</w:t>
      </w:r>
      <w:r w:rsidRPr="00AF28B8">
        <w:rPr>
          <w:rFonts w:ascii="Calibri" w:hAnsi="Calibri" w:cs="Calibri"/>
          <w:b/>
          <w:bCs/>
          <w:color w:val="000000"/>
          <w:sz w:val="22"/>
          <w:szCs w:val="22"/>
        </w:rPr>
        <w:t> </w:t>
      </w:r>
      <w:r w:rsidRPr="00AF28B8">
        <w:rPr>
          <w:rFonts w:ascii="Calibri" w:hAnsi="Calibri" w:cs="Calibri"/>
          <w:color w:val="000000"/>
          <w:sz w:val="22"/>
          <w:szCs w:val="22"/>
        </w:rPr>
        <w:t xml:space="preserve">Suspect counties were identified which often had comparable treatment coverage to normal or exemplary counties despite the later often achieving a year nine prevalence rate reduction exceeding 97%. Other important factors likely contributing to discrepancies were identified including; low school population rates, border dynamics, poverty indices, and possible WASH factors. Importantly </w:t>
      </w:r>
      <w:r w:rsidRPr="00AF28B8">
        <w:rPr>
          <w:rFonts w:ascii="Calibri" w:hAnsi="Calibri" w:cs="Calibri"/>
          <w:color w:val="000000"/>
          <w:sz w:val="22"/>
          <w:szCs w:val="22"/>
        </w:rPr>
        <w:lastRenderedPageBreak/>
        <w:t>the presence of Lymphatic Filariasis treatment programs within a county, which distribute the same medicine as for STH, likely experienced improved performance due to complimentary deworming pressure</w:t>
      </w:r>
      <w:r w:rsidRPr="00AF28B8">
        <w:rPr>
          <w:rFonts w:ascii="Calibri" w:hAnsi="Calibri" w:cs="Calibri"/>
          <w:b/>
          <w:bCs/>
          <w:color w:val="000000"/>
          <w:sz w:val="22"/>
          <w:szCs w:val="22"/>
        </w:rPr>
        <w:t>. </w:t>
      </w:r>
      <w:r w:rsidRPr="00AF28B8">
        <w:rPr>
          <w:rFonts w:ascii="Calibri" w:hAnsi="Calibri" w:cs="Calibri"/>
          <w:color w:val="000000"/>
          <w:sz w:val="22"/>
          <w:szCs w:val="22"/>
        </w:rPr>
        <w:t>This county/sub-county level analysis demonstrated the complexity of STH control, and the need for context-driven strategies in persistent hotspots. Taking a granular approach to performance analysis helps to provide actionable insights for targeting resources cost-efficiently.</w:t>
      </w:r>
    </w:p>
    <w:p w14:paraId="1C191D1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25-A-2743-ASTMH</w:t>
      </w:r>
    </w:p>
    <w:p w14:paraId="0A7D595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05D9269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Integrating Disease Elimination Programs into Primary Health Care Systems: A multi-disease Scoping Review of Strategies, Facilitators, and Barriers</w:t>
      </w:r>
    </w:p>
    <w:p w14:paraId="76AB1DD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Disease-specific programs, aimed at eliminating and eradicating diseases, have made significant public health contributions to saving and improving lives. However, their sustainability is increasingly questioned as global health funding dynamics shift and focus turns to domestic financing and strengthening local health systems. Integration offers a promising pathway by creating synergies that improve service delivery, enhance resource utilization, and make disease control interventions more sustainable. However, integration is not a magic pill. Its effectiveness hinges on the process - one that is usually complex. This study seeks to explore the process of integrating disease elimination programs into routine health services, examining what has worked, what hasn’t, and why, with the aim of providing actionable insights to guide future efforts. We use a scoping review methodology with two aims: to better understand 1)how disease elimination and eradication programs have been integrated into PHC systems in LMICs and 2)how these are being measured and researched. We focus specifically on integration of treatment and surveillance functions. The review follows the JBI methodology and PRISMA-ScR guidelines. We searched for studies published from 2010 onwards in Ovid MEDLINE, Embase, Global Health, and Web of Science, focusing on diseases with an eradication or elimination goal, such as neglected tropical diseases, malaria, hepatitis, measles, polio, and others. We have identified and screened the title and abstract of 3,344 articles of which 387 were eligible for full paper screening. We estimate that about 100 of these will be included in the study. Quantitative and qualitative data will be extracted using a structured framework based on established implementation research models, including ERIC, CFIR, and PRISM. This framework will guide data extraction on the nature of the disease programs, the context, details on the process of integration, outcomes, and of the study designs used to assess integration. Results will be presented, informing future research and policy on integrating disease control into mainstream health systems.</w:t>
      </w:r>
    </w:p>
    <w:p w14:paraId="1DA5966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25-A-2744-ASTMH</w:t>
      </w:r>
    </w:p>
    <w:p w14:paraId="7487D5A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1A1BE7D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Enhancing Integrated Skin Disease Management through Digital Tools and Person-Centered Training: Findings from the PINE Project in Vanuatu</w:t>
      </w:r>
    </w:p>
    <w:p w14:paraId="3B9924D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Neglected skin diseases are a significant public health concern in Vanuatu, where they are among the top three reasons for seeking healthcare, especially yaws, scabies, and ringworm. Coverage of these diseases in pre-service training is minimal. The PINE project tested an integrated capacity strengthening approach across 3 provinces in Vanuatu, incorporating person-centered training, job aids, and digital tools (mobile phones, phone credits, a peer-support network, and a Skin App). Case study methodology, incorporating the implementation research RE-AIM framework (Reach, Effectiveness, Adoption, Implementation, and Maintenance), was used to retrospectively study this approach. Data was collected through 26 in-depth interviews with health workers and policymakers, analysis of a chat group, and review of monthly case reports. Preliminary results show 72 healthcare workers trained, with 34 receiving mobile phones. Staff from nearly 200 facilities received phone credits. Health workers reported high confidence for managing scabies and yaws. 83% and 89% correctly diagnosed images of scabies and yaws and 89% proposed correct treatment for both diseases. Confidence in treating other skin diseases varied. The largest challenge identified was access to treatment. While most health </w:t>
      </w:r>
      <w:r w:rsidRPr="00AF28B8">
        <w:rPr>
          <w:rFonts w:ascii="Calibri" w:hAnsi="Calibri" w:cs="Calibri"/>
          <w:color w:val="000000"/>
          <w:sz w:val="22"/>
          <w:szCs w:val="22"/>
        </w:rPr>
        <w:lastRenderedPageBreak/>
        <w:t>workers had access to skin disease-specific resources, those who attended the training were more likely to adopt them. The booklet was valued for its portability and ease of use, while posters and flip charts were used for patient education. The Skin App and chat group were more limited in their initial adoption due to technology challenges, but champions emerged who appreciated the comprehensive information and connecting to others. Participants who received training (P&lt;0.001) or mobile phones (P&lt;0.04) submitted monthly reports more frequently than those who did not. Policy makers emphasized the value of mobile phones for improving communication and reporting from remote areas. These early findings highlight approaches for the integrated management of neglected skin diseases that show promise and warrant further implementation and testing.</w:t>
      </w:r>
    </w:p>
    <w:p w14:paraId="7D27968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25-A-2745-ASTMH</w:t>
      </w:r>
    </w:p>
    <w:p w14:paraId="72C7E43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798AB39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Ultrasensitive Electrochemical Genosensors for Species-specific Diagnosis of Non-falciparum Malaria</w:t>
      </w:r>
    </w:p>
    <w:p w14:paraId="5919CA0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lack of reliable species-specific diagnostic tools for non-falciparum malaria at point-of-care (POC) remains a significant barrier towards effective disease management. This is partly due to the limited sensitivity and specificity of the current malaria POC diagnostics, particularly in cases of low-density parasitaemia and mixed-species infections. This study describes the first label-free DNA-based genosensors based on electrochemical impedance spectroscopy (EIS) for species-specific detection of </w:t>
      </w:r>
      <w:r w:rsidRPr="00AF28B8">
        <w:rPr>
          <w:rFonts w:ascii="Calibri" w:hAnsi="Calibri" w:cs="Calibri"/>
          <w:i/>
          <w:iCs/>
          <w:color w:val="000000"/>
          <w:sz w:val="22"/>
          <w:szCs w:val="22"/>
        </w:rPr>
        <w:t>P. falciparum</w:t>
      </w:r>
      <w:r w:rsidRPr="00AF28B8">
        <w:rPr>
          <w:rFonts w:ascii="Calibri" w:hAnsi="Calibri" w:cs="Calibri"/>
          <w:color w:val="000000"/>
          <w:sz w:val="22"/>
          <w:szCs w:val="22"/>
        </w:rPr>
        <w:t>, </w:t>
      </w:r>
      <w:r w:rsidRPr="00AF28B8">
        <w:rPr>
          <w:rFonts w:ascii="Calibri" w:hAnsi="Calibri" w:cs="Calibri"/>
          <w:i/>
          <w:iCs/>
          <w:color w:val="000000"/>
          <w:sz w:val="22"/>
          <w:szCs w:val="22"/>
        </w:rPr>
        <w:t>P. malariae </w:t>
      </w:r>
      <w:r w:rsidRPr="00AF28B8">
        <w:rPr>
          <w:rFonts w:ascii="Calibri" w:hAnsi="Calibri" w:cs="Calibri"/>
          <w:color w:val="000000"/>
          <w:sz w:val="22"/>
          <w:szCs w:val="22"/>
        </w:rPr>
        <w:t>and</w:t>
      </w:r>
      <w:r w:rsidRPr="00AF28B8">
        <w:rPr>
          <w:rFonts w:ascii="Calibri" w:hAnsi="Calibri" w:cs="Calibri"/>
          <w:i/>
          <w:iCs/>
          <w:color w:val="000000"/>
          <w:sz w:val="22"/>
          <w:szCs w:val="22"/>
        </w:rPr>
        <w:t> P. ovale</w:t>
      </w:r>
      <w:r w:rsidRPr="00AF28B8">
        <w:rPr>
          <w:rFonts w:ascii="Calibri" w:hAnsi="Calibri" w:cs="Calibri"/>
          <w:color w:val="000000"/>
          <w:sz w:val="22"/>
          <w:szCs w:val="22"/>
        </w:rPr>
        <w:t>. The detection limits for the three species-specific biosensors were down in attomolar concentrations ranging from 18.7 aM to 43.6 aM, which is below the detection limits of previously reported malaria genosensors. More importantly, the diagnostic performance of the three genosensors was compared to quantitative real-time polymerase chain reaction assays using purified genomic DNA and the paired whole blood lysates from clinical samples. Remarkably, all the qPCR-positive purified genomic DNA samples were accurately identified by the genosensors, indicating 100% sensitivity for each of the three malaria species. The specificities of the three genosensors ranged from 66.7% to 100.0%, with a Therapeutic Turnaround Time (TTAT) within 30 minutes, which is comparable to the TTAT of current POC diagnostic tools for malaria. This work represents a significant step towards the development of reliable and rapid species-specific nucleic acid-based toolkits for the diagnosis of malaria and other infectious diseases at the POC.</w:t>
      </w:r>
    </w:p>
    <w:p w14:paraId="4D6864B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25-A-2746-ASTMH</w:t>
      </w:r>
    </w:p>
    <w:p w14:paraId="38EC386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93C167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Extreme heat and temperature variation trigger stillbirth risk: Evidence from CHAMPS Bangladesh in a rural sub-district</w:t>
      </w:r>
    </w:p>
    <w:p w14:paraId="7137A22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Every year, 2.6 million stillbirths occur, mainly in low-and middle-income countries. Bangladesh has high stillbirth rates at 25.4 per 1,000 live births and is a climate vulnerable country, experiencing a 1.1°C temperature increase from 1980 to 2023. Despite frequent extreme heat, evidence linking temperature extremes to stillbirth in Bangladesh remains limited. This study investigated the association between extreme heat, diurnal temperature variations and stillbirths. Pregnancy data were collected from the Child Health and Mortality Prevention Surveillance's (CHAMPS) Health and Demographic Surveillance System in Baliakandi, a rural sub-district of Bangladesh, from 2018 to 2023. Daily temperature data were obtained from the Meteorological Department's Faridpur station for the same period. A time-stratified case-crossover design was used to assess the short-term effects of daily maximum temperatures and temperature variation on stillbirths using conditional logistic regression. We compared maximum temperature exposures on stillbirth days (case period) with four control days (same weekday in the two weeks before and two weeks after), accounting for confounding factors related to the day of the week, seasonality, and long-term trends. A total of 718 stillbirths were identified, with 28% occurring in the fall (September to November). Days with maximum temperatures above 36.5°C showed 61% greater odds of stillbirth (OR=1.61, 95% CI:1.00-2.58, p=0.050) compared to cooler days, with the third trimester being more vulnerable (OR=1.63, 95% CI:1.02-2.62, p=0.043). Additionally, a significant diurnal </w:t>
      </w:r>
      <w:r w:rsidRPr="00AF28B8">
        <w:rPr>
          <w:rFonts w:ascii="Calibri" w:hAnsi="Calibri" w:cs="Calibri"/>
          <w:color w:val="000000"/>
          <w:sz w:val="22"/>
          <w:szCs w:val="22"/>
        </w:rPr>
        <w:lastRenderedPageBreak/>
        <w:t>temperature range over 14.2°C was associated with a 43% increase in odds (OR=1.43, 95% CI:1.06-1.94, p=0.018). On hot days, dehydration can reduce uterine blood flow and trigger stillbirths and premature labor. Rapid temperature changes increase chance of hypertension and stillbirth risk. Heat exposure may damage placenta leading to insufficient fetal nutrition and higher stillbirth likelihood. Pregnant women should prioritize hydration and heat protection during antenatal care to mitigate stillbirth risks.</w:t>
      </w:r>
    </w:p>
    <w:p w14:paraId="7E54D62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25-A-2747-ASTMH</w:t>
      </w:r>
    </w:p>
    <w:p w14:paraId="17A9BA7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6562542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Distinct and contrasting neutrophil phenotypes and functional profiles in human infections with P. falciparum and P. vivax</w:t>
      </w:r>
    </w:p>
    <w:p w14:paraId="0842FA2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Emerging data suggest that neutrophils play a major role in antibody-mediated naturally acquired and vaccine-induced immunity to human malaria. However, much remains unknown about the neutrophil phenotypes and functions during malaria infection. We profiled neutrophil expression of Fcγ-receptors and adhesion molecules involved in parasite killing and clearance, among residents (infected- and uninfected-children and uninfected adults) in a malaria endemic area in Papua New Guinea (PNG), compared to malaria-naïve adults, and in a clinical trial of controlled human malaria infection in malaria-naïve adults. There were major differences in phenotypes between malaria-exposed and malaria-naïve donors that have implications for understanding neutrophil roles in malaria immunity. There were significant differences in phenotypes from children infected with P. vivax or P. falciparum malaria, and uninfected-children and -adults. Neutrophils from uninfected children had phenotypic differences from uninfected adults. There were also some differences identified in neutrophil phenotypes in males compared to females infected with P. falciparum. In controlled human experimental P. falciparum infections, neutrophil phenotypic changes occurred early, prior to substantial blood-stage parasitemia and some of the changes persisted weeks post-treatment. Early phenotypic changes suggest the influence of systemic mediators and/or cellular interactions on neutrophil functions rather than direct parasite interaction. Neutrophil transcriptional analyses showed upregulated effector function gene sets relevant for parasite clearance. Overall, our findings reveal novel neutrophil phenotypic and functional changes during malaria infection and among malaria-exposed individuals. These findings advance our understanding of neutrophil functions during infection and in immunity and are relevant to inducing protective functions in vaccine design. In addition, it exposes new knowledge which may help understand vaccine failure versus efficacy in malaria-endemic populations.</w:t>
      </w:r>
    </w:p>
    <w:p w14:paraId="0C8303B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25-A-2748-ASTMH</w:t>
      </w:r>
    </w:p>
    <w:p w14:paraId="1932EFC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522687A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Burden of Malaria-Typhoid Co-infection and Associated Antimicrobial Resistance in a Resource-Limited Setting</w:t>
      </w:r>
    </w:p>
    <w:p w14:paraId="2B2E048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and typhoid fever remain major etiological agents of febrile illness in sub-Saharan Africa, with co-infections complicating both diagnosis and treatment. This study aimed to determine the prevalence of malaria–typhoid co-infection and to assess the antimicrobial susceptibility profiles of bacterial isolates among febrile patients in northern Ghana. We conducted a cross-sectional study between February and May 2017 at the Gushegu Municipal Hospital, involving 500 febrile patients. The median age of the study population was 6 years (interquartile range [IQR]: 3–11 years). Blood samples were analyzed for </w:t>
      </w:r>
      <w:r w:rsidRPr="00AF28B8">
        <w:rPr>
          <w:rFonts w:ascii="Calibri" w:hAnsi="Calibri" w:cs="Calibri"/>
          <w:i/>
          <w:iCs/>
          <w:color w:val="000000"/>
          <w:sz w:val="22"/>
          <w:szCs w:val="22"/>
        </w:rPr>
        <w:t>Plasmodium spp</w:t>
      </w:r>
      <w:r w:rsidRPr="00AF28B8">
        <w:rPr>
          <w:rFonts w:ascii="Calibri" w:hAnsi="Calibri" w:cs="Calibri"/>
          <w:color w:val="000000"/>
          <w:sz w:val="22"/>
          <w:szCs w:val="22"/>
        </w:rPr>
        <w:t>. by microscopy, </w:t>
      </w:r>
      <w:r w:rsidRPr="00AF28B8">
        <w:rPr>
          <w:rFonts w:ascii="Calibri" w:hAnsi="Calibri" w:cs="Calibri"/>
          <w:i/>
          <w:iCs/>
          <w:color w:val="000000"/>
          <w:sz w:val="22"/>
          <w:szCs w:val="22"/>
        </w:rPr>
        <w:t>Salmonella spp</w:t>
      </w:r>
      <w:r w:rsidRPr="00AF28B8">
        <w:rPr>
          <w:rFonts w:ascii="Calibri" w:hAnsi="Calibri" w:cs="Calibri"/>
          <w:color w:val="000000"/>
          <w:sz w:val="22"/>
          <w:szCs w:val="22"/>
        </w:rPr>
        <w:t>. by culture, and Widal test. Antimicrobial susceptibility was determined using the Kirby-Bauer disk diffusion method. Socio-demographic and clinical data were collected using KoboCollect. Statistical analysis was performed using Stata version 13, with logistic regression models to determine associations (p&lt;0.05 considered significant). The prevalence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was 41.0% (95% CI: 36.7-45.4%), while </w:t>
      </w:r>
      <w:r w:rsidRPr="00AF28B8">
        <w:rPr>
          <w:rFonts w:ascii="Calibri" w:hAnsi="Calibri" w:cs="Calibri"/>
          <w:i/>
          <w:iCs/>
          <w:color w:val="000000"/>
          <w:sz w:val="22"/>
          <w:szCs w:val="22"/>
        </w:rPr>
        <w:t>Salmonella typhi</w:t>
      </w:r>
      <w:r w:rsidRPr="00AF28B8">
        <w:rPr>
          <w:rFonts w:ascii="Calibri" w:hAnsi="Calibri" w:cs="Calibri"/>
          <w:color w:val="000000"/>
          <w:sz w:val="22"/>
          <w:szCs w:val="22"/>
        </w:rPr>
        <w:t xml:space="preserve"> O and H antigens were detected in 37.6% (95% CI: 33.4-41.9%) of samples. Blood culture-confirmed Salmonella spp. in 20.0% (95% CI: 16.6-23.7%) of patients. Malaria-typhoid co-infection rates were 15.7% (95% CI: 12.6-19.2%) by Widal test and 19.9% (95% CI: 16.5-23.7%) by blood culture. Salmonella isolates showed </w:t>
      </w:r>
      <w:r w:rsidRPr="00AF28B8">
        <w:rPr>
          <w:rFonts w:ascii="Calibri" w:hAnsi="Calibri" w:cs="Calibri"/>
          <w:color w:val="000000"/>
          <w:sz w:val="22"/>
          <w:szCs w:val="22"/>
        </w:rPr>
        <w:lastRenderedPageBreak/>
        <w:t>high susceptibility to cefotaxime, ceftriaxone, ciprofloxacin, and amikacin (&gt;90%), but significant resistance to ampicillin, tetracycline, co-trimoxazole, gentamicin, cefuroxime, chloramphenicol, and meropenem (resistance rates &gt;50%, p&lt;0.001). This study reveals a high prevalence of malaria-typhoid co-infection and concerning antimicrobial resistance patterns in northern Ghana. These findings underscore the need for accurate diagnostic methods and targeted antimicrobial therapy to combat the dual burden of these infections effectively</w:t>
      </w:r>
    </w:p>
    <w:p w14:paraId="1F6F9A9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25-A-2749-ASTMH</w:t>
      </w:r>
    </w:p>
    <w:p w14:paraId="178B330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5231840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of G6PD Deficiency and </w:t>
      </w:r>
      <w:r w:rsidRPr="00AF28B8">
        <w:rPr>
          <w:rFonts w:ascii="Calibri" w:hAnsi="Calibri" w:cs="Calibri"/>
          <w:i/>
          <w:iCs/>
          <w:color w:val="000000"/>
          <w:sz w:val="22"/>
          <w:szCs w:val="22"/>
        </w:rPr>
        <w:t>Plasmodium</w:t>
      </w:r>
      <w:r w:rsidRPr="00AF28B8">
        <w:rPr>
          <w:rFonts w:ascii="Calibri" w:hAnsi="Calibri" w:cs="Calibri"/>
          <w:color w:val="000000"/>
          <w:sz w:val="22"/>
          <w:szCs w:val="22"/>
        </w:rPr>
        <w:t> Infection Among Pregnant Women in Agona, Ghana: Public Health Implications for Maternal Care</w:t>
      </w:r>
    </w:p>
    <w:p w14:paraId="50A2333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Glucose-6-phosphate dehydrogenase (G6PD) deficiency and malaria remain significant public health concerns during pregnancy in malaria-endemic regions, contributing to adverse maternal and fetal outcomes. We assessed the prevalence of G6PD deficiency and Plasmodium infection among pregnant women attending antenatal care at Agona Government Hospital. G6PD enzyme activity was measured using the methemoglobin reduction test, and </w:t>
      </w:r>
      <w:r w:rsidRPr="00AF28B8">
        <w:rPr>
          <w:rFonts w:ascii="Calibri" w:hAnsi="Calibri" w:cs="Calibri"/>
          <w:i/>
          <w:iCs/>
          <w:color w:val="000000"/>
          <w:sz w:val="22"/>
          <w:szCs w:val="22"/>
        </w:rPr>
        <w:t>Plasmodium spp</w:t>
      </w:r>
      <w:r w:rsidRPr="00AF28B8">
        <w:rPr>
          <w:rFonts w:ascii="Calibri" w:hAnsi="Calibri" w:cs="Calibri"/>
          <w:color w:val="000000"/>
          <w:sz w:val="22"/>
          <w:szCs w:val="22"/>
        </w:rPr>
        <w:t>. infection was diagnosed via microscopic examination of Giemsa-stained peripheral blood smears. Of the 254 participants enrolled, the prevalence of G6PD deficiency was 24.0% (61/254), while Plasmodium infection was detected in 23.6% (60/254). Co-infection with both conditions was observed in 11.8% (30/254) of participants. The highest prevalence of G6PD deficiency was noted in women aged 20–25 years (27.9%, 24/86), those with primary-level education (24.7%, 19/77), and among traders (35.8%, 24/67). Similarly, Plasmodium infection was most prevalent in the 20–25-year age group (41.0%, 34/83), among women with primary education (24.7%, 19/77), and traders (38.8%, 26/67). Despite a moderate burden, the findings underscore the importance of demographic factors in the distribution of both G6PD deficiency and malaria. Routine G6PD screening in antenatal care settings, combined with reinforced malaria prevention strategies such as the use of insecticide-treated nets are recommended. Further studies are warranted to elucidate the potential interaction between G6PD deficiency and susceptibility to malaria during pregnancy.</w:t>
      </w:r>
    </w:p>
    <w:p w14:paraId="7993B3C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25-A-2750-ASTMH</w:t>
      </w:r>
    </w:p>
    <w:p w14:paraId="32658BC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7CAF1B4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Prevalence and risk factors for scrub typhus, murine typhus, and spotted fever group rickettsioses among adolescent and adult patients presenting to Yangon General Hospital, Yangon, Myanmar</w:t>
      </w:r>
    </w:p>
    <w:p w14:paraId="64B6DE3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To inform patient management and disease prevention, we sought to estimate the prevalence of, and identify risk factors for, scrub typhus, murine typhus, and spotted fever group rickettsioses (SFGR) among febrile patients presenting to hospital in Myanmar. We recruited patients ≥12 years old with fever ≥38°C among those seeking care at Yangon General Hospital (YGH) from 5 October 2015 through 4 October 2016. Standardised clinical and risk factor assessments were conducted. Confirmed scrub typhus, murine typhus, and SFGR infections were defined as a positive polymerase chain reaction or ≥4-fold rise in immunofluorescence assay antibody titre to Orientia tsutsugamushi, Rickettsia typhi, or R. honei or R. conorii, respectively. Probable infection was defined as IgM titre ≥1:400 to O. tsutsugamushi, an IgM titre of ≥1:800 or IgG ≥1:1,600 to R. typhi, or an IgG titre of ≥1:200 to R. honeii or R. conorii. Univariate and multivariable logistic regression was used to identify associations. Among 944 participants, the median (range) age was 37 (12-94) years, 444 (47.0%) were female, and 704 (74.6%) resided in rural areas. Among participants, 63 (6.7%) had confirmed or probable scrub typhus and 15 (1.6%) had confirmed or probable murine typhus. No SFGR infections were identified. The odds of confirmed or probable scrub typhus were lower among females than males (aOR 0.5, p=0.014), lower among those earning &gt;300,000 Kyat per month compared with those earning less than 100,000 Kyat per month (aOR 0.28, p=0.039), and higher among agricultural workers compared with others (aOR 2.9, p=0.004). Scrub typhus was common among patients presenting with fever in Yangon, murine typhus </w:t>
      </w:r>
      <w:r w:rsidRPr="00AF28B8">
        <w:rPr>
          <w:rFonts w:ascii="Calibri" w:hAnsi="Calibri" w:cs="Calibri"/>
          <w:color w:val="000000"/>
          <w:sz w:val="22"/>
          <w:szCs w:val="22"/>
        </w:rPr>
        <w:lastRenderedPageBreak/>
        <w:t>was uncommon, and SFGR was not found. Empiric treatment of severe febrile illness at YGH should include an antimicrobial with activity against rickettsial diseases. Public health campaigns targeting agricultural workers are recommended.</w:t>
      </w:r>
    </w:p>
    <w:p w14:paraId="5677D96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25-A-2751-ASTMH</w:t>
      </w:r>
    </w:p>
    <w:p w14:paraId="4EDBC35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5FE2D88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i/>
          <w:iCs/>
          <w:color w:val="000000"/>
          <w:sz w:val="22"/>
          <w:szCs w:val="22"/>
        </w:rPr>
        <w:t>The path to zero. How Cambodia’s village and mobile malaria workers have driven progress towards malaria elimination</w:t>
      </w:r>
    </w:p>
    <w:p w14:paraId="1C994B5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progress towards malaria elimination stalling in many countries, malaria cases have rapidly reduced in countries in the Greater Mekong Subregion. In Cambodia, cases fell by over 99% between 2004 and 2024, and since 2018 no malaria deaths have been recorded. The Cambodia National Malaria Plan for Elimination of Malaria 2011-2025 guides the country towards elimination, with malaria free certification by WHO expected within the next three years. Much of the progress made towards eliminating malaria in Cambodia has been due to the introduction of village malaria workers (VMWs) and mobile malaria workers (MMWs). This established workforce of locally recruited volunteers provides malaria services in villages and hard-to-reach high-malaria-risk populations to ensure early diagnosis and prompt treatment. The Cambodian VMW and MMW programme has been critical in the reduction of cases in the more remote forested areas of the country, where most malaria transmission occurs. In 2024, 5,414 VMWs and 518 MMWs conducted 72% of all malaria tests countrywide and diagnosed 55% of all malaria cases in Cambodia. We outline the key approaches that have enabled Cambodia to make significant progress towards elimination including, strong leadership and guidance by the national malaria programme, engagement of authorities at national and subnational levels, delivery of a holistic prevention, diagnosis and treatment package, digitalisation of data from community level to the national surveillance system and identification and training of key community members to access populations beyond the reach of the health system. Quantitative data presented will demonstrate the substantial impact of the malaria programme, since the Malaria Intensification Plan and Last Mile approach were launched in 2018. Lessons learned and key challenges from Cambodia’s experience and elimination approach will be shared, to support and inspire other countries pursuing elimination.</w:t>
      </w:r>
    </w:p>
    <w:p w14:paraId="3FEB5CE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25-A-2752-ASTMH</w:t>
      </w:r>
    </w:p>
    <w:p w14:paraId="435915F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4BAD6A9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SOIL TRANSMITTED HELMINTHES (STHs) AND URINARY TRACT INFECTIONS (UTIs) AMONGST PRE-SCHOOL CHILDREN IN THE BOSOMTWE DISTRICT OF GHANA</w:t>
      </w:r>
    </w:p>
    <w:p w14:paraId="56DF215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Soil-transmitted helminths (STHs) and urinary tract infections (UTIs) are significant public health concerns, particularly in areas with limited access to healthcare, clean water, and sanitation. Both conditions, when chronic, can contribute to growth impairments such as stunting in children aged 24-59 months, a critical period for physical development. This study assessed the prevalence of STHs and UTIs among preschool children aged 1-5 years in the Bosomtwe district. A cross-sectional study was conducted involving 344 children randomly selected from five (5) educational circuits in the district. Demographic data were obtained through structured questionnaires. Stool samples were examined for STHs using the Formo-ether concentration technique, while urine samples were cultured on Cystine Lactose Electrolyte Deficient (CLED) Agar for UTI pathogen isolation. Bacterial isolates were identified using biochemical tests, and antibiotic susceptibility was assessed using the Kirby-Bauer disk diffusion method. The overall prevalence of STHs was 19.8%, while UTIs were detected in 44.8% of participants. Co-infection with both STHs was found in 6.1% of the children. The most prevalent helminth was Ascaris</w:t>
      </w:r>
      <w:r w:rsidRPr="00AF28B8">
        <w:rPr>
          <w:rFonts w:ascii="Calibri" w:hAnsi="Calibri" w:cs="Calibri"/>
          <w:i/>
          <w:iCs/>
          <w:color w:val="000000"/>
          <w:sz w:val="22"/>
          <w:szCs w:val="22"/>
        </w:rPr>
        <w:t> lumbricoides</w:t>
      </w:r>
      <w:r w:rsidRPr="00AF28B8">
        <w:rPr>
          <w:rFonts w:ascii="Calibri" w:hAnsi="Calibri" w:cs="Calibri"/>
          <w:color w:val="000000"/>
          <w:sz w:val="22"/>
          <w:szCs w:val="22"/>
        </w:rPr>
        <w:t> (12.1%), followed by </w:t>
      </w:r>
      <w:r w:rsidRPr="00AF28B8">
        <w:rPr>
          <w:rFonts w:ascii="Calibri" w:hAnsi="Calibri" w:cs="Calibri"/>
          <w:i/>
          <w:iCs/>
          <w:color w:val="000000"/>
          <w:sz w:val="22"/>
          <w:szCs w:val="22"/>
        </w:rPr>
        <w:t>Trichuris trichiura</w:t>
      </w:r>
      <w:r w:rsidRPr="00AF28B8">
        <w:rPr>
          <w:rFonts w:ascii="Calibri" w:hAnsi="Calibri" w:cs="Calibri"/>
          <w:color w:val="000000"/>
          <w:sz w:val="22"/>
          <w:szCs w:val="22"/>
        </w:rPr>
        <w:t> (4.4%) and hookworm (3.3%). Males had a higher prevalence of STHs (24.2%) compared to females (15.6%), with the Kuntenase circuit recording the highest STH positivity (26.1%). In contrast, UTIs were more common among females (47.5%) than males (41.8%), with 5-year-olds being the most affected age group (46.6%). </w:t>
      </w:r>
      <w:r w:rsidRPr="00AF28B8">
        <w:rPr>
          <w:rFonts w:ascii="Calibri" w:hAnsi="Calibri" w:cs="Calibri"/>
          <w:i/>
          <w:iCs/>
          <w:color w:val="000000"/>
          <w:sz w:val="22"/>
          <w:szCs w:val="22"/>
        </w:rPr>
        <w:t>Escherichia coli</w:t>
      </w:r>
      <w:r w:rsidRPr="00AF28B8">
        <w:rPr>
          <w:rFonts w:ascii="Calibri" w:hAnsi="Calibri" w:cs="Calibri"/>
          <w:color w:val="000000"/>
          <w:sz w:val="22"/>
          <w:szCs w:val="22"/>
        </w:rPr>
        <w:t> was the most frequently isolated pathogen causing UTIs (37.5%), followed by </w:t>
      </w:r>
      <w:r w:rsidRPr="00AF28B8">
        <w:rPr>
          <w:rFonts w:ascii="Calibri" w:hAnsi="Calibri" w:cs="Calibri"/>
          <w:i/>
          <w:iCs/>
          <w:color w:val="000000"/>
          <w:sz w:val="22"/>
          <w:szCs w:val="22"/>
        </w:rPr>
        <w:t>Klebsiella</w:t>
      </w:r>
      <w:r w:rsidRPr="00AF28B8">
        <w:rPr>
          <w:rFonts w:ascii="Calibri" w:hAnsi="Calibri" w:cs="Calibri"/>
          <w:color w:val="000000"/>
          <w:sz w:val="22"/>
          <w:szCs w:val="22"/>
        </w:rPr>
        <w:t xml:space="preserve"> spp. (6.1%) </w:t>
      </w:r>
      <w:r w:rsidRPr="00AF28B8">
        <w:rPr>
          <w:rFonts w:ascii="Calibri" w:hAnsi="Calibri" w:cs="Calibri"/>
          <w:color w:val="000000"/>
          <w:sz w:val="22"/>
          <w:szCs w:val="22"/>
        </w:rPr>
        <w:lastRenderedPageBreak/>
        <w:t>and </w:t>
      </w:r>
      <w:r w:rsidRPr="00AF28B8">
        <w:rPr>
          <w:rFonts w:ascii="Calibri" w:hAnsi="Calibri" w:cs="Calibri"/>
          <w:i/>
          <w:iCs/>
          <w:color w:val="000000"/>
          <w:sz w:val="22"/>
          <w:szCs w:val="22"/>
        </w:rPr>
        <w:t>Proteus</w:t>
      </w:r>
      <w:r w:rsidRPr="00AF28B8">
        <w:rPr>
          <w:rFonts w:ascii="Calibri" w:hAnsi="Calibri" w:cs="Calibri"/>
          <w:color w:val="000000"/>
          <w:sz w:val="22"/>
          <w:szCs w:val="22"/>
        </w:rPr>
        <w:t> spp. (1.2%). Among the antibiotics tested, Gentamicin showed the highest effectiveness against UTI pathogens. The high prevalence of both STHs and UTIs underscores the need for enhanced sanitation, regular deworming programs, strengthened health services, and increased awareness of UTIs among caregivers and healthcare professionals in the district.</w:t>
      </w:r>
    </w:p>
    <w:p w14:paraId="490EAB1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25-A-2753-ASTMH</w:t>
      </w:r>
    </w:p>
    <w:p w14:paraId="52C6A32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296E6E3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Safety and immunogenicity of locally produced typhoid conjugate vaccine in Bangladesh: A randomized controlled, double-blinded, non-inferiority trial</w:t>
      </w:r>
    </w:p>
    <w:p w14:paraId="0C879D7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Typhoid fever significantly contributes to morbidity and mortality in low-to-middle-income countries. Current strategies to control typhoid fever advocate for the combined delivery of effective vaccines and improvements in water, sanitation, and hygiene. The World Health Organization recommends the introduction of prequalified typhoid conjugate vaccines (TCVs) in high-burden countries. Three large Phase III efficacy trials of Typbar-TCV (Vi-polysaccharide conjugated to tetanus toxoid) conducted in Bangladesh, Nepal, and Malawi demonstrated that Typbar-TCV provides 85%, 78%, and 84% protection in children aged 9 months to under 16 years, respectively. These findings indicate that TCV is effective in preventing typhoid across diverse settings in Africa and Asia. We have conducted a randomized, non-inferiority trial to evaluate the safety and immunogenicity of a locally manufactured vaccine, Vi-polysaccharide conjugated to diphtheria toxoid, named Typhocon. The Typbar-TCV was used as a comparator vaccine in this study. A total of 600 participants were vaccinated among four different age groups (6-23 months, 2-5 years, 6-17 years, and 18-60 years) in an age-de-escalation manner, with 150 participants in each group. Blood specimens were collected at baseline before vaccination and on day 28 postvaccination. No vaccine-related SAEs were reported and the frequency of solicited adverse events for Typhocon (15%) was not higher than the Typbar-TCV (28%). The anti-Vi-IgG antibody responses among the overall population showed that Typhocon (99.3%) was non-inferior to Typbar-TCV (99.3%), with the non-inferiority margin of -10%. The Typhocon was also non-inferior in terms of immunogenicity for the aforementioned different age strata. The findings of this study will be helpful to inform the country's decision-making for the introduction of Typhocon into the routine expanded programme on immunisation in Bangladesh. It will increase the supply of TCVs and meet the demand for vaccines in Bangladesh and the region.</w:t>
      </w:r>
    </w:p>
    <w:p w14:paraId="49B06B0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25-A-2754-ASTMH</w:t>
      </w:r>
    </w:p>
    <w:p w14:paraId="1007612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0627256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malaria in pregnancy on infant neurodevelopment and malaria susceptibility during the first year of life in Kinshasa, the Democratic Republic of the Congo</w:t>
      </w:r>
    </w:p>
    <w:p w14:paraId="26D2D38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during pregnancy may adversely affect early neurodevelopment and increase susceptibility to malaria in infancy. This study investigated these outcomes by comparing infants born to mothers with or without malaria at the time of delivery. A cohort of 388 mother-infant pairs was followed from birth. Maternal malaria status at delivery was determined via microscopy of peripheral and placental blood samples. Infant malaria was assessed based on reported fever episodes. Neurodevelopment was measured at 4-6 weeks, 6 months, and 12 months using the Mullen Scales of Early Learning (MSEL), focusing on gross motor (GM) and early learning composite (ELC) scores. Among the infants, 62 of 385 (16.1%) were exposed to malaria at birth. These infants had significantly lower birth weights (LBW) (2824.7 ± 493.9 g) compared to those unexposed (3032.7 ± 487.8 g; p = 0.0023). GM scores at 12 months did not differ between groups (exposed: 47.2 ± 9.8 vs. unexposed: 47.6 ± 9.7; p = 0.757). In contrast, ELC scores were significantly lower among exposed infants (adjusted mean difference: -7.70 [95% CI: -15.0, -0.36]; p = 0.04). Lower GM scores were associated with infant malaria episodes (-1.2 [95% CI: -2.25, -0.18]; p = 0.021), malnutrition (-0.96 [95% CI: -1.92, -0.02]; p = 0.046), and low birth weight (-1.59 [95% CI: -3.06, -0.11]; p = 0.036). At 12 months, malaria incidence was 54.7% in the exposed group and 70.6% in the unexposed group (RR = 1.04 [95% CI: 0.87-1.25]; p = 0.631). In </w:t>
      </w:r>
      <w:r w:rsidRPr="00AF28B8">
        <w:rPr>
          <w:rFonts w:ascii="Calibri" w:hAnsi="Calibri" w:cs="Calibri"/>
          <w:color w:val="000000"/>
          <w:sz w:val="22"/>
          <w:szCs w:val="22"/>
        </w:rPr>
        <w:lastRenderedPageBreak/>
        <w:t>conclusion, maternal malaria at delivery did not affect GM development or malaria susceptibility during infancy, it was linked to reduced cognitive development as measured by the ELC score. Infant development was negatively influenced by LBW, malnutrition, and malaria in the first year of life.</w:t>
      </w:r>
    </w:p>
    <w:p w14:paraId="0108FC1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25-A-2755-ASTMH</w:t>
      </w:r>
    </w:p>
    <w:p w14:paraId="50BAE9D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2DAA033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Understanding the spatio-temporal patterns and risk factors of yellow fever cases in non-human primates in Brazil from 2014-2021 using surveillance data</w:t>
      </w:r>
    </w:p>
    <w:p w14:paraId="6E4A7B6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Brazil, recent yellow fever (YF) outbreaks, particularly those close to densely populated areas, are of great concern to global health security. Non-human primates (NHPs) are highly susceptible to YF and can serve as early warning systems for human disease. Consequently, NHP case surveillance data are often used in YF epidemiological research. Here, our aim was to better understand the movement of NHP cases in time and space, and to investigate the environmental factors associated with YF occurrence. We used municipality-level NHP YF surveillance data to carry out analyses, including all cases from 2014 to 2021, totalling 2,165 cases. First, we conducted a network analysis to describe NHP case movement by assigning each case a source, depending on the nearest case in first time, then in space. We also built a zero-inflated Poisson model to explore land cover associations with cases in the Mata Atlântica and Cerrado biomes, while also accounting for spatio-temporal random effects. The ten most common municipality-to-municipality routes of transmission were all in the states of São Paulo, Santa Catarina, or Paraná, and each of these pairs of municipalities was from the same state. Statistical analysis found that most land cover variables were not significantly associated with the outcome, except for the forest and biome interaction term, where a one-unit increase in forest cover was associated with a 6.5% [95% confidence interval: 0.6%, 12.8%] increase in event rate in the Mata Atlântica biome. Additionally, there was substantial random variation in the data, and residual variation remained even after accounting for it. Our results suggest that NHP surveillance data alone may not be sufficient to model YF trends on a larger scale. This may be due to differences in data collection and reporting between and within states, leading to sources of variation we could not account for here.</w:t>
      </w:r>
    </w:p>
    <w:p w14:paraId="3A6CBBC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25-A-2756-ASTMH</w:t>
      </w:r>
    </w:p>
    <w:p w14:paraId="786D160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0BF264E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Rapid Infection Detection: The potential of Rapid Ionisation Evaporative Mass Spectrometry for vector surveillance</w:t>
      </w:r>
    </w:p>
    <w:p w14:paraId="6D16D16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 single rapid test for multiple key entomological markers of disease transmission would greatly benefit vector control programmes. This pioneering study aimed to trial the novel use of Rapid Evaporative Ionization Mass Spectrometry (REIMS) for the detection of infection in mosquito vectors. No sample preparation is required for REIMS and analysis can be rapidly conducted within hours. We investigated the ability of REIMS to differentiate between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infected </w:t>
      </w:r>
      <w:r w:rsidRPr="00AF28B8">
        <w:rPr>
          <w:rFonts w:ascii="Calibri" w:hAnsi="Calibri" w:cs="Calibri"/>
          <w:i/>
          <w:iCs/>
          <w:color w:val="000000"/>
          <w:sz w:val="22"/>
          <w:szCs w:val="22"/>
        </w:rPr>
        <w:t>Anopheles coluzzi</w:t>
      </w:r>
      <w:r w:rsidRPr="00AF28B8">
        <w:rPr>
          <w:rFonts w:ascii="Calibri" w:hAnsi="Calibri" w:cs="Calibri"/>
          <w:color w:val="000000"/>
          <w:sz w:val="22"/>
          <w:szCs w:val="22"/>
        </w:rPr>
        <w:t> and non-infected counterparts. The classification of these data was undertaken using linear discriminant analysis (LDA) and random forest. Classification models built using the data were able to differentiate between infected </w:t>
      </w:r>
      <w:r w:rsidRPr="00AF28B8">
        <w:rPr>
          <w:rFonts w:ascii="Calibri" w:hAnsi="Calibri" w:cs="Calibri"/>
          <w:i/>
          <w:iCs/>
          <w:color w:val="000000"/>
          <w:sz w:val="22"/>
          <w:szCs w:val="22"/>
        </w:rPr>
        <w:t>An. coluzzi</w:t>
      </w:r>
      <w:r w:rsidRPr="00AF28B8">
        <w:rPr>
          <w:rFonts w:ascii="Calibri" w:hAnsi="Calibri" w:cs="Calibri"/>
          <w:color w:val="000000"/>
          <w:sz w:val="22"/>
          <w:szCs w:val="22"/>
        </w:rPr>
        <w:t> at day 16 post infectious blood meal with 90% accuracy. LDA classifiers had higher efficiency than random forest with this data set. REIMS is also being trialled with DENV2 infected Aedes aegypti. Alongside our previous work in proving REIMS accuracy in detecting insecticide resistance, the successful work of others in detecting species and sex, means REIMS has the potential for rapid identification of multiple mosquito phenotypes in a single test. We suggest that REIMS and similar modern phenotyping alternatives should complement existing vector management tools.</w:t>
      </w:r>
    </w:p>
    <w:p w14:paraId="1F6C5F8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25-A-2757-ASTMH</w:t>
      </w:r>
    </w:p>
    <w:p w14:paraId="1B9A2C8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04AB8A3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Spatially resolved cell atlases of the BM and spleen reveal marked heterogeneity in tissue reorganization in fatal</w:t>
      </w:r>
      <w:r w:rsidRPr="00AF28B8">
        <w:rPr>
          <w:rFonts w:ascii="Calibri" w:hAnsi="Calibri" w:cs="Calibri"/>
          <w:i/>
          <w:iCs/>
          <w:color w:val="000000"/>
          <w:sz w:val="22"/>
          <w:szCs w:val="22"/>
        </w:rPr>
        <w:t>P. vivax</w:t>
      </w:r>
      <w:r w:rsidRPr="00AF28B8">
        <w:rPr>
          <w:rFonts w:ascii="Calibri" w:hAnsi="Calibri" w:cs="Calibri"/>
          <w:color w:val="000000"/>
          <w:sz w:val="22"/>
          <w:szCs w:val="22"/>
        </w:rPr>
        <w:t>infection</w:t>
      </w:r>
    </w:p>
    <w:p w14:paraId="43E14E6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 vivax</w:t>
      </w:r>
      <w:r w:rsidRPr="00AF28B8">
        <w:rPr>
          <w:rFonts w:ascii="Calibri" w:hAnsi="Calibri" w:cs="Calibri"/>
          <w:color w:val="000000"/>
          <w:sz w:val="22"/>
          <w:szCs w:val="22"/>
        </w:rPr>
        <w:t> (Pv) infection can cause severe clinical outcomes despite low peripheral parasitaemia, with a “hidden” parasite population recently identified in organs such as the bone marrow (BM) and spleen. This study aims to characterize perturbations induced by Pv infection in BM and spleen and their role in disease pathogenesis by creating a spatially resolved cell atlas of fatal Pv disease. We analyzed BM (n=3) and spleen (n=5) samples from acute fatal Pv and non-malarial cases using Imaging Mass Cytometry (IMC) and spatial transcriptomics (CoSMx). In both organs, we identified major cell types and states including infected RBCs (iRBCs) and tracked their maturation. The analysis revealed tissue niches and alterations linked to specific host responses, revealing unique features of BM and spleen architecture and marked heterogeneity in tissue reorganization across Pv cases. In two patients, IMC showed iRBCs interacting with activated neutrophils and macrophages and correlating with reduced parasite biomass. Parallel CoSMx analysis revealed strong activation of innate immune responses, antigen (Ag) processing and presentation along with activation of cytokine signaling. These patients died from acute respiratory distress, which may be linked to the pro-inflammatory, myeloid- and T lymphoid-driven antiparasitic response in BM. The third patient had high parasite biomass, with Pv-iRBCs mostly interacting with each other and uninfected RBCs. Transcriptomic analyses showed reduced antigen processing and presentation and suppressed T-cell responses. The higher parasite biomass in this BM sample may be due to parasite evasion, possibly related to a local immune deficient response as a result of diagnosed chronic immunodeficiency as the cause of death. Altogether the data confirm that BM responses were associated with different disease trajectories leading to fatal outcome. Ongoing single-cell omics of the spleen in fatal Pv infection will be presented. This study underscores the need to examine the impact pf Pv infection in deep tissues, enhancing our understanding of Pv biology and pathogenesis to reduce malaria burden.</w:t>
      </w:r>
    </w:p>
    <w:p w14:paraId="3589554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25-A-2758-ASTMH</w:t>
      </w:r>
    </w:p>
    <w:p w14:paraId="709A584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6C3A0F9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spatially resolved cell atlas of the spleen revealsmarked heterogeneity inhost-parasite interactionsin</w:t>
      </w:r>
      <w:r w:rsidRPr="00AF28B8">
        <w:rPr>
          <w:rFonts w:ascii="Calibri" w:hAnsi="Calibri" w:cs="Calibri"/>
          <w:i/>
          <w:iCs/>
          <w:color w:val="000000"/>
          <w:sz w:val="22"/>
          <w:szCs w:val="22"/>
        </w:rPr>
        <w:t>P. falciparum</w:t>
      </w:r>
      <w:r w:rsidRPr="00AF28B8">
        <w:rPr>
          <w:rFonts w:ascii="Calibri" w:hAnsi="Calibri" w:cs="Calibri"/>
          <w:color w:val="000000"/>
          <w:sz w:val="22"/>
          <w:szCs w:val="22"/>
        </w:rPr>
        <w:t>infection</w:t>
      </w:r>
    </w:p>
    <w:p w14:paraId="0A75AFE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extravascular niches of bone marrow (BM) and spleen are major reservoirs for </w:t>
      </w:r>
      <w:r w:rsidRPr="00AF28B8">
        <w:rPr>
          <w:rFonts w:ascii="Calibri" w:hAnsi="Calibri" w:cs="Calibri"/>
          <w:i/>
          <w:iCs/>
          <w:color w:val="000000"/>
          <w:sz w:val="22"/>
          <w:szCs w:val="22"/>
        </w:rPr>
        <w:t>P. falciparum (Pf)</w:t>
      </w:r>
      <w:r w:rsidRPr="00AF28B8">
        <w:rPr>
          <w:rFonts w:ascii="Calibri" w:hAnsi="Calibri" w:cs="Calibri"/>
          <w:color w:val="000000"/>
          <w:sz w:val="22"/>
          <w:szCs w:val="22"/>
        </w:rPr>
        <w:t> infection and the only site of gametocyte development. We have observed various phenotypes in these organs suggesting differences in extravascular parasite populations compared to those in the blood circulation. However, traditional histological approaches provide limited capacity to resolve the heterogeneity of cell types and their interactions. Spatial omics now allow us to address these knowledge gaps, providing mechanistic insights from human tissue samples. We analysed spleen samples from 4 paediatric autopsy cases in Blantyre, Malawi including an asymptomatic case (i.e., incidental parasitaemia, IP), two cases with different cerebral malaria pathology (CM) and a non-malarial case using Imaging Mass Cytometry (IMC). We identified major cell types and states including Pf-infected RBCs (iRBCs), tissue niches and marked heterogeneity intissue reorganization across autopsy cases. In CM cases, marked heterogeneity in the cell composition in the spleen was observed depending on the patient presenting or not evidence of brain pathology, CM1/2 vs CM3, respectively. For example, the IP case and the CM case with another cause of death (CM3) showed higher levels of iRBCs in the spleen compared to the fatal CM case (CM1). In the IP case, memory CD4 T cells expressed higher levels of regulatory markers PD-1 and Foxp3, and higher upregulation of endothelial cell (EC) activation/damage markers was also evident in the spleen. In contrast, both CM cases showed a higher proportion of activated Granzyme B- producing neutrophils as well as interactions with macrophages and monocytes in the spleen. Therefore, our spatially resolved atlas revealed marked heterogeneity in cell proportions, interactions and tissue niches in the spleen in CM vs chronic Pf infection. We are expanding IMC and spatial transcriptomics to a larger set of cases to systematically untangle the complex spatially determined host-parasite interactions that determine the pathology of Pf infection and enhance our understanding of its pathogenesis.</w:t>
      </w:r>
    </w:p>
    <w:p w14:paraId="5FEA483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25-A-2759-ASTMH</w:t>
      </w:r>
    </w:p>
    <w:p w14:paraId="39E09C1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8D1678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Severe anaemia in southern Benin: prevalence and clinical impact in referral hospitals</w:t>
      </w:r>
    </w:p>
    <w:p w14:paraId="147DE7A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Severe anaemia is a critical public health issue worldwide, disproportionately affecting children in Africa, where 40% of children aged 6 to 59 months are impacted. It leads to significant hospital and post-hospital complications. However, there is a lack of research on its burden and clinical impact, particularly in Benin, where existing data are outdated. This study assesses the prevalence and impact of severe anaemia in two areas of perennial malaria transmission in southern Benin. </w:t>
      </w:r>
      <w:r w:rsidRPr="00AF28B8">
        <w:rPr>
          <w:rFonts w:ascii="Calibri" w:hAnsi="Calibri" w:cs="Calibri"/>
          <w:b/>
          <w:bCs/>
          <w:color w:val="000000"/>
          <w:sz w:val="22"/>
          <w:szCs w:val="22"/>
        </w:rPr>
        <w:t>Methods: </w:t>
      </w:r>
      <w:r w:rsidRPr="00AF28B8">
        <w:rPr>
          <w:rFonts w:ascii="Calibri" w:hAnsi="Calibri" w:cs="Calibri"/>
          <w:color w:val="000000"/>
          <w:sz w:val="22"/>
          <w:szCs w:val="22"/>
        </w:rPr>
        <w:t>A retrospective cross-sectional study was conducted at two referral hospitals in Benin, the Lagune Mother and Child University Hospital Centre (CHU-MEL) and the Departmental Hospital Centre-Zou (CHD-Z). Sociodemographic, clinical, and biological data were extracted from medical records of patients admitted to paediatric wards in 2023 using a standardised questionnaire. Clinical severe anaemia was defined as anaemia requiring blood transfusion, and biological severe anaemia as haemoglobin &lt;5 g/dl. </w:t>
      </w:r>
      <w:r w:rsidRPr="00AF28B8">
        <w:rPr>
          <w:rFonts w:ascii="Calibri" w:hAnsi="Calibri" w:cs="Calibri"/>
          <w:b/>
          <w:bCs/>
          <w:color w:val="000000"/>
          <w:sz w:val="22"/>
          <w:szCs w:val="22"/>
        </w:rPr>
        <w:t>Results: </w:t>
      </w:r>
      <w:r w:rsidRPr="00AF28B8">
        <w:rPr>
          <w:rFonts w:ascii="Calibri" w:hAnsi="Calibri" w:cs="Calibri"/>
          <w:color w:val="000000"/>
          <w:sz w:val="22"/>
          <w:szCs w:val="22"/>
        </w:rPr>
        <w:t>A total of 7,152 paediatric records were included (CHU-MEL=4,388; CHD-Z=2,764). The median (IQR, range) age was 32 (13-61; 1-228) months. Severe malaria (51.1%) and clinical severe anaemia (50.1%) were the most common diagnoses, with 79% of severe anaemia cases having malaria. The risk of death decreased slightly with age (aOR 0.95, 95% CI: 0.92-0.99, p=0.019), whereas severe malnutrition increased death risk (aOR 1.80, 95% CI: 1.33-2.43, p&lt;0.001). </w:t>
      </w:r>
      <w:r w:rsidRPr="00AF28B8">
        <w:rPr>
          <w:rFonts w:ascii="Calibri" w:hAnsi="Calibri" w:cs="Calibri"/>
          <w:b/>
          <w:bCs/>
          <w:color w:val="000000"/>
          <w:sz w:val="22"/>
          <w:szCs w:val="22"/>
        </w:rPr>
        <w:t>Conclusion: </w:t>
      </w:r>
      <w:r w:rsidRPr="00AF28B8">
        <w:rPr>
          <w:rFonts w:ascii="Calibri" w:hAnsi="Calibri" w:cs="Calibri"/>
          <w:color w:val="000000"/>
          <w:sz w:val="22"/>
          <w:szCs w:val="22"/>
        </w:rPr>
        <w:t>Severe anaemia is a major cause of paediatric hospital admissions, with severe malaria being a leading cause. This study highlights the critical need for comprehensive management strategies, including malaria chemoprevention and nutritional interventions to reduce mortality in regions with high malaria transmission.</w:t>
      </w:r>
    </w:p>
    <w:p w14:paraId="3D2CFFA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25-A-2760-ASTMH</w:t>
      </w:r>
    </w:p>
    <w:p w14:paraId="0258B1E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1FAD33D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Detailed Serological Profiling and Identification of Immunoreactive Epitopes from a DENV1 Controlled Human Challenge Study cohort</w:t>
      </w:r>
    </w:p>
    <w:p w14:paraId="52AAD24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virus (DENV) continues to spread globally, impacting millions each year. Following record dengue cases in the Americas, the CDC strengthened testing recommendations in March 2025 to support earlier and more accurate diagnosis. Despite high accuracies reported for current serological tests, real-world performance is challenged by cocirculating arboviruses, which share overlapping symptoms and contribute to false positives. More specific diagnostics are urgently needed, especially where molecular testing is unavailable. To address this gap, we leveraged a unique dataset from a controlled human challenge study, offering rare, well-characterized, time-resolved serum samples for biomarker discovery. We conducted a comprehensive serological profiling in nine individuals challenged with the attenuated DENV1 strain 45AZ5. Samples were collected pre-infection and 28, 90, and 180 days after onset of infection (DAOI). High-density peptide microarrays comprising 8,777 15-mer peptides spanning the DENV, Zika virus (ZIKV), Yellow Fever virus (YFV), and chikungunya virus (CHIKV) proteomes enabled detailed mapping of IgG and IgM reactivity across the DENV1 proteome over time. Results showed that IgG responses up to 28 DAOI remained specific to DENV-derived peptides, with no reactivity against ZIKV-, YFV-, or CHIKV-derived peptides, confirming earlier findings in primary dengue cases. A gradual shift in IgG reactivity was observed, from structural protein-derived peptides at 28 DAOI to non-structural protein-derived peptides at 180 DAOI. Several previously reported dengue-specific epitopes were validated, including peptides with potential as serotype-specific markers and vaccine candidates. Remarkably, a 25-amino acid stretch in NS1 was identified as a potential dengue-specific antigenic region, showing reactivity exclusively to DENV-derived peptides across all time points after infection. These findings underscore the value of human challenge models for advancing understanding of dengue immunology and informing the development of improved peptide-based diagnostics.</w:t>
      </w:r>
    </w:p>
    <w:p w14:paraId="7E5161A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25-A-2761-ASTMH</w:t>
      </w:r>
    </w:p>
    <w:p w14:paraId="131C338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Kinetoplastida and Other Opportunistic and Anaerobic Protozoa - Epidemiology (Including Leishmania and Trypanosomes)</w:t>
      </w:r>
    </w:p>
    <w:p w14:paraId="3BF1EFF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i/>
          <w:iCs/>
          <w:color w:val="000000"/>
          <w:sz w:val="22"/>
          <w:szCs w:val="22"/>
        </w:rPr>
        <w:t>Trypanosoma cruzi</w:t>
      </w:r>
      <w:r w:rsidRPr="00AF28B8">
        <w:rPr>
          <w:rFonts w:ascii="Calibri" w:hAnsi="Calibri" w:cs="Calibri"/>
          <w:b/>
          <w:bCs/>
          <w:color w:val="000000"/>
          <w:sz w:val="22"/>
          <w:szCs w:val="22"/>
        </w:rPr>
        <w:t> DTU TcI and its role in clinical outcomes and disease progression: insights from a long-term cohort in Colombia</w:t>
      </w:r>
    </w:p>
    <w:p w14:paraId="4B8F2DA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remains a major public health concern in Latin America. Its clinical course is highly variable and partially influenced by the genetic diversity of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This study evaluated the association between the TcI Discrete Typing Unit (DTU) and long-term clinical outcomes in a Colombian cohort. An ambispective cohort study was conducted with patients diagnosed during the acute phase (via parasitological methods) or the indeterminate chronic phase (via ELISA and IFA), followed between 2000 and 2023 at the Instituto Nacional de Salud, Colombia. All participants underwent qPCR genotyping, completed etiological treatment, and had at least two electrocardiograms during follow-up. Clinical progression, treatment response, and risk factors were analyzed using Cox proportional hazards models. A total of 220 patients were included (101 acute, 119 chronic). TcI was the most frequent DTU (78.2% acute, 68.1% chronic). In the acute group, TcI was associated with myocarditis (21%), pericarditis (12%), facial edema, and hepatosplenomegaly. Over a median 168-month follow-up, 65 acute cases (64.4%) progressed to the chronic phase (7.1 vs. 3.3 cases/100 person-years in TcI and non-TcI), and 23 (22.8%) to the cardiac form (2.61 vs. 1.01/100 person-years). In the chronic group, 17 (14.3%) progressed to the cardiac form over a median of 182 months (1.38 vs. 0.38/100 person-years). At 12 months post-treatment, qPCR remained positive in ~26% of TcI cases, while all non-TcI were negative (p &lt; 0.01). At 120 months, all were negative. Serological titers declined in both groups, but more markedly in non-TcI (p &lt; 0.05). TcI infection, male sex, comorbidities, higher parasitemia, and residence in endemic areas increased the risk of progression. Early qPCR negativization was protective. TcI was linked to higher virulence, lower treatment response, and faster cardiac progression. These findings support the need for molecular surveillance and tailored clinical strategies in endemic regions.</w:t>
      </w:r>
    </w:p>
    <w:p w14:paraId="4ED7E4A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25-A-2762-ASTMH</w:t>
      </w:r>
    </w:p>
    <w:p w14:paraId="4B6B5A8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707C6C3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Next generation sequencing diagnostics to identify etiologies of acute undifferentiated fever in the Peruvian Amazon</w:t>
      </w:r>
    </w:p>
    <w:p w14:paraId="70507A4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Diagnosis of acute undifferentiated febrile illnesses (AUFI) remains a significant challenge in endemic areas due to the wide spectrum of potential pathogens and limited diagnostic capacity. We evaluated the diagnostic utility of a highly sensitive, untargeted metagenomic sequencing protocol optimized for the Oxford Nanopore MinION platform, incorporating DASH—a CRISPR-Cas9-based host depletion strategy. A total of 259 serum samples collected from AUFI patients in Yurimaguas and Iquitos (2018 and 2024) were tested after conventional diagnostics for common pathogens failed to identify an etiology. The workflow included viral RNA extraction, DNase treatment, reverse transcription to cDNA, second-strand synthesis, CRISPR-Cas9-mediated depletion of host nucleic acids, sequence-independent single primer amplification, and real-time nanopore sequencing. Pathogen detection and taxonomic classification were performed using the open-source CZ ID platform and a customized reference-based bioinformatics pipeline. Arboviruses were the predominant etiologic agents, identified in 30.5% (79/259) of cases. DENV2 was most frequently detected (19.3%), followed by DENV1 (4.6%) and DENV1/DENV2 coinfections (3.9%). Other viral pathogens included Oropouche (n=4), Mayaro (n=1), Marituba (n=2), HIV (n=3), and rotavirus A (n=2). Additional findings included full genomes of human Pegivirus and traces of Human herpes virus 6, Papillomaviridae, Picobirnaviridae, Dicistroviridae, and Picornaviridae. SARS-CoV-2 mRNA vaccine sequences (BNT162b2) were detected in three samples. Bacterial and eukaryotic pathogens such as </w:t>
      </w:r>
      <w:r w:rsidRPr="00AF28B8">
        <w:rPr>
          <w:rFonts w:ascii="Calibri" w:hAnsi="Calibri" w:cs="Calibri"/>
          <w:i/>
          <w:iCs/>
          <w:color w:val="000000"/>
          <w:sz w:val="22"/>
          <w:szCs w:val="22"/>
        </w:rPr>
        <w:t>Salmonella enterica</w:t>
      </w:r>
      <w:r w:rsidRPr="00AF28B8">
        <w:rPr>
          <w:rFonts w:ascii="Calibri" w:hAnsi="Calibri" w:cs="Calibri"/>
          <w:color w:val="000000"/>
          <w:sz w:val="22"/>
          <w:szCs w:val="22"/>
        </w:rPr>
        <w:t> (n=1), </w:t>
      </w:r>
      <w:r w:rsidRPr="00AF28B8">
        <w:rPr>
          <w:rFonts w:ascii="Calibri" w:hAnsi="Calibri" w:cs="Calibri"/>
          <w:i/>
          <w:iCs/>
          <w:color w:val="000000"/>
          <w:sz w:val="22"/>
          <w:szCs w:val="22"/>
        </w:rPr>
        <w:t>Leptospira</w:t>
      </w:r>
      <w:r w:rsidRPr="00AF28B8">
        <w:rPr>
          <w:rFonts w:ascii="Calibri" w:hAnsi="Calibri" w:cs="Calibri"/>
          <w:color w:val="000000"/>
          <w:sz w:val="22"/>
          <w:szCs w:val="22"/>
        </w:rPr>
        <w:t> (n=1),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(n=5), and </w:t>
      </w:r>
      <w:r w:rsidRPr="00AF28B8">
        <w:rPr>
          <w:rFonts w:ascii="Calibri" w:hAnsi="Calibri" w:cs="Calibri"/>
          <w:i/>
          <w:iCs/>
          <w:color w:val="000000"/>
          <w:sz w:val="22"/>
          <w:szCs w:val="22"/>
        </w:rPr>
        <w:t>Leishmania amazonensis</w:t>
      </w:r>
      <w:r w:rsidRPr="00AF28B8">
        <w:rPr>
          <w:rFonts w:ascii="Calibri" w:hAnsi="Calibri" w:cs="Calibri"/>
          <w:color w:val="000000"/>
          <w:sz w:val="22"/>
          <w:szCs w:val="22"/>
        </w:rPr>
        <w:t> (n=4) were also identified. The frequent detection of DENV, often at high levels, highlights limitations in current qPCR diagnostics. Our findings reveal the complex etiologic landscape of AUFI in the Peruvian Amazon and demonstrate the protocol’s utility for detecting coinfections and recovering near-complete RNA viral genomes, supporting its future integration into clinical diagnostics.</w:t>
      </w:r>
    </w:p>
    <w:p w14:paraId="5A6F0E9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25-A-2763-ASTMH</w:t>
      </w:r>
    </w:p>
    <w:p w14:paraId="719098B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5340869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Epidemiology of Lassa Fever in Ghana: A Study on the 2023 Lassa Fever Outbreak in Ghana</w:t>
      </w:r>
    </w:p>
    <w:p w14:paraId="6D78397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Viral disease outbreak remains a key public health concern given its impact on life and livelihood. Historical data suggests Lassa Fever is endemic in several West African countries with sporadic cases occurring elsewhere in the region. In February 2023, Ghana recorded its second outbreak of Lassa fever following that of 2011. The present study sought to document the epidemiology of the recent outbreak in Ghana.</w:t>
      </w:r>
      <w:r w:rsidRPr="00AF28B8">
        <w:rPr>
          <w:rFonts w:ascii="Calibri" w:hAnsi="Calibri" w:cs="Calibri"/>
          <w:color w:val="000000"/>
          <w:sz w:val="22"/>
          <w:szCs w:val="22"/>
        </w:rPr>
        <w:br/>
        <w:t>The study used data from the case investigation forms accompanying samples submitted to Noguchi Memorial Institute for Medical Research between February and March 2023 for Lassa fever testing. Descriptive analysis was used to analyse and report the demographic characteristics. Inferential statistics was used to determine associations between the study variables.</w:t>
      </w:r>
      <w:r w:rsidRPr="00AF28B8">
        <w:rPr>
          <w:rFonts w:ascii="Calibri" w:hAnsi="Calibri" w:cs="Calibri"/>
          <w:color w:val="000000"/>
          <w:sz w:val="22"/>
          <w:szCs w:val="22"/>
        </w:rPr>
        <w:br/>
        <w:t>The overall positivity rate was 5.19% out of the 539 samples received. Most cases were confirmed in the Month of February. Positivity rate was higher among females (5.65%). Over 90% of all confirmed cases were from the Greater Accra Region. Case burden for LF was highest among healthcare professionals and also adults aged 25-35 years. The commonly reported symptoms among confirmed cases included headache, intense fatigue, fever, and muscle/joint pain.</w:t>
      </w:r>
      <w:r w:rsidRPr="00AF28B8">
        <w:rPr>
          <w:rFonts w:ascii="Calibri" w:hAnsi="Calibri" w:cs="Calibri"/>
          <w:b/>
          <w:bCs/>
          <w:color w:val="000000"/>
          <w:sz w:val="22"/>
          <w:szCs w:val="22"/>
        </w:rPr>
        <w:t>Conclusion:</w:t>
      </w:r>
      <w:r w:rsidRPr="00AF28B8">
        <w:rPr>
          <w:rFonts w:ascii="Calibri" w:hAnsi="Calibri" w:cs="Calibri"/>
          <w:color w:val="000000"/>
          <w:sz w:val="22"/>
          <w:szCs w:val="22"/>
        </w:rPr>
        <w:t> Lassa fever was confirmed among 5.19% of the suspected cases. Transmission was largely through contact with the highest burden among healthcare workers which is suggestive of poor infection control procedures. There is a need to build and sustain fundamental public health capacities to recognise, diagnose, report, and respond to risks of public health concern and interest.</w:t>
      </w:r>
    </w:p>
    <w:p w14:paraId="3841E95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25-A-2764-ASTMH</w:t>
      </w:r>
    </w:p>
    <w:p w14:paraId="53A2924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1ED3043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Deep learning detection of submicroscopic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Infection from parasite-free blood smears</w:t>
      </w:r>
    </w:p>
    <w:p w14:paraId="20566C7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affects nearly 270 million people globally, predominantly in sub-Saharan Africa. Effective diagnosis in these areas must be portable and cost-effective, which currently involves rapid diagnostic tests and blood smear microscopy. However, these methods often miss up to half of infections detectable by qPCR due to the absence of visible parasites in smears. Such so-called « submicroscopic » infections are a significant challenge for diagnosis and hinder disease elimination. A highly sensitive, portable diagnostic tool for malaria is therefore urgently needed.</w:t>
      </w:r>
      <w:r w:rsidRPr="00AF28B8">
        <w:rPr>
          <w:rFonts w:ascii="Calibri" w:hAnsi="Calibri" w:cs="Calibri"/>
          <w:color w:val="000000"/>
          <w:sz w:val="22"/>
          <w:szCs w:val="22"/>
        </w:rPr>
        <w:br/>
        <w:t>This study explores whether qPCR results can be predicted using deep learning on blood smear images, even when parasites aren't visible. We collected a dataset in South Benin from participants tested via microscopy and qPCR. The dataset includes 7,370 fields-of-view from 737 slides, categorized into three groups: "microscopic" (positive by both methods), "submicroscopic" (negative by microscopy but positive by qPCR), and "negative" (negative by both methods).</w:t>
      </w:r>
      <w:r w:rsidRPr="00AF28B8">
        <w:rPr>
          <w:rFonts w:ascii="Calibri" w:hAnsi="Calibri" w:cs="Calibri"/>
          <w:color w:val="000000"/>
          <w:sz w:val="22"/>
          <w:szCs w:val="22"/>
        </w:rPr>
        <w:br/>
        <w:t>We assessed various deep learning models to predict qPCR results from microscopy images, using diverse model architectures, including custom CNNs and foundation models. These models encoded 10 fields of view from each slide and applied different aggregation methods, from simple vote to Multiple Instance Learning with attention, for slide-level predictions. Generative models were also used to detect non-visible red blood cell morphological changes that could indicate malaria infection. Our top model achieved 81.92% (± 02.39) accuracy in predicting qPCR results. By utilizing a meta model to defer diagnosis to qPCR for 20% of slides with low confidence, accuracy improved to 86.07% (±03.21 on the K-Folds) for the remaining slides.</w:t>
      </w:r>
      <w:r w:rsidRPr="00AF28B8">
        <w:rPr>
          <w:rFonts w:ascii="Calibri" w:hAnsi="Calibri" w:cs="Calibri"/>
          <w:color w:val="000000"/>
          <w:sz w:val="22"/>
          <w:szCs w:val="22"/>
        </w:rPr>
        <w:br/>
        <w:t>This study is the first to demonstrate the possibility of detecting submicroscopic infections from slide image analyses using deep learning, marking a significant advance toward developing a smartphone-based portable and highly sensitive diagnostic tool for field use, benefiting malaria surveillance and elimination in resource-limited settings.</w:t>
      </w:r>
    </w:p>
    <w:p w14:paraId="2E8B853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25-A-2765-ASTMH</w:t>
      </w:r>
    </w:p>
    <w:p w14:paraId="398372F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2DE4699"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Are we ready for arbovirus threats? Self-assessment of national preparedness in four African countries</w:t>
      </w:r>
    </w:p>
    <w:p w14:paraId="24471F6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Major vector-borne diseases account for 17% of the global burden of communicable diseases and disproportionately impact on low-income countries. Over 800 million people in Africa are estimated to be at risk of at least one arbovirus, and several countries in West Africa have experienced upsurges in both yellow fever and dengue cases in recent years. We undertook an assessment of country readiness for arbovirus outbreaks in Burkina Faso, Cameroon, Côte d’Ivoire and Tanzania in 2024. The self-assessment in each country comprised key informant interviews, self-assessment questionnaire survey and a 2-days workshop with national stakeholders, supported by a desk review of policy documents and systematic review of articles published in the last five years (2019-2024). These identified common critical gaps in preparedness for arboviral outbreaks across countries. Timely detection was commonly hampered by lack of dedicated surveillance for arboviruses, both in vectors and humans; limited laboratory and diagnostic capacity; inadequate knowledge and awareness of arboviral diseases and preventive measures amongst health providers; insufficient human resources and regular training; and financial constraints. Effective control responses are hampered by inadequate Integrated Vector Management (IVM) guidelines; limited community engagement and community participation; absence of standardised protocols, case definition and guideline for clinical management; weak multi-sectorial collaboration; and insufficient preparation for rapid outbreak response. None of the countries (except Burkina Faso) had a comprehensive national strategic plan for arboviruses, though several relevant policy documents did exist. Review of published studies revealed gaps in knowledge needed to inform control, but also noted growing insecticide resistance, complicating vector control efforts. In conclusion, development of national strategic plans, adopting a multidisciplinary One Health approach to support cross-sectoral collaboration, is an essential step towards improving country readiness to respond to arbovirus threats.</w:t>
      </w:r>
    </w:p>
    <w:p w14:paraId="578C27E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25-A-2766-ASTMH</w:t>
      </w:r>
    </w:p>
    <w:p w14:paraId="36E4B5D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7F20036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Reactive Drug Administration for Malaria in Dominican Republic: Exploring Demographic Trends in Treatment Initiation and Adherence</w:t>
      </w:r>
    </w:p>
    <w:p w14:paraId="0A2F05D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2022, the World Health Organization conditionally recommended reactive drug administration (RDA) as a strategy to accelerate malaria elimination. Under this approach, individuals testing positive for malaria (index cases) receive a 3-day course of antimalarials, as do those living nearby or sharing occupational risk (contacts). In 2024, the Dominican Republic (DR) piloted RDA in two agricultural areas—San Juan and Azua—characterized by high mobility among Haitian migrant workers and rising malaria incidence among Haitians and Dominicans. Since RDA can only succeed if a high percentage of the at-risk population is reached, we explored barriers to participation across demographic groups. Between January and April, 331 </w:t>
      </w:r>
      <w:r w:rsidRPr="00AF28B8">
        <w:rPr>
          <w:rFonts w:ascii="Calibri" w:hAnsi="Calibri" w:cs="Calibri"/>
          <w:i/>
          <w:iCs/>
          <w:color w:val="000000"/>
          <w:sz w:val="22"/>
          <w:szCs w:val="22"/>
        </w:rPr>
        <w:t>P. falciparum</w:t>
      </w:r>
      <w:r w:rsidRPr="00AF28B8">
        <w:rPr>
          <w:rFonts w:ascii="Calibri" w:hAnsi="Calibri" w:cs="Calibri"/>
          <w:color w:val="000000"/>
          <w:sz w:val="22"/>
          <w:szCs w:val="22"/>
        </w:rPr>
        <w:t xml:space="preserve"> cases were reported in the foci. Of these, RDA was implemented for 197 index cases (60%). A total of 964 contacts were identified, with 829 initiating RDA (86% initiation) and 580 completing treatment (70% adherence). Bivariable analyses showed no significant differences in initiation or adherence by foci, nationality, sex, or age among contacts reached by field teams. Among those who never initiated RDA, men (31 of 73) were 2.46 times more likely to be absent on Day 1 than women (10 of 58) (95% CI: 1.32–4.60; p &lt; 0.005). Similarly, Dominicans (35 of 87) were 2.31 times more likely to be absent than Haitians (8 of 46) (95% CI: 1.17–4.57; p &lt; 0.02). Notably, 52% (24 of 46) of contacted Haitians declined to provide a reason for refusal, compared to just 7% (6 of 87) of Dominicans (RR: 7.57; 95% CI: 3.33–17.18; p &lt; 0.001). Among those who initiated but discontinued RDA on Day 2 or Day 3, being absent when the field team arrived accounted for 32% (81 of 251) of stopped treatments, with no significant difference by nationality or sex. Our findings suggest that individuals contacted by field teams participate in RDA at high rates regardless of demographics. </w:t>
      </w:r>
      <w:r w:rsidRPr="00AF28B8">
        <w:rPr>
          <w:rFonts w:ascii="Calibri" w:hAnsi="Calibri" w:cs="Calibri"/>
          <w:color w:val="000000"/>
          <w:sz w:val="22"/>
          <w:szCs w:val="22"/>
        </w:rPr>
        <w:lastRenderedPageBreak/>
        <w:t>They also highlight the need to tailor approaches to reduce missed contacts, strengthen communication between Dominican health workers and the Haitian population, and ensure RDA is implemented for a higher percentage of index cases.</w:t>
      </w:r>
    </w:p>
    <w:p w14:paraId="48FF11B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25-A-2768-ASTMH</w:t>
      </w:r>
    </w:p>
    <w:p w14:paraId="7C5898A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6DE5882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Multi-Drug Resistant Organisms Admitted to a Tertiary Healthcare Institute in North India - A regional public health concern</w:t>
      </w:r>
    </w:p>
    <w:p w14:paraId="19A5044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Introduction:</w:t>
      </w:r>
      <w:r w:rsidRPr="00AF28B8">
        <w:rPr>
          <w:rFonts w:ascii="Calibri" w:hAnsi="Calibri" w:cs="Calibri"/>
          <w:color w:val="000000"/>
          <w:sz w:val="22"/>
          <w:szCs w:val="22"/>
        </w:rPr>
        <w:br/>
        <w:t>Antimicrobial resistance (AMR) is a growing global health threat, disproportionately affecting low- and middle-income countries like India. The rise of multidrug-resistant organisms (MDROs) complicates treatment, raises healthcare costs, and increases morbidity and mortality. In India, factors such as antibiotic misuse, over-the-counter access, and self-medication have intensified this crisis. Despite the urgency, regional data on MDRO prevalence remains scarce. This study assesses the burden and distribution of MDRO infections at a tertiary care institute in North India, offering insights to inform antimicrobial stewardship and infection control strategies.</w:t>
      </w:r>
      <w:r w:rsidRPr="00AF28B8">
        <w:rPr>
          <w:rFonts w:ascii="Calibri" w:hAnsi="Calibri" w:cs="Calibri"/>
          <w:b/>
          <w:bCs/>
          <w:color w:val="000000"/>
          <w:sz w:val="22"/>
          <w:szCs w:val="22"/>
        </w:rPr>
        <w:t>Methods:</w:t>
      </w:r>
      <w:r w:rsidRPr="00AF28B8">
        <w:rPr>
          <w:rFonts w:ascii="Calibri" w:hAnsi="Calibri" w:cs="Calibri"/>
          <w:color w:val="000000"/>
          <w:sz w:val="22"/>
          <w:szCs w:val="22"/>
        </w:rPr>
        <w:br/>
        <w:t>This cross-sectional study analyzed inpatient data from AIIMS Rishikesh using the E-hospital database from May 2021 to February 2024. All culture-confirmed MDRO cases were included. Patient charts and discharge summaries were reviewed; pathogens were identified using a stepwise model. Data analysis was conducted using Jamovi software, with descriptive statistics and chi-square tests to assess associations between MDRO prevalence and patient location, departments, and yearly trends (p&lt;0.05 significant). Ethical approval was obtained, and confidentiality maintained.</w:t>
      </w:r>
      <w:r w:rsidRPr="00AF28B8">
        <w:rPr>
          <w:rFonts w:ascii="Calibri" w:hAnsi="Calibri" w:cs="Calibri"/>
          <w:b/>
          <w:bCs/>
          <w:color w:val="000000"/>
          <w:sz w:val="22"/>
          <w:szCs w:val="22"/>
        </w:rPr>
        <w:t>Results:</w:t>
      </w:r>
      <w:r w:rsidRPr="00AF28B8">
        <w:rPr>
          <w:rFonts w:ascii="Calibri" w:hAnsi="Calibri" w:cs="Calibri"/>
          <w:color w:val="000000"/>
          <w:sz w:val="22"/>
          <w:szCs w:val="22"/>
        </w:rPr>
        <w:br/>
        <w:t>Of 932 admissions, 112 were excluded due to incomplete data. Most patients were aged 35-64, with a male predominance (57.6%). Uttar Pradesh (49.1%) and Uttarakhand (47.6%) were the main sources, with Bijnor and Haridwar having the highest burden. </w:t>
      </w:r>
      <w:r w:rsidRPr="00AF28B8">
        <w:rPr>
          <w:rFonts w:ascii="Calibri" w:hAnsi="Calibri" w:cs="Calibri"/>
          <w:i/>
          <w:iCs/>
          <w:color w:val="000000"/>
          <w:sz w:val="22"/>
          <w:szCs w:val="22"/>
        </w:rPr>
        <w:t>Klebsiella pneumoniae</w:t>
      </w:r>
      <w:r w:rsidRPr="00AF28B8">
        <w:rPr>
          <w:rFonts w:ascii="Calibri" w:hAnsi="Calibri" w:cs="Calibri"/>
          <w:color w:val="000000"/>
          <w:sz w:val="22"/>
          <w:szCs w:val="22"/>
        </w:rPr>
        <w:t> (30.6%) was the most common MDRO, followed by </w:t>
      </w:r>
      <w:r w:rsidRPr="00AF28B8">
        <w:rPr>
          <w:rFonts w:ascii="Calibri" w:hAnsi="Calibri" w:cs="Calibri"/>
          <w:i/>
          <w:iCs/>
          <w:color w:val="000000"/>
          <w:sz w:val="22"/>
          <w:szCs w:val="22"/>
        </w:rPr>
        <w:t>Acinetobacter baumannii</w:t>
      </w:r>
      <w:r w:rsidRPr="00AF28B8">
        <w:rPr>
          <w:rFonts w:ascii="Calibri" w:hAnsi="Calibri" w:cs="Calibri"/>
          <w:color w:val="000000"/>
          <w:sz w:val="22"/>
          <w:szCs w:val="22"/>
        </w:rPr>
        <w:t> and </w:t>
      </w:r>
      <w:r w:rsidRPr="00AF28B8">
        <w:rPr>
          <w:rFonts w:ascii="Calibri" w:hAnsi="Calibri" w:cs="Calibri"/>
          <w:i/>
          <w:iCs/>
          <w:color w:val="000000"/>
          <w:sz w:val="22"/>
          <w:szCs w:val="22"/>
        </w:rPr>
        <w:t>E. coli</w:t>
      </w:r>
      <w:r w:rsidRPr="00AF28B8">
        <w:rPr>
          <w:rFonts w:ascii="Calibri" w:hAnsi="Calibri" w:cs="Calibri"/>
          <w:color w:val="000000"/>
          <w:sz w:val="22"/>
          <w:szCs w:val="22"/>
        </w:rPr>
        <w:t> (16.7% each). Urine was the most frequent sample (50.5%). Infections varied significantly across departments (p&lt;0.001), with General Medicine and Surgery reporting the highest burden. MDRO prevalence fluctuated significantly by quarter (p&lt;0.001).</w:t>
      </w:r>
      <w:r w:rsidRPr="00AF28B8">
        <w:rPr>
          <w:rFonts w:ascii="Calibri" w:hAnsi="Calibri" w:cs="Calibri"/>
          <w:b/>
          <w:bCs/>
          <w:color w:val="000000"/>
          <w:sz w:val="22"/>
          <w:szCs w:val="22"/>
        </w:rPr>
        <w:t>Conclusion:</w:t>
      </w:r>
      <w:r w:rsidRPr="00AF28B8">
        <w:rPr>
          <w:rFonts w:ascii="Calibri" w:hAnsi="Calibri" w:cs="Calibri"/>
          <w:color w:val="000000"/>
          <w:sz w:val="22"/>
          <w:szCs w:val="22"/>
        </w:rPr>
        <w:br/>
        <w:t>MDROs pose a major challenge at AIIMS Rishikesh, led by </w:t>
      </w:r>
      <w:r w:rsidRPr="00AF28B8">
        <w:rPr>
          <w:rFonts w:ascii="Calibri" w:hAnsi="Calibri" w:cs="Calibri"/>
          <w:i/>
          <w:iCs/>
          <w:color w:val="000000"/>
          <w:sz w:val="22"/>
          <w:szCs w:val="22"/>
        </w:rPr>
        <w:t>K. pneumoniae</w:t>
      </w:r>
      <w:r w:rsidRPr="00AF28B8">
        <w:rPr>
          <w:rFonts w:ascii="Calibri" w:hAnsi="Calibri" w:cs="Calibri"/>
          <w:color w:val="000000"/>
          <w:sz w:val="22"/>
          <w:szCs w:val="22"/>
        </w:rPr>
        <w:t>. Strengthened, department and high-burden district specific antimicrobial stewardship and infection control are crucial.</w:t>
      </w:r>
    </w:p>
    <w:p w14:paraId="6AA1F5F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25-A-2769-ASTMH</w:t>
      </w:r>
    </w:p>
    <w:p w14:paraId="62665E0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C31DCB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Determinants of ITN Physical Durability in sub-Saharan Africa: Secondary Analysis of Data from 37 Sites</w:t>
      </w:r>
    </w:p>
    <w:p w14:paraId="6FEDAF8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Suboptimal physical durability of insecticide-treated nets (ITNs) can compromise malaria prevention efforts by reducing net lifespan below the expected three years. Identifying ITN use environment and handling factors associated with durability could help refine prevention strategies. We conducted secondary analysis of standardized ITN durability monitoring data for 13 brands collected from 37 sites in 15 sub-Saharan African countries from 2015-2024. Data were available for 17,466 observations of 9,237 ITNs followed up to three years. The primary outcome was ITN survival in serviceable condition, comprising attrition due to wear and tear and physical integrity of remaining ITNs. Household covariates included household composition, cooking practices, and a metric combining message exposure and net care attitudes. Net-level determinants included use patterns, storage and washing practices. Determinants of physical durability were assessed by Cox proportional hazard models, accounting for the stratified and clustered study design, with model assumptions verified by residual analysis. Median ITN survival by site ranged from 1.6 to 6.0 years (median: 2.7 years [IQR: 2.2-3.2]), with diverse patterns of attrition and physical integrity across sites. There were 3,621 ITN failures during 14,218 ITN-years of analysis time at risk. Covariates associated with reduced ITN survival included larger household size </w:t>
      </w:r>
      <w:r w:rsidRPr="00AF28B8">
        <w:rPr>
          <w:rFonts w:ascii="Calibri" w:hAnsi="Calibri" w:cs="Calibri"/>
          <w:color w:val="000000"/>
          <w:sz w:val="22"/>
          <w:szCs w:val="22"/>
        </w:rPr>
        <w:lastRenderedPageBreak/>
        <w:t>(aHR: 1.47, p&lt;0.001 for 7+ members vs 1-3); cooking (aHR: 1.25, p&lt;0.001) and storing food (aHR=1.18, p=0.007) in rooms used for sleeping; nets used predominantly by children (aHR: 1.31, p&lt;0.001, compared to use by adults); and nets consistently left unfolded during daytime (aHR: 1.61, p&lt;0.001). Conversely, positive care attitudes combined with frequent message exposure among respondents significantly extended net lifespan (aHR: 0.47, p&lt;0.001) compared to the unexposed/not positive reference group. Routinely folding up ITNs could extend their life by 8 months, on average. Promoting positive net care attitudes through targeted SBC interventions would further enhance durability, prolonging net longevity and protection.</w:t>
      </w:r>
    </w:p>
    <w:p w14:paraId="0C738D5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25-A-2772-ASTMH</w:t>
      </w:r>
    </w:p>
    <w:p w14:paraId="4802C8A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2DD7A9E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Perceptions of Volunteers on the Use of Personal Devices for Electronic Data Collection During Mass Insecticide Treated Net Distribution Campaign in Ghana 2024</w:t>
      </w:r>
    </w:p>
    <w:p w14:paraId="459D952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Ghana introduced a bring your own device (BYOD) approach for the 2024 mass ITN distribution campaign to address rising cost of tablet procurement and distribution. Volunteers thus used their personal smartphones, instead of programme procured tablets for electronic data collection. Initial outcomes were promising, with campaign targets exceeded and BYOD considered an effective, cost-saving tool. To ensure sustainability of the BYOD approach, it was critical to understand the perceptions and experiences of the volunteers who used their own devices. A descriptive, mixed-methods study was conducted in two regions of Ghana. A random sample of 527 volunteers were interviewed on their experiences, challenges and perceived benefits. Quantitative data were analysed using descriptive statistics and qualitative responses were analysed using direct content analysis. About 31% (157/513) of volunteers had previously used personal devices for work. The most reported benefits were device familiarity (353/527; 67%), convenience (274/527; 52%), increased efficiency (130/527; 25%) and reduced need to carry multiple devices (135/527; 26%). Reported challenges were issues relating to battery life (279/527; 53%), data synchronization (205/527; 39%), connectivity (152/527; 29%), device performance (95/527; 18%) and interference from personal calls (8/527; 2%). Concerns about data security (103/527; 20%), personal data privacy (148/527; 28%), and device incompatibility (70/527; 13%) were also noted. Despite the challenges, 63% (333/526) found their devices easy to use and 89% (434/488) reported no impact on campaign performance. Volunteers largely viewed the BYOD initiative as convenient and familiar, though technical and logistical challenges remain. Addressing concerns about battery life, data privacy, and connectivity will be essential for future BYOD-based campaigns.</w:t>
      </w:r>
    </w:p>
    <w:p w14:paraId="496ECBC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25-A-2773-ASTMH</w:t>
      </w:r>
    </w:p>
    <w:p w14:paraId="3A8CABB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41A4998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Comparative Analysis of Azithromycin Coverage when integrated with Seasonal Malaria Chemoprevention Delivery in Nigeria: A Case Study of Kebbi State</w:t>
      </w:r>
    </w:p>
    <w:p w14:paraId="62A3525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Mass drug administration (MDA) with azithromycin (AZM) is a critical strategy for reducing childhood mortality. In Nigeria, recent efforts have explored integrating AZM distribution with various preventive childhood campaigns to optimize efficiency and coverage. This study compares the effectiveness of mass administration of azithromycin through two delivery platforms - the stand-alone neglected tropical diseases (NTD) platform and co-delivery of AZM with seasonal malaria chemoprevention - in Kebbi State. Routine programmatic data and end-of-cycle household survey data from AZM distribution in 2025 will be used to compare coverage rates, adherence, and programmatic efficiencies of the two delivery platforms. Coverage will be assessed using standard indicators, including the proportion of eligible children who received AZM. Supply chain logistics, community sensitization, caregiver awareness, effective channels of communication and health worker capacity will also be examined as they are measurable attributes of efficiency and effectiveness. Descriptive statistics, a regression analysis, and a costing analysis will be presented to demonstrate whether integrating AZM with SMC delivery enhances geographic and population coverage, creates cost-efficiencies, and reduces operational redundancies. </w:t>
      </w:r>
      <w:r w:rsidRPr="00AF28B8">
        <w:rPr>
          <w:rFonts w:ascii="Calibri" w:hAnsi="Calibri" w:cs="Calibri"/>
          <w:color w:val="000000"/>
          <w:sz w:val="22"/>
          <w:szCs w:val="22"/>
        </w:rPr>
        <w:lastRenderedPageBreak/>
        <w:t>These findings will provide evidence on the comparative effectiveness of integrated versus stand-alone AZM delivery platforms, informing future MDA strategies in Nigeria and other similar settings. Evidence will support policymaker’s decision making around the optimal strategies for drug distribution to maximize health impact while ensuring operational feasibility.</w:t>
      </w:r>
    </w:p>
    <w:p w14:paraId="2E99F20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25-A-2774-ASTMH</w:t>
      </w:r>
    </w:p>
    <w:p w14:paraId="62E7A38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6B7964D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RABIES OUTBREAK INVESTIGATIONS IN A DISTRICT IN GHANA, 2024</w:t>
      </w:r>
    </w:p>
    <w:p w14:paraId="2B1E23B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On 13</w:t>
      </w:r>
      <w:r w:rsidRPr="00AF28B8">
        <w:rPr>
          <w:rFonts w:ascii="Calibri" w:hAnsi="Calibri" w:cs="Calibri"/>
          <w:color w:val="000000"/>
          <w:sz w:val="22"/>
          <w:szCs w:val="22"/>
          <w:vertAlign w:val="superscript"/>
        </w:rPr>
        <w:t>th</w:t>
      </w:r>
      <w:r w:rsidRPr="00AF28B8">
        <w:rPr>
          <w:rFonts w:ascii="Calibri" w:hAnsi="Calibri" w:cs="Calibri"/>
          <w:color w:val="000000"/>
          <w:sz w:val="22"/>
          <w:szCs w:val="22"/>
        </w:rPr>
        <w:t> May 2024, a 22-year-old female presented to the University of Ghana Hospital in Accra with a day’s history of Fever, Dizziness, Pain at the back, Hypersalivating, Confused and Agitated. She was said to have had a dog bite 2 weeks prior to the illness but had a sign of hydrophobia and photophobia. An oropharyngeal swab was taken from the patient to the Accra Veterinary Laboratory for testing. Polymerase Chain Reaction results received was positive for rabies and an investigation team was put together to manage and control the outbreak, determine the magnitude, identify the source and risk factors and also implement control measures. The team reviewed consulting room registers for records on dog bites at the University of Ghana Hospital that presented provisional and differential diagnosis signs and symptoms, specific to rabies. The activities carried out to conclude the investigations included records review at the various Polyclinics, salivary samples for serial monitoring of rabies virus, follow up on the home of the suspected case, accessed the environment and actively searched for possible cases. The health directorate administered vaccines of contacts and obtained data on the estimated number of dogs that have been vaccinated in the community.</w:t>
      </w:r>
    </w:p>
    <w:p w14:paraId="3E4CB8F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25-A-2775-ASTMH</w:t>
      </w:r>
    </w:p>
    <w:p w14:paraId="20617A6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6A1BFF9" w14:textId="7E662188"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and associated factors of food insecurity among households with under five children in Senegal: a cross-sectional study</w:t>
      </w:r>
    </w:p>
    <w:p w14:paraId="164E854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Global food insecurity (FI) has escalated in recent years due to multiple shocks, including economic crises, climate change impacts, the COVID-19 pandemic, and international conflicts. However, systematic research on the prevalence and determinants of FI in this multi-crisis context remains limited in resource-limited settings. This study aimed to investigate FI's prevalence and associated factors among households with children under five, who are vulnerable to FI.We performed a cross-sectional study in four villages in the Diourbel region of Senegal. Households were randomly selected from community lists and surveyed using structured questionnaires between January and February 2024. The primary outcome was household FI, assessed using the Food Insecurity Experience Scale. The data were statistically validated using the Rasch model. Internationally comparable prevalence estimates were generated by equating to the FIES global standard scale. The data collection included household demographic characteristics and socioeconomic status indicators. A generalized linear model with binomial distribution and logit link function was applied to evaluate factors correlated with household food insecurity.In total, 225 households were included in the analysis. The prevalence of moderate or severe FI was 44.4%, while severe FI affected 2.5% of the households. Logistic regression analysis revealed that higher socioeconomic status was significantly associated with lower odds of FI (second level: adjusted OR [aOR]: 0.57; 95% confidence interval [CI]: 0.24-1.31; third level: aOR: 0.21; 95% CI: 0.09-0.52; fourth level: aOR: 0.06; 95% CI: 0.02-0.20). Conversely, exposure to any type of shock significantly increased the likelihood of experiencing FI (aOR: 2.88; 95% CI: 1.49-5.58). Similar to previous studies conducted before the recent multi-crisis, FI was related to lower socioeconomic status, or having any shock. Conversely, a well-reported factor, family size, showed no association. Future policies should prioritize socioeconomic support and shock-responsive safety nets over demographic approaches to effectively address FI.</w:t>
      </w:r>
    </w:p>
    <w:p w14:paraId="5D5BDC1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25-A-2776-ASTMH</w:t>
      </w:r>
    </w:p>
    <w:p w14:paraId="2818573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Clinical Tropical Medicine</w:t>
      </w:r>
    </w:p>
    <w:p w14:paraId="48D7D86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comparative analysis of dengue, chikungunya, and Zika manifestations in a pediatric cohort over 18 years</w:t>
      </w:r>
    </w:p>
    <w:p w14:paraId="1B95394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chikungunya, and Zika are diseases of major human concern. Differential diagnosis is complicated in children and adolescents due to their overlapping clinical features (signs, symptoms, and complete blood count results), especially in resource-limited settings without access to definitive or rapid tests. The three diseases tend to present similarly in children, and few studies have directly compared them clinically. We aimed to identify distinguishing pediatric characteristics of each disease by using 18 years of laboratory-confirmed cases aged 2-17 years and primary care data from a longitudinal cohort study in Managua, Nicaragua. The study period covers January 2006 through December 2023. Clinical and laboratory records across the first 10 days of illness were analyzed with generalized additive models, linear mixed models, and machine learning models using boosted regression trees that algorithmically mirrored the process of differential diagnosis. We characterized 1,405 dengue (all 4 serotypes), 517 chikungunya, and 522 Zika pediatric cases. The prevalence of many clinical features exhibited by the three types of cases differed substantially overall, by age, and by day of illness, but not by sex. Based on our machine learning models and more traditional statistical approaches, dengue cases were differentiated most by abdominal pain, leukopenia, nausea, vomiting, and basophilia; chikungunya cases were differentiated most by arthralgia and the absence of leukopenia and papular rash; and Zika cases were differentiated most by rash and the lack of fever, basophilia, and lymphocytopenia. Sixty-two laboratory-confirmed afebrile dengue cases, which would not be captured by any widely used international case definition, presented very similarly to afebrile Zika cases, though some exhibited warning signs of disease severity. Overall, these findings substantially update our understanding of dengue, chikungunya, and Zika in children while identifying various clinical features that could improve differential diagnoses. Lastly, the occurrence of afebrile dengue warrants reconsideration of current case definitions.</w:t>
      </w:r>
    </w:p>
    <w:p w14:paraId="46C29D6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25-A-2777-ASTMH</w:t>
      </w:r>
    </w:p>
    <w:p w14:paraId="331C442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5E6EF1D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Invasive fungal infection among critically ill patients of selected tertiary care hospitals in Bangladesh</w:t>
      </w:r>
    </w:p>
    <w:p w14:paraId="6141B4D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Invasive fungal infections (IFIs) are serious conditions in which fungi penetrate deep tissues. Despite their clinical significance, the true burden of IFIs remains poorly understood, particularly in low-and middle-income countries like Bangladesh, where surveillance systems are limited. This study aims to assess the prevalence, demographic and clinical characteristics, and outcomes of IFIs among hospitalized children under 12 years of age in Bangladesh. Since August 2022, a hospital-based IFI surveillance has been ongoing in the Neonatal Intensive Care Unit (NICU) and Pediatric Intensive Care Unit (PICU) of two tertiary-level hospitals in Dhaka. Blood and endotracheal aspirate samples were collected and analyzed through microscopy, culture and identification using Vitek 2 and Vitek MS automated systems. For some specific organisms, like </w:t>
      </w:r>
      <w:r w:rsidRPr="00AF28B8">
        <w:rPr>
          <w:rFonts w:ascii="Calibri" w:hAnsi="Calibri" w:cs="Calibri"/>
          <w:i/>
          <w:iCs/>
          <w:color w:val="000000"/>
          <w:sz w:val="22"/>
          <w:szCs w:val="22"/>
        </w:rPr>
        <w:t>Candida Blanki</w:t>
      </w:r>
      <w:r w:rsidRPr="00AF28B8">
        <w:rPr>
          <w:rFonts w:ascii="Calibri" w:hAnsi="Calibri" w:cs="Calibri"/>
          <w:color w:val="000000"/>
          <w:sz w:val="22"/>
          <w:szCs w:val="22"/>
        </w:rPr>
        <w:t>i and </w:t>
      </w:r>
      <w:r w:rsidRPr="00AF28B8">
        <w:rPr>
          <w:rFonts w:ascii="Calibri" w:hAnsi="Calibri" w:cs="Calibri"/>
          <w:i/>
          <w:iCs/>
          <w:color w:val="000000"/>
          <w:sz w:val="22"/>
          <w:szCs w:val="22"/>
        </w:rPr>
        <w:t>Candida Auris</w:t>
      </w:r>
      <w:r w:rsidRPr="00AF28B8">
        <w:rPr>
          <w:rFonts w:ascii="Calibri" w:hAnsi="Calibri" w:cs="Calibri"/>
          <w:color w:val="000000"/>
          <w:sz w:val="22"/>
          <w:szCs w:val="22"/>
        </w:rPr>
        <w:t>, a subset of the samples was tested using the E-test method. As of March 2025, among the 917 patients enrolled from the two selected hospitals, 453 study participants were included in this analysis, comprising 334 neonates and 116 children. The median age of neonates was 15 days with (IQR:11-20) days), while among children median age was 34 months (IQR: 9-90), with an overall male predominance (63.2%). Fungemia was identified in 52.7% (239/453) of cases. The most common predisposing conditions among patients with fungemia included history of birth asphyxia (71%), low birth weight (60.4%), congenital heart disease (23%), mechanical ventilation support (27%) and the presence of a central venous line (11%). The most frequently isolated fungus was </w:t>
      </w:r>
      <w:r w:rsidRPr="00AF28B8">
        <w:rPr>
          <w:rFonts w:ascii="Calibri" w:hAnsi="Calibri" w:cs="Calibri"/>
          <w:i/>
          <w:iCs/>
          <w:color w:val="000000"/>
          <w:sz w:val="22"/>
          <w:szCs w:val="22"/>
        </w:rPr>
        <w:t>Candida Blankii</w:t>
      </w:r>
      <w:r w:rsidRPr="00AF28B8">
        <w:rPr>
          <w:rFonts w:ascii="Calibri" w:hAnsi="Calibri" w:cs="Calibri"/>
          <w:color w:val="000000"/>
          <w:sz w:val="22"/>
          <w:szCs w:val="22"/>
        </w:rPr>
        <w:t> (51%), </w:t>
      </w:r>
      <w:r w:rsidRPr="00AF28B8">
        <w:rPr>
          <w:rFonts w:ascii="Calibri" w:hAnsi="Calibri" w:cs="Calibri"/>
          <w:i/>
          <w:iCs/>
          <w:color w:val="000000"/>
          <w:sz w:val="22"/>
          <w:szCs w:val="22"/>
        </w:rPr>
        <w:t>Kodamaea Omhmeri</w:t>
      </w:r>
      <w:r w:rsidRPr="00AF28B8">
        <w:rPr>
          <w:rFonts w:ascii="Calibri" w:hAnsi="Calibri" w:cs="Calibri"/>
          <w:color w:val="000000"/>
          <w:sz w:val="22"/>
          <w:szCs w:val="22"/>
        </w:rPr>
        <w:t> (25.4%), </w:t>
      </w:r>
      <w:r w:rsidRPr="00AF28B8">
        <w:rPr>
          <w:rFonts w:ascii="Calibri" w:hAnsi="Calibri" w:cs="Calibri"/>
          <w:i/>
          <w:iCs/>
          <w:color w:val="000000"/>
          <w:sz w:val="22"/>
          <w:szCs w:val="22"/>
        </w:rPr>
        <w:t>Candida Albicans</w:t>
      </w:r>
      <w:r w:rsidRPr="00AF28B8">
        <w:rPr>
          <w:rFonts w:ascii="Calibri" w:hAnsi="Calibri" w:cs="Calibri"/>
          <w:color w:val="000000"/>
          <w:sz w:val="22"/>
          <w:szCs w:val="22"/>
        </w:rPr>
        <w:t> (4%), </w:t>
      </w:r>
      <w:r w:rsidRPr="00AF28B8">
        <w:rPr>
          <w:rFonts w:ascii="Calibri" w:hAnsi="Calibri" w:cs="Calibri"/>
          <w:i/>
          <w:iCs/>
          <w:color w:val="000000"/>
          <w:sz w:val="22"/>
          <w:szCs w:val="22"/>
        </w:rPr>
        <w:t>Candida Auris</w:t>
      </w:r>
      <w:r w:rsidRPr="00AF28B8">
        <w:rPr>
          <w:rFonts w:ascii="Calibri" w:hAnsi="Calibri" w:cs="Calibri"/>
          <w:color w:val="000000"/>
          <w:sz w:val="22"/>
          <w:szCs w:val="22"/>
        </w:rPr>
        <w:t> (1.6%). Empirical antifungal therapy commonly included fluconazole and voriconazole. However, E-test results revealed high MIC values for these drugs against isolated </w:t>
      </w:r>
      <w:r w:rsidRPr="00AF28B8">
        <w:rPr>
          <w:rFonts w:ascii="Calibri" w:hAnsi="Calibri" w:cs="Calibri"/>
          <w:i/>
          <w:iCs/>
          <w:color w:val="000000"/>
          <w:sz w:val="22"/>
          <w:szCs w:val="22"/>
        </w:rPr>
        <w:t>Candida Blankii</w:t>
      </w:r>
      <w:r w:rsidRPr="00AF28B8">
        <w:rPr>
          <w:rFonts w:ascii="Calibri" w:hAnsi="Calibri" w:cs="Calibri"/>
          <w:color w:val="000000"/>
          <w:sz w:val="22"/>
          <w:szCs w:val="22"/>
        </w:rPr>
        <w:t> and </w:t>
      </w:r>
      <w:r w:rsidRPr="00AF28B8">
        <w:rPr>
          <w:rFonts w:ascii="Calibri" w:hAnsi="Calibri" w:cs="Calibri"/>
          <w:i/>
          <w:iCs/>
          <w:color w:val="000000"/>
          <w:sz w:val="22"/>
          <w:szCs w:val="22"/>
        </w:rPr>
        <w:t>Candida Auris</w:t>
      </w:r>
      <w:r w:rsidRPr="00AF28B8">
        <w:rPr>
          <w:rFonts w:ascii="Calibri" w:hAnsi="Calibri" w:cs="Calibri"/>
          <w:color w:val="000000"/>
          <w:sz w:val="22"/>
          <w:szCs w:val="22"/>
        </w:rPr>
        <w:t>. This is very much alarming. Therefore, there is urgent need to implement risk-based strategies, along with strengthening antifungal stewardship to ensure effective management of these critically ill patients.</w:t>
      </w:r>
    </w:p>
    <w:p w14:paraId="30C3FBE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25-A-2778-ASTMH</w:t>
      </w:r>
    </w:p>
    <w:p w14:paraId="69A42F5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5AB9666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Causes of death in rural Southeast Asia by electronic verbal autopsy</w:t>
      </w:r>
    </w:p>
    <w:p w14:paraId="1599C3E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many low- and middle-income countries in Southeast Asia, most deaths occur outside formal healthcare settings and lack medically certified causes. To address this gap, we conducted a verbal autopsy study to identify underlying causes of death in rural communities across the region. Between 2021 and 2023, we implemented electronic verbal autopsy surveys for reported deaths in 510 villages across Bangladesh, Cambodia, Lao People's Democratic Republic, Myanmar, and Thailand. Using the World Health Organization 2016 VA questionnaire, trained fieldworkers conducted interviews with family members or caregivers, and local physicians independently assigned causes of death based on ICD-10 codes. Verbal autopsies were completed for over 90% of reported deaths. Of the 3,413 cases reviewed, 60% were male, and 95% were individuals aged over 12 years. The majority of deaths (64-86%) occurred at home across all sites. Non-communicable diseases (NCDs) emerged as the leading cause of death, accounting for 54% of deaths in Laos to 70% in Cambodia. Cardiovascular and cerebrovascular diseases, cancers, and digestive system disorders were the most frequently assigned NCD causes. Communicable diseases, including respiratory infections, diarrhoea, and tuberculosis, along with maternal and nutritional conditions, contributed to 11-26% of deaths. Injuries and accidents accounted for 7-13% and were consistently among the top five causes of death. The study highlights persistent gaps in death certification and reporting across all participating countries. Our findings reveal a growing burden of non-communicable diseases in rural populations, alongside ongoing challenges from communicable diseases. These results underscore the urgent need for improved mortality data systems and expanded healthcare access to address the dual burden of disease in Southeast Asia.</w:t>
      </w:r>
    </w:p>
    <w:p w14:paraId="46FC2F0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25-A-2779-ASTMH</w:t>
      </w:r>
    </w:p>
    <w:p w14:paraId="53A52AC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and Genetics of Insecticide Resistance</w:t>
      </w:r>
    </w:p>
    <w:p w14:paraId="0266410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High Permethrin Resistance and the Co-occurrence of F1534C/W Knockdown Resistance Mutations in Aedes aegypti Populations from Select Areas of Lamu, Kenya</w:t>
      </w:r>
    </w:p>
    <w:p w14:paraId="27DA4AC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Aedes aegypti is the primary vector for Dengue, Yellow fever, Zika, and Chikungunya viruses negatively impacting public health globally. The pyrethroid class of insecticides are preferred in mosquito control due to their low toxicity in mammals. However, insecticide resistance may render pyrethroids such as permethrin unusable. Following three confirmed Zika cases at King Fahd Referral Hospital, Lamu Island, this study aimed to assess permethrin resistance and characterize knockdown resistance (kdr) mutations in Ae. aegypti populations from the affected areas within the Island. Ae. aegypti eggs were collected using ovicups in Mkomani, Kashmir, and Kandahar in Lamu, where the Zika cases had been reported. Adults were reared from field-collected eggs. A total of 1,260 mosquitoes (440 each from Mkomani and Kashmir, and 380 from Kandahar) were tested for susceptibility or resistance to permethrin (0.75%) using World Health Organization (WHO) tube bioassays. DNA from both susceptible and resistant mosquitoes was extracted and genotyped for five kdr single nucleotide polymorphisms (SNPs) at the L982W, S989P, A1007G, V1016G/I, and F1534C loci. Sanger sequencing of the cytochrome oxidase 1 gene was used to confirm the taxonomic identity of the Ae. aegypti populations. The results of the bioassays revealed highly resistant Ae. aegypti populations to permethrin (0.75%), with the following mortality average rates: Mkomani (16%), Kashmir (15%), and Kandahar (17%). Sanger sequencing revealed a high prevalence of F1534C (90%) and the detection of F1534W (8%) kdr mutations, with only 2% wildtype. Notably, this is the first report of the F1534W mutation in Ae. aegypti within the region, as the F1534W mutation has primarily been reported in Ae. albopictus. No mutations were detected at L982W, S989P, V1016G/I A1007G. These findings highlight the need for continued surveillance of Insecticide Resistance (IR) in Coastal Kenya to discern emerging role played by IR in fostering arbovirus outbreaks. The detection of the F1534W mutation in Ae. aegypti in Lamu is baffling as it has traditionally been associated with Ae. albopictus.</w:t>
      </w:r>
    </w:p>
    <w:p w14:paraId="7C73202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25-A-2780-ASTMH</w:t>
      </w:r>
    </w:p>
    <w:p w14:paraId="67A4D4E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3987807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Immunoscreening of Naturally Acquired Transmission Blocking Immunity in Thai Patients to</w:t>
      </w:r>
      <w:r w:rsidRPr="00AF28B8">
        <w:rPr>
          <w:rFonts w:ascii="Calibri" w:hAnsi="Calibri" w:cs="Calibri"/>
          <w:i/>
          <w:iCs/>
          <w:color w:val="000000"/>
          <w:sz w:val="22"/>
          <w:szCs w:val="22"/>
        </w:rPr>
        <w:t>Plasmodium vivax</w:t>
      </w:r>
      <w:r w:rsidRPr="00AF28B8">
        <w:rPr>
          <w:rFonts w:ascii="Calibri" w:hAnsi="Calibri" w:cs="Calibri"/>
          <w:color w:val="000000"/>
          <w:sz w:val="22"/>
          <w:szCs w:val="22"/>
        </w:rPr>
        <w:t>Protein Library Expressed by Wheat Germ Cell Free System</w:t>
      </w:r>
    </w:p>
    <w:p w14:paraId="1E5784E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vivax</w:t>
      </w:r>
      <w:r w:rsidRPr="00AF28B8">
        <w:rPr>
          <w:rFonts w:ascii="Calibri" w:hAnsi="Calibri" w:cs="Calibri"/>
          <w:color w:val="000000"/>
          <w:sz w:val="22"/>
          <w:szCs w:val="22"/>
        </w:rPr>
        <w:t> is the most geographically widespread human malaria parasite, primarily due to its high transmission potential. Malaria transmission-blocking vaccines (TBVs) can induce functional immunity and reduce disease transmission by interfering with parasite development in mosquitoes. Our recent study demonstrated the natural acquisition of transmission-blocking immunity (TBI) against </w:t>
      </w:r>
      <w:r w:rsidRPr="00AF28B8">
        <w:rPr>
          <w:rFonts w:ascii="Calibri" w:hAnsi="Calibri" w:cs="Calibri"/>
          <w:i/>
          <w:iCs/>
          <w:color w:val="000000"/>
          <w:sz w:val="22"/>
          <w:szCs w:val="22"/>
        </w:rPr>
        <w:t>P. vivax.</w:t>
      </w:r>
      <w:r w:rsidRPr="00AF28B8">
        <w:rPr>
          <w:rFonts w:ascii="Calibri" w:hAnsi="Calibri" w:cs="Calibri"/>
          <w:color w:val="000000"/>
          <w:sz w:val="22"/>
          <w:szCs w:val="22"/>
        </w:rPr>
        <w:t> This current study aimed to identify the targets of the TBI antibodies. We measured IgG and IgM antibodies in 30 plasma samples obtained from </w:t>
      </w:r>
      <w:r w:rsidRPr="00AF28B8">
        <w:rPr>
          <w:rFonts w:ascii="Calibri" w:hAnsi="Calibri" w:cs="Calibri"/>
          <w:i/>
          <w:iCs/>
          <w:color w:val="000000"/>
          <w:sz w:val="22"/>
          <w:szCs w:val="22"/>
        </w:rPr>
        <w:t>P. vivax</w:t>
      </w:r>
      <w:r w:rsidRPr="00AF28B8">
        <w:rPr>
          <w:rFonts w:ascii="Calibri" w:hAnsi="Calibri" w:cs="Calibri"/>
          <w:color w:val="000000"/>
          <w:sz w:val="22"/>
          <w:szCs w:val="22"/>
        </w:rPr>
        <w:t>-infected Thai patients against a library of 665 </w:t>
      </w:r>
      <w:r w:rsidRPr="00AF28B8">
        <w:rPr>
          <w:rFonts w:ascii="Calibri" w:hAnsi="Calibri" w:cs="Calibri"/>
          <w:i/>
          <w:iCs/>
          <w:color w:val="000000"/>
          <w:sz w:val="22"/>
          <w:szCs w:val="22"/>
        </w:rPr>
        <w:t>P. vivax</w:t>
      </w:r>
      <w:r w:rsidRPr="00AF28B8">
        <w:rPr>
          <w:rFonts w:ascii="Calibri" w:hAnsi="Calibri" w:cs="Calibri"/>
          <w:color w:val="000000"/>
          <w:sz w:val="22"/>
          <w:szCs w:val="22"/>
        </w:rPr>
        <w:t> proteins expressed by the wheat germ cell-free protein expression system, using AlphaScreen. Spearman’s rank tests were used to compare the antibody levels and transmission-reducing activity (TRA) of the plasma samples revealed by direct membrane feeding assay in our previous report. We observed that TRA was significantly correlated with IgG and IgM antibodies to 8 and 100 antigens (p-value &lt;0.05), respectively. Among the antigens correlated with TRA antibodies, none were common for both IgG and IgM levels. Notably, the IgM levels against the N-terminal Pvs230, a </w:t>
      </w:r>
      <w:r w:rsidRPr="00AF28B8">
        <w:rPr>
          <w:rFonts w:ascii="Calibri" w:hAnsi="Calibri" w:cs="Calibri"/>
          <w:i/>
          <w:iCs/>
          <w:color w:val="000000"/>
          <w:sz w:val="22"/>
          <w:szCs w:val="22"/>
        </w:rPr>
        <w:t>P. vivax</w:t>
      </w:r>
      <w:r w:rsidRPr="00AF28B8">
        <w:rPr>
          <w:rFonts w:ascii="Calibri" w:hAnsi="Calibri" w:cs="Calibri"/>
          <w:color w:val="000000"/>
          <w:sz w:val="22"/>
          <w:szCs w:val="22"/>
        </w:rPr>
        <w:t> TBV candidate, were identified. However, it is challenging to definitively attribute the primary role in TBI to IgM due to the limited sample size and the potential differences in IgG and IgM detection sensitivity using AlphaScreen. Further investigations are required for the selected targets to elucidate the underlying mechanisms of TBI and facilitate the development of TBVs.</w:t>
      </w:r>
    </w:p>
    <w:p w14:paraId="1E929CE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25-A-2781-ASTMH</w:t>
      </w:r>
    </w:p>
    <w:p w14:paraId="799A6E4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3486BA7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Regional Networks in Asia-Pacific driving Malaria Elimination</w:t>
      </w:r>
    </w:p>
    <w:p w14:paraId="2FAC6B7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elimination in one country does not mean success in the neighbouring country, or even security against the re-introduction of malaria from such neighbours into eliminating nations. Regional approaches are paramount. Examples abound of the success of neighboring countries joining hands for mutual benefit, as this presentation highlights. We discuss examples that demonstrate the key methods and approaches which lead to success. The MOSASWA initiative in southern Africa is a notable example from Africa, where South Africa, eSwatini and Mozambique are collaborating in training, information-sharing, cross-border coordination of surveillance and control, and joint planning, resulting in impressively successful impacts. The Asia Pacific region too has good examples. The Mekong Malaria Elimination program (</w:t>
      </w:r>
      <w:r w:rsidRPr="00AF28B8">
        <w:rPr>
          <w:rFonts w:ascii="Calibri" w:hAnsi="Calibri" w:cs="Calibri"/>
          <w:color w:val="000000"/>
          <w:sz w:val="22"/>
          <w:szCs w:val="22"/>
          <w:u w:val="single"/>
        </w:rPr>
        <w:t>https://www.who.int/initiatives/mekong-malaria-elimination-programme/about</w:t>
      </w:r>
      <w:r w:rsidRPr="00AF28B8">
        <w:rPr>
          <w:rFonts w:ascii="Calibri" w:hAnsi="Calibri" w:cs="Calibri"/>
          <w:color w:val="000000"/>
          <w:sz w:val="22"/>
          <w:szCs w:val="22"/>
        </w:rPr>
        <w:t>} comprises six nations collaborating to achieve regional malaria elimination by 2030, and is making substantial progress towards that goal. Another example is the Asia Pacific Leaders Malaria Alliance (APLMA, </w:t>
      </w:r>
      <w:r w:rsidRPr="00AF28B8">
        <w:rPr>
          <w:rFonts w:ascii="Calibri" w:hAnsi="Calibri" w:cs="Calibri"/>
          <w:color w:val="000000"/>
          <w:sz w:val="22"/>
          <w:szCs w:val="22"/>
          <w:u w:val="single"/>
        </w:rPr>
        <w:t>https://www.aplma.org/</w:t>
      </w:r>
      <w:r w:rsidRPr="00AF28B8">
        <w:rPr>
          <w:rFonts w:ascii="Calibri" w:hAnsi="Calibri" w:cs="Calibri"/>
          <w:color w:val="000000"/>
          <w:sz w:val="22"/>
          <w:szCs w:val="22"/>
        </w:rPr>
        <w:t>), which embraces 22 nations straddling across half the world. Together with its technical arm, the Asia Pacific Malaria Elimination Network (APMEN, </w:t>
      </w:r>
      <w:r w:rsidRPr="00AF28B8">
        <w:rPr>
          <w:rFonts w:ascii="Calibri" w:hAnsi="Calibri" w:cs="Calibri"/>
          <w:color w:val="000000"/>
          <w:sz w:val="22"/>
          <w:szCs w:val="22"/>
          <w:u w:val="single"/>
        </w:rPr>
        <w:t>www.apmen.org</w:t>
      </w:r>
      <w:r w:rsidRPr="00AF28B8">
        <w:rPr>
          <w:rFonts w:ascii="Calibri" w:hAnsi="Calibri" w:cs="Calibri"/>
          <w:color w:val="000000"/>
          <w:sz w:val="22"/>
          <w:szCs w:val="22"/>
        </w:rPr>
        <w:t>), APLMA supports the Asia Pacific region to promote and coordinate malaria elimination objectives. Key elements for regional success include shared information, regional advocacy, joint discussions, complementary cross-border plans and actions, joint courses for capacity strengthening in technical skills, high-level political support, sustained financing, and commitment to open dialogue and collaboration. In all these regional initiatives, there is a clear trend of mutual collaboration and demonstrable improvements in malaria reduction, enabled through combined effort. We outline the core elements of several of these regional platforms, and provide details on the specific approaches of APLMA and APMEN.</w:t>
      </w:r>
    </w:p>
    <w:p w14:paraId="04A4180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25-A-2782-ASTMH</w:t>
      </w:r>
    </w:p>
    <w:p w14:paraId="263A0C2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1BEFE3B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Case investigation and reactive surveillance and response for imported malaria cases in Jaffna district in Sri Lanka</w:t>
      </w:r>
    </w:p>
    <w:p w14:paraId="5CFFD73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 important public health accomplishment was Sri Lanka's 2016 certification as malaria-free. Travelling to malaria endemic countries makes it difficult to prevent the reintroduction. Sri Lankans returning from African nations have accounted for the majority of imported malaria cases. Reactive surveillance and response are carried out to prevent outbreaks within the country. In March 2025, two imported malaria cases were reported one week apart from Jaffna district within the same neighborhood where second patient ended up in cerebral malaria due to delayed diagnosis. Both patients had acquired the disease from Siearra Leon. Thorough case investigation was done by the regional malaria control team and conducted a community screening with blood smearing, vector surveillance and control activities (IRS and LLIN distribution) within one kilometer radius of residence of positive patients. A group of nine males have been sent to Sierra Leon to arrange illegal migration to United Kingdom. As the group did not convince with the travel arrangement and having several attacks of malaria, all have moved to different countries; two of them came back to Sri Lanka. Delayed diagnosis of these patients is mainly due to non-revealing of travel history by the patient or non-inquiring the travel history by clinicians. No other travel contacts of these patients were found. Population screening for malaria covered 586 people, and no positives detected. Entomological surveillance revealed primary adult vectors and their larvae around the residence. Therefore, 153 houses (602 people covered) within first 500m radius were sprayed with IRS and 310 houses (925 people protected) within the next 500m radius were given LLINs. Post-IRS survey showed clearance of mosquitoes. Sri Lanka’s proactive public health response has successfully managed the risk of malaria reintroduction despite imported cases. The recent Jaffna cases highlight the critical role of revealing travel history in timely diagnosis and control measures. Clinician awareness and enhancing surveillance are essential to sustaining the country’s malaria-free status.</w:t>
      </w:r>
    </w:p>
    <w:p w14:paraId="5DF157B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25-A-2783-ASTMH</w:t>
      </w:r>
    </w:p>
    <w:p w14:paraId="0EBEDA6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4ACE645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Characterizing IgG Responses to 1,307 </w:t>
      </w:r>
      <w:r w:rsidRPr="00AF28B8">
        <w:rPr>
          <w:rFonts w:ascii="Calibri" w:hAnsi="Calibri" w:cs="Calibri"/>
          <w:i/>
          <w:iCs/>
          <w:color w:val="000000"/>
          <w:sz w:val="22"/>
          <w:szCs w:val="22"/>
        </w:rPr>
        <w:t>P. falciparum</w:t>
      </w:r>
      <w:r w:rsidRPr="00AF28B8">
        <w:rPr>
          <w:rFonts w:ascii="Calibri" w:hAnsi="Calibri" w:cs="Calibri"/>
          <w:color w:val="000000"/>
          <w:sz w:val="22"/>
          <w:szCs w:val="22"/>
        </w:rPr>
        <w:t> Proteins in Young Children in Burkina Faso</w:t>
      </w:r>
    </w:p>
    <w:p w14:paraId="6AECF25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is a critical disease, especially for children under 5 years of age, as this age group accounts for a large proportion of estimated malaria deaths worldwide. Developing naturally acquired immunity to malaria mitigates severe symptoms and ultimately leads to the absence of any clinical manifestations. Individuals residing in malaria-endemic regions with high disease transmission can develop semi-immunity within 5 years of age through repeated exposure. Although understanding the target of the IgGs in this age group helps discover novel blood-stage vaccine candidates and serological markers, it has not been well elucidated due to limited accessibility to plasmodial antigens and samples. Here, we report the first comprehensive analysis of antibody levels in plasma samples obtained from Burkinabe children (n=80, aged 0 to 5 years) to 1307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proteins expressed by the eukaryotic wheat germ cell-free system. Antibody levels were measured by AlphaScreen. The number of reactive antigens by the individual was correlated with increasing age. The most significant increases in seroprevalence occurred during the first 2 years of life. This is demonstrated by the increase in median seroprevalence from 50% in the &gt;0-0.5 year age group to 79% in the &gt;1-2 year age group. Importantly, by correlating antibody levels and the number of clinical malaria during a 1-year follow-up period, we identified 173 potential protein targets potentially associated with clinical immunity. The top 10 antigens included MSP3, RhopH3, Rh2b, and LSA3, which are known to induce antibodies with growth inhibitory assay (GIA) activities. These findings offer new insights into the development of early-life semi-immunity to malaria and provide a rich resource for future vaccine and diagnostic development.</w:t>
      </w:r>
    </w:p>
    <w:p w14:paraId="1F18DF8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25-A-2784-ASTMH</w:t>
      </w:r>
    </w:p>
    <w:p w14:paraId="1844DAB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2486BA8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IgG and IgM Responses to PfEMP1 Domains Associated with Semi Immunity to Clinical Malaria in Burkinabe Children Under Five</w:t>
      </w:r>
    </w:p>
    <w:p w14:paraId="5FAE9B0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Malaria remains a major global health burden, with children under five years in sub-Saharan Africa disproportionately affected. While immunity develops with repeated exposure, the specific correlates of protection in early childhood are not well defined. To address this, we assessed IgG and IgM antibody responses to </w:t>
      </w:r>
      <w:r w:rsidRPr="00AF28B8">
        <w:rPr>
          <w:rFonts w:ascii="Calibri" w:hAnsi="Calibri" w:cs="Calibri"/>
          <w:i/>
          <w:iCs/>
          <w:color w:val="000000"/>
          <w:sz w:val="22"/>
          <w:szCs w:val="22"/>
        </w:rPr>
        <w:t>Plasmodium falciparum </w:t>
      </w:r>
      <w:r w:rsidRPr="00AF28B8">
        <w:rPr>
          <w:rFonts w:ascii="Calibri" w:hAnsi="Calibri" w:cs="Calibri"/>
          <w:color w:val="000000"/>
          <w:sz w:val="22"/>
          <w:szCs w:val="22"/>
        </w:rPr>
        <w:t>erythrocyte membrane protein 1 (PfEMP1) domains in plasma samples from 80 Burkinabe children (aged 0–60 months) collected before (pre-malaria season) and during peak malaria transmission. Using AlphaScreen, we measured antibody responses to 271 PfEMP1 (3D7) domains expressed via wheat germ cell-free synthesis. Pre-season analysis revealed that 96% of the PfEMP1 domains were immunoreactive with IgG, with IgG breadth of response increasing significantly with age. For IgM, 71% of PfEMP1 domains were immunoreactive and breadth of response showed no age-related trend. Correlating antibody levels with the number of clinical malaria episodes over a 1-year follow-up, we identified significant IgG responses from samples taken in pre-season to 132 PfEMP1 domains to be significantly associated with reduced risk of clinical malaria episodes. While IgM responses to 5 domains were initially associated with protection, none remained significant after p-value adjustment. This study presents the first comprehensive IgG and IgM reactivity profile to PfEMP1 in young children and identifies antibody targets linked to natural protection. Our findings provide insights into early-life immunity and may guide vaccine development and serological surveillance strategies.</w:t>
      </w:r>
    </w:p>
    <w:p w14:paraId="487ED23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25-A-2785-ASTMH</w:t>
      </w:r>
    </w:p>
    <w:p w14:paraId="4453139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42238DF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Development of A Dual-Target Conjugate Vaccine Against Salmonella and Malaria.</w:t>
      </w:r>
    </w:p>
    <w:p w14:paraId="690A8EE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regions where malaria and invasive non-typhoidal </w:t>
      </w:r>
      <w:r w:rsidRPr="00AF28B8">
        <w:rPr>
          <w:rFonts w:ascii="Calibri" w:hAnsi="Calibri" w:cs="Calibri"/>
          <w:i/>
          <w:iCs/>
          <w:color w:val="000000"/>
          <w:sz w:val="22"/>
          <w:szCs w:val="22"/>
        </w:rPr>
        <w:t>Salmonella</w:t>
      </w:r>
      <w:r w:rsidRPr="00AF28B8">
        <w:rPr>
          <w:rFonts w:ascii="Calibri" w:hAnsi="Calibri" w:cs="Calibri"/>
          <w:color w:val="000000"/>
          <w:sz w:val="22"/>
          <w:szCs w:val="22"/>
        </w:rPr>
        <w:t> (iNTS) infections are endemic—particularly in sub-Saharan Africa—a multivalent vaccine targeting both pathogens could play a critical role in addressing major public health gaps. In our previous studies, including the development of a </w:t>
      </w:r>
      <w:r w:rsidRPr="00AF28B8">
        <w:rPr>
          <w:rFonts w:ascii="Calibri" w:hAnsi="Calibri" w:cs="Calibri"/>
          <w:i/>
          <w:iCs/>
          <w:color w:val="000000"/>
          <w:sz w:val="22"/>
          <w:szCs w:val="22"/>
        </w:rPr>
        <w:t>Salmonella</w:t>
      </w:r>
      <w:r w:rsidRPr="00AF28B8">
        <w:rPr>
          <w:rFonts w:ascii="Calibri" w:hAnsi="Calibri" w:cs="Calibri"/>
          <w:color w:val="000000"/>
          <w:sz w:val="22"/>
          <w:szCs w:val="22"/>
        </w:rPr>
        <w:t> typhi-malaria transmission-blocking conjugate vaccine (Vi-Pfs25), we demonstrated that potent immune responses can be elicited against both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Pfs25 and </w:t>
      </w:r>
      <w:r w:rsidRPr="00AF28B8">
        <w:rPr>
          <w:rFonts w:ascii="Calibri" w:hAnsi="Calibri" w:cs="Calibri"/>
          <w:i/>
          <w:iCs/>
          <w:color w:val="000000"/>
          <w:sz w:val="22"/>
          <w:szCs w:val="22"/>
        </w:rPr>
        <w:t>S</w:t>
      </w:r>
      <w:r w:rsidRPr="00AF28B8">
        <w:rPr>
          <w:rFonts w:ascii="Calibri" w:hAnsi="Calibri" w:cs="Calibri"/>
          <w:color w:val="000000"/>
          <w:sz w:val="22"/>
          <w:szCs w:val="22"/>
        </w:rPr>
        <w:t>. Typhi. Building on this platform, the present study shows that conjugation of the malaria transmission-blocking antigen (Pfs230) to iNTS polysaccharides not only enhances the efficacy of functional transmission-blocking antibodies against </w:t>
      </w:r>
      <w:r w:rsidRPr="00AF28B8">
        <w:rPr>
          <w:rFonts w:ascii="Calibri" w:hAnsi="Calibri" w:cs="Calibri"/>
          <w:i/>
          <w:iCs/>
          <w:color w:val="000000"/>
          <w:sz w:val="22"/>
          <w:szCs w:val="22"/>
        </w:rPr>
        <w:t>P. falciparum</w:t>
      </w:r>
      <w:r w:rsidRPr="00AF28B8">
        <w:rPr>
          <w:rFonts w:ascii="Calibri" w:hAnsi="Calibri" w:cs="Calibri"/>
          <w:color w:val="000000"/>
          <w:sz w:val="22"/>
          <w:szCs w:val="22"/>
        </w:rPr>
        <w:t>, but also functions as an effective carrier protein—inducing anti-Salmonella O-specific polysaccharide (OSP) responses against both iNTS, </w:t>
      </w:r>
      <w:r w:rsidRPr="00AF28B8">
        <w:rPr>
          <w:rFonts w:ascii="Calibri" w:hAnsi="Calibri" w:cs="Calibri"/>
          <w:i/>
          <w:iCs/>
          <w:color w:val="000000"/>
          <w:sz w:val="22"/>
          <w:szCs w:val="22"/>
        </w:rPr>
        <w:t>Salmonella</w:t>
      </w:r>
      <w:r w:rsidRPr="00AF28B8">
        <w:rPr>
          <w:rFonts w:ascii="Calibri" w:hAnsi="Calibri" w:cs="Calibri"/>
          <w:color w:val="000000"/>
          <w:sz w:val="22"/>
          <w:szCs w:val="22"/>
        </w:rPr>
        <w:t> Typhimurium and </w:t>
      </w:r>
      <w:r w:rsidRPr="00AF28B8">
        <w:rPr>
          <w:rFonts w:ascii="Calibri" w:hAnsi="Calibri" w:cs="Calibri"/>
          <w:i/>
          <w:iCs/>
          <w:color w:val="000000"/>
          <w:sz w:val="22"/>
          <w:szCs w:val="22"/>
        </w:rPr>
        <w:t>Salmonella</w:t>
      </w:r>
      <w:r w:rsidRPr="00AF28B8">
        <w:rPr>
          <w:rFonts w:ascii="Calibri" w:hAnsi="Calibri" w:cs="Calibri"/>
          <w:color w:val="000000"/>
          <w:sz w:val="22"/>
          <w:szCs w:val="22"/>
        </w:rPr>
        <w:t> Enteritidis. This dual functionality suggests that such conjugates can provide direct protection against </w:t>
      </w:r>
      <w:r w:rsidRPr="00AF28B8">
        <w:rPr>
          <w:rFonts w:ascii="Calibri" w:hAnsi="Calibri" w:cs="Calibri"/>
          <w:i/>
          <w:iCs/>
          <w:color w:val="000000"/>
          <w:sz w:val="22"/>
          <w:szCs w:val="22"/>
        </w:rPr>
        <w:t>Salmonella</w:t>
      </w:r>
      <w:r w:rsidRPr="00AF28B8">
        <w:rPr>
          <w:rFonts w:ascii="Calibri" w:hAnsi="Calibri" w:cs="Calibri"/>
          <w:color w:val="000000"/>
          <w:sz w:val="22"/>
          <w:szCs w:val="22"/>
        </w:rPr>
        <w:t> infections, in addition to their role in reducing malaria transmission. Accordingly, we developed and evaluated </w:t>
      </w:r>
      <w:r w:rsidRPr="00AF28B8">
        <w:rPr>
          <w:rFonts w:ascii="Calibri" w:hAnsi="Calibri" w:cs="Calibri"/>
          <w:i/>
          <w:iCs/>
          <w:color w:val="000000"/>
          <w:sz w:val="22"/>
          <w:szCs w:val="22"/>
        </w:rPr>
        <w:t>Salmonella</w:t>
      </w:r>
      <w:r w:rsidRPr="00AF28B8">
        <w:rPr>
          <w:rFonts w:ascii="Calibri" w:hAnsi="Calibri" w:cs="Calibri"/>
          <w:color w:val="000000"/>
          <w:sz w:val="22"/>
          <w:szCs w:val="22"/>
        </w:rPr>
        <w:t> polysaccharide-malaria antigen conjugates to assess their potential as multivalent vaccine candidates capable of eliciting both anti-</w:t>
      </w:r>
      <w:r w:rsidRPr="00AF28B8">
        <w:rPr>
          <w:rFonts w:ascii="Calibri" w:hAnsi="Calibri" w:cs="Calibri"/>
          <w:i/>
          <w:iCs/>
          <w:color w:val="000000"/>
          <w:sz w:val="22"/>
          <w:szCs w:val="22"/>
        </w:rPr>
        <w:t>Salmonella</w:t>
      </w:r>
      <w:r w:rsidRPr="00AF28B8">
        <w:rPr>
          <w:rFonts w:ascii="Calibri" w:hAnsi="Calibri" w:cs="Calibri"/>
          <w:color w:val="000000"/>
          <w:sz w:val="22"/>
          <w:szCs w:val="22"/>
        </w:rPr>
        <w:t> and anti-malaria immune responses.</w:t>
      </w:r>
    </w:p>
    <w:p w14:paraId="5519210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25-A-2786-ASTMH</w:t>
      </w:r>
    </w:p>
    <w:p w14:paraId="40145BE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6816E21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mRNA vaccines targeting multiple malaria antigens &amp; species induce broad multifunctional immune responses</w:t>
      </w:r>
    </w:p>
    <w:p w14:paraId="50EC948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recent years, recombinant protein vaccine platforms have been used in vaccine development for different parasite targets. This includes the RTS,S and R21 vaccines, which target </w:t>
      </w:r>
      <w:r w:rsidRPr="00AF28B8">
        <w:rPr>
          <w:rFonts w:ascii="Calibri" w:hAnsi="Calibri" w:cs="Calibri"/>
          <w:i/>
          <w:iCs/>
          <w:color w:val="000000"/>
          <w:sz w:val="22"/>
          <w:szCs w:val="22"/>
        </w:rPr>
        <w:t>P. falciparum</w:t>
      </w:r>
      <w:r w:rsidRPr="00AF28B8">
        <w:rPr>
          <w:rFonts w:ascii="Calibri" w:hAnsi="Calibri" w:cs="Calibri"/>
          <w:color w:val="000000"/>
          <w:sz w:val="22"/>
          <w:szCs w:val="22"/>
        </w:rPr>
        <w:t xml:space="preserve"> sporozoites. Targeting multiple antigens in vaccines could achieve greater protection against clinical illness and infection, and reduce transmission. mRNA vaccine platforms are attractive because of their ability to incorporate multiple target antigens in formulations, and using emerging RNA vaccine technologies could enable more efficacious and long-lasting vaccines. Towards developing multi-stage and multi-species malaria vaccines, we have designed and evaluated multiple mRNA constructs targeting merozoites and sporozoites of P. falciparum and P. vivax, including antigen modifications to increase vaccine immunogenicity and longevity. Following successful expression of mRNA in human HEK293 cells, mRNA was formulated in Lipid Nanoparticles (LNPs) for mouse and rabbit immunisation </w:t>
      </w:r>
      <w:r w:rsidRPr="00AF28B8">
        <w:rPr>
          <w:rFonts w:ascii="Calibri" w:hAnsi="Calibri" w:cs="Calibri"/>
          <w:color w:val="000000"/>
          <w:sz w:val="22"/>
          <w:szCs w:val="22"/>
        </w:rPr>
        <w:lastRenderedPageBreak/>
        <w:t>studies. Using conventional mRNA vaccine platform in mice, numerous constructs, including multi-antigen formulations, showed potent induction of IgG with multiple functional activities against merozoites and sporozoites. These functionalities include antibodies that inhibit host-cell invasion, recruit and activate complement, and engage Fc-receptors to promote opsonic phagocytosis and cellular cytotoxicity, mechanisms involved in immunity to malaria. Further, we evaluated emerging RNA vaccine technologies that offer significant advantages over conventional mRNA vaccines. We found that self-amplifying RNA vaccines can more effectively induce strong and durable antibody responses with fewer doses. Vaccines designed as circular RNA, which has greater stability that could support vaccine implementation in endemic countries, also effectively generated strong antibody responses. Our results show the potential for mRNA vaccines, including emerging RNA platforms, for the development of multi-antigen, multi-species vaccines to combat malaria in all regions and support progress towards elimination.</w:t>
      </w:r>
    </w:p>
    <w:p w14:paraId="1F09CDE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25-A-2787-ASTMH</w:t>
      </w:r>
    </w:p>
    <w:p w14:paraId="562D548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2411E7E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Elucidating the attenuating mutations and virus-host interactions of DENV4 PDK48</w:t>
      </w:r>
    </w:p>
    <w:p w14:paraId="5DF9C58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caused by infection with any of four dengue viruses (DENV1-4), is a major vector-borne disease and global health concern. However, the DENV-host interactions that lead to disease development are still not well understood, in part due to the lack of a clinically authentic animal model. DENV strains that were developed for live attenuated vaccine development and completed at least phase I clinical trial thus serve as ideal tools to dissect the virus-genotype and clinical-phenotype relationship. DENV4 PDK48 strain was derived from DENV4 1036, which was isolated from a dengue patient and showed useful safety and immunogenicity in phase I clinical trial. We hence compared PDK48 with its DENV4 1036 parent to understand the virus-host interactions that potentially determine symptomatic DENV4 infection. Using Gibson assembly with site-directed mutagenesis, we generated infectious clones of DENV4 1036 and seven of its mutants, each bearing one of the seven mutations found in PDK48. Two mutations - an E345K substitution in the envelope (E) protein and a G32W substitution in the non-structural 3 (NS3) protein - reproduced the small plaque phenotype of PDK48. Like PDK48, the NS3 G32W but not the E E345K substitution resulted in slower viral RNA replication kinetics in Huh7 cells, suggesting it as a potentially important determinant of attenuation. Structurally, the NS3 G32W substitution is positioned within the protease domain of NS3. Nonetheless, we found no reduction in proteolytic activity. Instead, NS3 G32W may disrupt the multifunctional role of NS3 in interacting with viral and host factors. Unlike mammalian cells, however, neither E E345K nor NS3 G32W substitution reduced DENV4 1036 infection in </w:t>
      </w:r>
      <w:r w:rsidRPr="00AF28B8">
        <w:rPr>
          <w:rFonts w:ascii="Calibri" w:hAnsi="Calibri" w:cs="Calibri"/>
          <w:i/>
          <w:iCs/>
          <w:color w:val="000000"/>
          <w:sz w:val="22"/>
          <w:szCs w:val="22"/>
        </w:rPr>
        <w:t>Aedes aegypti</w:t>
      </w:r>
      <w:r w:rsidRPr="00AF28B8">
        <w:rPr>
          <w:rFonts w:ascii="Calibri" w:hAnsi="Calibri" w:cs="Calibri"/>
          <w:color w:val="000000"/>
          <w:sz w:val="22"/>
          <w:szCs w:val="22"/>
        </w:rPr>
        <w:t> following an infectious blood meal, indicating that distinct mechanisms underlie attenuation of PDK48 in humans and mosquitoes.</w:t>
      </w:r>
    </w:p>
    <w:p w14:paraId="521CCD7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25-A-2788-ASTMH</w:t>
      </w:r>
    </w:p>
    <w:p w14:paraId="3603829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3FB56FF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Aedes mosquito bionomics and human dengue exposure in Mwanza region, northern Tanzania</w:t>
      </w:r>
    </w:p>
    <w:p w14:paraId="2E95F8E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rise of arboviruses such as dengue, Chikungunya, yellow fever, and Zika transmitted by Aedes mosquitoes poses an escalating global health threat. These mosquitoes thrive in artificial breeding sites, which have proliferated with rapid, unplanned urban growth, increasing disease transmission risk. Tanzania has seen repeated dengue outbreaks, with Dar es Salaam as a persistent hotspot. However, arbovirus surveillance remains limited in other regions like the Lake Zone. This study investigated Aedes mosquito bionomics, insecticide susceptibility, and human dengue sero-epidemiology in urban, semi-urban, and rural areas of Mwanza, Tanzania. A cross-sectional survey was conducted in November 2023 across nine communities with varying urbanization levels. Data collection focused on adult and larval mosquito density, breeding site types, water quality, insecticide resistance, and dengue virus presence in mosquitoes. Human dengue exposure was assessed using rapid diagnostic tests and ELISA on a random sample of hospital attendees from entomological sampling sites. In total, 180 houses and 503 </w:t>
      </w:r>
      <w:r w:rsidRPr="00AF28B8">
        <w:rPr>
          <w:rFonts w:ascii="Calibri" w:hAnsi="Calibri" w:cs="Calibri"/>
          <w:color w:val="000000"/>
          <w:sz w:val="22"/>
          <w:szCs w:val="22"/>
        </w:rPr>
        <w:lastRenderedPageBreak/>
        <w:t>containers were inspected, revealing 973 immature Aedes aegypti, mostly from discarded containers and used tires. The container index peaked in urban areas (57.4%). Rapid tests showed 5% of participants had recent/current dengue infection, while ELISA IgG indicated 40% had prior exposure. Catalytic modeling estimated 10% annual dengue exposure in the population. Spatial analysis revealed heterogeneity in mosquito indices and human exposure. Population density was the main driver of adult mosquito abundance and dengue virus exposure. These findings confirm active dengue transmission in Tanzania’s Lake Zone and highlight the need for sustained surveillance in densely populated areas to prevent future outbreaks.</w:t>
      </w:r>
    </w:p>
    <w:p w14:paraId="4A7B88E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25-A-2789-ASTMH</w:t>
      </w:r>
    </w:p>
    <w:p w14:paraId="003F892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207CFCA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Drivers of Quality of Routine Health Facility Malaria Data in Uganda</w:t>
      </w:r>
    </w:p>
    <w:p w14:paraId="75F54C9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Over the last decade, investments in routine health facility data have increased in sub-Saharan Africa, prompting demand for its use in decision making. Users are, however, faced with the need to understand the quality of this data before it is trusted for use. This cross-sectional health facility survey assessed the quality of routine malaria data and examined its drivers in two districts in Uganda. All health facilities (n=50) in Oyam and Kotido districts were included in the survey and malaria data for the period July-September 2024 assessed. Accuracy of routine malaria data was defined as the deviation between the number of confirmed malaria cases reported monthly into the national health information management system, and number of confirmed malaria cases recounted at the health facility using the primary data source. This deviation was then reported as a percentage by dividing by the number of confirmed malaria cases reported and multiplied by 100. Accuracy was compared by level of health facility and by facilities that reported having a training and orientation plan for new staff in data collection and reporting, and according to number of consultations per health facility. Overall, accuracy of reporting varied with deviations ranging from 0.05-45%. Results showed that accuracy was higher among level II health facilities (deviation=5%) compared to level III facilities (deviation=9%), however the difference was not statistically significant. Accuracy was significantly higher among health facilities that reported availability of a training and orientation plan for new staff in data collection and reporting (deviation=4%), compared to those who did not have this plan (deviation=11%) (p=0.02). Linear regression showed a significant positive relationship between patient load and deviations implying that the higher the patient load the lower the accuracy of data reported. These results suggest the need to have better tools for compiling and reporting data at health facilities with higher patient loads.</w:t>
      </w:r>
    </w:p>
    <w:p w14:paraId="5E880E6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25-A-2790-ASTMH</w:t>
      </w:r>
    </w:p>
    <w:p w14:paraId="249C6AB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Treatment, Drug Delivery, Drug Repurposing and Drug Discovery (Including Leishmania and Trypanosomes)</w:t>
      </w:r>
    </w:p>
    <w:p w14:paraId="1FB5DEC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Strengthening community engagement in the delivery of fexinidazole, a new oral drug against Human African Trypanosomaisis (HAT) in the Democratic Republic of Congo</w:t>
      </w:r>
    </w:p>
    <w:p w14:paraId="1F2FF69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World Health Organization aims to eliminate Human African trypanosomiasis (HAT) as a public health problem, and has the goal of interrupting HAT transmission by 2030. Historically, treatment options for HAT were complex, requiring hospitalization and specialized nursing care. However, in 2019, a new oral treatment, fexinidazole, became available. Despite its advantages, adherence remains a challenge, as it must be taken with food for ten days. The aim of this project was to leverage community engagement in efforts to address HAT through access to fexinidazole treatment in the DRC. HAT educational materials, which were over a decade old, were updated before community engagement activities began. Workshops to update HAT educational materials, training courses and a sensitization campaign were delivered from 2019 to 2024. Two qualitative studies in 13 health zones/districts were conducted - one at the beginning of the project and the other at the end. These qualitative studies investigated communities’ perceptions in endemic areas and resulted in recommendations which allowed the National Sleeping Sickness Control Program (NSSCP) to update educational materials on </w:t>
      </w:r>
      <w:r w:rsidRPr="00AF28B8">
        <w:rPr>
          <w:rFonts w:ascii="Calibri" w:hAnsi="Calibri" w:cs="Calibri"/>
          <w:color w:val="000000"/>
          <w:sz w:val="22"/>
          <w:szCs w:val="22"/>
        </w:rPr>
        <w:lastRenderedPageBreak/>
        <w:t>HAT treatment, in particular, as well as on diagnosis and vector control. Since fexinidazole was introduced in the context of low disease prevalence in most endemic countries, the tools needed to be adapted to reflect the changing epidemiological situation. Educational materials in the form of posters and brochures were adapted and printed, and videos, radio spots and reports on the use of fexinidazole were produced. Advanced training for 735 health workers and community leaders was organized on the community aspects of HAT. 390 community interventions were carried out in 13 health zones and more than 5000 posters were distributed in endemic areas. By the end of the project, 1118 HAT patients had been treated with fexinidazole in DRC, representing 64% of all patients treated with fexinidazole in Africa. Community involvement may have played an important role in activities raising awareness about fexinidazole and thus is an important component in the elimination of this disease.</w:t>
      </w:r>
    </w:p>
    <w:p w14:paraId="0E13121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25-A-2791-ASTMH</w:t>
      </w:r>
    </w:p>
    <w:p w14:paraId="0CA8AD2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3E088E7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Enhanced stock and flow models for inferring net demography and subnational insecticide-treated net coverage with multiple net types</w:t>
      </w:r>
    </w:p>
    <w:p w14:paraId="694EFD8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Insecticide-treated nets (ITNs) are among the most impactful and cost-effective malaria interventions. As a result, mass and routine ITN distributions are ubiquitous in national malaria control strategies. Understanding and optimising the ongoing impact of these ITN distribution strategies requires detailed reconstruction of the lifecycle of ITNs, from their distribution to eventual discard. Compartmental stock and flow (SNF) models are the gold standard approach for tracking and understanding the dynamics of ITNs, reconciling "vertical" data on ITN distribution with "horizontal" observations of ITN ownership within communities to estimate ITN access. The estimates are modelled through time as a function of (i) distribution volumes and timings, and (ii) empirically derived ITN survival times. The resulting spatio-temporally resolved estimates of ITN coverage have been extensively utilised in both performance tracking applications, such as providing estimates of intervention coverage and impact, as well as having utility in planning and policy design of intervention campaigns, using historically inferred ITN survival times to simulate predictions of future net net coverage. Recently, the ITN market has undergone rapid innovation and diversification with multiple more efficacious new net types actively being deployed. This has resulted in an increasing deviation between the current epidemiological landscape, and the original single-net type approach of existing SNF models. Here, we present a new Multitype-ITN (MITN) model approach which simultaneously models coverage of multiple net types and resolves subnationally targeted ITN campaigns. Across malaria-endemic Africa, we estimate up to 30% of ITNs in use in 2023 were next-generation nets, representing an increase of from an adoption rate of 3% in 2019. This transition to next-generation nets is found to be particularly significant in countries such as Mozambique, Malawi, and Liberia. Furthermore, outputs of the MITN model are utilised to provide the first estimates of community net age demography.</w:t>
      </w:r>
    </w:p>
    <w:p w14:paraId="166196D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25-A-2792-ASTMH</w:t>
      </w:r>
    </w:p>
    <w:p w14:paraId="38E370D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86BF82B"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cross-sectional survey to assess the effect of rapid scale up of seasonal malaria chemoprevention on feasibility and acceptability among nomadic pastoralist population; The case of Karamoja, region in Uganda.</w:t>
      </w:r>
    </w:p>
    <w:p w14:paraId="311C2ED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Seasonal malaria chemoprevention (SMC) is now a routine malaria intervention in the nine districts of Karamoja subregion located in Northeastern, Uganda. The phased implementation of SMC in this area begun with two districts in 2021 and rapidly scaled up to nine districts in 2023. This study compared the feasibility and acceptability of SMC for the 2024 and 2021 rounds among beneficiaries Karamoja. A mixed-methods, cross-sectional study design comprising a household (HH) survey, focus group discussions (FGDs) and key informant interviews (KIIs) was used. Lot quality assurance sampling (LQAS) was used to select the number of villages and simple random sampling used to select eligible households and respondents for recruitment into the survey. FGD participants were purposively </w:t>
      </w:r>
      <w:r w:rsidRPr="00AF28B8">
        <w:rPr>
          <w:rFonts w:ascii="Calibri" w:hAnsi="Calibri" w:cs="Calibri"/>
          <w:color w:val="000000"/>
          <w:sz w:val="22"/>
          <w:szCs w:val="22"/>
        </w:rPr>
        <w:lastRenderedPageBreak/>
        <w:t>sampled, and 20 FGDs and 16 KIIs were conducted considering rural and urban locations, pastoralist and mining communities. KIIs targeted community leaders. Data collected through the SurveyCTO application was checked for consistency and cleaned and quantitative data analysed using STATA 18 while qualitative data was analysed using Atlas Ti 9th version. Overall, 2,644 households were surveyed in 2024 with a total of 5,250 children compared to 1,800 with total of 4,961 children in 2021, aged 3-59 months. In 2024, 97.3% (95% CI: 95.8, 98.7), of eligible children received Day 1 SPAQ as directly observed therapy (DOT) compared to 96.7 (95% CI: 95.6, 97.7) in 2021. Among children who received Day 1 SPAQ, 99.6%, (95%CI: 99.3, 99.9) and 99.6% (95% CI: 99.4, 99.7) in 2024 and 2021 respectively, received the full three-day course of SPAQ]. Full coverage, the proportion of eligible children who received the complete 3-day treatment course during all five SMC cycles, was 87.2% (CI: 85.2 - 89.1) in 2024 compared to 88.2% (CI: 86.5 - 89.9) in 2021. In terms of acceptability majority of caregivers continued to demonstrate high acceptance to SMC in 2024 as they did in 2021. The study demonstrated that the rapid scalability of SMC implementation in Karamoja never affected the intervention's feasibility and acceptability among the nomadic pastoralist communities.</w:t>
      </w:r>
    </w:p>
    <w:p w14:paraId="213E925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25-A-2793-ASTMH</w:t>
      </w:r>
    </w:p>
    <w:p w14:paraId="7880634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706D6E8F" w14:textId="2F214FB3"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Research Opportunities and Barriers for Medical Students in Sub-Saharan Africa: A Focus on Nigeria</w:t>
      </w:r>
    </w:p>
    <w:p w14:paraId="3137672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Research is essential in medical education, fostering evidence-based practice. While high-income countries have well-established research engagement among medical students, data is limited for sub-Saharan Africa. As the African country with the largest medical student population, Nigeria plays a crucial role in regional healthcare capacity. This study assessed research engagement among Nigerian medical students to inform curriculum development, capacity-building, and policy reforms. </w:t>
      </w:r>
      <w:r w:rsidRPr="00AF28B8">
        <w:rPr>
          <w:rFonts w:ascii="Calibri" w:hAnsi="Calibri" w:cs="Calibri"/>
          <w:b/>
          <w:bCs/>
          <w:color w:val="000000"/>
          <w:sz w:val="22"/>
          <w:szCs w:val="22"/>
        </w:rPr>
        <w:t>Methods</w:t>
      </w:r>
      <w:r w:rsidRPr="00AF28B8">
        <w:rPr>
          <w:rFonts w:ascii="Calibri" w:hAnsi="Calibri" w:cs="Calibri"/>
          <w:color w:val="000000"/>
          <w:sz w:val="22"/>
          <w:szCs w:val="22"/>
        </w:rPr>
        <w:t>: This mixed-methods descriptive, cross-sectional study used an online survey targeting recent graduates from 42 accredited Nigerian medical schools. A purposive sampling approach selected one federal, state, and private institution from each of Nigeria’s six geopolitical zones. Data were collected between February and June 2024 using a face-validated online questionnaire. Ethical approval was obtained from Jos University Teaching Hospital, and participants provided informed consent. </w:t>
      </w:r>
      <w:r w:rsidRPr="00AF28B8">
        <w:rPr>
          <w:rFonts w:ascii="Calibri" w:hAnsi="Calibri" w:cs="Calibri"/>
          <w:b/>
          <w:bCs/>
          <w:color w:val="000000"/>
          <w:sz w:val="22"/>
          <w:szCs w:val="22"/>
        </w:rPr>
        <w:t>Findings</w:t>
      </w:r>
      <w:r w:rsidRPr="00AF28B8">
        <w:rPr>
          <w:rFonts w:ascii="Calibri" w:hAnsi="Calibri" w:cs="Calibri"/>
          <w:color w:val="000000"/>
          <w:sz w:val="22"/>
          <w:szCs w:val="22"/>
        </w:rPr>
        <w:t>: Of the 429 respondents (270 men, 159 women) from 15 universities, 92% participated in some research activities during medical school. Most engaged in one to two group projects, with men performing more research than women (p=0.03). Few had presented at a conference (20%) or published their research (17%). Proficiency was highest in research methodologies (54%), while data analysis was the most challenging (42%). Men were more adept at data analysis. Mentorship supported participation (64%), whereas time constraint was the main barrier (74%). Graduates recommended integrating research training earlier, enhancing mentorship, providing grants, and increasing publication and conference opportunities. </w:t>
      </w:r>
      <w:r w:rsidRPr="00AF28B8">
        <w:rPr>
          <w:rFonts w:ascii="Calibri" w:hAnsi="Calibri" w:cs="Calibri"/>
          <w:b/>
          <w:bCs/>
          <w:color w:val="000000"/>
          <w:sz w:val="22"/>
          <w:szCs w:val="22"/>
        </w:rPr>
        <w:t>Conclusion</w:t>
      </w:r>
      <w:r w:rsidRPr="00AF28B8">
        <w:rPr>
          <w:rFonts w:ascii="Calibri" w:hAnsi="Calibri" w:cs="Calibri"/>
          <w:color w:val="000000"/>
          <w:sz w:val="22"/>
          <w:szCs w:val="22"/>
        </w:rPr>
        <w:t>: Despite high interest, barriers limit participation. Addressing the challenges requires structured research training, increased mentorship, financial support, and access to digital tools. Gender disparities need targeted interventions to ensure equitable participation. Strengthening research education in Nigerian medical education will enhance health research capacity in sub-Saharan Africa.</w:t>
      </w:r>
    </w:p>
    <w:p w14:paraId="357CF8B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25-A-2794-ASTMH</w:t>
      </w:r>
    </w:p>
    <w:p w14:paraId="165F65F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64D89A5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OSP and ipaB-specific immune responses to </w:t>
      </w:r>
      <w:r w:rsidRPr="00AF28B8">
        <w:rPr>
          <w:rFonts w:ascii="Calibri" w:hAnsi="Calibri" w:cs="Calibri"/>
          <w:i/>
          <w:iCs/>
          <w:color w:val="000000"/>
          <w:sz w:val="22"/>
          <w:szCs w:val="22"/>
        </w:rPr>
        <w:t>Shigella flexneri</w:t>
      </w:r>
      <w:r w:rsidRPr="00AF28B8">
        <w:rPr>
          <w:rFonts w:ascii="Calibri" w:hAnsi="Calibri" w:cs="Calibri"/>
          <w:color w:val="000000"/>
          <w:sz w:val="22"/>
          <w:szCs w:val="22"/>
        </w:rPr>
        <w:t> 2a patients in Bangladesh</w:t>
      </w:r>
    </w:p>
    <w:p w14:paraId="64A6BA8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Individuals infected with </w:t>
      </w:r>
      <w:r w:rsidRPr="00AF28B8">
        <w:rPr>
          <w:rFonts w:ascii="Calibri" w:hAnsi="Calibri" w:cs="Calibri"/>
          <w:i/>
          <w:iCs/>
          <w:color w:val="000000"/>
          <w:sz w:val="22"/>
          <w:szCs w:val="22"/>
        </w:rPr>
        <w:t>Shigella flexneri</w:t>
      </w:r>
      <w:r w:rsidRPr="00AF28B8">
        <w:rPr>
          <w:rFonts w:ascii="Calibri" w:hAnsi="Calibri" w:cs="Calibri"/>
          <w:color w:val="000000"/>
          <w:sz w:val="22"/>
          <w:szCs w:val="22"/>
        </w:rPr>
        <w:t xml:space="preserve"> 2a in Dhaka, Bangladesh develop significant IgA and IgG OSP-specific and LPS-specific responses in plasma that peak on day 7 after presentation. Young children (2-5 years of age) present with significantly lower baseline OSP- and LPS-specific antibody levels than older individuals (&gt;5 years of age) in this setting. Both IgA and IgG responses remain elevated for a longer period in older individuals, possibly reflecting previous exposures. Older individuals significantly increase their IpaB-specific IgG responses 30 days following presentation, but in general IgA and IgG responses </w:t>
      </w:r>
      <w:r w:rsidRPr="00AF28B8">
        <w:rPr>
          <w:rFonts w:ascii="Calibri" w:hAnsi="Calibri" w:cs="Calibri"/>
          <w:color w:val="000000"/>
          <w:sz w:val="22"/>
          <w:szCs w:val="22"/>
        </w:rPr>
        <w:lastRenderedPageBreak/>
        <w:t>targeting IpaB remain level following infection in both young children and older individuals. Mucosal IgA responses as reflected by antibody-in-lymphocyte (ALS) supernatant fractions targeting OSP were at their highest level at the time of presenting for clinical care, and these values decreased significantly by day 30. The decline was more prominent in young children compared to that observed in older individuals. The duration of time between onset of diarrhea and seeking medical care correlated with the elevation of the baseline value. OSP-specific IgA memory B cell responses were observed on day 30 after infection. Serum bactericidal responses developed in both young children and older individuals, although the duration of responses was higher in older individuals. Bactericidal functional responses correlated with OSP- and LPS-specific responses, while we observed a negative correlation of IpaB-specific responses and bactericidal values at presentation in young children with shigellosis. Our findings indicate that even though young children start with lower baseline values, they are capable of mounting strong immune responses against the </w:t>
      </w:r>
      <w:r w:rsidRPr="00AF28B8">
        <w:rPr>
          <w:rFonts w:ascii="Calibri" w:hAnsi="Calibri" w:cs="Calibri"/>
          <w:i/>
          <w:iCs/>
          <w:color w:val="000000"/>
          <w:sz w:val="22"/>
          <w:szCs w:val="22"/>
        </w:rPr>
        <w:t>S. flexneri</w:t>
      </w:r>
      <w:r w:rsidRPr="00AF28B8">
        <w:rPr>
          <w:rFonts w:ascii="Calibri" w:hAnsi="Calibri" w:cs="Calibri"/>
          <w:color w:val="000000"/>
          <w:sz w:val="22"/>
          <w:szCs w:val="22"/>
        </w:rPr>
        <w:t> 2a polysaccharide and lipoprotein. The kinetics of immune responses targeting IpaB may indicate repeated exposure to this common </w:t>
      </w:r>
      <w:r w:rsidRPr="00AF28B8">
        <w:rPr>
          <w:rFonts w:ascii="Calibri" w:hAnsi="Calibri" w:cs="Calibri"/>
          <w:i/>
          <w:iCs/>
          <w:color w:val="000000"/>
          <w:sz w:val="22"/>
          <w:szCs w:val="22"/>
        </w:rPr>
        <w:t>Shigella</w:t>
      </w:r>
      <w:r w:rsidRPr="00AF28B8">
        <w:rPr>
          <w:rFonts w:ascii="Calibri" w:hAnsi="Calibri" w:cs="Calibri"/>
          <w:color w:val="000000"/>
          <w:sz w:val="22"/>
          <w:szCs w:val="22"/>
        </w:rPr>
        <w:t> antigen, and we observed that bactericidal functional antibody responses correlated with OSP- and LPS-specific antibody levels in this area with high </w:t>
      </w:r>
      <w:r w:rsidRPr="00AF28B8">
        <w:rPr>
          <w:rFonts w:ascii="Calibri" w:hAnsi="Calibri" w:cs="Calibri"/>
          <w:i/>
          <w:iCs/>
          <w:color w:val="000000"/>
          <w:sz w:val="22"/>
          <w:szCs w:val="22"/>
        </w:rPr>
        <w:t>Shigella</w:t>
      </w:r>
      <w:r w:rsidRPr="00AF28B8">
        <w:rPr>
          <w:rFonts w:ascii="Calibri" w:hAnsi="Calibri" w:cs="Calibri"/>
          <w:color w:val="000000"/>
          <w:sz w:val="22"/>
          <w:szCs w:val="22"/>
        </w:rPr>
        <w:t> prevalence.</w:t>
      </w:r>
    </w:p>
    <w:p w14:paraId="6B4D9CB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25-A-2795-ASTMH</w:t>
      </w:r>
    </w:p>
    <w:p w14:paraId="1B82C92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036B32D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Evaluation of a novel direct-on-blood miniPCR NALFIA test for the diagnosis of malaria in two endemic settings in sub-Sahara Africa</w:t>
      </w:r>
    </w:p>
    <w:p w14:paraId="4289FD8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RDTs are widely used for malaria diagnosis but are compromised by HRP-2 antigen persistence after treatment leading to false positive diagnoses, low specificity and stability of pDLH-based RDTs, and </w:t>
      </w:r>
      <w:r w:rsidRPr="00AF28B8">
        <w:rPr>
          <w:rFonts w:ascii="Calibri" w:hAnsi="Calibri" w:cs="Calibri"/>
          <w:i/>
          <w:iCs/>
          <w:color w:val="000000"/>
          <w:sz w:val="22"/>
          <w:szCs w:val="22"/>
        </w:rPr>
        <w:t>hrp2</w:t>
      </w:r>
      <w:r w:rsidRPr="00AF28B8">
        <w:rPr>
          <w:rFonts w:ascii="Calibri" w:hAnsi="Calibri" w:cs="Calibri"/>
          <w:color w:val="000000"/>
          <w:sz w:val="22"/>
          <w:szCs w:val="22"/>
        </w:rPr>
        <w:t> deletions yield false negative PfHRP2-based results. To address these limitations, we developed a simple molecular platform combining PCR and a nucleic acid lateral flow immunoassay read-out system to detect </w:t>
      </w:r>
      <w:r w:rsidRPr="00AF28B8">
        <w:rPr>
          <w:rFonts w:ascii="Calibri" w:hAnsi="Calibri" w:cs="Calibri"/>
          <w:i/>
          <w:iCs/>
          <w:color w:val="000000"/>
          <w:sz w:val="22"/>
          <w:szCs w:val="22"/>
        </w:rPr>
        <w:t>Plasmodium</w:t>
      </w:r>
      <w:r w:rsidRPr="00AF28B8">
        <w:rPr>
          <w:rFonts w:ascii="Calibri" w:hAnsi="Calibri" w:cs="Calibri"/>
          <w:color w:val="000000"/>
          <w:sz w:val="22"/>
          <w:szCs w:val="22"/>
        </w:rPr>
        <w:t> direct-on-blood without DNA extraction (dbPCR-NALFIA). A Phase 3 diagnostic trial was implemented in 5 African countries and here the currently available results from Kenya and Burkina Faso are presented. Using capillary blood of suspected malaria cases, malaria RDT and microscopy were performed and dried blood spots prepared for dbPCR-NALFIA testing with qPCR as the reference test. Cases were managed based on local guidelines. In total, 373 individuals were enrolled in Kenya and 438 in Burkina Faso. Malaria infection by positive HRP2-RDT was 69.0% in Burkina Faso and 21.2% in Kenya. Microscopy detected 61.6% infections in Burkina Faso and 21.2% in Kenya. It is was noted that in Kenya not all RDT positive cases were microscopy positive; 71 cases had </w:t>
      </w:r>
      <w:r w:rsidRPr="00AF28B8">
        <w:rPr>
          <w:rFonts w:ascii="Calibri" w:hAnsi="Calibri" w:cs="Calibri"/>
          <w:i/>
          <w:iCs/>
          <w:color w:val="000000"/>
          <w:sz w:val="22"/>
          <w:szCs w:val="22"/>
        </w:rPr>
        <w:t>P. falciparum </w:t>
      </w:r>
      <w:r w:rsidRPr="00AF28B8">
        <w:rPr>
          <w:rFonts w:ascii="Calibri" w:hAnsi="Calibri" w:cs="Calibri"/>
          <w:color w:val="000000"/>
          <w:sz w:val="22"/>
          <w:szCs w:val="22"/>
        </w:rPr>
        <w:t>and 2 cases had </w:t>
      </w:r>
      <w:r w:rsidRPr="00AF28B8">
        <w:rPr>
          <w:rFonts w:ascii="Calibri" w:hAnsi="Calibri" w:cs="Calibri"/>
          <w:i/>
          <w:iCs/>
          <w:color w:val="000000"/>
          <w:sz w:val="22"/>
          <w:szCs w:val="22"/>
        </w:rPr>
        <w:t>falciparum/malariae </w:t>
      </w:r>
      <w:r w:rsidRPr="00AF28B8">
        <w:rPr>
          <w:rFonts w:ascii="Calibri" w:hAnsi="Calibri" w:cs="Calibri"/>
          <w:color w:val="000000"/>
          <w:sz w:val="22"/>
          <w:szCs w:val="22"/>
        </w:rPr>
        <w:t>mixed infection, while 6 cases were negative. Furthermore, we had 6 cases in Kenya, which were negative for RDT but positive for microscopy (all </w:t>
      </w:r>
      <w:r w:rsidRPr="00AF28B8">
        <w:rPr>
          <w:rFonts w:ascii="Calibri" w:hAnsi="Calibri" w:cs="Calibri"/>
          <w:i/>
          <w:iCs/>
          <w:color w:val="000000"/>
          <w:sz w:val="22"/>
          <w:szCs w:val="22"/>
        </w:rPr>
        <w:t>P. malariae</w:t>
      </w:r>
      <w:r w:rsidRPr="00AF28B8">
        <w:rPr>
          <w:rFonts w:ascii="Calibri" w:hAnsi="Calibri" w:cs="Calibri"/>
          <w:color w:val="000000"/>
          <w:sz w:val="22"/>
          <w:szCs w:val="22"/>
        </w:rPr>
        <w:t> cases). dbPCR-NALFIA identified 63.9% (280 cases) </w:t>
      </w:r>
      <w:r w:rsidRPr="00AF28B8">
        <w:rPr>
          <w:rFonts w:ascii="Calibri" w:hAnsi="Calibri" w:cs="Calibri"/>
          <w:i/>
          <w:iCs/>
          <w:color w:val="000000"/>
          <w:sz w:val="22"/>
          <w:szCs w:val="22"/>
        </w:rPr>
        <w:t>P. falciparum </w:t>
      </w:r>
      <w:r w:rsidRPr="00AF28B8">
        <w:rPr>
          <w:rFonts w:ascii="Calibri" w:hAnsi="Calibri" w:cs="Calibri"/>
          <w:color w:val="000000"/>
          <w:sz w:val="22"/>
          <w:szCs w:val="22"/>
        </w:rPr>
        <w:t>infections and 20 additional cases of other </w:t>
      </w:r>
      <w:r w:rsidRPr="00AF28B8">
        <w:rPr>
          <w:rFonts w:ascii="Calibri" w:hAnsi="Calibri" w:cs="Calibri"/>
          <w:i/>
          <w:iCs/>
          <w:color w:val="000000"/>
          <w:sz w:val="22"/>
          <w:szCs w:val="22"/>
        </w:rPr>
        <w:t>Plasmodium </w:t>
      </w:r>
      <w:r w:rsidRPr="00AF28B8">
        <w:rPr>
          <w:rFonts w:ascii="Calibri" w:hAnsi="Calibri" w:cs="Calibri"/>
          <w:color w:val="000000"/>
          <w:sz w:val="22"/>
          <w:szCs w:val="22"/>
        </w:rPr>
        <w:t>infections in Burkina Faso, and 20.9% (78 cases) of </w:t>
      </w:r>
      <w:r w:rsidRPr="00AF28B8">
        <w:rPr>
          <w:rFonts w:ascii="Calibri" w:hAnsi="Calibri" w:cs="Calibri"/>
          <w:i/>
          <w:iCs/>
          <w:color w:val="000000"/>
          <w:sz w:val="22"/>
          <w:szCs w:val="22"/>
        </w:rPr>
        <w:t>falciparum </w:t>
      </w:r>
      <w:r w:rsidRPr="00AF28B8">
        <w:rPr>
          <w:rFonts w:ascii="Calibri" w:hAnsi="Calibri" w:cs="Calibri"/>
          <w:color w:val="000000"/>
          <w:sz w:val="22"/>
          <w:szCs w:val="22"/>
        </w:rPr>
        <w:t>and 4 additional cases of other </w:t>
      </w:r>
      <w:r w:rsidRPr="00AF28B8">
        <w:rPr>
          <w:rFonts w:ascii="Calibri" w:hAnsi="Calibri" w:cs="Calibri"/>
          <w:i/>
          <w:iCs/>
          <w:color w:val="000000"/>
          <w:sz w:val="22"/>
          <w:szCs w:val="22"/>
        </w:rPr>
        <w:t>Plasmodium </w:t>
      </w:r>
      <w:r w:rsidRPr="00AF28B8">
        <w:rPr>
          <w:rFonts w:ascii="Calibri" w:hAnsi="Calibri" w:cs="Calibri"/>
          <w:color w:val="000000"/>
          <w:sz w:val="22"/>
          <w:szCs w:val="22"/>
        </w:rPr>
        <w:t>infections in Kenya. A comparison between all tests for Kenya showed sensitivity and specificity of 84.6% and 95.6% for RDT, 88.4% and 96.6% for microscopy, and 89.7% and 95.3% for dbPCR-NALFIA respectively. For Burkina Faso, sensitivity and specificity were 91.6% and 79.4% for RDT, 90.2% and 97.4% for microscopy, and 96.5%% and 96.7% for dbPCR-NALFIA respectively. DbPCR-NALFIA performance meets WHO requirements for diagnostic tests. Its high sensitivity makes it an attractive alternative to HRP2-based RDT as it can also detect other </w:t>
      </w:r>
      <w:r w:rsidRPr="00AF28B8">
        <w:rPr>
          <w:rFonts w:ascii="Calibri" w:hAnsi="Calibri" w:cs="Calibri"/>
          <w:i/>
          <w:iCs/>
          <w:color w:val="000000"/>
          <w:sz w:val="22"/>
          <w:szCs w:val="22"/>
        </w:rPr>
        <w:t>Plasmodium </w:t>
      </w:r>
      <w:r w:rsidRPr="00AF28B8">
        <w:rPr>
          <w:rFonts w:ascii="Calibri" w:hAnsi="Calibri" w:cs="Calibri"/>
          <w:color w:val="000000"/>
          <w:sz w:val="22"/>
          <w:szCs w:val="22"/>
        </w:rPr>
        <w:t>species.</w:t>
      </w:r>
    </w:p>
    <w:p w14:paraId="42D0105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25-A-2796-ASTMH</w:t>
      </w:r>
    </w:p>
    <w:p w14:paraId="430EB8F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26DA7E6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Parasite reservoir in the pediatric population in the context of the implementation of seasonal malaria chemoprevention</w:t>
      </w:r>
    </w:p>
    <w:p w14:paraId="2730D2E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Seasonal malaria chemoprevention (SMC) is an effective control strategy. Initially, SMC targeted children under five years old and consisted of administering a single curative dose of sulfadoxine-pyrimethamine </w:t>
      </w:r>
      <w:r w:rsidRPr="00AF28B8">
        <w:rPr>
          <w:rFonts w:ascii="Calibri" w:hAnsi="Calibri" w:cs="Calibri"/>
          <w:color w:val="000000"/>
          <w:sz w:val="22"/>
          <w:szCs w:val="22"/>
        </w:rPr>
        <w:lastRenderedPageBreak/>
        <w:t>(SP) with a three-day course of amodiaquine (AQ). With the scaling up of SMC across all of Mali beginning in 2016, malaria epidemiology across pediatric age groups has likely been altered, with parasite reservoirs more likely found in older children. It is critical to reassess the current epidemiology of malaria across pediatric age groups in the SMC era.A cohort of 240 children in three age strata (3 months-5 years, 6-10 years and 11-18 years) was followed from July 2021-December 2022 in Bandiagara. We measured the prevalence of symptomatic and asymptomatic malaria parasite carriage by age-strata using microscopy and qPCR through active and passive surveillance from July 2021 to December 2023.Based on microscopic results, 6.3% of children up to 5 years old were parasite carriers. Among parasite carriers, 34.7% were asymptomatic and 65.3% symptomatic. In children aged 6-10 years old, 9.3% were parasitemic, including 40.5% that were asymptomatic and 59.5% symptomatic. In children above 10 years, 10.3% were parasites carriers, including 41.3% that were asymptomatic and 58.7% symptomatic. There was a significant difference in parasites carriage rates between age strata, 19.1% of parasites carriers were children up to 5 years, 33.3% and 47.6% were represented respectively by children aged 6-10 years and those above 10 years old, p&lt;10</w:t>
      </w:r>
      <w:r w:rsidRPr="00AF28B8">
        <w:rPr>
          <w:rFonts w:ascii="Calibri" w:hAnsi="Calibri" w:cs="Calibri"/>
          <w:color w:val="000000"/>
          <w:sz w:val="22"/>
          <w:szCs w:val="22"/>
          <w:vertAlign w:val="superscript"/>
        </w:rPr>
        <w:t>-3</w:t>
      </w:r>
      <w:r w:rsidRPr="00AF28B8">
        <w:rPr>
          <w:rFonts w:ascii="Calibri" w:hAnsi="Calibri" w:cs="Calibri"/>
          <w:color w:val="000000"/>
          <w:sz w:val="22"/>
          <w:szCs w:val="22"/>
        </w:rPr>
        <w:t>.Using qPCR results, the proportion of parasite carriers were 4.1%, 6.8% and 10.5% respectively in children up to 5 years, 6-10 years and above 10 years. There were more asymptomatic than symptomatic carriers irrespective of age group; submicroscopic parasites carriage rate was 5.2%.Older children were more likely to carry parasites than younger children, whatever the diagnostic method. SMC implementation has likely shifted malaria parasite reservoir from younger to older children. To achieve malaria elimination, control measures should target parasite reservoirs and include older children.</w:t>
      </w:r>
    </w:p>
    <w:p w14:paraId="171776F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25-A-2797-ASTMH</w:t>
      </w:r>
    </w:p>
    <w:p w14:paraId="7A3C423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74C5194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Improving Patient Care: The Impact of Differential and Systematic Diagnosis of Dengue and Chikungunya in Burkina Faso and Ivory Coast</w:t>
      </w:r>
    </w:p>
    <w:p w14:paraId="4868EA1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and chikungunya are endemic in West Africa and are significant public health issues. The aim of this study was to evaluate the impact of differential and systematic diagnosis of dengue and chikungunya on patient management and on antibiotic use in Burkina Faso and Ivory Coast. A multicenter prospective cohort study was conducted in patients with suspected dengue and/or chikungunya viremia. Diagnostic tests used were VIDAS® Diagnostic Tests for the detection of Dengue Virus NS1 Antigen, Anti-Dengue Virus IgM and IgG and VIDAS® anti-CHIKV IgM and IgG (technology developed by bioMérieux with participation of the US NIAID, Vaccine Research Center). They were provided to the intervention sites, whereas the control sites first followed standard of care before testing at the end of the study. The primary outcome was defined as antibiotic prescription or non-initiation/discontinuation, and the secondary endpoints included hospital resource use, patient satisfaction and health-related quality of life. Out of 775 enrolled patients, 767 had corresponding VIDAS® results, 570 of which had also a recorded antibiotic therapy. We observed an increase in antibiotic discontinuation (or non-initiation) rate at the intervention sites compared to control sites: Burkina Faso 78% compared with 60% and Ivory Coast 82% compared with 36 %. Hospitalization rates within 7 days following inclusion were also lower in intervention sites: Burkina Faso 41% as compared to 97% and Ivory Coast 24% as compared to 98%. Patient-reported antibiotic use within 7 days post-inclusion was also significantly lower in intervention sites. This study showed the need of implementation of systematic and differential diagnosis of dengue and chikungunya in West Africa. Results presented demonstrated a reduction of the rates of antibiotic misuse and hospital admissions. These findings, therefore, highlight the importance of enhanced diagnostic strategies for the improvement of patient outcomes and the fight against antibiotic resistance. Further studies are warranted to explore the economic benefits of these diagnostic strategies in West Africa.</w:t>
      </w:r>
    </w:p>
    <w:p w14:paraId="7BE9D1C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25-A-2798-ASTMH</w:t>
      </w:r>
    </w:p>
    <w:p w14:paraId="542142B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1B0A344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Perceived Barriers and Enablers for Sulphadoxine Pyrimethamine-Perennial Malaria Chemoprevention Implementation in Osun State: A qualitative analysis of the process evaluation study.</w:t>
      </w:r>
    </w:p>
    <w:p w14:paraId="7184B66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World Health Organization (WHO) recommends perennial malaria chemoprevention (PMC) in moderate-to-high perennial malaria transmission areas. As part of the Sulphadoxine Pyrimethamine (SP-PMC) effect project being implemented in Osun State, Nigeria, to gather evidence on the effectiveness and operational feasibility of PMC, a process evaluation was carried out to identify the barriers and enablers to effective SP-PMC implementation. In September 2024, a qualitative study was conducted in 4 randomly selected local government areas (LGAs) where PMC was implemented. One ward in each LGA was selected. Focus Group Discussions (FGDs) and Key Informant Interviews (KIIs) were conducted to explore information on barriers and enablers SP-PMC implementation. A total of 12 FGDs, 3 per ward were carried out with caregivers, fathers of children aged 2–23 months, and community leaders. In addition, 6 (KIIs) were conducted with health facility workers and state stakeholders. Data for FGDs and KIIs were analyzed thematically.The study identified several barriers affecting SP-PMC implementation, including staff shortages, excessive workloads, logistical challenges, rigid immunization schedules, competing responsibilities of caregivers, lack of awareness, and misconceptions about SP-PMC. Conversely, key enabling factors included spousal support, involvement of community leaders, ease of access to healthcare facilities, free drug and the positive attitudes of health workers toward caregivers.The study identified key barriers and enablers affecting implementation SP-PMC in Osun State. Addressing workforce shortage, logistics system for the caregivers, caregiver awareness gaps will be essential for improving coverage. Additional, flexible vaccination and community engagement including male involvement and frontline health worker support can enhance program acceptance and uptake. These findings offer critical guidance for policymakers, program implementers, and stakeholders seeking to expand PMC as a sustainable malaria prevention strategy in Nigeria and other malaria-endemic regions.</w:t>
      </w:r>
    </w:p>
    <w:p w14:paraId="0B55634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25-A-2799-ASTMH</w:t>
      </w:r>
    </w:p>
    <w:p w14:paraId="65CDA17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1CB8E8F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Enhancing Preventive Strategies for Human Immunodeficiency Virus and Tropical Co-Infections in Cameroon: A Clinical Perspective</w:t>
      </w:r>
    </w:p>
    <w:p w14:paraId="7CCE1A2D"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 including tuberculosis, malaria, and viral hepatitis, remain significant public health challenges in Cameroon. As a frontline medical doctor, I witness the burden these diseases impose on individuals and health systems. Despite the availability of treatment, prevention remains the most sustainable and cost-effective strategy to reduce morbidity and mortality.This presentation explores the integration of preventive measures within Cameroon’s healthcare system, emphasizing early screening, vaccination, and community-based interventions. Key strategies include expanding access to pre-exposure prophylaxis (PrEP), improving antenatal care to prevent mother-to-child transmission, and strengthening vector control programs to reduce malaria and other co-infections. Additionally, fostering health education initiatives and addressing socio-economic determinants are crucial to improving adherence and reducing stigma. By leveraging local health infrastructure and fostering multi-sectoral collaboration, we can enhance preventive efforts and reduce the disease burden. This session will highlight successful case studies and discuss the challenges faced in implementation, providing insights into a sustainable approach to combating HIV and tropical co-infections in Cameroon.</w:t>
      </w:r>
    </w:p>
    <w:p w14:paraId="09CF375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25-A-2800-ASTMH</w:t>
      </w:r>
    </w:p>
    <w:p w14:paraId="6D8BF74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2D9A286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Integration of Adolescent Health Services in populations at risk for HPV, HIV and FGS</w:t>
      </w:r>
    </w:p>
    <w:p w14:paraId="0E0BACB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Adolescent women in Africa have the highest risk for HIV, HPV and female genital schistomiasis (FGS), three preventable diseases. In South Africa, 3 million young women aged 15 and above are a neglected </w:t>
      </w:r>
      <w:r w:rsidRPr="00AF28B8">
        <w:rPr>
          <w:rFonts w:ascii="Calibri" w:hAnsi="Calibri" w:cs="Calibri"/>
          <w:color w:val="000000"/>
          <w:sz w:val="22"/>
          <w:szCs w:val="22"/>
        </w:rPr>
        <w:lastRenderedPageBreak/>
        <w:t>sub-population at risk, with little access to healthcare. In 2014, HPV vaccination was rolled out to girls aged 11-14 years. The effect of vaccination has not been yet clearly determined, while teenage pregnancy rates combined with HIV prevalence rates remain excessively high and anti-parasitic mass treatment remains limited. The present study investigated urinary HPV detection compared to conventional cervico-vaginal lavage (CVL) and </w:t>
      </w:r>
      <w:r w:rsidRPr="00AF28B8">
        <w:rPr>
          <w:rFonts w:ascii="Calibri" w:hAnsi="Calibri" w:cs="Calibri"/>
          <w:i/>
          <w:iCs/>
          <w:color w:val="000000"/>
          <w:sz w:val="22"/>
          <w:szCs w:val="22"/>
        </w:rPr>
        <w:t>Schistosoma</w:t>
      </w:r>
      <w:r w:rsidRPr="00AF28B8">
        <w:rPr>
          <w:rFonts w:ascii="Calibri" w:hAnsi="Calibri" w:cs="Calibri"/>
          <w:color w:val="000000"/>
          <w:sz w:val="22"/>
          <w:szCs w:val="22"/>
        </w:rPr>
        <w:t> urine and HIV results among a young population to determine the risk and association. The participants included 235 adolescent women aged 16 and older from high schools in rural KwaZulu-Natal. Sampling included questionnaire data and laboratory testing- consisting for HPV DNA, urinary schistosomiasis, cytology and HIV. Schistosomiasis was detected in 49 (20.9%) and HIV in 49 (20.4%) participants, respectively. Cytology atypia was found in173 (73.6%) and urinary and CVL HPV DNA was detected in 147(62.6%) and 177 (75.3%) participants respectively. Statistical associations were found between HIV positive status and urinary and CVL HPV PCR tests, and between the urinary and CVL HPV PCR tests. The sensitivity of urinary HPV was 75.7% and specificity was 77.6% relative to the CVL HPV DNA. There was no association between urinary schistosomiasis and HPV or any atypia. Accessing genital samples from young women is an ethical challenge, however urine analysis has potential as a reliable more easily accessible sample to determine the risk of HPV. In addition to strengthening advocacy for this triad of diseases, adolescent health services in South Africa need to be scaled up to include HPV vaccination and testing as well as anti-parasitic treatment to both boys and girls at school level. Support from the Department of Health to elevate youth reproductive health services and the Department of Education to elevate health literacy to include HIV, HPV and FGS is urgently needed.</w:t>
      </w:r>
    </w:p>
    <w:p w14:paraId="70EE9B8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25-A-2801-ASTMH</w:t>
      </w:r>
    </w:p>
    <w:p w14:paraId="0CD1BE8C"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6587CA5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Surveillance of </w:t>
      </w:r>
      <w:r w:rsidRPr="00AF28B8">
        <w:rPr>
          <w:rFonts w:ascii="Calibri" w:hAnsi="Calibri" w:cs="Calibri"/>
          <w:b/>
          <w:bCs/>
          <w:i/>
          <w:iCs/>
          <w:color w:val="000000"/>
          <w:sz w:val="22"/>
          <w:szCs w:val="22"/>
        </w:rPr>
        <w:t>Plasmodium</w:t>
      </w:r>
      <w:r w:rsidRPr="00AF28B8">
        <w:rPr>
          <w:rFonts w:ascii="Calibri" w:hAnsi="Calibri" w:cs="Calibri"/>
          <w:b/>
          <w:bCs/>
          <w:color w:val="000000"/>
          <w:sz w:val="22"/>
          <w:szCs w:val="22"/>
        </w:rPr>
        <w:t> </w:t>
      </w:r>
      <w:r w:rsidRPr="00AF28B8">
        <w:rPr>
          <w:rFonts w:ascii="Calibri" w:hAnsi="Calibri" w:cs="Calibri"/>
          <w:b/>
          <w:bCs/>
          <w:i/>
          <w:iCs/>
          <w:color w:val="000000"/>
          <w:sz w:val="22"/>
          <w:szCs w:val="22"/>
        </w:rPr>
        <w:t>falciparum</w:t>
      </w:r>
      <w:r w:rsidRPr="00AF28B8">
        <w:rPr>
          <w:rFonts w:ascii="Calibri" w:hAnsi="Calibri" w:cs="Calibri"/>
          <w:b/>
          <w:bCs/>
          <w:color w:val="000000"/>
          <w:sz w:val="22"/>
          <w:szCs w:val="22"/>
        </w:rPr>
        <w:t> molecular markers of antimalarial drug resistance in parasites from Ghana using Targeted Amplicon Deep Sequencing</w:t>
      </w:r>
    </w:p>
    <w:p w14:paraId="256B32E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Molecular surveillance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drug resistance markers is critical for malaria control and elimination strategies, particularly in disease elimination-focused settings and is highly recommended by the World Health Organisation (WHO). This study determined the prevalence of genetic polymorphisms in </w:t>
      </w:r>
      <w:r w:rsidRPr="00AF28B8">
        <w:rPr>
          <w:rFonts w:ascii="Calibri" w:hAnsi="Calibri" w:cs="Calibri"/>
          <w:i/>
          <w:iCs/>
          <w:color w:val="000000"/>
          <w:sz w:val="22"/>
          <w:szCs w:val="22"/>
        </w:rPr>
        <w:t>pfk13, pfdhfr, pfdhps, pfcrt</w:t>
      </w:r>
      <w:r w:rsidRPr="00AF28B8">
        <w:rPr>
          <w:rFonts w:ascii="Calibri" w:hAnsi="Calibri" w:cs="Calibri"/>
          <w:color w:val="000000"/>
          <w:sz w:val="22"/>
          <w:szCs w:val="22"/>
        </w:rPr>
        <w:t> and </w:t>
      </w:r>
      <w:r w:rsidRPr="00AF28B8">
        <w:rPr>
          <w:rFonts w:ascii="Calibri" w:hAnsi="Calibri" w:cs="Calibri"/>
          <w:i/>
          <w:iCs/>
          <w:color w:val="000000"/>
          <w:sz w:val="22"/>
          <w:szCs w:val="22"/>
        </w:rPr>
        <w:t>pfmdr1</w:t>
      </w:r>
      <w:r w:rsidRPr="00AF28B8">
        <w:rPr>
          <w:rFonts w:ascii="Calibri" w:hAnsi="Calibri" w:cs="Calibri"/>
          <w:color w:val="000000"/>
          <w:sz w:val="22"/>
          <w:szCs w:val="22"/>
        </w:rPr>
        <w:t>, markers of antimalarial drug resistance in parasites from Ghana. A total of 1102 archived samples collected between 2018 to 2023 from children aged ≤9 years with uncomplicated malaria were analyzed using the Malaria Resistance Surveillance-Targeted Amplicon Deep Sequencing (MaRS-TADS, CDC) pipeline. Out of the samples analyzed, 901 passed the stringent next generation sequencing (NGS) quality checks. Samples with mutations for each gene: 709 (78.6%) for </w:t>
      </w:r>
      <w:r w:rsidRPr="00AF28B8">
        <w:rPr>
          <w:rFonts w:ascii="Calibri" w:hAnsi="Calibri" w:cs="Calibri"/>
          <w:i/>
          <w:iCs/>
          <w:color w:val="000000"/>
          <w:sz w:val="22"/>
          <w:szCs w:val="22"/>
        </w:rPr>
        <w:t>pfk13</w:t>
      </w:r>
      <w:r w:rsidRPr="00AF28B8">
        <w:rPr>
          <w:rFonts w:ascii="Calibri" w:hAnsi="Calibri" w:cs="Calibri"/>
          <w:color w:val="000000"/>
          <w:sz w:val="22"/>
          <w:szCs w:val="22"/>
        </w:rPr>
        <w:t>, 712 (79%) for </w:t>
      </w:r>
      <w:r w:rsidRPr="00AF28B8">
        <w:rPr>
          <w:rFonts w:ascii="Calibri" w:hAnsi="Calibri" w:cs="Calibri"/>
          <w:i/>
          <w:iCs/>
          <w:color w:val="000000"/>
          <w:sz w:val="22"/>
          <w:szCs w:val="22"/>
        </w:rPr>
        <w:t>pfdhfr</w:t>
      </w:r>
      <w:r w:rsidRPr="00AF28B8">
        <w:rPr>
          <w:rFonts w:ascii="Calibri" w:hAnsi="Calibri" w:cs="Calibri"/>
          <w:color w:val="000000"/>
          <w:sz w:val="22"/>
          <w:szCs w:val="22"/>
        </w:rPr>
        <w:t>, 536 (60%) for </w:t>
      </w:r>
      <w:r w:rsidRPr="00AF28B8">
        <w:rPr>
          <w:rFonts w:ascii="Calibri" w:hAnsi="Calibri" w:cs="Calibri"/>
          <w:i/>
          <w:iCs/>
          <w:color w:val="000000"/>
          <w:sz w:val="22"/>
          <w:szCs w:val="22"/>
        </w:rPr>
        <w:t>pfdhps</w:t>
      </w:r>
      <w:r w:rsidRPr="00AF28B8">
        <w:rPr>
          <w:rFonts w:ascii="Calibri" w:hAnsi="Calibri" w:cs="Calibri"/>
          <w:color w:val="000000"/>
          <w:sz w:val="22"/>
          <w:szCs w:val="22"/>
        </w:rPr>
        <w:t>, 533 (59%) for </w:t>
      </w:r>
      <w:r w:rsidRPr="00AF28B8">
        <w:rPr>
          <w:rFonts w:ascii="Calibri" w:hAnsi="Calibri" w:cs="Calibri"/>
          <w:i/>
          <w:iCs/>
          <w:color w:val="000000"/>
          <w:sz w:val="22"/>
          <w:szCs w:val="22"/>
        </w:rPr>
        <w:t>pfcrt</w:t>
      </w:r>
      <w:r w:rsidRPr="00AF28B8">
        <w:rPr>
          <w:rFonts w:ascii="Calibri" w:hAnsi="Calibri" w:cs="Calibri"/>
          <w:color w:val="000000"/>
          <w:sz w:val="22"/>
          <w:szCs w:val="22"/>
        </w:rPr>
        <w:t> and 473 (52%) for </w:t>
      </w:r>
      <w:r w:rsidRPr="00AF28B8">
        <w:rPr>
          <w:rFonts w:ascii="Calibri" w:hAnsi="Calibri" w:cs="Calibri"/>
          <w:i/>
          <w:iCs/>
          <w:color w:val="000000"/>
          <w:sz w:val="22"/>
          <w:szCs w:val="22"/>
        </w:rPr>
        <w:t>pfmdr1</w:t>
      </w:r>
      <w:r w:rsidRPr="00AF28B8">
        <w:rPr>
          <w:rFonts w:ascii="Calibri" w:hAnsi="Calibri" w:cs="Calibri"/>
          <w:color w:val="000000"/>
          <w:sz w:val="22"/>
          <w:szCs w:val="22"/>
        </w:rPr>
        <w:t>. The prevalence of validated artemisinin-resistance </w:t>
      </w:r>
      <w:r w:rsidRPr="00AF28B8">
        <w:rPr>
          <w:rFonts w:ascii="Calibri" w:hAnsi="Calibri" w:cs="Calibri"/>
          <w:i/>
          <w:iCs/>
          <w:color w:val="000000"/>
          <w:sz w:val="22"/>
          <w:szCs w:val="22"/>
        </w:rPr>
        <w:t>pfk13</w:t>
      </w:r>
      <w:r w:rsidRPr="00AF28B8">
        <w:rPr>
          <w:rFonts w:ascii="Calibri" w:hAnsi="Calibri" w:cs="Calibri"/>
          <w:color w:val="000000"/>
          <w:sz w:val="22"/>
          <w:szCs w:val="22"/>
        </w:rPr>
        <w:t> markers were low: C469Y (0.2%, 2/901), M476I (0.1%; 1/901), P553L (0.2%, 2/901), R561H (0.2%, 2/901) and A675V (0.6%, 5/901). The prevalence of resistance markers were: pyrimethamine, </w:t>
      </w:r>
      <w:r w:rsidRPr="00AF28B8">
        <w:rPr>
          <w:rFonts w:ascii="Calibri" w:hAnsi="Calibri" w:cs="Calibri"/>
          <w:i/>
          <w:iCs/>
          <w:color w:val="000000"/>
          <w:sz w:val="22"/>
          <w:szCs w:val="22"/>
        </w:rPr>
        <w:t>pfdhfr</w:t>
      </w:r>
      <w:r w:rsidRPr="00AF28B8">
        <w:rPr>
          <w:rFonts w:ascii="Calibri" w:hAnsi="Calibri" w:cs="Calibri"/>
          <w:color w:val="000000"/>
          <w:sz w:val="22"/>
          <w:szCs w:val="22"/>
        </w:rPr>
        <w:t> mutations: N51I (56%, 504/901), C59R (59%, 532/901), and S108N (60%, 540/901); sulphadoxine, </w:t>
      </w:r>
      <w:r w:rsidRPr="00AF28B8">
        <w:rPr>
          <w:rFonts w:ascii="Calibri" w:hAnsi="Calibri" w:cs="Calibri"/>
          <w:i/>
          <w:iCs/>
          <w:color w:val="000000"/>
          <w:sz w:val="22"/>
          <w:szCs w:val="22"/>
        </w:rPr>
        <w:t>pfdhps</w:t>
      </w:r>
      <w:r w:rsidRPr="00AF28B8">
        <w:rPr>
          <w:rFonts w:ascii="Calibri" w:hAnsi="Calibri" w:cs="Calibri"/>
          <w:color w:val="000000"/>
          <w:sz w:val="22"/>
          <w:szCs w:val="22"/>
        </w:rPr>
        <w:t> mutations: A437G (41%, 366/901), K540E (1%, 10/901) and S436A (25%, 227/901). The prevalence of chloroquine resistance mutation, </w:t>
      </w:r>
      <w:r w:rsidRPr="00AF28B8">
        <w:rPr>
          <w:rFonts w:ascii="Calibri" w:hAnsi="Calibri" w:cs="Calibri"/>
          <w:i/>
          <w:iCs/>
          <w:color w:val="000000"/>
          <w:sz w:val="22"/>
          <w:szCs w:val="22"/>
        </w:rPr>
        <w:t>pfcrt</w:t>
      </w:r>
      <w:r w:rsidRPr="00AF28B8">
        <w:rPr>
          <w:rFonts w:ascii="Calibri" w:hAnsi="Calibri" w:cs="Calibri"/>
          <w:color w:val="000000"/>
          <w:sz w:val="22"/>
          <w:szCs w:val="22"/>
        </w:rPr>
        <w:t> K76T was quite low, 1% (9/901). For the </w:t>
      </w:r>
      <w:r w:rsidRPr="00AF28B8">
        <w:rPr>
          <w:rFonts w:ascii="Calibri" w:hAnsi="Calibri" w:cs="Calibri"/>
          <w:i/>
          <w:iCs/>
          <w:color w:val="000000"/>
          <w:sz w:val="22"/>
          <w:szCs w:val="22"/>
        </w:rPr>
        <w:t>pfmdr1</w:t>
      </w:r>
      <w:r w:rsidRPr="00AF28B8">
        <w:rPr>
          <w:rFonts w:ascii="Calibri" w:hAnsi="Calibri" w:cs="Calibri"/>
          <w:color w:val="000000"/>
          <w:sz w:val="22"/>
          <w:szCs w:val="22"/>
        </w:rPr>
        <w:t> gene, lumefantrine resistance mutation, Y184F, was 23% (208/901). The mutant haplotype prevalence for </w:t>
      </w:r>
      <w:r w:rsidRPr="00AF28B8">
        <w:rPr>
          <w:rFonts w:ascii="Calibri" w:hAnsi="Calibri" w:cs="Calibri"/>
          <w:i/>
          <w:iCs/>
          <w:color w:val="000000"/>
          <w:sz w:val="22"/>
          <w:szCs w:val="22"/>
        </w:rPr>
        <w:t>pfdhfr</w:t>
      </w:r>
      <w:r w:rsidRPr="00AF28B8">
        <w:rPr>
          <w:rFonts w:ascii="Calibri" w:hAnsi="Calibri" w:cs="Calibri"/>
          <w:color w:val="000000"/>
          <w:sz w:val="22"/>
          <w:szCs w:val="22"/>
        </w:rPr>
        <w:t>, IRN, was observed in 54% (487/901) of samples, while that of </w:t>
      </w:r>
      <w:r w:rsidRPr="00AF28B8">
        <w:rPr>
          <w:rFonts w:ascii="Calibri" w:hAnsi="Calibri" w:cs="Calibri"/>
          <w:i/>
          <w:iCs/>
          <w:color w:val="000000"/>
          <w:sz w:val="22"/>
          <w:szCs w:val="22"/>
        </w:rPr>
        <w:t>pfdhps</w:t>
      </w:r>
      <w:r w:rsidRPr="00AF28B8">
        <w:rPr>
          <w:rFonts w:ascii="Calibri" w:hAnsi="Calibri" w:cs="Calibri"/>
          <w:color w:val="000000"/>
          <w:sz w:val="22"/>
          <w:szCs w:val="22"/>
        </w:rPr>
        <w:t>, SGEAA, was 1% (9/901), for </w:t>
      </w:r>
      <w:r w:rsidRPr="00AF28B8">
        <w:rPr>
          <w:rFonts w:ascii="Calibri" w:hAnsi="Calibri" w:cs="Calibri"/>
          <w:i/>
          <w:iCs/>
          <w:color w:val="000000"/>
          <w:sz w:val="22"/>
          <w:szCs w:val="22"/>
        </w:rPr>
        <w:t>pfcrt</w:t>
      </w:r>
      <w:r w:rsidRPr="00AF28B8">
        <w:rPr>
          <w:rFonts w:ascii="Calibri" w:hAnsi="Calibri" w:cs="Calibri"/>
          <w:color w:val="000000"/>
          <w:sz w:val="22"/>
          <w:szCs w:val="22"/>
        </w:rPr>
        <w:t>, CVIET was 0.9% (8/901) and for </w:t>
      </w:r>
      <w:r w:rsidRPr="00AF28B8">
        <w:rPr>
          <w:rFonts w:ascii="Calibri" w:hAnsi="Calibri" w:cs="Calibri"/>
          <w:i/>
          <w:iCs/>
          <w:color w:val="000000"/>
          <w:sz w:val="22"/>
          <w:szCs w:val="22"/>
        </w:rPr>
        <w:t>pfmdr1</w:t>
      </w:r>
      <w:r w:rsidRPr="00AF28B8">
        <w:rPr>
          <w:rFonts w:ascii="Calibri" w:hAnsi="Calibri" w:cs="Calibri"/>
          <w:color w:val="000000"/>
          <w:sz w:val="22"/>
          <w:szCs w:val="22"/>
        </w:rPr>
        <w:t>, NFSND was 22% (196/901). The finding of low prevalence of </w:t>
      </w:r>
      <w:r w:rsidRPr="00AF28B8">
        <w:rPr>
          <w:rFonts w:ascii="Calibri" w:hAnsi="Calibri" w:cs="Calibri"/>
          <w:i/>
          <w:iCs/>
          <w:color w:val="000000"/>
          <w:sz w:val="22"/>
          <w:szCs w:val="22"/>
        </w:rPr>
        <w:t>pfk13 </w:t>
      </w:r>
      <w:r w:rsidRPr="00AF28B8">
        <w:rPr>
          <w:rFonts w:ascii="Calibri" w:hAnsi="Calibri" w:cs="Calibri"/>
          <w:color w:val="000000"/>
          <w:sz w:val="22"/>
          <w:szCs w:val="22"/>
        </w:rPr>
        <w:t>validated markers supports the current drug efficacy data for the artemisinin-based combination therapy regimens with efficacies ranging between 97%-99% in the country. This study highlights the effectiveness of MaRS-TADS method for monitoring drug resistance and underscores the need for continued surveillance to inform malaria elimination strategies in Ghana.</w:t>
      </w:r>
    </w:p>
    <w:p w14:paraId="1C8C3E4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25-A-2802-ASTMH</w:t>
      </w:r>
    </w:p>
    <w:p w14:paraId="4B3D0CE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Diagnosis and New Detection Tools (Including Leishmania and Trypanosomes)</w:t>
      </w:r>
    </w:p>
    <w:p w14:paraId="0024796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Improving the diagnosis of visceral leishmaniasis in Ethiopia</w:t>
      </w:r>
    </w:p>
    <w:p w14:paraId="1251E71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lack of accurate and feasible diagnostic tests poses a significant challenge to visceral leishmaniasis (VL) healthcare services in endemic areas, including Ethiopia - a country with a very high incidence of the disease. To date, various VL diagnostic tests have been or are being developed and their diagnostic performances needed to be assessed in our setting . In the present study, the diagnostic performances of 5 different diagnostic tests for VL, i.e. rk39 RDT, the direct agglutination test (DAT), microscopy, loop-mediated isothermal amplification (LAMP), and miniature direct-on-blood polymerase chain reaction-nucleic acid lateral flow immunoassay (mini-dbPCR-NALFIA) were assessed using quantitative polymerase chain reaction (qPCR) as the reference test in an endemic region, Mekelle, of Ethiopia. In this study, 235 suspected VL cases and 104 non-endemic healthy controls (NEHCs) were recruited. Among the suspected VL cases, 144 (61.28%) tested positive with qPCR. The sensitivities for rk39 RDT, DAT, microscopy, LAMP assay, and mini-dbPCR-NALFIA were 88.11%, 96.50%, 76.58%, 94.33%, and 95.80%, respectively. The specificities were 83.33%, 97.96%, 100%, 97.38%, and 98.92% for rk39 RDT, DAT, microscopy, LAMP assay, and mini-dbPCR-NALFIA, respectively. In conclusion, rk39 RDT and microscopy exhibited lower sensitivities, while DAT demonstrated excellent performance. LAMP and mini-dbPCR-NALFIA showed excellent performances with feasibility for implementation in remote endemic areas, although the latter requires further evaluation in such regions.</w:t>
      </w:r>
    </w:p>
    <w:p w14:paraId="6B1C320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25-A-2803-ASTMH</w:t>
      </w:r>
    </w:p>
    <w:p w14:paraId="33B9283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6148D65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systematic review of the clinical study landscape for eumycetoma, 1990-2024</w:t>
      </w:r>
    </w:p>
    <w:p w14:paraId="4254AED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Mycetoma, a neglected tropical disease (NTD), is a chronic and debilitating infection caused by implantation of pathogens, either bacteria (actinomycetoma) or fungi (eumycetoma), assigned high priority of WHO’s fungal priority pathogens list. Eumycetoma is common in Africa, mainly Sudan; other endemic areas include parts of the Americas and Asia. Current treatment options have poor safety profiles, low cure rates, and high recurrences, often leading to amputation.</w:t>
      </w:r>
      <w:r w:rsidRPr="00AF28B8">
        <w:rPr>
          <w:rFonts w:ascii="Calibri" w:hAnsi="Calibri" w:cs="Calibri"/>
          <w:color w:val="000000"/>
          <w:sz w:val="22"/>
          <w:szCs w:val="22"/>
        </w:rPr>
        <w:br/>
        <w:t>We conducted a systematic review of studies including ≥5 eumycetoma patients published from January 1990 to April 2024. Searches covered Medline, CENTRAL, CDSR, Embase, Web of Science, BIOSIS, Scopus, regional databases (AJOL, IndMED, GIM), Ovid Global Health, trial registries, and review repositories. We extracted data on study design, setting, diagnostics, treatment, and outcomes.</w:t>
      </w:r>
      <w:r w:rsidRPr="00AF28B8">
        <w:rPr>
          <w:rFonts w:ascii="Calibri" w:hAnsi="Calibri" w:cs="Calibri"/>
          <w:color w:val="000000"/>
          <w:sz w:val="22"/>
          <w:szCs w:val="22"/>
        </w:rPr>
        <w:br/>
        <w:t>Of 4051 articles screened, 104 were included, enrolling 13,785 participants from 26 countries, 81% of which recruited in Sudan. Most studies (77.9%) were from low/lower-middle-income countries. Only 4.8% (n=5) were interventional, with one RCT (n=104 patients); 95.2% were observational, mostly case series (n=10,565 patients). Diagnosis relied on clinical features, microscopy, or culture, supported by imaging. Of 5,026 patients with treatment data, 15.8% had medical therapy only, 29.1% surgery only, and 23.7% both. Of 3,220 patients receiving antifungals, 40.1% got ketoconazole or itraconazole, 22.6% itraconazole alone, 8.4% ketoconazole alone. 41.8% of treated patients were followed-up post-treatment; cure rates were 7.7 - 75%.</w:t>
      </w:r>
      <w:r w:rsidRPr="00AF28B8">
        <w:rPr>
          <w:rFonts w:ascii="Calibri" w:hAnsi="Calibri" w:cs="Calibri"/>
          <w:color w:val="000000"/>
          <w:sz w:val="22"/>
          <w:szCs w:val="22"/>
        </w:rPr>
        <w:br/>
        <w:t>Results highlight the limited number of studies including eumycetoma patients. Despite requiring different treatment strategies, differentiation between actino- and eumycetoma is often not done because of a lack of diagnostic options, or poorly reported. The overall evidence-base guiding therapeutic practices is very limited. Administered treatment options are heterogeneous, with variable follow-up time periods. Standardization of reporting would be useful to optimize the use of sparse data, and to support further research activities.</w:t>
      </w:r>
    </w:p>
    <w:p w14:paraId="45C3332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25-A-2804-ASTMH</w:t>
      </w:r>
    </w:p>
    <w:p w14:paraId="6C8E7E5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3190BBC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Beyond sensitivity and specificity: using machine learning (ML) to enhance cholera rapid diagnostic test (RDT) performance</w:t>
      </w:r>
    </w:p>
    <w:p w14:paraId="18806663"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Cholera rapid diagnostic tests (RDTs) are essential for surveillance, outbreak detection and response (1). In 2024, Gavi launched the largest cholera RDT deployment, yet recent meta-analyses report variable RDT performance in real-world settings (2). While some variability is likely due to differences in reference standards, emerging evidence suggests that reader error also shapes performance (3). RDT characteristics which may contribute to errors, such as faint lines, are difficult to quantitatively capture and rarely included in evaluations. Machine learning (ML) models implemented on smartphones could improve RDT interpretation. However, training these models requires large image libraries which are often unavailable. Here, we leverage an RDT evaluation conducted in Bangladesh where 10,000 standardized images of five cholera RDTs (Abbott, Cholkit, Artron, Crystal VCO1, O1/O139) were captured. We show how ML can extend our understanding of quality and performance of RDTs, and explore how classification models trained on synthetic and real-world data compare to visual interpretation. Models trained on only synthetic data achieved 98.4% accuracy for Abbott RDTs, meeting WHO TPP optimal interpretation targets, compared to 97.4% for hybrid training datasets and 75.7% for limited real-world training datasets (n=305 training images). These results were similar for the other RDTs. ML outputs were compared to lab staff readings, identifying misclassifications and supporting operational quality assurance. We also extract image-based performance metrics, including test line intensity, and compare to test outcome (eg. strong/weak positive). This study shows that imaging, synthetic data, and ML can enhance cholera RDT interpretation, supporting scalable development when training images are scarce. Integrating these tools into digital workflows could strengthen public health surveillance. 1) GTFCC, Public Health Surveillance for Cholera (2024). 2) </w:t>
      </w:r>
      <w:r w:rsidRPr="00AF28B8">
        <w:rPr>
          <w:rFonts w:ascii="Calibri" w:hAnsi="Calibri" w:cs="Calibri"/>
          <w:i/>
          <w:iCs/>
          <w:color w:val="000000"/>
          <w:sz w:val="22"/>
          <w:szCs w:val="22"/>
        </w:rPr>
        <w:t>Muzembo et al</w:t>
      </w:r>
      <w:r w:rsidRPr="00AF28B8">
        <w:rPr>
          <w:rFonts w:ascii="Calibri" w:hAnsi="Calibri" w:cs="Calibri"/>
          <w:color w:val="000000"/>
          <w:sz w:val="22"/>
          <w:szCs w:val="22"/>
        </w:rPr>
        <w:t>, Accuracy of cholera rapid diagnostic tests: a systematic review and meta-analysis</w:t>
      </w:r>
      <w:r w:rsidRPr="00AF28B8">
        <w:rPr>
          <w:rFonts w:ascii="Calibri" w:hAnsi="Calibri" w:cs="Calibri"/>
          <w:i/>
          <w:iCs/>
          <w:color w:val="000000"/>
          <w:sz w:val="22"/>
          <w:szCs w:val="22"/>
        </w:rPr>
        <w:t> </w:t>
      </w:r>
      <w:r w:rsidRPr="00AF28B8">
        <w:rPr>
          <w:rFonts w:ascii="Calibri" w:hAnsi="Calibri" w:cs="Calibri"/>
          <w:color w:val="000000"/>
          <w:sz w:val="22"/>
          <w:szCs w:val="22"/>
        </w:rPr>
        <w:t>(2022). 3) </w:t>
      </w:r>
      <w:r w:rsidRPr="00AF28B8">
        <w:rPr>
          <w:rFonts w:ascii="Calibri" w:hAnsi="Calibri" w:cs="Calibri"/>
          <w:i/>
          <w:iCs/>
          <w:color w:val="000000"/>
          <w:sz w:val="22"/>
          <w:szCs w:val="22"/>
        </w:rPr>
        <w:t>Turbé et al</w:t>
      </w:r>
      <w:r w:rsidRPr="00AF28B8">
        <w:rPr>
          <w:rFonts w:ascii="Calibri" w:hAnsi="Calibri" w:cs="Calibri"/>
          <w:color w:val="000000"/>
          <w:sz w:val="22"/>
          <w:szCs w:val="22"/>
        </w:rPr>
        <w:t>, Deep learning of HIV field-based rapid tests (2021).</w:t>
      </w:r>
    </w:p>
    <w:p w14:paraId="10E4941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25-A-2805-ASTMH</w:t>
      </w:r>
    </w:p>
    <w:p w14:paraId="2C11418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Treatment, Drug Delivery, Drug Repurposing and Drug Discovery (Including Leishmania and Trypanosomes)</w:t>
      </w:r>
    </w:p>
    <w:p w14:paraId="2D0C448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Diagnosis and treatment of </w:t>
      </w:r>
      <w:r w:rsidRPr="00AF28B8">
        <w:rPr>
          <w:rFonts w:ascii="Calibri" w:hAnsi="Calibri" w:cs="Calibri"/>
          <w:i/>
          <w:iCs/>
          <w:color w:val="000000"/>
          <w:sz w:val="22"/>
          <w:szCs w:val="22"/>
        </w:rPr>
        <w:t>T.b. gambiense</w:t>
      </w:r>
      <w:r w:rsidRPr="00AF28B8">
        <w:rPr>
          <w:rFonts w:ascii="Calibri" w:hAnsi="Calibri" w:cs="Calibri"/>
          <w:color w:val="000000"/>
          <w:sz w:val="22"/>
          <w:szCs w:val="22"/>
        </w:rPr>
        <w:t> HAT patients with fexinidazole and the active search for trypanolysis-positive cases in the DRC from 2020 to 2021</w:t>
      </w:r>
    </w:p>
    <w:p w14:paraId="4AAD5FA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Active screening for human African trypanosomiasis (HAT) requires extensive logistics and a large budget. It is limited by the accessibility of endemic villages and the availability of inhabitants when mobile teams make their annual visit. The fexinidazole access and trypanolysis test project aimed to strengthen screening and diagnosis of HAT cases, focusing on passive screening at health facilities. It was conducted in National Sleeping Sickness Program (PNLTHA) coordination areas Greater Bandundu and Greater Kasai, DRC. Mobile teams conducted active screening using the Card Agglutination Trypanosomiasis Test (CATT) while fixed care structures used the TDR-HAT test for passive screening. Confirmed HAT+ cases meeting WHO fexinidazole eligibility criteria were treated. All cases with positive serology but negative parasitology were sampled for blood on filter paper for trypanolysis. Between March and September 2020, PNLTHA, with support from Drugs for Neglected Diseases initiative, trained 480 healthcare staff (from 179 health facilities) in the use of fexinidazole. After training, 68 health facilities (37.9%) treated patients with fexinidazole, including 8 (11.8%) treating HAT for the first time. Between March 2020 and December 2021, 458 new cases were diagnosed in the DRC, of which 239 (52.2%) were treated with fexinidazole; of these 239, diagnostic lumbar puncture was avoided in 199 cases (83.3%), and 89 (37.2%) were treated at home. 197 new cases of HAT were diagnosed through passive screening, which is 43% of all cases. The follow-up rate for the 95 patients treated in 2020 (including 3 deaths [3.2%]) was 90/95 (94.7%) at 6 months and 81/91 (82.3%) at 12 months. Of the 690 trypanolysis samples, 34 were positive (4.9%), including 8 HAT+ cases confirmed after follow-up (23.5%). Trypanolysis confirmed some cases not detected by mAECT-bc. Fixed health facilities made a significant contribution to diagnosis and ensured the treatment of all patients. Given the declining prevalence of HAT and reduced donor funding, passive screening at health facilities may be the best way to achieve the WHO goal of eliminating sleeping sickness by 2030.</w:t>
      </w:r>
    </w:p>
    <w:p w14:paraId="783C8D5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25-A-2806-ASTMH</w:t>
      </w:r>
    </w:p>
    <w:p w14:paraId="460761D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Malaria – Surveillance and Data Utilization</w:t>
      </w:r>
    </w:p>
    <w:p w14:paraId="2440DB6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Malaria Outbreak Prediction at the Sub-District Level inZambia Using Remote Sensing Satellite Data</w:t>
      </w:r>
    </w:p>
    <w:p w14:paraId="672DF301"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areas of low seasonal malaria transmission, unanticipated outbreaks place considerable strain on health systems and limit access to lifesaving diagnostics and treatments. Accurately predicting when cases will surge is crucial for allocating resources, such as diagnostic tests and antimalarial drugs. We evaluated whether publicly available satellite data on rainfall and temperature could forecast outbreak risk at the sub-district level in Southern Province, Zambia. Facility-based malaria case counts (2010-2024) from 14 health centers in the Macha Mission Hospital catchment area were aggregated into seasonal (September-August) totals. We obtained lagged precipitation estimates from CHIRPS and land surface temperature data from MODIS. We applied a negative binomial regression framework to identify optimal time windows during which environmental conditions predicted seasonal malaria incidence. We then used sequentially expanded datasets to measure how quickly the model adapted to new outbreak information. Our analysis identified mean nighttime temperature in November-January and mean daily rainfall in December as the strongest predictors of seasonal malaria case totals. An interaction emerged such that hot, relatively dry spells within the early rainy season preceded outbreaks by up to four months. The model successfully captured the 2020 outbreak peak to within 4% of observed cases. Overestimation in some years underscored the influence of additional ecological and programmatic factors. These findings highlight a practical early-warning approach using satellite data for malaria surge preparation. By integrating these results with routine surveillance, health authorities could more effectively plan diagnostic and treatment stock, target control interventions, and reduce the impact of malaria outbreaks.</w:t>
      </w:r>
    </w:p>
    <w:p w14:paraId="68D05F7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25-A-2807-ASTMH</w:t>
      </w:r>
    </w:p>
    <w:p w14:paraId="1CEBBDA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Opportunistic and Anaerobic Protozoa - Epidemiology (Including Leishmania and Trypanosomes)</w:t>
      </w:r>
    </w:p>
    <w:p w14:paraId="1AD7DD4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Public Awareness and Practices on Cutaneous Leishmaniasis Among Inhabitants ofNkwanta North and South rural communities, Oti-Region, Ghana</w:t>
      </w:r>
    </w:p>
    <w:p w14:paraId="6650C14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Leishmaniasis encompasses a group of infections caused by an intracellular protozoan parasite belonging to the </w:t>
      </w:r>
      <w:r w:rsidRPr="00AF28B8">
        <w:rPr>
          <w:rFonts w:ascii="Calibri" w:hAnsi="Calibri" w:cs="Calibri"/>
          <w:i/>
          <w:iCs/>
          <w:color w:val="000000"/>
          <w:sz w:val="22"/>
          <w:szCs w:val="22"/>
        </w:rPr>
        <w:t>Leishmania </w:t>
      </w:r>
      <w:r w:rsidRPr="00AF28B8">
        <w:rPr>
          <w:rFonts w:ascii="Calibri" w:hAnsi="Calibri" w:cs="Calibri"/>
          <w:color w:val="000000"/>
          <w:sz w:val="22"/>
          <w:szCs w:val="22"/>
        </w:rPr>
        <w:t>genus, with over 20 known species. These parasites are transmitted to humans through the bites of infected female sandflies, primarily from the Phlebotomus and Lutzomyia genera. Cutaneous Leishmaniasis (CL) is a major form of Leishmaniasis that primarily affects the poorest regions and populations globally, being endemic in over 98 countries and putting more than 1 billion people living in these areas at risk. Understanding the knowledge, attitudes, and practices (KAP) of local populations toward leishmaniasis is essential for evaluating public awareness and perceptions of the disease. In Ghana, despite efforts in reporting of outbreaks and the general epidemiology of CL, particularly in the Volta and Oti regions, limited research exists on KAP. This study, therefore, sought to address the gap in knowledge towards leishmaniasis in the Oti region. A total of 410 participants were recruited between March and September 2024 through a community-based cross-sectional survey in rural residents in the Oti region of Ghana. A standardized questionnaire collected data on demographics, Leishmaniasis history, and disease-related knowledge. Most participants 296 (72%) were under 18 years old. And about 50% had no formal education. Only 28% of participants knew about the vector transmitting Leishmaniasis. Vector knowledge was similar between males (27%) and females (28%), with no significant difference. Although this study recorded an 11.5% prevalence of cutaneous leishmaniasis, intensified public health education, routine monitoring, and sustained awareness campaigns are recommended to effectively address this neglected tropical disease in the region.</w:t>
      </w:r>
    </w:p>
    <w:p w14:paraId="4314EFB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25-A-2808-ASTMH</w:t>
      </w:r>
    </w:p>
    <w:p w14:paraId="153CBDD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564B6E5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5-year effectiveness of an oral cholera vaccine in a cholera outbreak in rural Haiti</w:t>
      </w:r>
    </w:p>
    <w:p w14:paraId="26D5EBC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Cholera cases have surged globally since 2021, including in Haiti since 2022. The World Health Organization recommends the use of oral cholera vaccine (OCV) as part of cholera prevention and control, but vaccine supplies are very low and data on long-term effectiveness of the one vaccine available for public health use (Euvichol®) is limited. No effectiveness data exist on duration of protection of OCVs after 4 years and Gavi’s vaccine investment case assumes a need to re-vaccinate after 3 years. To evaluate the effectiveness of Euvichol® at 5 years, we conducted a case-control study in rural Haiti between Oct and Dec 2022, following an OCV campaign five years previously (Nov 2017).Cases were people with acute watery diarrhea attending a cholera treatment center, with a positive PCR test for </w:t>
      </w:r>
      <w:r w:rsidRPr="00AF28B8">
        <w:rPr>
          <w:rFonts w:ascii="Calibri" w:hAnsi="Calibri" w:cs="Calibri"/>
          <w:i/>
          <w:iCs/>
          <w:color w:val="000000"/>
          <w:sz w:val="22"/>
          <w:szCs w:val="22"/>
        </w:rPr>
        <w:t>V. cholerae</w:t>
      </w:r>
      <w:r w:rsidRPr="00AF28B8">
        <w:rPr>
          <w:rFonts w:ascii="Calibri" w:hAnsi="Calibri" w:cs="Calibri"/>
          <w:color w:val="000000"/>
          <w:sz w:val="22"/>
          <w:szCs w:val="22"/>
        </w:rPr>
        <w:t> (based on amplification of toxin-encoding </w:t>
      </w:r>
      <w:r w:rsidRPr="00AF28B8">
        <w:rPr>
          <w:rFonts w:ascii="Calibri" w:hAnsi="Calibri" w:cs="Calibri"/>
          <w:i/>
          <w:iCs/>
          <w:color w:val="000000"/>
          <w:sz w:val="22"/>
          <w:szCs w:val="22"/>
        </w:rPr>
        <w:t>ctxA</w:t>
      </w:r>
      <w:r w:rsidRPr="00AF28B8">
        <w:rPr>
          <w:rFonts w:ascii="Calibri" w:hAnsi="Calibri" w:cs="Calibri"/>
          <w:color w:val="000000"/>
          <w:sz w:val="22"/>
          <w:szCs w:val="22"/>
        </w:rPr>
        <w:t> gene and hemolysin hlyA gene), who had been eligible for OCV at the time of the 2017 campaign (i.e. aged &gt;=12 months and living in the area at the time). Controls were community members living in the same geographic area as cases but who did not have diarrhea during the 2022 outbreak. They were matched to cases by age and gender. Participants reported socio-demographics, risk factors, and self-reported cholera vaccination. Due to possibility of recall bias and lack of a reliable vaccine registry, vaccination status was recalled by every case and control using a structured memory aid. 93 cases and 135 controls were analyzed. OCV received in 2017 was associated with a 5-year adjusted vaccine effectiveness (VE) of 0.78 (CI 0.66-0.89, p&lt;0.0001). In 24 cases and 24 controls aged &lt;5 years during the OCV campaign, crude 5-year VE was 0.87 (CI 0.52-0.96, p=0.002). Study implementation was challenged by violent gang activity. Limitations include the use of self-reported vaccination status and lack of data on household members' vaccination status, which may have contributed to the protective effect observed in children. Euvichol® protected against cholera in Haiti 5 years after vaccination. This has important implications for public health planning especially the re-dosing schedule and cost-effectiveness analyses.</w:t>
      </w:r>
    </w:p>
    <w:p w14:paraId="77C2429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25-A-2809-ASTMH</w:t>
      </w:r>
    </w:p>
    <w:p w14:paraId="7282C31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Immunology, Pathology, Cellular and Molecular Biology</w:t>
      </w:r>
    </w:p>
    <w:p w14:paraId="1D83814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Schistosoma japonicum Protein 40 Attenuates Graft Rejection and Prolongs Graft Survival</w:t>
      </w:r>
    </w:p>
    <w:p w14:paraId="5904647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&lt;META NAME="author" CONTENT="</w:t>
      </w:r>
      <w:r w:rsidRPr="00AF28B8">
        <w:rPr>
          <w:rFonts w:ascii="Calibri" w:eastAsia="MS Mincho" w:hAnsi="Calibri" w:cs="Calibri"/>
          <w:color w:val="000000"/>
          <w:sz w:val="22"/>
          <w:szCs w:val="22"/>
        </w:rPr>
        <w:t>捷</w:t>
      </w:r>
      <w:r w:rsidRPr="00AF28B8">
        <w:rPr>
          <w:rFonts w:ascii="Calibri" w:hAnsi="Calibri" w:cs="Calibri"/>
          <w:color w:val="000000"/>
          <w:sz w:val="22"/>
          <w:szCs w:val="22"/>
        </w:rPr>
        <w:t xml:space="preserve"> </w:t>
      </w:r>
      <w:r w:rsidRPr="00AF28B8">
        <w:rPr>
          <w:rFonts w:ascii="Calibri" w:eastAsia="MS Mincho" w:hAnsi="Calibri" w:cs="Calibri"/>
          <w:color w:val="000000"/>
          <w:sz w:val="22"/>
          <w:szCs w:val="22"/>
        </w:rPr>
        <w:t>蒋</w:t>
      </w:r>
      <w:r w:rsidRPr="00AF28B8">
        <w:rPr>
          <w:rFonts w:ascii="Calibri" w:hAnsi="Calibri" w:cs="Calibri"/>
          <w:color w:val="000000"/>
          <w:sz w:val="22"/>
          <w:szCs w:val="22"/>
        </w:rPr>
        <w:t>"&gt;</w:t>
      </w:r>
      <w:r w:rsidRPr="00AF28B8">
        <w:rPr>
          <w:rFonts w:ascii="Calibri" w:hAnsi="Calibri" w:cs="Calibri"/>
          <w:b/>
          <w:bCs/>
          <w:color w:val="000000"/>
          <w:sz w:val="22"/>
          <w:szCs w:val="22"/>
        </w:rPr>
        <w:t>Schistosoma japonicum Protein 40 (Sjp40) Attenuates Graft Rejection and Prolongs Graft Survival</w:t>
      </w:r>
      <w:r w:rsidRPr="00AF28B8">
        <w:rPr>
          <w:rFonts w:ascii="Calibri" w:hAnsi="Calibri" w:cs="Calibri"/>
          <w:color w:val="000000"/>
          <w:sz w:val="22"/>
          <w:szCs w:val="22"/>
        </w:rPr>
        <w:br/>
        <w:t>Background: Molecules derived from Schistosoma japonicum exhibit strong immunoregulatory effects. Sjp40, a protein from S. japonicum, plays an important role in modulating host T-cell responses. Since T cells are central to graft rejection in organ transplantation, Sjp40 may have potential anti-rejection effects in transplant models. Objective: We investigated whether Sjp40 can mitigate graft rejection and extend graft survival in a murine skin transplantation model. Methods: We synthesized recombinant Sjp40 (rSjp40) and established a murine skin allograft model. Mice were randomly assigned to receive either daily intraperitoneal injections of 50ug rSjp40 or vehicle control. Survival curves were analyzed to assess the effects of rSjp40 treatment. Rejection severity was evaluated using a standardized scoring system, and histological analysis of graft tissue was performed using H&amp;E staining to assess inflammatory cell infiltration. Additionally, spleen-derived T cells were isolated and stimulated with rSjp40 in vitro, and flow cytometry was used to evaluate the impact of rSjp40 on CD8⁺ T-cell proliferation.Results: rSjp40 treatment significantly prolonged skin graft survival in mice (mean 11.67 ± 0.69 days vs. 7.67 ± 0.45 days in controls; p&lt;0.01). Sjp40-treated grafts had markedly lower rejection scores on day 7 compared to controls. Histological analysis showed reduced inflammatory cell infiltration in rSjp40-treated grafts, correlating with improved graft preservation. Additionally, flow cytometry demonstrated that rSjp40 exposure significantly inhibited CD8⁺ T-cell proliferation in vitro, indicating a direct immunosuppressive effect on cytotoxic T cells. Conclusion: Sjp40 effectively attenuates transplant rejection by modulating host immune responses, leading to prolonged graft survival. These findings suggest that Sjp40 could be a promising therapeutic strategy for preventing transplant rejection and inducing immune tolerance in transplant recipients.</w:t>
      </w:r>
    </w:p>
    <w:p w14:paraId="188F7FA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25-A-2810-ASTMH</w:t>
      </w:r>
    </w:p>
    <w:p w14:paraId="5421E42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333A202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Frequency of Immunogical Markers and Hepatitis B Immunization of Health Personnel and Health Science Students in Conakry, Guinea</w:t>
      </w:r>
    </w:p>
    <w:p w14:paraId="57F15C2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Frequency of Immunogical Markers and Hepatitis B Immunization of Health Personnel and Health Science Students in Conakry, Guinea</w:t>
      </w:r>
      <w:r w:rsidRPr="00AF28B8">
        <w:rPr>
          <w:rFonts w:ascii="Calibri" w:hAnsi="Calibri" w:cs="Calibri"/>
          <w:color w:val="000000"/>
          <w:sz w:val="22"/>
          <w:szCs w:val="22"/>
        </w:rPr>
        <w:br/>
      </w:r>
      <w:r w:rsidRPr="00AF28B8">
        <w:rPr>
          <w:rFonts w:ascii="Calibri" w:hAnsi="Calibri" w:cs="Calibri"/>
          <w:b/>
          <w:bCs/>
          <w:color w:val="000000"/>
          <w:sz w:val="22"/>
          <w:szCs w:val="22"/>
        </w:rPr>
        <w:t>Alimou Camara, Mamady Cissé, Timothé Guilavogui, Moustapha Grovogui, Karifa Kourouma, Amadou Sadio Bah et Sanaba Boumbaly</w:t>
      </w:r>
      <w:r w:rsidRPr="00AF28B8">
        <w:rPr>
          <w:rFonts w:ascii="Calibri" w:hAnsi="Calibri" w:cs="Calibri"/>
          <w:color w:val="000000"/>
          <w:sz w:val="22"/>
          <w:szCs w:val="22"/>
        </w:rPr>
        <w:br/>
      </w:r>
      <w:r w:rsidRPr="00AF28B8">
        <w:rPr>
          <w:rFonts w:ascii="Calibri" w:hAnsi="Calibri" w:cs="Calibri"/>
          <w:i/>
          <w:iCs/>
          <w:color w:val="000000"/>
          <w:sz w:val="22"/>
          <w:szCs w:val="22"/>
        </w:rPr>
        <w:t>1 Faculty of Health Sciences and Technology, Gamal Abdel Nasser University, Conakry, Guinea2Virology Research Center, Ministry of Higher Education, Scientific Research and Innovation, Guinea3 Direction Nationale de l'Hygiène Publique, Ministry of Health and Public Hygiene, Guinea4 Project Management Unit, Ministry of Health and Public Hygiene, Guinea5Institut de Recherche en Biologie Appliquée de Guinée, Ministry of Higher Education, Scientific Research and InnovationCorresponding author :</w:t>
      </w:r>
      <w:r w:rsidRPr="00AF28B8">
        <w:rPr>
          <w:rFonts w:ascii="Calibri" w:hAnsi="Calibri" w:cs="Calibri"/>
          <w:i/>
          <w:iCs/>
          <w:color w:val="000000"/>
          <w:sz w:val="22"/>
          <w:szCs w:val="22"/>
          <w:u w:val="single"/>
        </w:rPr>
        <w:t>alimou.4camara@gmail.com</w:t>
      </w:r>
      <w:r w:rsidRPr="00AF28B8">
        <w:rPr>
          <w:rFonts w:ascii="Calibri" w:hAnsi="Calibri" w:cs="Calibri"/>
          <w:color w:val="000000"/>
          <w:sz w:val="22"/>
          <w:szCs w:val="22"/>
        </w:rPr>
        <w:br/>
      </w:r>
      <w:r w:rsidRPr="00AF28B8">
        <w:rPr>
          <w:rFonts w:ascii="Calibri" w:hAnsi="Calibri" w:cs="Calibri"/>
          <w:b/>
          <w:bCs/>
          <w:color w:val="000000"/>
          <w:sz w:val="22"/>
          <w:szCs w:val="22"/>
        </w:rPr>
        <w:t>Abstract</w:t>
      </w:r>
      <w:r w:rsidRPr="00AF28B8">
        <w:rPr>
          <w:rFonts w:ascii="Calibri" w:hAnsi="Calibri" w:cs="Calibri"/>
          <w:color w:val="000000"/>
          <w:sz w:val="22"/>
          <w:szCs w:val="22"/>
        </w:rPr>
        <w:t>Introduction: Hepatitis B is an inflammation of the liver, the risk of which is very high among healthcare workers, especially those who are under-equipped and less experienced.Aim of the study: to determine the seroprevalence and risk factors for HBV transmission among health science students and health workers in Conakry. Methods: This was a prospective cohort involving staff from the three hospitals and medical centres in Conakry, as well as health science students from Conakry's public and private universities and health schools. We collected sociodemographic data and 2ml of blood from each participant. Statistical analyses were performed using SPSS software to determine a statistically significant relationship between the study variables.Results: A total of 3041 individuals participated in the study, of whom 257 were HBsAg positive (8.5%). The same proportion also tested positive for total anti-HBc and 2.3% were HBeAg positive. Conclusion: The prevalence of hepatitis B in this study is in line with that of the general population in Guinea, but the risk factors, such as work experience, are different. A study extended to other regions of the country would provide a better understanding of the extent of hepatitis B in Guinea.</w:t>
      </w:r>
      <w:r w:rsidRPr="00AF28B8">
        <w:rPr>
          <w:rFonts w:ascii="Calibri" w:hAnsi="Calibri" w:cs="Calibri"/>
          <w:b/>
          <w:bCs/>
          <w:color w:val="000000"/>
          <w:sz w:val="22"/>
          <w:szCs w:val="22"/>
        </w:rPr>
        <w:t>Keywords</w:t>
      </w:r>
      <w:r w:rsidRPr="00AF28B8">
        <w:rPr>
          <w:rFonts w:ascii="Calibri" w:hAnsi="Calibri" w:cs="Calibri"/>
          <w:color w:val="000000"/>
          <w:sz w:val="22"/>
          <w:szCs w:val="22"/>
        </w:rPr>
        <w:t>: Hepatitis B; Health science student; Health workers; Conakry; Guinea</w:t>
      </w:r>
    </w:p>
    <w:p w14:paraId="61691D08"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25-A-2811-ASTMH</w:t>
      </w:r>
    </w:p>
    <w:p w14:paraId="188BA61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406F35D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Pilot Project on Large-scale Mosquito Larviciding for Malaria Control in Tanzania: Association between Larviciding and Entomological Changes in Tanga Region.</w:t>
      </w:r>
    </w:p>
    <w:p w14:paraId="05724F0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2019, the Government of Tanzania endorsed countrywide scale-up of mosquito larviciding as a complementary malaria control strategy. A pilot project was conducted between 2022 and 2024 in Tanga Region, targeting three councils representing high, moderate and low malaria risk strata. We estimated the association between larviciding and changes in larval and adult mosquito abundance. Longitudinal monitoring of larval and adult mosquito populations was carried out from June 2022 to April 2024 in three intervention councils and three selected control councils, covering 120 villages in total. Negative binomial regression was used to estimate the incidence rate ratios (IRRs), comparing densities of larvae and adult mosquitoes between intervention and control areas. Larviciding was associated with significant reductions in late-stage </w:t>
      </w:r>
      <w:r w:rsidRPr="00AF28B8">
        <w:rPr>
          <w:rFonts w:ascii="Calibri" w:hAnsi="Calibri" w:cs="Calibri"/>
          <w:i/>
          <w:iCs/>
          <w:color w:val="000000"/>
          <w:sz w:val="22"/>
          <w:szCs w:val="22"/>
        </w:rPr>
        <w:t>Anopheles</w:t>
      </w:r>
      <w:r w:rsidRPr="00AF28B8">
        <w:rPr>
          <w:rFonts w:ascii="Calibri" w:hAnsi="Calibri" w:cs="Calibri"/>
          <w:color w:val="000000"/>
          <w:sz w:val="22"/>
          <w:szCs w:val="22"/>
        </w:rPr>
        <w:t> larvae across all the strata. The estimated IRR in the high-risk stratum was 0.20 (95% CI: 0.12- 0.35, in the moderate-risk stratum 0.51 (95% CI: 0.26-1.01), and in the low-risk stratum 0.40 (95% CI: 0.24; - 0.68). Larviciding was also significantly associated with reductions in adult mosquitoes in some strata, with varying effects across mosquito species. For </w:t>
      </w:r>
      <w:r w:rsidRPr="00AF28B8">
        <w:rPr>
          <w:rFonts w:ascii="Calibri" w:hAnsi="Calibri" w:cs="Calibri"/>
          <w:i/>
          <w:iCs/>
          <w:color w:val="000000"/>
          <w:sz w:val="22"/>
          <w:szCs w:val="22"/>
        </w:rPr>
        <w:t>Anopheles gambiae s.l.</w:t>
      </w:r>
      <w:r w:rsidRPr="00AF28B8">
        <w:rPr>
          <w:rFonts w:ascii="Calibri" w:hAnsi="Calibri" w:cs="Calibri"/>
          <w:color w:val="000000"/>
          <w:sz w:val="22"/>
          <w:szCs w:val="22"/>
        </w:rPr>
        <w:t>, the estimated IRR in the high-risk stratum was 0.94; 95% (CI: 0.37-2.43), in the moderate-risk stratum 0.09; 95% CI: 0.02-0.32), and the low-risk stratum 0.29; 95% CI: 0.10-0.78). No significant reductions were seen in </w:t>
      </w:r>
      <w:r w:rsidRPr="00AF28B8">
        <w:rPr>
          <w:rFonts w:ascii="Calibri" w:hAnsi="Calibri" w:cs="Calibri"/>
          <w:i/>
          <w:iCs/>
          <w:color w:val="000000"/>
          <w:sz w:val="22"/>
          <w:szCs w:val="22"/>
        </w:rPr>
        <w:t>Anopheles funestus</w:t>
      </w:r>
      <w:r w:rsidRPr="00AF28B8">
        <w:rPr>
          <w:rFonts w:ascii="Calibri" w:hAnsi="Calibri" w:cs="Calibri"/>
          <w:color w:val="000000"/>
          <w:sz w:val="22"/>
          <w:szCs w:val="22"/>
        </w:rPr>
        <w:t> for any stratum. Reductions in adult-stage larvae and mosquito densities were also observed for Culicine species. These findings highlight the potential of larviciding as an effective tool for reducing mosquitoes in defined settings in Tanzania. The entomological impact may be improved through improved implementation strategies, including continuous larviciding and enhanced identification of breeding habitats. These results should be viewed together with the epidemiological impact.</w:t>
      </w:r>
    </w:p>
    <w:p w14:paraId="0D4DAC89"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25-A-2812-ASTMH</w:t>
      </w:r>
    </w:p>
    <w:p w14:paraId="77E0CF1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0674D47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Introgression outcomes from </w:t>
      </w:r>
      <w:r w:rsidRPr="00AF28B8">
        <w:rPr>
          <w:rFonts w:ascii="Calibri" w:hAnsi="Calibri" w:cs="Calibri"/>
          <w:i/>
          <w:iCs/>
          <w:color w:val="000000"/>
          <w:sz w:val="22"/>
          <w:szCs w:val="22"/>
        </w:rPr>
        <w:t>Wolbachia</w:t>
      </w:r>
      <w:r w:rsidRPr="00AF28B8">
        <w:rPr>
          <w:rFonts w:ascii="Calibri" w:hAnsi="Calibri" w:cs="Calibri"/>
          <w:color w:val="000000"/>
          <w:sz w:val="22"/>
          <w:szCs w:val="22"/>
        </w:rPr>
        <w:t>-based interventions in Campo Grande, Brazil</w:t>
      </w:r>
    </w:p>
    <w:p w14:paraId="4B06799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Wolbachia</w:t>
      </w:r>
      <w:r w:rsidRPr="00AF28B8">
        <w:rPr>
          <w:rFonts w:ascii="Calibri" w:hAnsi="Calibri" w:cs="Calibri"/>
          <w:color w:val="000000"/>
          <w:sz w:val="22"/>
          <w:szCs w:val="22"/>
        </w:rPr>
        <w:t>-based interventions have shown promise in reducing dengue transmission, but their success relies on achieving high and stable introgression (% </w:t>
      </w:r>
      <w:r w:rsidRPr="00AF28B8">
        <w:rPr>
          <w:rFonts w:ascii="Calibri" w:hAnsi="Calibri" w:cs="Calibri"/>
          <w:i/>
          <w:iCs/>
          <w:color w:val="000000"/>
          <w:sz w:val="22"/>
          <w:szCs w:val="22"/>
        </w:rPr>
        <w:t>Wolbachia</w:t>
      </w:r>
      <w:r w:rsidRPr="00AF28B8">
        <w:rPr>
          <w:rFonts w:ascii="Calibri" w:hAnsi="Calibri" w:cs="Calibri"/>
          <w:color w:val="000000"/>
          <w:sz w:val="22"/>
          <w:szCs w:val="22"/>
        </w:rPr>
        <w:t>-infected mosquitoes), which has been challenging in some settings. This study evaluated </w:t>
      </w:r>
      <w:r w:rsidRPr="00AF28B8">
        <w:rPr>
          <w:rFonts w:ascii="Calibri" w:hAnsi="Calibri" w:cs="Calibri"/>
          <w:i/>
          <w:iCs/>
          <w:color w:val="000000"/>
          <w:sz w:val="22"/>
          <w:szCs w:val="22"/>
        </w:rPr>
        <w:t>w</w:t>
      </w:r>
      <w:r w:rsidRPr="00AF28B8">
        <w:rPr>
          <w:rFonts w:ascii="Calibri" w:hAnsi="Calibri" w:cs="Calibri"/>
          <w:color w:val="000000"/>
          <w:sz w:val="22"/>
          <w:szCs w:val="22"/>
        </w:rPr>
        <w:t>Mel introgression outcomes following large-scale releases of adult </w:t>
      </w:r>
      <w:r w:rsidRPr="00AF28B8">
        <w:rPr>
          <w:rFonts w:ascii="Calibri" w:hAnsi="Calibri" w:cs="Calibri"/>
          <w:i/>
          <w:iCs/>
          <w:color w:val="000000"/>
          <w:sz w:val="22"/>
          <w:szCs w:val="22"/>
        </w:rPr>
        <w:t>w</w:t>
      </w:r>
      <w:r w:rsidRPr="00AF28B8">
        <w:rPr>
          <w:rFonts w:ascii="Calibri" w:hAnsi="Calibri" w:cs="Calibri"/>
          <w:color w:val="000000"/>
          <w:sz w:val="22"/>
          <w:szCs w:val="22"/>
        </w:rPr>
        <w:t>Mel-infected </w:t>
      </w:r>
      <w:r w:rsidRPr="00AF28B8">
        <w:rPr>
          <w:rFonts w:ascii="Calibri" w:hAnsi="Calibri" w:cs="Calibri"/>
          <w:i/>
          <w:iCs/>
          <w:color w:val="000000"/>
          <w:sz w:val="22"/>
          <w:szCs w:val="22"/>
        </w:rPr>
        <w:t>Ae. aegypti</w:t>
      </w:r>
      <w:r w:rsidRPr="00AF28B8">
        <w:rPr>
          <w:rFonts w:ascii="Calibri" w:hAnsi="Calibri" w:cs="Calibri"/>
          <w:color w:val="000000"/>
          <w:sz w:val="22"/>
          <w:szCs w:val="22"/>
        </w:rPr>
        <w:t> in Campo Grande, Brazil between December 2020 and December 2023. To explore environmental and sociodemographic correlates of introgression, we integrated data on population density, temperature, elevation, land cover, and income and examined differences in introgression by month of first release. By the end of 2023, cumulative release densities averaged 70,196 (95% CI 67,059-73,333) mosquitoes per 0.25km² and 128 (95% CI 123-134) mosquitoes per inhabitant per 0.25km². In 2024, mean </w:t>
      </w:r>
      <w:r w:rsidRPr="00AF28B8">
        <w:rPr>
          <w:rFonts w:ascii="Calibri" w:hAnsi="Calibri" w:cs="Calibri"/>
          <w:i/>
          <w:iCs/>
          <w:color w:val="000000"/>
          <w:sz w:val="22"/>
          <w:szCs w:val="22"/>
        </w:rPr>
        <w:t>w</w:t>
      </w:r>
      <w:r w:rsidRPr="00AF28B8">
        <w:rPr>
          <w:rFonts w:ascii="Calibri" w:hAnsi="Calibri" w:cs="Calibri"/>
          <w:color w:val="000000"/>
          <w:sz w:val="22"/>
          <w:szCs w:val="22"/>
        </w:rPr>
        <w:t>Mel introgression across the city was 85.42% (95% CI: 83.38-87.46), with 84.7% of areas surpassing 60% introgression. No significant associations were found between introgression levels and income, elevation, green space, or impervious surfaces. We found that higher introgression was observed in more densely populated areas, which paradoxically received fewer released mosquito per unit area and per capita. We found that introgression tended to be lower when releases started in hotter months. Overall, mean introgression estimates exceeded 60% regardless of the timing of releases. These findings emphasize how large-scale </w:t>
      </w:r>
      <w:r w:rsidRPr="00AF28B8">
        <w:rPr>
          <w:rFonts w:ascii="Calibri" w:hAnsi="Calibri" w:cs="Calibri"/>
          <w:i/>
          <w:iCs/>
          <w:color w:val="000000"/>
          <w:sz w:val="22"/>
          <w:szCs w:val="22"/>
        </w:rPr>
        <w:t>w</w:t>
      </w:r>
      <w:r w:rsidRPr="00AF28B8">
        <w:rPr>
          <w:rFonts w:ascii="Calibri" w:hAnsi="Calibri" w:cs="Calibri"/>
          <w:color w:val="000000"/>
          <w:sz w:val="22"/>
          <w:szCs w:val="22"/>
        </w:rPr>
        <w:t>Mel releases can lead to widespread high levels of introgression even in heterogeneous urban environments, provided sufficient releases.</w:t>
      </w:r>
    </w:p>
    <w:p w14:paraId="5272A84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25-A-2813-ASTMH</w:t>
      </w:r>
    </w:p>
    <w:p w14:paraId="13AFC97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59D0FA9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Chemical Study and evaluation of the antiplasmodial activity of extracts, fractions and compounds of </w:t>
      </w:r>
      <w:r w:rsidRPr="00AF28B8">
        <w:rPr>
          <w:rFonts w:ascii="Calibri" w:hAnsi="Calibri" w:cs="Calibri"/>
          <w:i/>
          <w:iCs/>
          <w:color w:val="000000"/>
          <w:sz w:val="22"/>
          <w:szCs w:val="22"/>
        </w:rPr>
        <w:t>Combretum platypterum</w:t>
      </w:r>
      <w:r w:rsidRPr="00AF28B8">
        <w:rPr>
          <w:rFonts w:ascii="Calibri" w:hAnsi="Calibri" w:cs="Calibri"/>
          <w:color w:val="000000"/>
          <w:sz w:val="22"/>
          <w:szCs w:val="22"/>
        </w:rPr>
        <w:t> (Combretaceae)</w:t>
      </w:r>
    </w:p>
    <w:p w14:paraId="4129CE8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Plants belonging to </w:t>
      </w:r>
      <w:r w:rsidRPr="00AF28B8">
        <w:rPr>
          <w:rFonts w:ascii="Calibri" w:hAnsi="Calibri" w:cs="Calibri"/>
          <w:i/>
          <w:iCs/>
          <w:color w:val="000000"/>
          <w:sz w:val="22"/>
          <w:szCs w:val="22"/>
        </w:rPr>
        <w:t>Combretum</w:t>
      </w:r>
      <w:r w:rsidRPr="00AF28B8">
        <w:rPr>
          <w:rFonts w:ascii="Calibri" w:hAnsi="Calibri" w:cs="Calibri"/>
          <w:color w:val="000000"/>
          <w:sz w:val="22"/>
          <w:szCs w:val="22"/>
        </w:rPr>
        <w:t> genus are traditionally used to treat many diseases such as fever and malaria showing their antiparasitic potential. Malaria is a disease caused by a parasite belonging to </w:t>
      </w:r>
      <w:r w:rsidRPr="00AF28B8">
        <w:rPr>
          <w:rFonts w:ascii="Calibri" w:hAnsi="Calibri" w:cs="Calibri"/>
          <w:i/>
          <w:iCs/>
          <w:color w:val="000000"/>
          <w:sz w:val="22"/>
          <w:szCs w:val="22"/>
        </w:rPr>
        <w:t>Plasmodium</w:t>
      </w:r>
      <w:r w:rsidRPr="00AF28B8">
        <w:rPr>
          <w:rFonts w:ascii="Calibri" w:hAnsi="Calibri" w:cs="Calibri"/>
          <w:color w:val="000000"/>
          <w:sz w:val="22"/>
          <w:szCs w:val="22"/>
        </w:rPr>
        <w:t> genus. This disease is transmitted by the bites of infected mosquitos. To date, eight species are responsible for malaria in humans in which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is the most dangerous species. Each year, about 13.7 million people worldwide died of malaria and about 3 million of these deaths occurred in children under 5 years. Our research work is to investigate the chemical study and evaluate the antiplasmodial potential of extracts, fractions and compounds from </w:t>
      </w:r>
      <w:r w:rsidRPr="00AF28B8">
        <w:rPr>
          <w:rFonts w:ascii="Calibri" w:hAnsi="Calibri" w:cs="Calibri"/>
          <w:i/>
          <w:iCs/>
          <w:color w:val="000000"/>
          <w:sz w:val="22"/>
          <w:szCs w:val="22"/>
        </w:rPr>
        <w:t>Combretum platypterum</w:t>
      </w:r>
      <w:r w:rsidRPr="00AF28B8">
        <w:rPr>
          <w:rFonts w:ascii="Calibri" w:hAnsi="Calibri" w:cs="Calibri"/>
          <w:color w:val="000000"/>
          <w:sz w:val="22"/>
          <w:szCs w:val="22"/>
        </w:rPr>
        <w:t>. Different extracts of the roots, flowers and twigs of this plant was subjected to antiplasmodial screening against Chloroquine multiresistant (</w:t>
      </w:r>
      <w:r w:rsidRPr="00AF28B8">
        <w:rPr>
          <w:rFonts w:ascii="Calibri" w:hAnsi="Calibri" w:cs="Calibri"/>
          <w:b/>
          <w:bCs/>
          <w:color w:val="000000"/>
          <w:sz w:val="22"/>
          <w:szCs w:val="22"/>
        </w:rPr>
        <w:t>Dd2)</w:t>
      </w:r>
      <w:r w:rsidRPr="00AF28B8">
        <w:rPr>
          <w:rFonts w:ascii="Calibri" w:hAnsi="Calibri" w:cs="Calibri"/>
          <w:color w:val="000000"/>
          <w:sz w:val="22"/>
          <w:szCs w:val="22"/>
        </w:rPr>
        <w:t> and sensitive (</w:t>
      </w:r>
      <w:r w:rsidRPr="00AF28B8">
        <w:rPr>
          <w:rFonts w:ascii="Calibri" w:hAnsi="Calibri" w:cs="Calibri"/>
          <w:b/>
          <w:bCs/>
          <w:color w:val="000000"/>
          <w:sz w:val="22"/>
          <w:szCs w:val="22"/>
        </w:rPr>
        <w:t>3D7)</w:t>
      </w:r>
      <w:r w:rsidRPr="00AF28B8">
        <w:rPr>
          <w:rFonts w:ascii="Calibri" w:hAnsi="Calibri" w:cs="Calibri"/>
          <w:color w:val="000000"/>
          <w:sz w:val="22"/>
          <w:szCs w:val="22"/>
        </w:rPr>
        <w:t> strains of </w:t>
      </w:r>
      <w:r w:rsidRPr="00AF28B8">
        <w:rPr>
          <w:rFonts w:ascii="Calibri" w:hAnsi="Calibri" w:cs="Calibri"/>
          <w:i/>
          <w:iCs/>
          <w:color w:val="000000"/>
          <w:sz w:val="22"/>
          <w:szCs w:val="22"/>
        </w:rPr>
        <w:t>Plasmodium</w:t>
      </w:r>
      <w:r w:rsidRPr="00AF28B8">
        <w:rPr>
          <w:rFonts w:ascii="Calibri" w:hAnsi="Calibri" w:cs="Calibri"/>
          <w:color w:val="000000"/>
          <w:sz w:val="22"/>
          <w:szCs w:val="22"/>
        </w:rPr>
        <w:t> </w:t>
      </w:r>
      <w:r w:rsidRPr="00AF28B8">
        <w:rPr>
          <w:rFonts w:ascii="Calibri" w:hAnsi="Calibri" w:cs="Calibri"/>
          <w:i/>
          <w:iCs/>
          <w:color w:val="000000"/>
          <w:sz w:val="22"/>
          <w:szCs w:val="22"/>
        </w:rPr>
        <w:t>falciparum</w:t>
      </w:r>
      <w:r w:rsidRPr="00AF28B8">
        <w:rPr>
          <w:rFonts w:ascii="Calibri" w:hAnsi="Calibri" w:cs="Calibri"/>
          <w:color w:val="000000"/>
          <w:sz w:val="22"/>
          <w:szCs w:val="22"/>
        </w:rPr>
        <w:t> by using SyBr Green fluorescence-based assay. These extracts were fractionated by liquid-liquid partition and subjected to usual chromatographic separation techniques to afford pure compounds. The hydroethanolic extract of the roots have shown a good activity with IC of 40.42 </w:t>
      </w:r>
      <w:r w:rsidRPr="00AF28B8">
        <w:rPr>
          <w:rFonts w:ascii="Calibri" w:hAnsi="Calibri" w:cs="Calibri"/>
          <w:i/>
          <w:iCs/>
          <w:color w:val="000000"/>
          <w:sz w:val="22"/>
          <w:szCs w:val="22"/>
        </w:rPr>
        <w:t>µ</w:t>
      </w:r>
      <w:r w:rsidRPr="00AF28B8">
        <w:rPr>
          <w:rFonts w:ascii="Calibri" w:hAnsi="Calibri" w:cs="Calibri"/>
          <w:color w:val="000000"/>
          <w:sz w:val="22"/>
          <w:szCs w:val="22"/>
        </w:rPr>
        <w:t>g/mL on </w:t>
      </w:r>
      <w:r w:rsidRPr="00AF28B8">
        <w:rPr>
          <w:rFonts w:ascii="Calibri" w:hAnsi="Calibri" w:cs="Calibri"/>
          <w:i/>
          <w:iCs/>
          <w:color w:val="000000"/>
          <w:sz w:val="22"/>
          <w:szCs w:val="22"/>
        </w:rPr>
        <w:t>P. falciparum</w:t>
      </w:r>
      <w:r w:rsidRPr="00AF28B8">
        <w:rPr>
          <w:rFonts w:ascii="Calibri" w:hAnsi="Calibri" w:cs="Calibri"/>
          <w:color w:val="000000"/>
          <w:sz w:val="22"/>
          <w:szCs w:val="22"/>
        </w:rPr>
        <w:t> </w:t>
      </w:r>
      <w:r w:rsidRPr="00AF28B8">
        <w:rPr>
          <w:rFonts w:ascii="Calibri" w:hAnsi="Calibri" w:cs="Calibri"/>
          <w:b/>
          <w:bCs/>
          <w:color w:val="000000"/>
          <w:sz w:val="22"/>
          <w:szCs w:val="22"/>
        </w:rPr>
        <w:t>Dd2</w:t>
      </w:r>
      <w:r w:rsidRPr="00AF28B8">
        <w:rPr>
          <w:rFonts w:ascii="Calibri" w:hAnsi="Calibri" w:cs="Calibri"/>
          <w:color w:val="000000"/>
          <w:sz w:val="22"/>
          <w:szCs w:val="22"/>
        </w:rPr>
        <w:t> and the methanolic extracts of the roots, flowers and twigs showed good activities with IC ranging from 32.1 to 40.49 </w:t>
      </w:r>
      <w:r w:rsidRPr="00AF28B8">
        <w:rPr>
          <w:rFonts w:ascii="Calibri" w:hAnsi="Calibri" w:cs="Calibri"/>
          <w:i/>
          <w:iCs/>
          <w:color w:val="000000"/>
          <w:sz w:val="22"/>
          <w:szCs w:val="22"/>
        </w:rPr>
        <w:t>µ</w:t>
      </w:r>
      <w:r w:rsidRPr="00AF28B8">
        <w:rPr>
          <w:rFonts w:ascii="Calibri" w:hAnsi="Calibri" w:cs="Calibri"/>
          <w:color w:val="000000"/>
          <w:sz w:val="22"/>
          <w:szCs w:val="22"/>
        </w:rPr>
        <w:t>g/mL on </w:t>
      </w:r>
      <w:r w:rsidRPr="00AF28B8">
        <w:rPr>
          <w:rFonts w:ascii="Calibri" w:hAnsi="Calibri" w:cs="Calibri"/>
          <w:i/>
          <w:iCs/>
          <w:color w:val="000000"/>
          <w:sz w:val="22"/>
          <w:szCs w:val="22"/>
        </w:rPr>
        <w:t>P. falciparum</w:t>
      </w:r>
      <w:r w:rsidRPr="00AF28B8">
        <w:rPr>
          <w:rFonts w:ascii="Calibri" w:hAnsi="Calibri" w:cs="Calibri"/>
          <w:b/>
          <w:bCs/>
          <w:color w:val="000000"/>
          <w:sz w:val="22"/>
          <w:szCs w:val="22"/>
        </w:rPr>
        <w:t> Dd2</w:t>
      </w:r>
      <w:r w:rsidRPr="00AF28B8">
        <w:rPr>
          <w:rFonts w:ascii="Calibri" w:hAnsi="Calibri" w:cs="Calibri"/>
          <w:color w:val="000000"/>
          <w:sz w:val="22"/>
          <w:szCs w:val="22"/>
        </w:rPr>
        <w:t> and 42.72 to 47.7 </w:t>
      </w:r>
      <w:r w:rsidRPr="00AF28B8">
        <w:rPr>
          <w:rFonts w:ascii="Calibri" w:hAnsi="Calibri" w:cs="Calibri"/>
          <w:i/>
          <w:iCs/>
          <w:color w:val="000000"/>
          <w:sz w:val="22"/>
          <w:szCs w:val="22"/>
        </w:rPr>
        <w:t>µ</w:t>
      </w:r>
      <w:r w:rsidRPr="00AF28B8">
        <w:rPr>
          <w:rFonts w:ascii="Calibri" w:hAnsi="Calibri" w:cs="Calibri"/>
          <w:color w:val="000000"/>
          <w:sz w:val="22"/>
          <w:szCs w:val="22"/>
        </w:rPr>
        <w:t>g/mL on </w:t>
      </w:r>
      <w:r w:rsidRPr="00AF28B8">
        <w:rPr>
          <w:rFonts w:ascii="Calibri" w:hAnsi="Calibri" w:cs="Calibri"/>
          <w:i/>
          <w:iCs/>
          <w:color w:val="000000"/>
          <w:sz w:val="22"/>
          <w:szCs w:val="22"/>
        </w:rPr>
        <w:t>P. falciparum</w:t>
      </w:r>
      <w:r w:rsidRPr="00AF28B8">
        <w:rPr>
          <w:rFonts w:ascii="Calibri" w:hAnsi="Calibri" w:cs="Calibri"/>
          <w:b/>
          <w:bCs/>
          <w:color w:val="000000"/>
          <w:sz w:val="22"/>
          <w:szCs w:val="22"/>
        </w:rPr>
        <w:t> 3D7</w:t>
      </w:r>
      <w:r w:rsidRPr="00AF28B8">
        <w:rPr>
          <w:rFonts w:ascii="Calibri" w:hAnsi="Calibri" w:cs="Calibri"/>
          <w:color w:val="000000"/>
          <w:sz w:val="22"/>
          <w:szCs w:val="22"/>
        </w:rPr>
        <w:t>. In addition, the </w:t>
      </w:r>
      <w:r w:rsidRPr="00AF28B8">
        <w:rPr>
          <w:rFonts w:ascii="Calibri" w:hAnsi="Calibri" w:cs="Calibri"/>
          <w:i/>
          <w:iCs/>
          <w:color w:val="000000"/>
          <w:sz w:val="22"/>
          <w:szCs w:val="22"/>
        </w:rPr>
        <w:t>n</w:t>
      </w:r>
      <w:r w:rsidRPr="00AF28B8">
        <w:rPr>
          <w:rFonts w:ascii="Calibri" w:hAnsi="Calibri" w:cs="Calibri"/>
          <w:color w:val="000000"/>
          <w:sz w:val="22"/>
          <w:szCs w:val="22"/>
        </w:rPr>
        <w:t>-hexane fraction of the twigs of this plant have shown a very good activity on the resistant strains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with the IC of 4.67 </w:t>
      </w:r>
      <w:r w:rsidRPr="00AF28B8">
        <w:rPr>
          <w:rFonts w:ascii="Calibri" w:hAnsi="Calibri" w:cs="Calibri"/>
          <w:i/>
          <w:iCs/>
          <w:color w:val="000000"/>
          <w:sz w:val="22"/>
          <w:szCs w:val="22"/>
        </w:rPr>
        <w:t>µ</w:t>
      </w:r>
      <w:r w:rsidRPr="00AF28B8">
        <w:rPr>
          <w:rFonts w:ascii="Calibri" w:hAnsi="Calibri" w:cs="Calibri"/>
          <w:color w:val="000000"/>
          <w:sz w:val="22"/>
          <w:szCs w:val="22"/>
        </w:rPr>
        <w:t>g/mL. The chemical investigation of the flowers and twigs of Combretum platypterum led to the isolation of seven compounds in which the compound 3, 3', 4-tri-O-methylellagic acid have shown a good antiplasmodial activities of 1.46 </w:t>
      </w:r>
      <w:r w:rsidRPr="00AF28B8">
        <w:rPr>
          <w:rFonts w:ascii="Calibri" w:hAnsi="Calibri" w:cs="Calibri"/>
          <w:i/>
          <w:iCs/>
          <w:color w:val="000000"/>
          <w:sz w:val="22"/>
          <w:szCs w:val="22"/>
        </w:rPr>
        <w:t>µ</w:t>
      </w:r>
      <w:r w:rsidRPr="00AF28B8">
        <w:rPr>
          <w:rFonts w:ascii="Calibri" w:hAnsi="Calibri" w:cs="Calibri"/>
          <w:color w:val="000000"/>
          <w:sz w:val="22"/>
          <w:szCs w:val="22"/>
        </w:rPr>
        <w:t>g/mL on Dd2 and 1.37 </w:t>
      </w:r>
      <w:r w:rsidRPr="00AF28B8">
        <w:rPr>
          <w:rFonts w:ascii="Calibri" w:hAnsi="Calibri" w:cs="Calibri"/>
          <w:i/>
          <w:iCs/>
          <w:color w:val="000000"/>
          <w:sz w:val="22"/>
          <w:szCs w:val="22"/>
        </w:rPr>
        <w:t>µ</w:t>
      </w:r>
      <w:r w:rsidRPr="00AF28B8">
        <w:rPr>
          <w:rFonts w:ascii="Calibri" w:hAnsi="Calibri" w:cs="Calibri"/>
          <w:color w:val="000000"/>
          <w:sz w:val="22"/>
          <w:szCs w:val="22"/>
        </w:rPr>
        <w:t>g/mL on 3D7 strains respectively. The results of the antiplasmodial activities could justify the use of this plant in folk medicine the treatment of malaria.</w:t>
      </w:r>
    </w:p>
    <w:p w14:paraId="7BE4741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25-A-2814-ASTMH</w:t>
      </w:r>
    </w:p>
    <w:p w14:paraId="06479EC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04A235B2" w14:textId="2BFB5215"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Design, synthesis and characterization of chalcones analogues bearing furanyl and thiophenyl moiety and evaluation of their antibacterial activity</w:t>
      </w:r>
    </w:p>
    <w:p w14:paraId="5DF2B08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increasing recognition and importance of bacterial infection, the difficulties encountered in their treatment and the increase in resistance to antibacterial agents have stimulated the search for therapeutic alternatives. In this context, a series of twenty-six thiophenyl (R1-R24, R29, and R30) and four furanyl (R25-R28) chalcones has been prepared with the yields ranged from 25-97%, through the most versatile synthetic method developed by </w:t>
      </w:r>
      <w:r w:rsidRPr="00AF28B8">
        <w:rPr>
          <w:rFonts w:ascii="Calibri" w:hAnsi="Calibri" w:cs="Calibri"/>
          <w:b/>
          <w:bCs/>
          <w:color w:val="000000"/>
          <w:sz w:val="22"/>
          <w:szCs w:val="22"/>
        </w:rPr>
        <w:t>Claisen</w:t>
      </w:r>
      <w:r w:rsidRPr="00AF28B8">
        <w:rPr>
          <w:rFonts w:ascii="Calibri" w:hAnsi="Calibri" w:cs="Calibri"/>
          <w:color w:val="000000"/>
          <w:sz w:val="22"/>
          <w:szCs w:val="22"/>
        </w:rPr>
        <w:t> and </w:t>
      </w:r>
      <w:r w:rsidRPr="00AF28B8">
        <w:rPr>
          <w:rFonts w:ascii="Calibri" w:hAnsi="Calibri" w:cs="Calibri"/>
          <w:b/>
          <w:bCs/>
          <w:color w:val="000000"/>
          <w:sz w:val="22"/>
          <w:szCs w:val="22"/>
        </w:rPr>
        <w:t>Schmidt</w:t>
      </w:r>
      <w:r w:rsidRPr="00AF28B8">
        <w:rPr>
          <w:rFonts w:ascii="Calibri" w:hAnsi="Calibri" w:cs="Calibri"/>
          <w:color w:val="000000"/>
          <w:sz w:val="22"/>
          <w:szCs w:val="22"/>
        </w:rPr>
        <w:t> in protic polar solvent (EtOH or MeOH), at room temperature; under reflux heating or via microwave irradiation. Among the synthesized compounds, the bis-chalcones R4 and R5, were obtained from a double aldolisation reaction. The chemical structures of all synthesized compounds were confirmed using analytical data and spectroscopic techniques, including IR, mass spectra, and </w:t>
      </w:r>
      <w:r w:rsidRPr="00AF28B8">
        <w:rPr>
          <w:rFonts w:ascii="Calibri" w:hAnsi="Calibri" w:cs="Calibri"/>
          <w:color w:val="000000"/>
          <w:sz w:val="22"/>
          <w:szCs w:val="22"/>
          <w:vertAlign w:val="superscript"/>
        </w:rPr>
        <w:t>1</w:t>
      </w:r>
      <w:r w:rsidRPr="00AF28B8">
        <w:rPr>
          <w:rFonts w:ascii="Calibri" w:hAnsi="Calibri" w:cs="Calibri"/>
          <w:color w:val="000000"/>
          <w:sz w:val="22"/>
          <w:szCs w:val="22"/>
        </w:rPr>
        <w:t>H- and </w:t>
      </w:r>
      <w:r w:rsidRPr="00AF28B8">
        <w:rPr>
          <w:rFonts w:ascii="Calibri" w:hAnsi="Calibri" w:cs="Calibri"/>
          <w:color w:val="000000"/>
          <w:sz w:val="22"/>
          <w:szCs w:val="22"/>
          <w:vertAlign w:val="superscript"/>
        </w:rPr>
        <w:t>13</w:t>
      </w:r>
      <w:r w:rsidRPr="00AF28B8">
        <w:rPr>
          <w:rFonts w:ascii="Calibri" w:hAnsi="Calibri" w:cs="Calibri"/>
          <w:color w:val="000000"/>
          <w:sz w:val="22"/>
          <w:szCs w:val="22"/>
        </w:rPr>
        <w:t>C-NMR. Twelve of those compounds are known compounds (R1, R2, R10, R11, R12, R13, R15, R16, R21, R23, R27, and R28) and eighteen are new (R3, R4, R5, R6, R7, R8, R9, R14, R17, R18, R19, R20, R22, R24, R25, R26, R29, and R30). Twenty-six of these compounds (R3-R28) were assessed for their antibacterial activities against ten bacterial strains: </w:t>
      </w:r>
      <w:r w:rsidRPr="00AF28B8">
        <w:rPr>
          <w:rFonts w:ascii="Calibri" w:hAnsi="Calibri" w:cs="Calibri"/>
          <w:i/>
          <w:iCs/>
          <w:color w:val="000000"/>
          <w:sz w:val="22"/>
          <w:szCs w:val="22"/>
        </w:rPr>
        <w:t>Escherichia coli </w:t>
      </w:r>
      <w:r w:rsidRPr="00AF28B8">
        <w:rPr>
          <w:rFonts w:ascii="Calibri" w:hAnsi="Calibri" w:cs="Calibri"/>
          <w:color w:val="000000"/>
          <w:sz w:val="22"/>
          <w:szCs w:val="22"/>
        </w:rPr>
        <w:t>(AG102 and ATCC10536)</w:t>
      </w:r>
      <w:r w:rsidRPr="00AF28B8">
        <w:rPr>
          <w:rFonts w:ascii="Calibri" w:hAnsi="Calibri" w:cs="Calibri"/>
          <w:i/>
          <w:iCs/>
          <w:color w:val="000000"/>
          <w:sz w:val="22"/>
          <w:szCs w:val="22"/>
        </w:rPr>
        <w:t>, Klebsiella pneumoniae </w:t>
      </w:r>
      <w:r w:rsidRPr="00AF28B8">
        <w:rPr>
          <w:rFonts w:ascii="Calibri" w:hAnsi="Calibri" w:cs="Calibri"/>
          <w:color w:val="000000"/>
          <w:sz w:val="22"/>
          <w:szCs w:val="22"/>
        </w:rPr>
        <w:t>(KP63 and ATCC11296)</w:t>
      </w:r>
      <w:r w:rsidRPr="00AF28B8">
        <w:rPr>
          <w:rFonts w:ascii="Calibri" w:hAnsi="Calibri" w:cs="Calibri"/>
          <w:i/>
          <w:iCs/>
          <w:color w:val="000000"/>
          <w:sz w:val="22"/>
          <w:szCs w:val="22"/>
        </w:rPr>
        <w:t>, Providencia stuartii </w:t>
      </w:r>
      <w:r w:rsidRPr="00AF28B8">
        <w:rPr>
          <w:rFonts w:ascii="Calibri" w:hAnsi="Calibri" w:cs="Calibri"/>
          <w:color w:val="000000"/>
          <w:sz w:val="22"/>
          <w:szCs w:val="22"/>
        </w:rPr>
        <w:t>(NEA16 and PS2636)</w:t>
      </w:r>
      <w:r w:rsidRPr="00AF28B8">
        <w:rPr>
          <w:rFonts w:ascii="Calibri" w:hAnsi="Calibri" w:cs="Calibri"/>
          <w:i/>
          <w:iCs/>
          <w:color w:val="000000"/>
          <w:sz w:val="22"/>
          <w:szCs w:val="22"/>
        </w:rPr>
        <w:t>, Pseudomonas aeruginosa </w:t>
      </w:r>
      <w:r w:rsidRPr="00AF28B8">
        <w:rPr>
          <w:rFonts w:ascii="Calibri" w:hAnsi="Calibri" w:cs="Calibri"/>
          <w:color w:val="000000"/>
          <w:sz w:val="22"/>
          <w:szCs w:val="22"/>
        </w:rPr>
        <w:t>(PA01 and PA124)</w:t>
      </w:r>
      <w:r w:rsidRPr="00AF28B8">
        <w:rPr>
          <w:rFonts w:ascii="Calibri" w:hAnsi="Calibri" w:cs="Calibri"/>
          <w:i/>
          <w:iCs/>
          <w:color w:val="000000"/>
          <w:sz w:val="22"/>
          <w:szCs w:val="22"/>
        </w:rPr>
        <w:t>, </w:t>
      </w:r>
      <w:r w:rsidRPr="00AF28B8">
        <w:rPr>
          <w:rFonts w:ascii="Calibri" w:hAnsi="Calibri" w:cs="Calibri"/>
          <w:color w:val="000000"/>
          <w:sz w:val="22"/>
          <w:szCs w:val="22"/>
        </w:rPr>
        <w:t>and</w:t>
      </w:r>
      <w:r w:rsidRPr="00AF28B8">
        <w:rPr>
          <w:rFonts w:ascii="Calibri" w:hAnsi="Calibri" w:cs="Calibri"/>
          <w:i/>
          <w:iCs/>
          <w:color w:val="000000"/>
          <w:sz w:val="22"/>
          <w:szCs w:val="22"/>
        </w:rPr>
        <w:t> Staphylococcus aureus </w:t>
      </w:r>
      <w:r w:rsidRPr="00AF28B8">
        <w:rPr>
          <w:rFonts w:ascii="Calibri" w:hAnsi="Calibri" w:cs="Calibri"/>
          <w:color w:val="000000"/>
          <w:sz w:val="22"/>
          <w:szCs w:val="22"/>
        </w:rPr>
        <w:t>(MRSA4 and MRSA6). The results obtained showed that, compound R18 exhibited significant antibacterial activity, with minimal inhibitory concentrations (MICs) below 10 μg/mL for all tested strains. Also, compounds R17, R19, and R24 were significantly active on 20, 20, and 50% (5/10) of the bacteria tested, respectively.</w:t>
      </w:r>
    </w:p>
    <w:p w14:paraId="4269F93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25-A-2815-ASTMH</w:t>
      </w:r>
    </w:p>
    <w:p w14:paraId="768B71B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5E96BAD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An investigation of single dose treatment of uncomplicated malaria using a non-artemisinin triple combination of KLU156 (ganaplacide and lumefantrine) and KAE609 (cipargamin) versus 3 day standard of care with artemether-lumefantrine</w:t>
      </w:r>
    </w:p>
    <w:p w14:paraId="578BCFC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PLATINUM study (A multi-part, multi-center PLATform study to assess the efficacy, safety, tolerability and pharmacokinetics of anti-malarial agents administered as monotherapy and/or combination therapy IN patients with Uncomplicated Plasmodium falciparum Malaria) is designed to allow the investigation of different drugs as monotherapy and in combination for their potential to achieve single dose cure with the aim of improving compliance. The chance of achieving the goal of a single dose cure for uncomplicated malaria is higher with a triple combination considering the complimentary properties of the combination partners. A single dose cure must achieve fast parasite clearance, be safe and well tolerated, have a long-half-life, block transmission and have a high barrier to resistance. One such combination, investigated in this study, is KLU156 (400 mg ganaplacide and 480 mg lumefantrine SDF) and 75 mg KAE609 (cipargamin). 60 patients aged 12 years and older with uncomplicated malaria were enrolled in Kenya, Ivory Coast, and Gabon in this part of the study. These patients received either a single dose of the triple combination or standard, 3 day treatment with artemether-lumefantrine (Coartem®) following a 1:1 randomization. The primary endpoint was the Polymerase Chain Reaction (PCR)-corrected adequate clinical and parasitological response (ACPR) at Day 29. Key secondary endpoints included parasite clearance time), safety assessments (adverse events, vital signs, ECG findings, and laboratory evaluations including chemistry and hematology), and pharmacokinetic parameters such as Cmax, Tmax, AUC0-t, AUClast, AUCinf, T1/2, Cl/F, and V/F if possible. Patients remained in clinical units for three days to ensure medical supervision, continuous clinical monitoring, and frequent sample collection, and they were required to attend outpatient follow-up visits through day 43. Recruitment is complete, and data analysis is currently underway. Final results will be presented at the forthcoming conference. The outcomes from this part of the study should support further investigations in younger patients, down to the age of 2 years.</w:t>
      </w:r>
    </w:p>
    <w:p w14:paraId="29B0070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25-A-2816-ASTMH</w:t>
      </w:r>
    </w:p>
    <w:p w14:paraId="610A4E50"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636B4AC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Characterization of hemodynamic derangement in patients hospitalized with acute Lassa fever in an endemic area of Nigeria</w:t>
      </w:r>
    </w:p>
    <w:p w14:paraId="262157F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Lassa fever is a rodent-borne hemorrhagic fever responsible for 300,000 infections and 8,000 annual deaths in West Africa. Across the endemic area, mortality among those hospitalized with Lassa fever can exceed 60%. A major driver of mortality in Lassa fever is multiorgan failure from hemodynamic collapse, though it remains unknown whether this process is driven primarily by intravascular depletion from a combination of poor oral intake, gastrointestinal and insensible losses, and vascular leak, or by a distributive septic process. The mainstay of treatment is to prevent and treat organ damage with supportive care, which, along with the targeted use of antivirals, can reduce mortality to 20%. Still, mortality remains unacceptably high, suggesting that significant gaps in our knowledge of Lassa fever pathophysiology and management persist. In this study, we used a standardized point-of-care ultrasound examination to evaluate the hemodynamics and fluid status of individuals hospitalized with acute Lassa fever, aiming to understand whether an optimized approach to supportive clinical care for these individuals might offer opportunities to improve outcomes. Although enrollment and analysis are ongoing at the time of writing this abstract, there are several clear preliminary findings. First, hypotension was actually rare in this cohort. Second, reduced cardiac output associated with low central venous pressure was almost ubiquitous, suggesting that hypovolemia is a common feature of individuals hospitalized with Lassa fever. Lastly, several disease phenotypes were identified, including one composed of a constellation of low cardiac output, low central venous pressure, elevated systemic vascular resistance, and multiple sites of fluid third-spacing, including the the alveoli, pleural space, and pericardium.</w:t>
      </w:r>
    </w:p>
    <w:p w14:paraId="6839639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25-A-2817-ASTMH</w:t>
      </w:r>
    </w:p>
    <w:p w14:paraId="7CAF950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76F4948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Utility of Malaria Rapid Diagnostic Tests during a Malaria Outbreak in Ampandriankilandy, Northwestern Madagascar</w:t>
      </w:r>
    </w:p>
    <w:p w14:paraId="1FF272A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major public health concern in Madagascar, with outbreaks documented since 2012. The ‘test and treat’ strategy is considered the effective intervention for malaria control, provided that adequate human resources, rapid diagnostic test (mRDTs), and consistent access to antimalarial medications are available. The current decrease in external funding is adversely affecting malaria control efforts in Madagascar, necessitating a more efficient allocation of existing resources. In this context, we revisited data from May and June 2012, collected during the malaria epidemic in Ampandriankilandy, located in the northwestern part of Madagascar. During this period, mRDT was used to detect plasmodial infection among villagers presenting with symptoms commonly referred to locally as </w:t>
      </w:r>
      <w:r w:rsidRPr="00AF28B8">
        <w:rPr>
          <w:rFonts w:ascii="Calibri" w:hAnsi="Calibri" w:cs="Calibri"/>
          <w:i/>
          <w:iCs/>
          <w:color w:val="000000"/>
          <w:sz w:val="22"/>
          <w:szCs w:val="22"/>
        </w:rPr>
        <w:t>Tazo</w:t>
      </w:r>
      <w:r w:rsidRPr="00AF28B8">
        <w:rPr>
          <w:rFonts w:ascii="Calibri" w:hAnsi="Calibri" w:cs="Calibri"/>
          <w:color w:val="000000"/>
          <w:sz w:val="22"/>
          <w:szCs w:val="22"/>
        </w:rPr>
        <w:t>, encompassing fever, fatigue, headache, muscle pain and joint pain. Based on results from both mRDT and microscopy, the prevalence of malaria infection among 1,346 villagers was 39.9% (CI95%: 37.3 – 42.6%) and 36.8% (CI95%: 34.2 – 39.4%) respectively. Confirmed malaria cases were treated with sulfadoxine + pyrimethamine or a combination of dihydroartemisinin + piperaquine + trimethoprim. Among symptomatic patients presenting with fever, 74% had positive mRDT. Also 25% of non-febrile individuals (i.e those without fever on the day of consultation or in the preceding 24 hours) returned positive mRDT results. The overall mRDT positivity rate was 49.4% with a significantly higher rate observed in children under 15 years of age (</w:t>
      </w:r>
      <w:r w:rsidRPr="00AF28B8">
        <w:rPr>
          <w:rFonts w:ascii="Calibri" w:hAnsi="Calibri" w:cs="Calibri"/>
          <w:i/>
          <w:iCs/>
          <w:color w:val="000000"/>
          <w:sz w:val="22"/>
          <w:szCs w:val="22"/>
        </w:rPr>
        <w:t>p-</w:t>
      </w:r>
      <w:r w:rsidRPr="00AF28B8">
        <w:rPr>
          <w:rFonts w:ascii="Calibri" w:hAnsi="Calibri" w:cs="Calibri"/>
          <w:color w:val="000000"/>
          <w:sz w:val="22"/>
          <w:szCs w:val="22"/>
        </w:rPr>
        <w:t>value &lt;0.0001). Compared with microscopy, the false-positive rate of mRDT was 6.8% while the false-negative rate was 3.7%. Thus, the "test and treat" approach is not financially sustainable in Madagascar. However, mRDT is helpful for a household malaria survey based on LQAS where outbreaks occur. When malaria prevalence exceeds 25%, mass drug administration with antimalarial drugs should be implemented to curtail outbreaks. Despite funding constraints, ensuring widespread access to mRDTs and antimalarial drugs remains critical to preventing fatal malaria outbreaks, similar to those seen in the 1980s.</w:t>
      </w:r>
    </w:p>
    <w:p w14:paraId="3326584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25-A-2818-ASTMH</w:t>
      </w:r>
    </w:p>
    <w:p w14:paraId="61145D5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654D1D5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Spatiotemporal analysis of </w:t>
      </w:r>
      <w:r w:rsidRPr="00AF28B8">
        <w:rPr>
          <w:rFonts w:ascii="Calibri" w:hAnsi="Calibri" w:cs="Calibri"/>
          <w:b/>
          <w:bCs/>
          <w:i/>
          <w:iCs/>
          <w:color w:val="000000"/>
          <w:sz w:val="22"/>
          <w:szCs w:val="22"/>
        </w:rPr>
        <w:t>Anopheles gambiae</w:t>
      </w:r>
      <w:r w:rsidRPr="00AF28B8">
        <w:rPr>
          <w:rFonts w:ascii="Calibri" w:hAnsi="Calibri" w:cs="Calibri"/>
          <w:b/>
          <w:bCs/>
          <w:color w:val="000000"/>
          <w:sz w:val="22"/>
          <w:szCs w:val="22"/>
        </w:rPr>
        <w:t> s.l. larval sites and malaria transmission in Djilakh, Central Senegal</w:t>
      </w:r>
    </w:p>
    <w:p w14:paraId="5A6B1A1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progress made against malaria has resulted in a nationwide reduction of the disease burden in Senegal. The observed overall low transmission levels are, however, marked by an important spatial heterogeneity with hotspots subsisting in several parts of the country. Which, thus requires the determination of the local and regional factors of the observed disparities for tailored interventions to accelerate malaria elimination everywhere. This study aimed to demonstrate the role of larval breeding sites on malaria epidemiological trends in Djilakh, which is one of the malaria hotspots of the Mbour health district. This study was carried out between 2013 and 2017, during the rainy season (June-November) of each year and surveys per year. The malaria incidence consisted of cases confirmed by RDT and climate data, including the rainfall were retrieved from the Mbour weather station. To assess the impact of larval breeding sites on malaria transmission in Djilakh village, logistic regression under the Poisson models were run. The QGIS 2.2.0 free mapping software was used to generate maps. The results showed that mosquitoe breeding sites found within and in the vicinity of the study village consisted of natural temporary ponds, characterized by clay and clay-sandy soils. The analysis of meteorological and malaria morbidity indicated that malaria transmission is influenced by precipitation. The correlation between malaria morbidity and functioning breeding sites varied throughout the rainy season, depending on the size and stability of the existing breeding sites. The incidence of malaria cases was significantly higher (82.4%; 103/125; P&lt;0.011; OR=27.006) in hamlets closer to the breeding sites (less than 500m), declining gradually with distance with 17.6% (22/125) of the cases recorded in hamlets located between 500 and 1,000 m apart from the larval habitats and, no cases in the most remote hamlets (&gt; 1,000m). These findings represent a preliminary step towards a better understanding of how the environmental factors influence the persistence of malaria transmission in the studied hotspot villages in Senegal.</w:t>
      </w:r>
    </w:p>
    <w:p w14:paraId="59D5113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25-A-2819-ASTMH</w:t>
      </w:r>
    </w:p>
    <w:p w14:paraId="5E02468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Immunology, Pathology, Cellular and Molecular Biology</w:t>
      </w:r>
    </w:p>
    <w:p w14:paraId="18591AFD"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Schistosoma japonicum protein 40 Promotes Wound Healing in a Murine Model</w:t>
      </w:r>
    </w:p>
    <w:p w14:paraId="2D6D233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&lt;META NAME="author" CONTENT="</w:t>
      </w:r>
      <w:r w:rsidRPr="00AF28B8">
        <w:rPr>
          <w:rFonts w:ascii="Calibri" w:eastAsia="MS Mincho" w:hAnsi="Calibri" w:cs="Calibri"/>
          <w:color w:val="000000"/>
          <w:sz w:val="22"/>
          <w:szCs w:val="22"/>
        </w:rPr>
        <w:t>捷</w:t>
      </w:r>
      <w:r w:rsidRPr="00AF28B8">
        <w:rPr>
          <w:rFonts w:ascii="Calibri" w:hAnsi="Calibri" w:cs="Calibri"/>
          <w:color w:val="000000"/>
          <w:sz w:val="22"/>
          <w:szCs w:val="22"/>
        </w:rPr>
        <w:t xml:space="preserve"> </w:t>
      </w:r>
      <w:r w:rsidRPr="00AF28B8">
        <w:rPr>
          <w:rFonts w:ascii="Calibri" w:eastAsia="MS Mincho" w:hAnsi="Calibri" w:cs="Calibri"/>
          <w:color w:val="000000"/>
          <w:sz w:val="22"/>
          <w:szCs w:val="22"/>
        </w:rPr>
        <w:t>蒋</w:t>
      </w:r>
      <w:r w:rsidRPr="00AF28B8">
        <w:rPr>
          <w:rFonts w:ascii="Calibri" w:hAnsi="Calibri" w:cs="Calibri"/>
          <w:color w:val="000000"/>
          <w:sz w:val="22"/>
          <w:szCs w:val="22"/>
        </w:rPr>
        <w:t>"&gt;Schistosoma japonicum Protein 40 Promotes Wound Healing in a Murine Model</w:t>
      </w:r>
      <w:r w:rsidRPr="00AF28B8">
        <w:rPr>
          <w:rFonts w:ascii="Calibri" w:hAnsi="Calibri" w:cs="Calibri"/>
          <w:color w:val="000000"/>
          <w:sz w:val="22"/>
          <w:szCs w:val="22"/>
        </w:rPr>
        <w:br/>
        <w:t>Skin wound healing is a complex pathophysiological process orchestrated by macrophages and the factors they secrete. In response to different stimuli, macrophages can polarize into two distinct subtypes with opposing phenotypes and functions: pro-inflammatory M1 and anti-inflammatory M2. This study aimed to investigate the role of Schistosoma japonicum protein Sjp40 in skin wound healing, with the goal of identifying potential therapeutic strategies for the treatment of refractory wounds. In this study, full-thickness excisional wounds (5 mm diameter) were created on the dorsal skin of adult C57BL/6 mice (two wounds per mouse). The experimental group received topical rSjp40, while controls received saline. After intermittent treatment with rSjp40, wound healing was assessed on days 0, 3, 6, and 9. Wound healing rates were determined by measuring wound areas using ImageJ. rSjp40-treated wounds exhibited significantly accelerated closure compared to controls. Histological examination (H&amp;E staining on day 7 post-injury) revealed reduced inflammatory cell infiltration and greater development of skin appendages and capillaries in rSjp40-treated wounds, indicating enhanced tissue regeneration. Given the critical role of macrophages in wound healing, we examined the effects of rSjp40 on macrophage polarization. Flow cytometry results demonstrated that rSjp40 induced the polarization of RAW264.7 macrophages toward both M1 and M2 phenotypes in vitro. In conclusion, these findings suggest that rSjp40 significantly enhances wound healing by regulating macrophage polarization and promoting tissue regeneration, underscoring its potential as a novel therapeutic agent for skin repair.</w:t>
      </w:r>
    </w:p>
    <w:p w14:paraId="4EEDD85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25-A-2820-ASTMH</w:t>
      </w:r>
    </w:p>
    <w:p w14:paraId="159255A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29EBE64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Spatial Exploration of the Impact of Livestock on Malaria Transmission Using Data From a Cluster Randomized Clinical Trial</w:t>
      </w:r>
    </w:p>
    <w:p w14:paraId="59EDA44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Progress in reducing the global malaria burden has stalled and even reversed in the last years according to the World Health Organization. As there is evidence that currently available vector controls tools will not be enough to eliminate the disease, global efforts are ongoing to develop novel interventions. Research suggests that peri-domestic livestock can divert mosquitoes, thus reducing malaria transmission, in a phenomenon known as zooprophylaxis. However, conflicting evidence highlights the concept of zoopotentiation, where livestock may increase vector populations and enhance malaria transmission. Given the controversy, the main objective of this study was to provide a better understanding of the complex relation between livestock and malaria transmission. Using high quality granular data from a cluster-randomized trial, we implemented a novel spatial approach to explore cattle impact on malaria in coastal Kenya. While previous studies have focused on livestock ownership, we measured cattle presence around households and assessed its impact on malaria prevalence in a cohort of children through multivariate binomial regression models with generalized estimating equations and an exchangeable correlation structure. We found that the cattle-to-human ratio measured at 400 and at 500 meters around the household was significantly associated to higher odds of testing positive for malaria, while both cattle-to-human ratio within 200 m of households and cattle density did not have a significant impact. This suggests that vector behavior may relate to the proportion of different blood sources, rather than the number of preferred hosts, at distances within the flying range of mosquitos. Because cattle keeping seems to be related to malaria transmission in this study site, local farming communities would benefit from targeted interventions. This novel spatial approach demonstrates that livestock should be considered a contributing environmental factor in malaria transmission and not only a family asset and paves the way for new research assessing malaria from an environmental perspective.</w:t>
      </w:r>
    </w:p>
    <w:p w14:paraId="0CC529D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25-A-2821-ASTMH</w:t>
      </w:r>
    </w:p>
    <w:p w14:paraId="02E3E1D9"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7B5BFE2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Vector Atlas: Providing Data and Evidence-Based Maps for Malaria Vector Control</w:t>
      </w:r>
    </w:p>
    <w:p w14:paraId="1331DA1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Maps provide an intuitive way to convey a large amount of information. When they are evidence-based and created with a good understanding of the underlying data, they can be incredibly useful tools to guide decision making, whether it be for conservation, epidemiological assessment or insect control. Human malaria is a disease transmitted by only one genera of mosquito, and there are around 40 species that are good at transmitting it but numerous secondary species. Understanding all of their distributions, their susceptibility to the insecticides used in vector control, their abundance and behaviour, provides a solid basis for reactive and targeted vector control. As such, well-conceived evidence-based maps are powerful tools with a clear role in guiding malaria vector control decision making. Here we present the Vector Atlas. Building on our existing vector database and using our comprehensive collation protocols to abstract data from the published and grey literature, the Vector Atlas has curated an analyses-ready vector dataset for the dominant and secondary vector species driving malaria transmission. Using these data with newly developed spatial models that account for the inherent data bias, the Vector Atlas has produced a suite of maps targeted specifically to support vector control. These include species distributions, insecticide resistance and abundance maps amongst other. Consequently, the Vector Atlas is generating actionable products to support vector control programmes and provide demonstrable results on the ground. Finally, in close collaboration with national malaria control programmes, the Vector Atlas is mentoring the development of sub-national, bespoke spatial analyses and mapping expertise with our African case partner countries to directly address their specific challenges in vector control and build national capacity in spatial modelling.</w:t>
      </w:r>
    </w:p>
    <w:p w14:paraId="7A896113"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25-A-2823-ASTMH</w:t>
      </w:r>
    </w:p>
    <w:p w14:paraId="035E0E3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4A55093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Zoonotic nature of pathogenic gram negative carbapenemase producing enteric bacteria detected from teaching hospitals, small scale broiler farms, and water bodies in Abidjan, Côte d'Ivoire</w:t>
      </w:r>
    </w:p>
    <w:p w14:paraId="3B4F284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Côte d’Ivoire, multi-drug resistant bacterial infections detected from Teaching hospitals in human inpatients at Institut Pasteur laboratory, and their involvement in outpatients’ pathologies from communities, motivated the search for, not only potential reservoirs of pathogens responsible for, but also their dissemination’s risks in animal, and environmental habitat, to possibly demonstrate their zoonotic nature. Among these pathogens, Carbapenem-resistant </w:t>
      </w:r>
      <w:r w:rsidRPr="00AF28B8">
        <w:rPr>
          <w:rFonts w:ascii="Calibri" w:hAnsi="Calibri" w:cs="Calibri"/>
          <w:i/>
          <w:iCs/>
          <w:color w:val="000000"/>
          <w:sz w:val="22"/>
          <w:szCs w:val="22"/>
        </w:rPr>
        <w:t>Enterobacteriaceae</w:t>
      </w:r>
      <w:r w:rsidRPr="00AF28B8">
        <w:rPr>
          <w:rFonts w:ascii="Calibri" w:hAnsi="Calibri" w:cs="Calibri"/>
          <w:color w:val="000000"/>
          <w:sz w:val="22"/>
          <w:szCs w:val="22"/>
        </w:rPr>
        <w:t> are classified as the most critical global health threat. Therefore, current study aimed at identifying reservoirs and prospective dissemination factors of pathogenic Gram negative </w:t>
      </w:r>
      <w:r w:rsidRPr="00AF28B8">
        <w:rPr>
          <w:rFonts w:ascii="Calibri" w:hAnsi="Calibri" w:cs="Calibri"/>
          <w:i/>
          <w:iCs/>
          <w:color w:val="000000"/>
          <w:sz w:val="22"/>
          <w:szCs w:val="22"/>
        </w:rPr>
        <w:t>Enterobacteriaceae</w:t>
      </w:r>
      <w:r w:rsidRPr="00AF28B8">
        <w:rPr>
          <w:rFonts w:ascii="Calibri" w:hAnsi="Calibri" w:cs="Calibri"/>
          <w:color w:val="000000"/>
          <w:sz w:val="22"/>
          <w:szCs w:val="22"/>
        </w:rPr>
        <w:t>. To achieve this goal, bacteria were sought for, in faeces samples collected from boiler farms, and within lagoon waters’ samples. Once at the National Reference Laboratory, bacteria were first seeded on Eosin Methylene Blue culture media, identified by LeMinor serial tests, characterized by API 20E galleries, and confirmed using Maldi-Toff, along with Hodge Modified test. Thereafter, antibacterial susceptibility tests were carried out. Results were read, interpreted after 24 hours incubation at 37°C according to EUCAST CA-SFM 2024 standards, and resistance profile plotted using WHONET software. From Teaching Hospitals, over a year period, 25 isolates were identified as Carbapenemase-producing </w:t>
      </w:r>
      <w:r w:rsidRPr="00AF28B8">
        <w:rPr>
          <w:rFonts w:ascii="Calibri" w:hAnsi="Calibri" w:cs="Calibri"/>
          <w:i/>
          <w:iCs/>
          <w:color w:val="000000"/>
          <w:sz w:val="22"/>
          <w:szCs w:val="22"/>
        </w:rPr>
        <w:t>Enterobacteriaceae</w:t>
      </w:r>
      <w:r w:rsidRPr="00AF28B8">
        <w:rPr>
          <w:rFonts w:ascii="Calibri" w:hAnsi="Calibri" w:cs="Calibri"/>
          <w:color w:val="000000"/>
          <w:sz w:val="22"/>
          <w:szCs w:val="22"/>
        </w:rPr>
        <w:t>. As for Small-Scale Broiler Farms, a total number of 104 </w:t>
      </w:r>
      <w:r w:rsidRPr="00AF28B8">
        <w:rPr>
          <w:rFonts w:ascii="Calibri" w:hAnsi="Calibri" w:cs="Calibri"/>
          <w:i/>
          <w:iCs/>
          <w:color w:val="000000"/>
          <w:sz w:val="22"/>
          <w:szCs w:val="22"/>
        </w:rPr>
        <w:t>Enterobacteriaceae</w:t>
      </w:r>
      <w:r w:rsidRPr="00AF28B8">
        <w:rPr>
          <w:rFonts w:ascii="Calibri" w:hAnsi="Calibri" w:cs="Calibri"/>
          <w:color w:val="000000"/>
          <w:sz w:val="22"/>
          <w:szCs w:val="22"/>
        </w:rPr>
        <w:t> was isolated. Among them, 07 strains were Carbapenem-resistant. In Lagoon waters, only one strain was the most prevalent Gram negative Carbapenemase-producing pathogen isolated. In conclusion, current investigation demonstrated existing pathogenic Gram negative Carbapenem-resistant </w:t>
      </w:r>
      <w:r w:rsidRPr="00AF28B8">
        <w:rPr>
          <w:rFonts w:ascii="Calibri" w:hAnsi="Calibri" w:cs="Calibri"/>
          <w:i/>
          <w:iCs/>
          <w:color w:val="000000"/>
          <w:sz w:val="22"/>
          <w:szCs w:val="22"/>
        </w:rPr>
        <w:t>Enterobacteriaceae </w:t>
      </w:r>
      <w:r w:rsidRPr="00AF28B8">
        <w:rPr>
          <w:rFonts w:ascii="Calibri" w:hAnsi="Calibri" w:cs="Calibri"/>
          <w:color w:val="000000"/>
          <w:sz w:val="22"/>
          <w:szCs w:val="22"/>
        </w:rPr>
        <w:t>in human, animal and environmental habitats. This bring about serious zoonotic dissemination risks; especially where, good hygiene, and biosecurity practices are missing.</w:t>
      </w:r>
    </w:p>
    <w:p w14:paraId="66C9B09E"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25-A-2824-ASTMH</w:t>
      </w:r>
    </w:p>
    <w:p w14:paraId="62898266"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(Immunology)</w:t>
      </w:r>
    </w:p>
    <w:p w14:paraId="505C7D9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Does chronic loiasis affect the immune response to SARS-CoV-2 infection?</w:t>
      </w:r>
    </w:p>
    <w:p w14:paraId="0749D67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Loa loa</w:t>
      </w:r>
      <w:r w:rsidRPr="00AF28B8">
        <w:rPr>
          <w:rFonts w:ascii="Calibri" w:hAnsi="Calibri" w:cs="Calibri"/>
          <w:color w:val="000000"/>
          <w:sz w:val="22"/>
          <w:szCs w:val="22"/>
        </w:rPr>
        <w:t> is a chronic filarial infection endemic to Central and West Africa. Long regarded as benign, associated morbidity and mortality is increasingly uncovered. Further loiasis is thought to be associated with immunomodulatory effects, including Th2-skewed responses and elevated regulatory cytokine production. Clinical manifestations vary, but the disease is often grouped in two main presentation types: (1) microfilaremic loiasis and (2) amicrofilaremic (occult) loiasis, the latter characterized by eye worm migration. We aimed to assess how chronic </w:t>
      </w:r>
      <w:r w:rsidRPr="00AF28B8">
        <w:rPr>
          <w:rFonts w:ascii="Calibri" w:hAnsi="Calibri" w:cs="Calibri"/>
          <w:i/>
          <w:iCs/>
          <w:color w:val="000000"/>
          <w:sz w:val="22"/>
          <w:szCs w:val="22"/>
        </w:rPr>
        <w:t>Loa loa</w:t>
      </w:r>
      <w:r w:rsidRPr="00AF28B8">
        <w:rPr>
          <w:rFonts w:ascii="Calibri" w:hAnsi="Calibri" w:cs="Calibri"/>
          <w:color w:val="000000"/>
          <w:sz w:val="22"/>
          <w:szCs w:val="22"/>
        </w:rPr>
        <w:t> infection impacts antibody and T cell responses to SARS-CoV-2 following natural infection. In a cross-sectional study conducted in Lambaréné and rural villages in the Ngounié and Moyen-Ogooué provinces of Gabon, we enrolled three groups: 43 microfilaremic individuals (MF), 59 individuals with occult loiasis but no microfilaremia (OL), and 90 individuals without signs of active loiasis (no loiasis, NL). Microfilaremia was diagnosed by blood smear microscopy; occult loiasis was assessed using the standard Rapid Assessment Procedure for Loiasis (RAPLOA). Full blood counts were performed. IgG responses to the SARS-CoV-2 S1 spike protein and nucleocapsid protein were measured via ELISA. IFNγ production in response to spike protein was assessed using an interferon gamma release assay. Microfilaremic individuals showed marked eosinophilia compared to the other two groups (MF: median 0.95 G/l; OL: 0.35 G/l; NL: 0.34 G/l). Specific IgG levels against the S1 and nucleocapsid proteins did not differ significantly among the groups. However, IFNγ responses to spike protein were significantly lower in MF individuals (median 840 mIU/ml) compared to OL (median 1479 mIU/ml), even after adjusting for age and sex. Our findings suggest that microfilaremic loiasis modulates the Th1 T cell response to SARS-CoV-2. Given the increasing attention to loiasis, further studies are urgently needed to explore its broader immunological effects on responses to third-party antigens such as viral infections and vaccinations in endemic areas.</w:t>
      </w:r>
    </w:p>
    <w:p w14:paraId="36B5E60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25-A-2825-ASTMH</w:t>
      </w:r>
    </w:p>
    <w:p w14:paraId="7B458C7A"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362B158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assessment of knowledge and willingness to use rapid diagnostic tests for malaria by health professionals in the democratic republic of congo</w:t>
      </w:r>
    </w:p>
    <w:p w14:paraId="2DE6144B"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Democratic Republic of Congo (DRC) is the worst-affected country by malaria in Central africa. Accurate diagnosis is essential for effective treatment. While microscopy and rapid diagnostic tests (RDTs) are common used, microscopy remains limite in rural areas. This study aimed to evaluate the perceptions, knowledge, and willingness of healthcare professionals (HCPs) in the DRC to use RDTs for malaria diagnosis.A descriptive cross-sectional study was conducted in Kinshasa from January to February 2025. Data was collected through structured questionnaires and analyzed using SPSS version 25.The study involved 120 participants: doctors (43%), nurses (36%), and lab technicians (16%), 6% others. 61% had poor general knowledge about malaria, 61% could identify key malaria symptoms, 58% understood malaria transmission. 52% used both RDTs and microscopy for diagnosis. 72% lacked adequate knowledge of RDTs. 66% knew the definition of RDTs. Only 10% knew the complete procedure for correctly performing an RDT. 91% could not name the antigens detected by RDTs. 61% did not know how to interpret RDT results. 82.5% used RDTs for malaria diagnosis. 62% used RDTs when patients presented with malaria-like symptoms. 64% believed RDTs are reliable. 79% felt that brand differences affect RDT effectiveness. 92% said RDTs are accessible. 76% reported inadequate training on RDT use. 77% used RDTs daily. 100% treated patients when RDT results were positive. If RDT was negative, 45% performed microscopy, while 31% treated based on symptoms. 83% believed microscopy should follow a negative RDT. 61% requested microscopy when RDT results conflicted with symptoms, while 10% relied on clinical judgment alone. Doctors reprensented the largest group but were the least trained (12%). 69% trained participants showed greater confidence in RDTs. While RDTs are widely used in DRC, there are significant gaps. Improving training and addressing knowledge gaps are crucial to enhancing the effectiveness of malaria diagnosis. It can be assumed that different RDTs with varying sensitivity and specificity could be the reason for HCPs to have low confidence in RDT testing.</w:t>
      </w:r>
    </w:p>
    <w:p w14:paraId="6EA54DD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25-A-2826-ASTMH</w:t>
      </w:r>
    </w:p>
    <w:p w14:paraId="56A7638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6EA3189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Strategic expansion of seasonal malaria chemoprevention in sub-Saharan Africa: insights from a model-based impact assessment</w:t>
      </w:r>
    </w:p>
    <w:p w14:paraId="01F29F04"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Children under five face the highest risk of severe malaria in endemic regions. In areas with seasonal transmission, the World Health Organization (WHO) recommends seasonal malaria chemoprevention (SMC) for children at risk. Currently implemented in 17 countries, SMC protects young children during peak malaria transmission. Initially limited to under-fives in regions with highly seasonal malaria transmission, WHO guidelines now suggest expansion to other seasonal settings and older children, opening avenues for wider implementation. With limited resources, National Malaria Control Programs must decide whether to scale back, maintain, or expand SMC, prioritizing either new regions or older age groups if expansion is pursued. To support this process, we developed a modeling framework assessing diverse SMC expansion scenarios across sub-Saharan Africa. We identified suitable areas for SMC using updated WHO guidelines and data on rainfall, population, and incidence. Suitability was defined as more than 60% of rainfall occurring in 4-6 months and malaria incidence larger than 0.1 cases per child. OpenMalaria, an individual-based transmission model, was used to simulate SMC scale-up based on updated demographic, climatic, and intervention data. The impact of scale-up was defined as the total number of malaria cases averted over the three years following implementation of SMC compared to business as usual. A total of 358 level 1 administrative units across 31 countries met suitability criteria. Expanding SMC to under-fives in all suitable areas would reach 89.3 million children, while expanding age groups to under-15s in current areas would add 65.6 million. The broader geographic expansion could avert 239 million cases over three years, while age-based expansion to under-10s and under-15s could avert 464 million and 686 million cases, respectively. Impact varied by region and transmission intensity. In high-transmission areas, under-fives benefited most; in lower-transmission areas, age expansion was more impactful. Our findings thus provide a basis for more effective, context-driven decisions on where and how to implement SMC.</w:t>
      </w:r>
    </w:p>
    <w:p w14:paraId="53CB073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25-A-2827-ASTMH</w:t>
      </w:r>
    </w:p>
    <w:p w14:paraId="2EE17E2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1BB0E06E" w14:textId="6388B11D"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Transmission-Dependent Variability in SARS-CoV-2 Immune Correlates of Protection: Evidence from a Prospective Febrile Illness Cohort in the Dominican Republic</w:t>
      </w:r>
    </w:p>
    <w:p w14:paraId="6B9E9C0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Immune correlates of protection (ICOPs) serve as critical tools for evaluating vaccine efficacy and guiding immunobridging strategies. However, whether these correlates are stable across differing levels of pathogen exposure remains unclear. This question is key in light of observed variability in vaccine performance across epidemiologic settings and over time. We analyzed data from a prospective cohort of patients presenting with acute febrile illness in two provinces of the Dominican Republic from March 2021 to August 2022. Using a test-negative design, we assessed SARS-CoV-2 PCR status and anti-spike (S) antibody titers measured at presentation. We modeled infection risk as a function of S-antibody level using multivariable generalized additive models, stratified by biweekly community transmission intensity. Analyses adjusted for age, vaccination status, dominant circulating variant, and time since vaccination. Among 1,752 participants, SARS-CoV-2 infection risk declined with increasing S-antibody titers, but the strength of this association varied by transmission intensity. During low transmission periods, infection risk sharply declined as antibody titers increased. In contrast, during high transmission, risk declined more gradually, suggesting a lower threshold for breakthrough infections. The geometric mean titer ratio between PCR-negative and PCR-positive individuals was 10.3 during low transmission, compared to 2.8 during high transmission. These patterns persisted across variant periods, supporting the conclusion that ICOPs are modulated by exposure intensity. A simulation study replicated these findings, showing flatter ICOP curves under high exposure due to increased cumulative infection probabilities across titer levels. These results suggest that SARS-CoV-2 ICOPs are exposure-dependent—or “leaky”—and underscore the need to consider transmission intensity when interpreting ICOPs in vaccine trials, immunobridging, and public health planning. Findings may extend to other epidemic pathogens.</w:t>
      </w:r>
    </w:p>
    <w:p w14:paraId="3ED477A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25-A-2828-ASTMH</w:t>
      </w:r>
    </w:p>
    <w:p w14:paraId="77FE599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73BFEA9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Characterizing the impact of age and sex on dengue infection risk: a multicountry analysis</w:t>
      </w:r>
    </w:p>
    <w:p w14:paraId="2497A30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For many communicable diseases, sex differences are known to shape exposure, infection, and severity. Although dengue virus (DENV) remains a significant public health concern, it is still unclear whether and how sex may modify these patterns. Previous studies have been inconsistent on how age and sex interact, with results varying both within and across regions, and are often confounded by reporting biases. We utilized age- and sex-disaggregated yearly incident data at the state/department level collected over 20 years from Colombia, Brazil, and Thailand to quantify the impact of age and sex on dengue infection risk. There were over one million, 13 million and 750,000 total dengue cases in these countries respectively, with considerable spatiotemporal heterogeneity. We use catalytic models to estimate time, age, and sex varying forces of infection while simultaneously estimating how these reporting rates may vary as well. Preliminary results from a single region in Thailand suggests that there are no differences in infection risk across sex, while children are most likely to be infected. We are currently fitting models to line list data from the remainder of Thailand, Colombia and Brazil to see whether similar patterns emerge. We hypothesize that any observed differences by sex are driven by differences in behavior which will explain the heterogeneity in these patterns across the globe. Quantifying these patterns is critical in understanding the biological, social, and behavioral determinants of dengue virus infection risk that can help guide control efforts in endemic settings.</w:t>
      </w:r>
    </w:p>
    <w:p w14:paraId="6857483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25-A-2829-ASTMH</w:t>
      </w:r>
    </w:p>
    <w:p w14:paraId="7779868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C2A8CCA"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Closing the access-use gap in insecticide-treated nets through behavioral science: results from a feasibility study in Nigeria and Uganda</w:t>
      </w:r>
    </w:p>
    <w:p w14:paraId="5767C738"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Insecticide-treated nets (ITNs) have played a critical role in malaria prevention, accounting for 68% of cases averted between 2000 and 2015. While high access to ITNs in malaria-endemic regions is primarily ensured by mass distribution campaigns, the use of ITNs remains inconsistent, highlighting a behavioral gap that limits the intervention’s impact. Addressing this gap requires strategies beyond traditional distribution efforts. The </w:t>
      </w:r>
      <w:r w:rsidRPr="00AF28B8">
        <w:rPr>
          <w:rFonts w:ascii="Calibri" w:hAnsi="Calibri" w:cs="Calibri"/>
          <w:i/>
          <w:iCs/>
          <w:color w:val="000000"/>
          <w:sz w:val="22"/>
          <w:szCs w:val="22"/>
        </w:rPr>
        <w:t>Be In A Net</w:t>
      </w:r>
      <w:r w:rsidRPr="00AF28B8">
        <w:rPr>
          <w:rFonts w:ascii="Calibri" w:hAnsi="Calibri" w:cs="Calibri"/>
          <w:color w:val="000000"/>
          <w:sz w:val="22"/>
          <w:szCs w:val="22"/>
        </w:rPr>
        <w:t> study (Behavioral Insights to Accelerate Net use) applies behavioral science approaches to develop cost-effective interventions aimed at increasing ITN use in communities where access is known to be high. In the exploratory phase, we reviewed the literature on barriers and facilitators of ITN use. We then employed a framework analysis to examine perceptions, motivations, and barriers in primary qualitative data collected in one state in Nigeria and two districts in Uganda with known high ITN access. Findings from this phase informed the process of co-creation with key stakeholders. Using the EAST (Easy, Attractive, Social, Timely) framework developed by BIT, behavioral interventions were created, two of which were prioritized based on their potential impact and feasibility and further developed into prototypes. The first prototype taps into the power of social network dynamics through a social signaling approach to stimulate the adoption of the behavior of interest. The second explores the area of attractiveness with an ITN design approach that addresses discomfort barriers to ITN use. We will present findings from a feasibility study that assesses these two interventions in a real-life setting using </w:t>
      </w:r>
      <w:r w:rsidRPr="00AF28B8">
        <w:rPr>
          <w:rFonts w:ascii="Calibri" w:hAnsi="Calibri" w:cs="Calibri"/>
          <w:i/>
          <w:iCs/>
          <w:color w:val="000000"/>
          <w:sz w:val="22"/>
          <w:szCs w:val="22"/>
        </w:rPr>
        <w:t>Bowen et al</w:t>
      </w:r>
      <w:r w:rsidRPr="00AF28B8">
        <w:rPr>
          <w:rFonts w:ascii="Calibri" w:hAnsi="Calibri" w:cs="Calibri"/>
          <w:color w:val="000000"/>
          <w:sz w:val="22"/>
          <w:szCs w:val="22"/>
        </w:rPr>
        <w:t>.’s framework across six key areas: acceptability, demand, implementation, practicality, adaptation, and integration. The interventions are administered to a small cohort of households in Nigeria and Uganda and investigated using mixed methods. A cost analysis embedded in the study will provide reference data for further cost-effectiveness evaluation. This study provides novel insights into how behavioral science can enhance key malaria control interventions.</w:t>
      </w:r>
    </w:p>
    <w:p w14:paraId="4352A522"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25-A-2830-ASTMH</w:t>
      </w:r>
    </w:p>
    <w:p w14:paraId="5495D18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12933EFF"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Societal Development and Transitions in Enteric Disease Control: Emerging Evidence and Policy Recommendations from the PATHOME study</w:t>
      </w:r>
    </w:p>
    <w:p w14:paraId="35E47D2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While diarrheal deaths in young children have significantly declined in recent decades, the incidence of diarrhea declined by just 12·7% between 2000 and 2016 according to Global Burden of Disease data, despite significant global investment over recent decades in health systems and water and sanitation infrastructure. Other types of household and neighborhood development may be necessary to prevent the enteric infections that cause diarrheal disease. The goal of the Pathogen Transmission and Health Outcome Models of Enteric Disease (PATHOME) study was to identify which developmental projects, alone or in combination, would be most effective and practical for preventing enteric infections in children living in urban settings. PATHOME addressed this goal by investigating how improvements in household living conditions in low to middle income neighborhoods of two Kenyan cities has altered enteric virus, bacteria, and protozoan pathogen transmission dynamics between humans, animals, and their shared environment. This community-based, repeat-measures cohort study enrolled 266 infants over two years and documented their 14 day prevalence, incidence, and persistence of enteric pathogens using a 19-pathogen molecular diagnostic tool plus diarrhea symptom prevalence and incidence tracking. Transmission conditions were characterized by a transdisciplinary approach that documented housing and neighborhood infrastructure quality, climate conditions, economic resources, enteric pathogens in domestic animals and animal hygiene management, pathogen distributions in household and neighborhood environments, 24-hour spatial movement of infants and animals, infant nutrition, health care utilization and antibiotic usage, and infant and caregiver exposure and exposure-mitigating behaviors. This presentation will synthesize and discuss the policy implications of emerging PATHOME evidence on which intervention strategies offer greatest potential for preventing the transmission of enteric pathogens between humans, animals, and environment in urban Kenya, including remaining health risks in middle-class neighborhoods.</w:t>
      </w:r>
    </w:p>
    <w:p w14:paraId="19A203B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25-A-2831-ASTMH</w:t>
      </w:r>
    </w:p>
    <w:p w14:paraId="7774F59E"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5CFF9772"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Prevalence and Risk Factors of Malaria, Typhoid Fever, and Co-Infection Among University Students at AAMUSTED, Asante Mampong</w:t>
      </w:r>
    </w:p>
    <w:p w14:paraId="5461E3B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University students in Sub-Saharan Africa face a heightened risk of malaria and typhoid fever due to environmental and socio-economic factors. This cross-sectional study assessed the prevalence of these infections among 213 students attending the AAMUSTED Clinic, Ghana, between October and November 2024. Microscopy and Widal tests were conducted on 1 ml of venous whole blood from each participant to detect malaria parasites and </w:t>
      </w:r>
      <w:r w:rsidRPr="00AF28B8">
        <w:rPr>
          <w:rFonts w:ascii="Calibri" w:hAnsi="Calibri" w:cs="Calibri"/>
          <w:i/>
          <w:iCs/>
          <w:color w:val="000000"/>
          <w:sz w:val="22"/>
          <w:szCs w:val="22"/>
        </w:rPr>
        <w:t>Salmonella</w:t>
      </w:r>
      <w:r w:rsidRPr="00AF28B8">
        <w:rPr>
          <w:rFonts w:ascii="Calibri" w:hAnsi="Calibri" w:cs="Calibri"/>
          <w:color w:val="000000"/>
          <w:sz w:val="22"/>
          <w:szCs w:val="22"/>
        </w:rPr>
        <w:t> spp., respectively. Structured questionnaires were administered to gather demographic information and potential risk factors for analysis. The prevalence of malaria and typhoid fever was 50.7% and 55.9%, respectively. Malaria infection was significantly associated with age (χ² = 6.85, p = 0.033), with the highest prevalence (21.6%) in students aged 28–30 and above. Hostel location also influenced malaria rates (χ² = 4.20, p = 0.041), with students living on campus experiencing higher infection rates (28.6%). Sex and travel history showed no significant associations with malaria. Logistic regression revealed that students living off-campus had lower odds of malaria (OR = 0.59, p = 0.061), while older students had increased odds (OR = 1.77, p = 0.093), though both were marginally significant. Typhoid fever was significantly associated with travel history (χ² = 4.97, p = 0.026) and education level (χ² = 8.21, p = 0.042), with Level 100 students showing the highest positivity (18.3%). Regression analysis confirmed Level 100 as a significant predictor (OR = 2.47, p = 0.025). No significant associations were found with sex or marital status. Co-infection with both malaria and typhoid was observed in 33.3% of participants (95% CI: 24.5–37.4%). The study identified a high prevalence of malaria, typhoid fever, and co-infections among AAMUSTED students, with age, hostel location, travel history, and education level as key risk factors. It underscores the vulnerability of this population to these infections. There is therefore a need for targeted health interventions and further research to address these infections effectively.</w:t>
      </w:r>
    </w:p>
    <w:p w14:paraId="4A6A4550"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25-A-2832-ASTMH</w:t>
      </w:r>
    </w:p>
    <w:p w14:paraId="69F1F9B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03067BD0"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Pilot study of large-scale larviciding and association with key malaria epidemiological parameters in Tanga Region, Tanzania</w:t>
      </w:r>
    </w:p>
    <w:p w14:paraId="2AC89E39"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one of the major public health problems both globally and in Tanzania. In addition to existing vector control interventions, the country is planning to introduce larviciding in its efforts towards malaria control and elimination. A pilot larviciding study was implemented and evaluated in Tanzania to generate evidence on operations and impact of the intervention. Larviciding was implemented in three councils in the North-East of the country representing high, moderate and low malaria epidemiological risk strata, as well as urban and rural settings. Larviciding was conducted between June 2022 and April 2024 through a community-based approach using entirely the existing local government structures. </w:t>
      </w:r>
      <w:r w:rsidRPr="00AF28B8">
        <w:rPr>
          <w:rFonts w:ascii="Calibri" w:hAnsi="Calibri" w:cs="Calibri"/>
          <w:i/>
          <w:iCs/>
          <w:color w:val="000000"/>
          <w:sz w:val="22"/>
          <w:szCs w:val="22"/>
        </w:rPr>
        <w:t>Bacillus thuringiensis</w:t>
      </w:r>
      <w:r w:rsidRPr="00AF28B8">
        <w:rPr>
          <w:rFonts w:ascii="Calibri" w:hAnsi="Calibri" w:cs="Calibri"/>
          <w:color w:val="000000"/>
          <w:sz w:val="22"/>
          <w:szCs w:val="22"/>
        </w:rPr>
        <w:t> var </w:t>
      </w:r>
      <w:r w:rsidRPr="00AF28B8">
        <w:rPr>
          <w:rFonts w:ascii="Calibri" w:hAnsi="Calibri" w:cs="Calibri"/>
          <w:i/>
          <w:iCs/>
          <w:color w:val="000000"/>
          <w:sz w:val="22"/>
          <w:szCs w:val="22"/>
        </w:rPr>
        <w:t>israelensis</w:t>
      </w:r>
      <w:r w:rsidRPr="00AF28B8">
        <w:rPr>
          <w:rFonts w:ascii="Calibri" w:hAnsi="Calibri" w:cs="Calibri"/>
          <w:color w:val="000000"/>
          <w:sz w:val="22"/>
          <w:szCs w:val="22"/>
        </w:rPr>
        <w:t> and </w:t>
      </w:r>
      <w:r w:rsidRPr="00AF28B8">
        <w:rPr>
          <w:rFonts w:ascii="Calibri" w:hAnsi="Calibri" w:cs="Calibri"/>
          <w:i/>
          <w:iCs/>
          <w:color w:val="000000"/>
          <w:sz w:val="22"/>
          <w:szCs w:val="22"/>
        </w:rPr>
        <w:t>Bacillus sphaericus</w:t>
      </w:r>
      <w:r w:rsidRPr="00AF28B8">
        <w:rPr>
          <w:rFonts w:ascii="Calibri" w:hAnsi="Calibri" w:cs="Calibri"/>
          <w:color w:val="000000"/>
          <w:sz w:val="22"/>
          <w:szCs w:val="22"/>
        </w:rPr>
        <w:t xml:space="preserve"> were both used and the larvicides were applied intermittently for three rounds of 8 weeks each per year, based on the local rainfall pattern. The data for malaria incidence, laboratory fever/malaria test positivity rate and antenatal malaria test positivity rate were collected from routine health facility data. Each intervention council was paired to multiple control councils forming a controlled before-after design. Multivariable regression was used to assess the association between larviciding and malaria epidemiological outcomes. The association between larviciding and the incidence of reported clinical malaria among all age-groups was estimated as an incidence rate ratio (IRR) of 1.16 (95% CI 0.98; 1.37) in the high, 0.86 (95% CI 0.72; 1.02) in the moderate, and 0.96 (95% CI 0.76; 1.22) in the low risk stratum. Similar results were observed across the other epidemiological parameters. Under the current implementation of discontinuous larvicide application, the intervention showed a trend towards a reduction in malaria epidemiological parameters in the moderate and low strata, but without being statistically significant. Studies considering continuous year-round implementation, and randomizing a larger number of </w:t>
      </w:r>
      <w:r w:rsidRPr="00AF28B8">
        <w:rPr>
          <w:rFonts w:ascii="Calibri" w:hAnsi="Calibri" w:cs="Calibri"/>
          <w:color w:val="000000"/>
          <w:sz w:val="22"/>
          <w:szCs w:val="22"/>
        </w:rPr>
        <w:lastRenderedPageBreak/>
        <w:t>clusters, could generate further evidence on the contribution of larviciding on malaria control in similar transmission settings.</w:t>
      </w:r>
    </w:p>
    <w:p w14:paraId="6D6ACB5F"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25-A-2833-ASTMH</w:t>
      </w:r>
    </w:p>
    <w:p w14:paraId="3508E41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3123F5E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Chikungunya outbreak dynamics and influencing factors: a targeted literature review</w:t>
      </w:r>
    </w:p>
    <w:p w14:paraId="4B9CFF00"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chikungunya virus (CHIKV), an alphavirus transmitted primarily by </w:t>
      </w:r>
      <w:r w:rsidRPr="00AF28B8">
        <w:rPr>
          <w:rFonts w:ascii="Calibri" w:hAnsi="Calibri" w:cs="Calibri"/>
          <w:i/>
          <w:iCs/>
          <w:color w:val="000000"/>
          <w:sz w:val="22"/>
          <w:szCs w:val="22"/>
        </w:rPr>
        <w:t>Aedes </w:t>
      </w:r>
      <w:r w:rsidRPr="00AF28B8">
        <w:rPr>
          <w:rFonts w:ascii="Calibri" w:hAnsi="Calibri" w:cs="Calibri"/>
          <w:color w:val="000000"/>
          <w:sz w:val="22"/>
          <w:szCs w:val="22"/>
        </w:rPr>
        <w:t>mosquitoes, poses a significant global health threat. In the past two decades, we have seen a notable expansion of CHIKV’s geographic reach due to climate changes and increased human mobility, amongst others. Chikungunya outbreaks are highly unpredictable and can spread explosively, sometimes affecting large proportions of local populations. The rapid and irregular nature of CHIKV transmission makes surveillance and preparedness challenging and a better understanding of outbreak patterns can help improve public health responses. This review aimed to assess past CHIKV outbreaks, identifying common patterns, and highlighting key differences. We performed a literature search in Medline and Embase, in addition to health authority databases like PAHO and CDC. Search terms related to chikungunya outbreak dynamics were included. 117 studies were identified, discussing more than 92 unique outbreaks. Outbreak data reported varied widely and most included articles focused only on one single aspect of an outbreak, making it difficult to form a comprehensive picture of any single outbreak based on the literature. By supplementing outbreak data from our TLR with additional searches, we were able to draw preliminary conclusions. In general, we found that outbreaks spread heterogeneously through affected areas, with clustering of transmissions regardless of outbreak scale. Time to peak transmission varies depending on the size of the outbreak area, with small outbreaks often peaking within a few days. For larger outbreaks, both in terms of land area and case count, time to peak differs between first and recurrent events, with recurrent outbreaks reaching their peak in about 3 months and primary outbreaks in 4 to 5 months. The vector species or CHIKV genotype strain could not be related to outbreak patterns. Although preliminary, these findings offer valuable insights for future outbreak prediction, surveillance, and response strategies.</w:t>
      </w:r>
    </w:p>
    <w:p w14:paraId="60EF6E4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25-A-2834-ASTMH</w:t>
      </w:r>
    </w:p>
    <w:p w14:paraId="5C676ED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07150DE6"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Characterizing the performance of a Meso Scale Discovery (MSD) based multiplexed serological assay to quantify antibody responses to multiple flaviviruses</w:t>
      </w:r>
    </w:p>
    <w:p w14:paraId="4DC2DC7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Development of multiplexed assays for serological analysis is an important next step in characterizing the dynamics of infectious diseases, particularly those that are antigenically related (e.g., flaviviruses) and may co-circulate in certain regions. Here we report the performance of a Meso Scale Discovery (MSD) based multiplexed assay developed to quantify binding antibody responses to the nonstructural protein 1 (NS1) for all four serotypes of dengue virus (DENV), Japanese Encephalitis virus, and Zika Virus. Accurately characterizing this MSD system is an essential step in optimizing its deployment, interpretation, and utility. This assay measures the antibody response of three isotypes (IgG, IgM, and IgA) for each antigen, run in parallel. We leverage a multigenerational longitudinal cohort based in Kamphaeng-Phet, Thailand running since 2015 where inapparent infections were characterized using haemagglutination inhibition assay (HAI). We find high correlation between MSD NS1 IgG units and HAI titers across yearly samples from the cohort (R</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 0.67, p&lt;0.001), with MSD NS1 IgG recapitulating the age-antibody curve found in HAI while IgM and IgA have considerably lower correlation with HAI (R</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xml:space="preserve"> 0.05 and 0.58 respectively). We next used the MSD assay to characterize the longitudinal kinetics of each isotypes during a polymerase chain reaction confirmed infection, during which HAI as well as both IgG and IgM from an enzyme-linked immunosorbent assay had been measured. This allowed for direct comparison to currently implemented tools in differentiating the kinetics of primary and post-primary dengue infections as well as the serotype specificity of the assay for each infecting serotype. Our comprehensive characterization of this MSD system demonstrates its enhanced sensitivity and reliability </w:t>
      </w:r>
      <w:r w:rsidRPr="00AF28B8">
        <w:rPr>
          <w:rFonts w:ascii="Calibri" w:hAnsi="Calibri" w:cs="Calibri"/>
          <w:color w:val="000000"/>
          <w:sz w:val="22"/>
          <w:szCs w:val="22"/>
        </w:rPr>
        <w:lastRenderedPageBreak/>
        <w:t>for detecting flavivirus infections, providing a foundation for its implementation as a rapid, cost-effective alternative to traditional assays in resource-limited settings and for high-throughput deployment in surveillance programs.</w:t>
      </w:r>
    </w:p>
    <w:p w14:paraId="479085A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25-A-2836-ASTMH</w:t>
      </w:r>
    </w:p>
    <w:p w14:paraId="0E63B834"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229E4B4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Modeling the impact of emergency vaccination during the 2025 chikungunya outbreak in La Reunion</w:t>
      </w:r>
    </w:p>
    <w:p w14:paraId="2DBAB8F6"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 of April 2025, La Réunion is facing a second major chikungunya virus (CHIKV) outbreak, following the 2005-2006 epidemic that infected nearly one-third of the population. IXCHIQ, a live-attenuated, single dose, vaccine, offers an opportunity for targeted immunization to complement vector control efforts. To project the outbreak trajectory and assess the impact of emergency vaccination with IXCHIQ, we developed a stochastic SEIR-SEI model. The model was calibrated by varying the mosquito biting rate, ensuring alignment with the latest epidemiological data from La Reunion while inherently incorporating vector control measures. We simulated future biting rate trends, which we decreased by 10% and 20% due to increased vector control effectiveness, assuming intensified efforts as cases increased. Certain mosquito-related parameters - extrinsic incubation period, offspring number, and mortality rate - were temperature-dependent, based on daily temperatures in La Réunion. A targeted vaccination strategy with IXCHIQ aimed at vulnerable groups (people with comorbidities and people aged 60 years and older) was simulated, corresponding to an overall coverage rate of 18.3%. Additionally, we assessed how the timing of vaccination program initiation influenced the model outcomes. Our findings indicate that without an emergency vaccination program, the outbreak could lead to up to 27.5% of the population getting infected. The emergency vaccination campaign of the target population, if implemented after 100 detected cases, could prevent 77% of infections. Delaying the initiation of the vaccination program until 3,000 or 40,000 chikungunya cases have occurred, reduced its effectiveness to 43% and 12%, respectively. These findings underscore the critical importance of timely intervention in outbreak response strategies and on top of other layers of prevention. Rapid deployment of emergency vaccination programs can substantially mitigate the impact of CHIKV outbreaks, emphasizing the need for preparedness and swift action by public health authorities in high-risk regions.</w:t>
      </w:r>
    </w:p>
    <w:p w14:paraId="6F568AD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25-A-2838-ASTMH</w:t>
      </w:r>
    </w:p>
    <w:p w14:paraId="6619FD6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0E1C20D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Parabens and emerging contaminants: Potential impact on Ae. aegypti development and vectorial capacity</w:t>
      </w:r>
    </w:p>
    <w:p w14:paraId="682443D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Man-made environmental pollution is a growing ecological concern, with potential implications for arthropod vector populations. We explored the effects of parabens, widely used antimicrobial preservative in personal care products, on the biology and development of </w:t>
      </w:r>
      <w:r w:rsidRPr="00AF28B8">
        <w:rPr>
          <w:rFonts w:ascii="Calibri" w:hAnsi="Calibri" w:cs="Calibri"/>
          <w:i/>
          <w:iCs/>
          <w:color w:val="000000"/>
          <w:sz w:val="22"/>
          <w:szCs w:val="22"/>
        </w:rPr>
        <w:t>Aedes aegypti</w:t>
      </w:r>
      <w:r w:rsidRPr="00AF28B8">
        <w:rPr>
          <w:rFonts w:ascii="Calibri" w:hAnsi="Calibri" w:cs="Calibri"/>
          <w:color w:val="000000"/>
          <w:sz w:val="22"/>
          <w:szCs w:val="22"/>
        </w:rPr>
        <w:t>, the primary vector of several arboviruses, including the dengue virus. Previous studies suggest that at environmental concentrations (0.02 mg/L), propylparaben reduced egg eclosion by over 62% and significantly altered survival metrics across developmental stages. However, one study has shown that parabens can be used in the lab to preserve </w:t>
      </w:r>
      <w:r w:rsidRPr="00AF28B8">
        <w:rPr>
          <w:rFonts w:ascii="Calibri" w:hAnsi="Calibri" w:cs="Calibri"/>
          <w:i/>
          <w:iCs/>
          <w:color w:val="000000"/>
          <w:sz w:val="22"/>
          <w:szCs w:val="22"/>
        </w:rPr>
        <w:t>Aedes</w:t>
      </w:r>
      <w:r w:rsidRPr="00AF28B8">
        <w:rPr>
          <w:rFonts w:ascii="Calibri" w:hAnsi="Calibri" w:cs="Calibri"/>
          <w:color w:val="000000"/>
          <w:sz w:val="22"/>
          <w:szCs w:val="22"/>
        </w:rPr>
        <w:t> eggs. Thus, our Aim 1 for this study is to evaluate the effect of early exposure of </w:t>
      </w:r>
      <w:r w:rsidRPr="00AF28B8">
        <w:rPr>
          <w:rFonts w:ascii="Calibri" w:hAnsi="Calibri" w:cs="Calibri"/>
          <w:i/>
          <w:iCs/>
          <w:color w:val="000000"/>
          <w:sz w:val="22"/>
          <w:szCs w:val="22"/>
        </w:rPr>
        <w:t>Ae. aegypti</w:t>
      </w:r>
      <w:r w:rsidRPr="00AF28B8">
        <w:rPr>
          <w:rFonts w:ascii="Calibri" w:hAnsi="Calibri" w:cs="Calibri"/>
          <w:color w:val="000000"/>
          <w:sz w:val="22"/>
          <w:szCs w:val="22"/>
        </w:rPr>
        <w:t> eggs to methyl-paraben on the oxidative stress, development (molting) and mortality. While our Aim 2, is to evaluate transcriptomic changes in immune repeated genes that could potentially modulate transmission of human viruses by female adult mosquitoes. For this, we exposed eggs of </w:t>
      </w:r>
      <w:r w:rsidRPr="00AF28B8">
        <w:rPr>
          <w:rFonts w:ascii="Calibri" w:hAnsi="Calibri" w:cs="Calibri"/>
          <w:i/>
          <w:iCs/>
          <w:color w:val="000000"/>
          <w:sz w:val="22"/>
          <w:szCs w:val="22"/>
        </w:rPr>
        <w:t>Ae. aegypti</w:t>
      </w:r>
      <w:r w:rsidRPr="00AF28B8">
        <w:rPr>
          <w:rFonts w:ascii="Calibri" w:hAnsi="Calibri" w:cs="Calibri"/>
          <w:color w:val="000000"/>
          <w:sz w:val="22"/>
          <w:szCs w:val="22"/>
        </w:rPr>
        <w:t xml:space="preserve"> mosquitoes from two different strains (Rockefeller and NOLA) to increasing concentrations of methylparaben (2, 0.2, 0.02 and 0.002 mg/L), similar to levels that has been found in the polluted environments. Mosquito larvae (L1 to L4), pupae, and recently emerged adult mosquito samples were processed for RNA extraction and transcriptomic analysis. Subcellular protein fractions were collected to measure phosphorylation and oxidative capacity. Our preliminary data indicates that parabens induce a concentration-dependent modulation in molting with larva incubated with the highest concentrations, showing more L4 and pupa on days 7 and 8 post-eclosion. Given parabens </w:t>
      </w:r>
      <w:r w:rsidRPr="00AF28B8">
        <w:rPr>
          <w:rFonts w:ascii="Calibri" w:hAnsi="Calibri" w:cs="Calibri"/>
          <w:color w:val="000000"/>
          <w:sz w:val="22"/>
          <w:szCs w:val="22"/>
        </w:rPr>
        <w:lastRenderedPageBreak/>
        <w:t>prevalence in aquatic environments at concentrations approaching biologically relevant thresholds, our findings suggest a potential avenue for vector control through targeted disruption of critical metabolic pathways. Further research examining interactions between environmental contaminants and mosquito stress adaptations may yield novel insights for vector management strategies in increasingly polluted environments.</w:t>
      </w:r>
    </w:p>
    <w:p w14:paraId="524CC091"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25-A-2840-ASTMH</w:t>
      </w:r>
    </w:p>
    <w:p w14:paraId="65844C7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1F778B77"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Case-area targeted interventions to rapidly contain the spread of cholera: a prospective observational study in the Democratic Republic of the Congo</w:t>
      </w:r>
    </w:p>
    <w:p w14:paraId="482E1A3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Cholera outbreaks are prone to rapid expansion. Case-area targeted interventions (CATI) are proposed as an efficient strategy to contain small outbreaks where early case detection triggers a rapid, localized, and multisectoral response for households in the high-risk radius around the first cases. Médecins Sans Frontières (MSF) delivered CATI during outbreaks in Eastern Democratic Republic of the Congo starting in April 2022. We present the results of a prospective observational study that evaluates CATI’s effectiveness, feasibility, and timeliness. Between April 2022 and April 2023, MSF delivered CATI including water, sanitation, and hygiene measures, health promotion, antibiotic chemoprophylaxis, and single-dose oral cholera vaccination (OCV), in five regions. We measured effectiveness by comparing incidence withing the first 30 days between rings with different delays from primary case presentation to CATI implementation, using a Bayesian regression model adjusted for covariates (i.e., population density, age, and access to water and sanitation). We conducted a household survey in each ring three weeks post-intervention to estimate coverage and intervention uptake. During the study, MSF implemented 118 CATI rings. The median number of households per ring was 70, median OCV coverage was 85%, and median time from case presentation to CATI implementation and to vaccination was 2 and 3 days, respectively. No secondary cases were observed in 81 (78%) of 104 rings included in the analysis, and there was a (nonsignificant) decreasing trend in the number of secondary cases with shorter delays to implementation (i.e., 1.3 cases [95% CrI 0.01-4.9] for implementation starting within 5 days from case presentation, and 0.5 cases [0.03-2.0] for implementation starting within 2 days). We show that rapid implementation of CATI with vaccination is feasible in a complex context and kept the number of secondary cases low. In an era of constrained vaccine availability, CATI can rapidly protect people most at risk and remains resource efficient if implemented early enough to contain localized outbreaks before they require mass interventions.</w:t>
      </w:r>
    </w:p>
    <w:p w14:paraId="2BB07C7C"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25-A-2843-ASTMH</w:t>
      </w:r>
    </w:p>
    <w:p w14:paraId="2CA465FB"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39E92C38"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seasonal malaria chemoprevention: a plausibility evaluation of routine data from health facilities in three implementing states in Nigeria.</w:t>
      </w:r>
    </w:p>
    <w:p w14:paraId="4152389C"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With the scale-up of Seasonal Malaria Chemoprevention (SMC) in 21 eligible Nigerian states, interest is growing in assessing its impact under programmatic conditions. This study evaluated changes in malaria incidence and related outcomes among children aged 3-59 months in three SMC-implementing states. A pre-post intervention design using routine health management information system data from selected facilities in the Federal Capital Territory, Kogi, and Oyo states compared incidence before (2021) and during (2022) SMC implementation. Mixed-effects multilevel negative binomial regression models were used to assess changes in parasitologically-confirmed uncomplicated malaria, all-cause fever, severe malaria, and malaria-related mortality. Uncomplicated malaria incidence dropped from 20 to 9 cases per 1,000 children (a 55% reduction). Adjusted analysis showed a 50% decrease in incidence (IRR: 0.50; 95% CI: 0.40-0.61; p&lt;0.001). All-cause fever incidence was 29% lower in 2022 (IRR: 0.71; 95% CI: 0.59-0.86; p&lt;0.001). Severe malaria and malaria-related deaths were too few to measure impact. Findings suggest substantial reductions in malaria incidence following large-scale SMC delivery. However, limitations such as lack of a control group, routine data quality, exclusive sampling of public facilities, and unmeasured </w:t>
      </w:r>
      <w:r w:rsidRPr="00AF28B8">
        <w:rPr>
          <w:rFonts w:ascii="Calibri" w:hAnsi="Calibri" w:cs="Calibri"/>
          <w:color w:val="000000"/>
          <w:sz w:val="22"/>
          <w:szCs w:val="22"/>
        </w:rPr>
        <w:lastRenderedPageBreak/>
        <w:t>confounders (e.g., migration, care-seeking behavior) may affect interpretation. Nonetheless, the study supports SMC’s real-world effectiveness and highlights the value of improving routine data systems for ongoing impact monitoring.</w:t>
      </w:r>
    </w:p>
    <w:p w14:paraId="0A52917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25-A-2844-ASTMH</w:t>
      </w:r>
    </w:p>
    <w:p w14:paraId="1CA33F13"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3DB7824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Temporal Trends and Predictive Modeling of Rotavirus-Attributable Hospitalizations in Children Under Five in Pakistan: A Time Series Analysis</w:t>
      </w:r>
    </w:p>
    <w:p w14:paraId="440D0D52"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Worldwide, rotavirus is a major cause of severe diarrhea in children under five, which leads to a high rate of morbidity and hospitalization. Approximately one out of every four hospitalizations of children under five in Pakistan are caused by rotavirus. Although vaccinations have been developed, rotavirus is still a serious public health concern. To predict hospitalizations and direct resource allocation, it is crucial to comprehend its temporal trends and patterns. This study uses monthly hospitalization data from several sentinel hospitals in Karachi, Lahore, Multan, and Peshawar to investigate the temporal dynamics of rotavirus hospitalizations in Pakistan from 2018 to 2024. The Augmented Dickey-Fuller (ADF) test was used to test for stationarity after the data were combined into weekly counts (p = 0.01). To take seasonality and temporal trends into consideration, we employed the statistical models ARIMA and SARIMA. For comparison, we used the machine learning method Random Forest. AIC, BIC, RMSE, and MAE were used to evaluate the model's performance. With the lowest AIC (401.06), RMSE (7.49), and MAE (5.31), the SARIMA model performed better than both ARIMA and Random Forest. SARIMA produced more precise predictions of rotavirus hospitalizations by successfully capturing the trend and seasonality in the data. The Random Forest model, on the other hand, had greater predictive accuracy with greater RMSE (18.21) and MAE (13.85). This study shows how well SARIMA predicts hospitalization patterns for rotavirus in Pakistan. Through the modeling of temporal dynamics and seasonality, SARIMA provides useful information for public health decision-making. Our results emphasize how crucial it is to use statistical modeling in infectious disease forecasting in order to enhance early-warning systems and maximize resource allocation in rotavirus-affected areas.</w:t>
      </w:r>
    </w:p>
    <w:p w14:paraId="43C4D97B"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25-A-2845-ASTMH</w:t>
      </w:r>
    </w:p>
    <w:p w14:paraId="71D82397"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BDA44E1"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Trachoma SAFE Interventions in South Sudanese Refugee Camps in Sudan</w:t>
      </w:r>
    </w:p>
    <w:p w14:paraId="4F912A4E"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Fighting in South Sudan from 2013–2018 resulted in large-scale population displacement, with many seeking refuge in neighboring countries, including Sudan. By mid-2022, over 1.1 million South Sudanese refugees had moved to Sudan, many to Al Jabalain and Al Salam localities, White Nile State. In 2017, the Trachoma Control Program (TCP) conducted baseline surveys of refugee camps in Al Jabalain and Al Salam that revealed a trachomatous inflammation-follicular (TF) prevalence &gt;10% in children ages 1–9 years and trachomatous trichiasis (TT) prevalence &gt;0.2% in individuals ages </w:t>
      </w:r>
      <w:r w:rsidRPr="00AF28B8">
        <w:rPr>
          <w:rFonts w:ascii="Calibri" w:hAnsi="Calibri" w:cs="Calibri"/>
          <w:color w:val="000000"/>
          <w:sz w:val="22"/>
          <w:szCs w:val="22"/>
          <w:u w:val="single"/>
        </w:rPr>
        <w:t>&gt;</w:t>
      </w:r>
      <w:r w:rsidRPr="00AF28B8">
        <w:rPr>
          <w:rFonts w:ascii="Calibri" w:hAnsi="Calibri" w:cs="Calibri"/>
          <w:color w:val="000000"/>
          <w:sz w:val="22"/>
          <w:szCs w:val="22"/>
        </w:rPr>
        <w:t>15 years. Post-baseline interventions included three annual rounds of azithromycin mass drug administration (MDA) and 482 TT surgeries. To assess intervention impact, in 2022, multi-stage cluster-randomized surveys were conducted in refugee camps by locality. Certified graders assessed trachoma clinical signs and enumerators recorded household water, sanitation, and hygiene (WASH) indicators. In Al Jabalain, three camps were surveyed, reaching 623 households. In Al Salam, seven camps were surveyed, reaching 656 households. TF prevalence in children ages 1–9 years was 2.5% (95% Confidence Interval [CI]: 1.3–4.8) in Al Jabalain and 3.9% (95% CI: 1.9–7.6) in Al Salam; TT prevalence in individuals </w:t>
      </w:r>
      <w:r w:rsidRPr="00AF28B8">
        <w:rPr>
          <w:rFonts w:ascii="Calibri" w:hAnsi="Calibri" w:cs="Calibri"/>
          <w:color w:val="000000"/>
          <w:sz w:val="22"/>
          <w:szCs w:val="22"/>
          <w:u w:val="single"/>
        </w:rPr>
        <w:t>&gt;</w:t>
      </w:r>
      <w:r w:rsidRPr="00AF28B8">
        <w:rPr>
          <w:rFonts w:ascii="Calibri" w:hAnsi="Calibri" w:cs="Calibri"/>
          <w:color w:val="000000"/>
          <w:sz w:val="22"/>
          <w:szCs w:val="22"/>
        </w:rPr>
        <w:t xml:space="preserve">15 years was 3.3% (95% CI: 1.1–9.2) in Al Jabalain and 1.6% (95% CI: 0.9–2.8) in Al Salam. Camps in both localities had comparatively good WASH access, a key factor in reducing trachoma transmission. Baseline and impact surveys showed that trachoma interventions were successful in these challenging settings. Given TF prevalences in children ages 1–9 years were below the World Health Organization’s (WHO) 5% elimination threshold, MDA can be stopped in both localities. However, with TT prevalences above the WHO-established 0.2% TT elimination threshold, TT surgeries should be continued. WASH access and </w:t>
      </w:r>
      <w:r w:rsidRPr="00AF28B8">
        <w:rPr>
          <w:rFonts w:ascii="Calibri" w:hAnsi="Calibri" w:cs="Calibri"/>
          <w:color w:val="000000"/>
          <w:sz w:val="22"/>
          <w:szCs w:val="22"/>
        </w:rPr>
        <w:lastRenderedPageBreak/>
        <w:t>health education are also critical to maintaining progress. With the current civil war in Sudan, individuals in these camps may move back to South Sudan; following interventions by the Sudan TCP, this vulnerable population has a considerably lower burden of trachoma.</w:t>
      </w:r>
    </w:p>
    <w:p w14:paraId="0F10BF84"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25-A-2846-ASTMH</w:t>
      </w:r>
    </w:p>
    <w:p w14:paraId="108FE1E1"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7AD92DAE"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Irrigated Landscapes Support Stable </w:t>
      </w:r>
      <w:r w:rsidRPr="00AF28B8">
        <w:rPr>
          <w:rFonts w:ascii="Calibri" w:hAnsi="Calibri" w:cs="Calibri"/>
          <w:b/>
          <w:bCs/>
          <w:i/>
          <w:iCs/>
          <w:color w:val="000000"/>
          <w:sz w:val="22"/>
          <w:szCs w:val="22"/>
        </w:rPr>
        <w:t>Anopheles arabiensis </w:t>
      </w:r>
      <w:r w:rsidRPr="00AF28B8">
        <w:rPr>
          <w:rFonts w:ascii="Calibri" w:hAnsi="Calibri" w:cs="Calibri"/>
          <w:b/>
          <w:bCs/>
          <w:color w:val="000000"/>
          <w:sz w:val="22"/>
          <w:szCs w:val="22"/>
        </w:rPr>
        <w:t>Populations: Baseline Data to Guide Vector Control in the Context of Expanding Irrigation in Southern Malawi</w:t>
      </w:r>
    </w:p>
    <w:p w14:paraId="78BA6E3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Southern Malawi is endemic for malaria and faces evolving transmission risks with the planned construction of large-scale agriculture irrigation system under the Shire Valley Transformation Project (SVTP). To understand potential impacts on mosquito ecology, we conducted baseline entomological surveillance across three communities: Fombe/Jacob (existing small-scale, manually operated irrigation), Mphamba (existing large-scale commercial irrigation), and Alumenda (non-irrigated). Over 12 months, 850 </w:t>
      </w:r>
      <w:r w:rsidRPr="00AF28B8">
        <w:rPr>
          <w:rFonts w:ascii="Calibri" w:hAnsi="Calibri" w:cs="Calibri"/>
          <w:i/>
          <w:iCs/>
          <w:color w:val="000000"/>
          <w:sz w:val="22"/>
          <w:szCs w:val="22"/>
        </w:rPr>
        <w:t>Anopheles</w:t>
      </w:r>
      <w:r w:rsidRPr="00AF28B8">
        <w:rPr>
          <w:rFonts w:ascii="Calibri" w:hAnsi="Calibri" w:cs="Calibri"/>
          <w:color w:val="000000"/>
          <w:sz w:val="22"/>
          <w:szCs w:val="22"/>
        </w:rPr>
        <w:t> mosquitoes were collected using CDC light traps (2 nights/30 households/month). Proximity to irrigation significantly increased mosquito biting risk (IRR = 1.86, 95% CI: 1.53-2.25, p &lt; 0.001). </w:t>
      </w:r>
      <w:r w:rsidRPr="00AF28B8">
        <w:rPr>
          <w:rFonts w:ascii="Calibri" w:hAnsi="Calibri" w:cs="Calibri"/>
          <w:i/>
          <w:iCs/>
          <w:color w:val="000000"/>
          <w:sz w:val="22"/>
          <w:szCs w:val="22"/>
        </w:rPr>
        <w:t>An. gambiae</w:t>
      </w:r>
      <w:r w:rsidRPr="00AF28B8">
        <w:rPr>
          <w:rFonts w:ascii="Calibri" w:hAnsi="Calibri" w:cs="Calibri"/>
          <w:color w:val="000000"/>
          <w:sz w:val="22"/>
          <w:szCs w:val="22"/>
        </w:rPr>
        <w:t> s.l., predominantly </w:t>
      </w:r>
      <w:r w:rsidRPr="00AF28B8">
        <w:rPr>
          <w:rFonts w:ascii="Calibri" w:hAnsi="Calibri" w:cs="Calibri"/>
          <w:i/>
          <w:iCs/>
          <w:color w:val="000000"/>
          <w:sz w:val="22"/>
          <w:szCs w:val="22"/>
        </w:rPr>
        <w:t>An. arabiensis</w:t>
      </w:r>
      <w:r w:rsidRPr="00AF28B8">
        <w:rPr>
          <w:rFonts w:ascii="Calibri" w:hAnsi="Calibri" w:cs="Calibri"/>
          <w:color w:val="000000"/>
          <w:sz w:val="22"/>
          <w:szCs w:val="22"/>
        </w:rPr>
        <w:t> (92%), was the dominant </w:t>
      </w:r>
      <w:r w:rsidRPr="00AF28B8">
        <w:rPr>
          <w:rFonts w:ascii="Calibri" w:hAnsi="Calibri" w:cs="Calibri"/>
          <w:i/>
          <w:iCs/>
          <w:color w:val="000000"/>
          <w:sz w:val="22"/>
          <w:szCs w:val="22"/>
        </w:rPr>
        <w:t>Anopheles</w:t>
      </w:r>
      <w:r w:rsidRPr="00AF28B8">
        <w:rPr>
          <w:rFonts w:ascii="Calibri" w:hAnsi="Calibri" w:cs="Calibri"/>
          <w:color w:val="000000"/>
          <w:sz w:val="22"/>
          <w:szCs w:val="22"/>
        </w:rPr>
        <w:t> species collected. Mosquito abundance remained stable across seasons in irrigated sites. Housing characteristics also influenced the risk of mosquito exposure. In Alumenda, thatched roofs and open eaves were linked to up to sixfold increases in </w:t>
      </w:r>
      <w:r w:rsidRPr="00AF28B8">
        <w:rPr>
          <w:rFonts w:ascii="Calibri" w:hAnsi="Calibri" w:cs="Calibri"/>
          <w:i/>
          <w:iCs/>
          <w:color w:val="000000"/>
          <w:sz w:val="22"/>
          <w:szCs w:val="22"/>
        </w:rPr>
        <w:t>Anopheles</w:t>
      </w:r>
      <w:r w:rsidRPr="00AF28B8">
        <w:rPr>
          <w:rFonts w:ascii="Calibri" w:hAnsi="Calibri" w:cs="Calibri"/>
          <w:color w:val="000000"/>
          <w:sz w:val="22"/>
          <w:szCs w:val="22"/>
        </w:rPr>
        <w:t> biting density, while mud-walled houses across all sites consistently had higher mosquito counts. Blood meal analysis confirmed strong zoophilic behaviour in </w:t>
      </w:r>
      <w:r w:rsidRPr="00AF28B8">
        <w:rPr>
          <w:rFonts w:ascii="Calibri" w:hAnsi="Calibri" w:cs="Calibri"/>
          <w:i/>
          <w:iCs/>
          <w:color w:val="000000"/>
          <w:sz w:val="22"/>
          <w:szCs w:val="22"/>
        </w:rPr>
        <w:t>An. arabiensis</w:t>
      </w:r>
      <w:r w:rsidRPr="00AF28B8">
        <w:rPr>
          <w:rFonts w:ascii="Calibri" w:hAnsi="Calibri" w:cs="Calibri"/>
          <w:color w:val="000000"/>
          <w:sz w:val="22"/>
          <w:szCs w:val="22"/>
        </w:rPr>
        <w:t>, with a human blood index of 0.30 and animal blood index of 0.70 (χ² = 27.84, p &lt; 0.001). These findings suggest opportunities for integrated vector control. Housing improvements such as eave closures, screening, durable roofing, and better wall materials may complement traditional control tools. In parallel, livestock-based interventions, including targeted zooprophylaxis, could address residual transmission driven by zoophilic vectors. While the full impact of SVTP irrigation remains uncertain, our findings suggest that irrigation may eliminate seasonal variation in mosquito abundance, sustain vector populations, and extend the transmission season. This baseline provides a foundation for future risk assessment and targeted control planning as the SVTP becomes operational.</w:t>
      </w:r>
    </w:p>
    <w:p w14:paraId="2322ED27"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25-A-2847-ASTMH</w:t>
      </w:r>
    </w:p>
    <w:p w14:paraId="0DF0BB6D"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6752F84C"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Disease mapping from administrative-level data with DisagApp, a user-friendly, reproducible webapp</w:t>
      </w:r>
    </w:p>
    <w:p w14:paraId="750C622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Creating high-resolution maps of disease risk is important for many climatically driven diseases including vector-borne, zoonotic and non-communicable diseases. It is very common for disease counts to be only available aggregated to an administrative level such as the county, department or province. Using disease mapping to make high-resolution risk maps using these data can be challenging, even though high-resolution data on temperature and other environmental variables are common. We present DisagApp, a user-friendly, reproducible webapp for disease mapping with administrative-level data. Our app is carefully built to be user friendly, with an easy-to-use web interface and with modelling guidance fully integrated into the app. The app can be used either as a webapp or run locally as an R shiny app. The app collects environmental data from various sources, collates and harmonises these data, and fits disaggregation regression models. This modelling framework, implemented in the {disaggregation} R package, is a principled way to create high-resolution predictions of disease risk using administrative-level case counts and gridded covariates such as temperature and precipitation. The app can return an R script that fully reproduces the analysis allowing the user to share, extend or learn from their analysis.Disaggregation regression is a new modelling framework that has been used in mapping global malaria incidence and dengue incidence, amongst others. While the {disaggregation} package provides these analyses, it is less accessible to non- or novice R users or analysts who work in institutions with restrictive installation permissions. Therefore, this new app makes this important modelling framework much more available to the global modelling community.</w:t>
      </w:r>
    </w:p>
    <w:p w14:paraId="771F9876"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25-A-2848-ASTMH</w:t>
      </w:r>
    </w:p>
    <w:p w14:paraId="1228DC95"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44A3016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Preliminary result on the Prevalence of </w:t>
      </w:r>
      <w:r w:rsidRPr="00AF28B8">
        <w:rPr>
          <w:rFonts w:ascii="Calibri" w:hAnsi="Calibri" w:cs="Calibri"/>
          <w:b/>
          <w:bCs/>
          <w:i/>
          <w:iCs/>
          <w:color w:val="000000"/>
          <w:sz w:val="22"/>
          <w:szCs w:val="22"/>
        </w:rPr>
        <w:t>Salmonella</w:t>
      </w:r>
      <w:r w:rsidRPr="00AF28B8">
        <w:rPr>
          <w:rFonts w:ascii="Calibri" w:hAnsi="Calibri" w:cs="Calibri"/>
          <w:b/>
          <w:bCs/>
          <w:color w:val="000000"/>
          <w:sz w:val="22"/>
          <w:szCs w:val="22"/>
        </w:rPr>
        <w:t>, </w:t>
      </w:r>
      <w:r w:rsidRPr="00AF28B8">
        <w:rPr>
          <w:rFonts w:ascii="Calibri" w:hAnsi="Calibri" w:cs="Calibri"/>
          <w:b/>
          <w:bCs/>
          <w:i/>
          <w:iCs/>
          <w:color w:val="000000"/>
          <w:sz w:val="22"/>
          <w:szCs w:val="22"/>
        </w:rPr>
        <w:t>E. coli</w:t>
      </w:r>
      <w:r w:rsidRPr="00AF28B8">
        <w:rPr>
          <w:rFonts w:ascii="Calibri" w:hAnsi="Calibri" w:cs="Calibri"/>
          <w:b/>
          <w:bCs/>
          <w:color w:val="000000"/>
          <w:sz w:val="22"/>
          <w:szCs w:val="22"/>
        </w:rPr>
        <w:t>, and </w:t>
      </w:r>
      <w:r w:rsidRPr="00AF28B8">
        <w:rPr>
          <w:rFonts w:ascii="Calibri" w:hAnsi="Calibri" w:cs="Calibri"/>
          <w:b/>
          <w:bCs/>
          <w:i/>
          <w:iCs/>
          <w:color w:val="000000"/>
          <w:sz w:val="22"/>
          <w:szCs w:val="22"/>
        </w:rPr>
        <w:t>L. monocytogenes</w:t>
      </w:r>
      <w:r w:rsidRPr="00AF28B8">
        <w:rPr>
          <w:rFonts w:ascii="Calibri" w:hAnsi="Calibri" w:cs="Calibri"/>
          <w:b/>
          <w:bCs/>
          <w:color w:val="000000"/>
          <w:sz w:val="22"/>
          <w:szCs w:val="22"/>
        </w:rPr>
        <w:t> at One Health Interfaces in Bishoftu town, Ethiopia</w:t>
      </w:r>
    </w:p>
    <w:p w14:paraId="3C793B2F"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Keeping animals, coupled with inadequate hygiene, can facilitate the transmission of enteric bacteria across one health domain in a household setting. In Ethiopia, limited data exist on these transmissions between animals and infants. This study presents preliminary from the ongoing project “Enteric and AMR bacteria at One Health and hygiene interfaces”. Two household groups, based on animal ownership and having an infant aged 6 to 12 months, were enrolled in a cross-sectional study. A total of 648 samples comprising of animal feces, soil, infant drinking water, infant food, infant caregiver hand rinses, and infant stool samples were collected from 108 households with animals (n = 53) and without animals (n = 55) in Bishoftu, Ethiopia. The samples were tested for </w:t>
      </w:r>
      <w:r w:rsidRPr="00AF28B8">
        <w:rPr>
          <w:rFonts w:ascii="Calibri" w:hAnsi="Calibri" w:cs="Calibri"/>
          <w:i/>
          <w:iCs/>
          <w:color w:val="000000"/>
          <w:sz w:val="22"/>
          <w:szCs w:val="22"/>
        </w:rPr>
        <w:t>Salmonella</w:t>
      </w:r>
      <w:r w:rsidRPr="00AF28B8">
        <w:rPr>
          <w:rFonts w:ascii="Calibri" w:hAnsi="Calibri" w:cs="Calibri"/>
          <w:color w:val="000000"/>
          <w:sz w:val="22"/>
          <w:szCs w:val="22"/>
        </w:rPr>
        <w:t>, </w:t>
      </w:r>
      <w:r w:rsidRPr="00AF28B8">
        <w:rPr>
          <w:rFonts w:ascii="Calibri" w:hAnsi="Calibri" w:cs="Calibri"/>
          <w:i/>
          <w:iCs/>
          <w:color w:val="000000"/>
          <w:sz w:val="22"/>
          <w:szCs w:val="22"/>
        </w:rPr>
        <w:t>E. coli</w:t>
      </w:r>
      <w:r w:rsidRPr="00AF28B8">
        <w:rPr>
          <w:rFonts w:ascii="Calibri" w:hAnsi="Calibri" w:cs="Calibri"/>
          <w:color w:val="000000"/>
          <w:sz w:val="22"/>
          <w:szCs w:val="22"/>
        </w:rPr>
        <w:t>, and </w:t>
      </w:r>
      <w:r w:rsidRPr="00AF28B8">
        <w:rPr>
          <w:rFonts w:ascii="Calibri" w:hAnsi="Calibri" w:cs="Calibri"/>
          <w:i/>
          <w:iCs/>
          <w:color w:val="000000"/>
          <w:sz w:val="22"/>
          <w:szCs w:val="22"/>
        </w:rPr>
        <w:t>Listeria monocytogenes</w:t>
      </w:r>
      <w:r w:rsidRPr="00AF28B8">
        <w:rPr>
          <w:rFonts w:ascii="Calibri" w:hAnsi="Calibri" w:cs="Calibri"/>
          <w:color w:val="000000"/>
          <w:sz w:val="22"/>
          <w:szCs w:val="22"/>
        </w:rPr>
        <w:t> using culture-based detection methods. The overall prevalence of the bacteria varied across the One Health domains. </w:t>
      </w:r>
      <w:r w:rsidRPr="00AF28B8">
        <w:rPr>
          <w:rFonts w:ascii="Calibri" w:hAnsi="Calibri" w:cs="Calibri"/>
          <w:i/>
          <w:iCs/>
          <w:color w:val="000000"/>
          <w:sz w:val="22"/>
          <w:szCs w:val="22"/>
        </w:rPr>
        <w:t>E. coli</w:t>
      </w:r>
      <w:r w:rsidRPr="00AF28B8">
        <w:rPr>
          <w:rFonts w:ascii="Calibri" w:hAnsi="Calibri" w:cs="Calibri"/>
          <w:color w:val="000000"/>
          <w:sz w:val="22"/>
          <w:szCs w:val="22"/>
        </w:rPr>
        <w:t> was detected at the highest rate in infants (99.1%), followed by soil (93.5%), caregivers (89.8%), food (77.8%), and water (56.5%). </w:t>
      </w:r>
      <w:r w:rsidRPr="00AF28B8">
        <w:rPr>
          <w:rFonts w:ascii="Calibri" w:hAnsi="Calibri" w:cs="Calibri"/>
          <w:i/>
          <w:iCs/>
          <w:color w:val="000000"/>
          <w:sz w:val="22"/>
          <w:szCs w:val="22"/>
        </w:rPr>
        <w:t>Salmonella</w:t>
      </w:r>
      <w:r w:rsidRPr="00AF28B8">
        <w:rPr>
          <w:rFonts w:ascii="Calibri" w:hAnsi="Calibri" w:cs="Calibri"/>
          <w:color w:val="000000"/>
          <w:sz w:val="22"/>
          <w:szCs w:val="22"/>
        </w:rPr>
        <w:t> prevalence was 11.1%, 5.6%, 2.8%, and 1.9% in infants, soil, caregivers, and both food and water, respectively. </w:t>
      </w:r>
      <w:r w:rsidRPr="00AF28B8">
        <w:rPr>
          <w:rFonts w:ascii="Calibri" w:hAnsi="Calibri" w:cs="Calibri"/>
          <w:i/>
          <w:iCs/>
          <w:color w:val="000000"/>
          <w:sz w:val="22"/>
          <w:szCs w:val="22"/>
        </w:rPr>
        <w:t>L. monocytogenes</w:t>
      </w:r>
      <w:r w:rsidRPr="00AF28B8">
        <w:rPr>
          <w:rFonts w:ascii="Calibri" w:hAnsi="Calibri" w:cs="Calibri"/>
          <w:color w:val="000000"/>
          <w:sz w:val="22"/>
          <w:szCs w:val="22"/>
        </w:rPr>
        <w:t> was higher in infant food (15.7%) and lower in infants, soil, and water, ranging from 0.9% to 1.9%. In animals (n=53), the prevalence of </w:t>
      </w:r>
      <w:r w:rsidRPr="00AF28B8">
        <w:rPr>
          <w:rFonts w:ascii="Calibri" w:hAnsi="Calibri" w:cs="Calibri"/>
          <w:i/>
          <w:iCs/>
          <w:color w:val="000000"/>
          <w:sz w:val="22"/>
          <w:szCs w:val="22"/>
        </w:rPr>
        <w:t>E. coli,</w:t>
      </w:r>
      <w:r w:rsidRPr="00AF28B8">
        <w:rPr>
          <w:rFonts w:ascii="Calibri" w:hAnsi="Calibri" w:cs="Calibri"/>
          <w:color w:val="000000"/>
          <w:sz w:val="22"/>
          <w:szCs w:val="22"/>
        </w:rPr>
        <w:t> </w:t>
      </w:r>
      <w:r w:rsidRPr="00AF28B8">
        <w:rPr>
          <w:rFonts w:ascii="Calibri" w:hAnsi="Calibri" w:cs="Calibri"/>
          <w:i/>
          <w:iCs/>
          <w:color w:val="000000"/>
          <w:sz w:val="22"/>
          <w:szCs w:val="22"/>
        </w:rPr>
        <w:t>Salmonella and</w:t>
      </w:r>
      <w:r w:rsidRPr="00AF28B8">
        <w:rPr>
          <w:rFonts w:ascii="Calibri" w:hAnsi="Calibri" w:cs="Calibri"/>
          <w:color w:val="000000"/>
          <w:sz w:val="22"/>
          <w:szCs w:val="22"/>
        </w:rPr>
        <w:t> </w:t>
      </w:r>
      <w:r w:rsidRPr="00AF28B8">
        <w:rPr>
          <w:rFonts w:ascii="Calibri" w:hAnsi="Calibri" w:cs="Calibri"/>
          <w:i/>
          <w:iCs/>
          <w:color w:val="000000"/>
          <w:sz w:val="22"/>
          <w:szCs w:val="22"/>
        </w:rPr>
        <w:t>L. monocytogenes</w:t>
      </w:r>
      <w:r w:rsidRPr="00AF28B8">
        <w:rPr>
          <w:rFonts w:ascii="Calibri" w:hAnsi="Calibri" w:cs="Calibri"/>
          <w:color w:val="000000"/>
          <w:sz w:val="22"/>
          <w:szCs w:val="22"/>
        </w:rPr>
        <w:t> was 98.1%, 15.1% and 1.9%, respectively. The average number of samples positive for </w:t>
      </w:r>
      <w:r w:rsidRPr="00AF28B8">
        <w:rPr>
          <w:rFonts w:ascii="Calibri" w:hAnsi="Calibri" w:cs="Calibri"/>
          <w:i/>
          <w:iCs/>
          <w:color w:val="000000"/>
          <w:sz w:val="22"/>
          <w:szCs w:val="22"/>
        </w:rPr>
        <w:t>E. coli</w:t>
      </w:r>
      <w:r w:rsidRPr="00AF28B8">
        <w:rPr>
          <w:rFonts w:ascii="Calibri" w:hAnsi="Calibri" w:cs="Calibri"/>
          <w:color w:val="000000"/>
          <w:sz w:val="22"/>
          <w:szCs w:val="22"/>
        </w:rPr>
        <w:t> (4.2 for both groups), </w:t>
      </w:r>
      <w:r w:rsidRPr="00AF28B8">
        <w:rPr>
          <w:rFonts w:ascii="Calibri" w:hAnsi="Calibri" w:cs="Calibri"/>
          <w:i/>
          <w:iCs/>
          <w:color w:val="000000"/>
          <w:sz w:val="22"/>
          <w:szCs w:val="22"/>
        </w:rPr>
        <w:t>Salmonella</w:t>
      </w:r>
      <w:r w:rsidRPr="00AF28B8">
        <w:rPr>
          <w:rFonts w:ascii="Calibri" w:hAnsi="Calibri" w:cs="Calibri"/>
          <w:color w:val="000000"/>
          <w:sz w:val="22"/>
          <w:szCs w:val="22"/>
        </w:rPr>
        <w:t> (0.23 vs. 0.25), and </w:t>
      </w:r>
      <w:r w:rsidRPr="00AF28B8">
        <w:rPr>
          <w:rFonts w:ascii="Calibri" w:hAnsi="Calibri" w:cs="Calibri"/>
          <w:i/>
          <w:iCs/>
          <w:color w:val="000000"/>
          <w:sz w:val="22"/>
          <w:szCs w:val="22"/>
        </w:rPr>
        <w:t>L. monocytogenes</w:t>
      </w:r>
      <w:r w:rsidRPr="00AF28B8">
        <w:rPr>
          <w:rFonts w:ascii="Calibri" w:hAnsi="Calibri" w:cs="Calibri"/>
          <w:color w:val="000000"/>
          <w:sz w:val="22"/>
          <w:szCs w:val="22"/>
        </w:rPr>
        <w:t> (1.5 vs. 0.33) per households with and without animals were comparable. There was a statistically significant association between the prevalence of the bacteria and the sample type (P &gt; 0.05). However, the prevalences did not differ significantly between households with and without animals (P &gt; 0.05). The study showed that </w:t>
      </w:r>
      <w:r w:rsidRPr="00AF28B8">
        <w:rPr>
          <w:rFonts w:ascii="Calibri" w:hAnsi="Calibri" w:cs="Calibri"/>
          <w:i/>
          <w:iCs/>
          <w:color w:val="000000"/>
          <w:sz w:val="22"/>
          <w:szCs w:val="22"/>
        </w:rPr>
        <w:t>E. coli</w:t>
      </w:r>
      <w:r w:rsidRPr="00AF28B8">
        <w:rPr>
          <w:rFonts w:ascii="Calibri" w:hAnsi="Calibri" w:cs="Calibri"/>
          <w:color w:val="000000"/>
          <w:sz w:val="22"/>
          <w:szCs w:val="22"/>
        </w:rPr>
        <w:t> is prevalent and widespread bacteria across One Health domains, and animal ownership may not significantly contribute to the spread, suggesting the need to explore other factors like hygiene practices.</w:t>
      </w:r>
    </w:p>
    <w:p w14:paraId="11E05C75"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25-A-2849-ASTMH</w:t>
      </w:r>
    </w:p>
    <w:p w14:paraId="6747BAEF"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45DB5923"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Host blood biomarkers for the diagnosis of childhood tuberculosis: A systematic review and meta-analysis</w:t>
      </w:r>
    </w:p>
    <w:p w14:paraId="0AF7664A"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Current methods for diagnosing tuberculosis (TB) disease in children have significant limitations due to lower bacterial loads in samples and challenges in obtaining sputa. Host blood biomarkers have shown promise in adult cohorts, including some which meet the World Health Organization's (WHO) target product profile (TPP) criteria for non-sputum point-of-care tests (sensitivity ≥65%, specificity &gt;98%). The objectives of this systematic review were to 1) identify host blood biomarkers which aim to diagnose TB disease in children, and 2) to summarize biomarker diagnostic accuracy. We searched MEDLINE, Embase, Cochrane Central Register of Controlled Trials, WHO Global Index Medicus, and ClinicalTrials.gov through January 17, 2025 for studies that reported biomarkers for diagnosing TB disease in children &lt;15 years old. Biomarkers with 2x2 tables reported in ≥4 studies underwent random-effects meta-analysis with a hierarchical summary ROC model. The search yielded 2,794 studies, of which 58 met inclusion criteria and 36 underwent preliminary analysis including 17 case-control, 16 cohort, and 3 cross-sectional studies. Twenty-four (66.7%) studies were at high risk of bias. The most common biomarker classes were cytokine/protein (n=20), mRNA (n=8), and miRNA (n=4). Five individual biomarkers (cytokine n=2, miRNA n=2, C-reactive protein [CRP] n=1) and five biosignatures (cytokine n=4, miRNA n=1) met WHO TPP criteria. CRP (9 studies) and interferon-gamma inducible protein 10 (IP-10) (5 studies) underwent meta-analysis which generated summary estimates of diagnostic accuracy; CRP sensitivity 74% (95% CI 48.6-89.5%), specificity 63.4% (95% CI 38.7-82.6%), IP-10 sensitivity 84.8% (95% CI 73.3-91.9%), specificity 54.5% (95% CI 29.1-77.7%). Thus, CRP and IP-10 met WHO TPP for sensitivity, but not for specificity. Meta-analysis was limited by between-study heterogeneity. In </w:t>
      </w:r>
      <w:r w:rsidRPr="00AF28B8">
        <w:rPr>
          <w:rFonts w:ascii="Calibri" w:hAnsi="Calibri" w:cs="Calibri"/>
          <w:color w:val="000000"/>
          <w:sz w:val="22"/>
          <w:szCs w:val="22"/>
        </w:rPr>
        <w:lastRenderedPageBreak/>
        <w:t>conclusion, certain cytokines and miRNAs have good accuracy for diagnosing pediatric TB disease. Future work should aim both to identify novel biomarkers with improved diagnostic accuracy, and to implement identified biomarkers into clinical algorithms.</w:t>
      </w:r>
    </w:p>
    <w:p w14:paraId="501BDECD"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25-A-2851-ASTMH</w:t>
      </w:r>
    </w:p>
    <w:p w14:paraId="583F47F8"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0EB8EBB5"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Microbial Quality and Food Safety Practices in the Ghana School Feeding Program: The Challenges and Recommendations</w:t>
      </w:r>
    </w:p>
    <w:p w14:paraId="673746D5"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This study assessed the microbiological quality of school meals and the food safety practices of handlers under the Ghana School Feeding Program (GSFP) in selected schools. A cross-sectional study was employed to enroll a total of 60 food handlers. Microbiological analysis revealed that 51.0% of food samples met acceptable standards (≤10³ CFU/g), while 27.7% exceeded the critical threshold (&gt;10⁵ CFU/g), raising concerns about food safety. </w:t>
      </w:r>
      <w:r w:rsidRPr="00AF28B8">
        <w:rPr>
          <w:rFonts w:ascii="Calibri" w:hAnsi="Calibri" w:cs="Calibri"/>
          <w:i/>
          <w:iCs/>
          <w:color w:val="000000"/>
          <w:sz w:val="22"/>
          <w:szCs w:val="22"/>
        </w:rPr>
        <w:t>Escherichia coli</w:t>
      </w:r>
      <w:r w:rsidRPr="00AF28B8">
        <w:rPr>
          <w:rFonts w:ascii="Calibri" w:hAnsi="Calibri" w:cs="Calibri"/>
          <w:color w:val="000000"/>
          <w:sz w:val="22"/>
          <w:szCs w:val="22"/>
        </w:rPr>
        <w:t> recorded the highest mean bacterial load (9.8 × 10⁵ CFU/g), followed by </w:t>
      </w:r>
      <w:r w:rsidRPr="00AF28B8">
        <w:rPr>
          <w:rFonts w:ascii="Calibri" w:hAnsi="Calibri" w:cs="Calibri"/>
          <w:i/>
          <w:iCs/>
          <w:color w:val="000000"/>
          <w:sz w:val="22"/>
          <w:szCs w:val="22"/>
        </w:rPr>
        <w:t>Staphylococcus aureus</w:t>
      </w:r>
      <w:r w:rsidRPr="00AF28B8">
        <w:rPr>
          <w:rFonts w:ascii="Calibri" w:hAnsi="Calibri" w:cs="Calibri"/>
          <w:color w:val="000000"/>
          <w:sz w:val="22"/>
          <w:szCs w:val="22"/>
        </w:rPr>
        <w:t>, </w:t>
      </w:r>
      <w:r w:rsidRPr="00AF28B8">
        <w:rPr>
          <w:rFonts w:ascii="Calibri" w:hAnsi="Calibri" w:cs="Calibri"/>
          <w:i/>
          <w:iCs/>
          <w:color w:val="000000"/>
          <w:sz w:val="22"/>
          <w:szCs w:val="22"/>
        </w:rPr>
        <w:t>Shigella</w:t>
      </w:r>
      <w:r w:rsidRPr="00AF28B8">
        <w:rPr>
          <w:rFonts w:ascii="Calibri" w:hAnsi="Calibri" w:cs="Calibri"/>
          <w:color w:val="000000"/>
          <w:sz w:val="22"/>
          <w:szCs w:val="22"/>
        </w:rPr>
        <w:t> spp., and </w:t>
      </w:r>
      <w:r w:rsidRPr="00AF28B8">
        <w:rPr>
          <w:rFonts w:ascii="Calibri" w:hAnsi="Calibri" w:cs="Calibri"/>
          <w:i/>
          <w:iCs/>
          <w:color w:val="000000"/>
          <w:sz w:val="22"/>
          <w:szCs w:val="22"/>
        </w:rPr>
        <w:t>Salmonella</w:t>
      </w:r>
      <w:r w:rsidRPr="00AF28B8">
        <w:rPr>
          <w:rFonts w:ascii="Calibri" w:hAnsi="Calibri" w:cs="Calibri"/>
          <w:color w:val="000000"/>
          <w:sz w:val="22"/>
          <w:szCs w:val="22"/>
        </w:rPr>
        <w:t> spp., with statistically significant differences observed among food types (</w:t>
      </w:r>
      <w:r w:rsidRPr="00AF28B8">
        <w:rPr>
          <w:rFonts w:ascii="Calibri" w:hAnsi="Calibri" w:cs="Calibri"/>
          <w:i/>
          <w:iCs/>
          <w:color w:val="000000"/>
          <w:sz w:val="22"/>
          <w:szCs w:val="22"/>
        </w:rPr>
        <w:t>p</w:t>
      </w:r>
      <w:r w:rsidRPr="00AF28B8">
        <w:rPr>
          <w:rFonts w:ascii="Calibri" w:hAnsi="Calibri" w:cs="Calibri"/>
          <w:color w:val="000000"/>
          <w:sz w:val="22"/>
          <w:szCs w:val="22"/>
        </w:rPr>
        <w:t> &lt; 0.05). Sanitation and hygiene assessments highlighted key challenges, including inadequate water supply (25%), limited use of protective clothing (16.6%), and widespread pest presence (75%). Binary logistic regression analysis identified the presence of handwashing stations (OR = 0.57, </w:t>
      </w:r>
      <w:r w:rsidRPr="00AF28B8">
        <w:rPr>
          <w:rFonts w:ascii="Calibri" w:hAnsi="Calibri" w:cs="Calibri"/>
          <w:i/>
          <w:iCs/>
          <w:color w:val="000000"/>
          <w:sz w:val="22"/>
          <w:szCs w:val="22"/>
        </w:rPr>
        <w:t>p</w:t>
      </w:r>
      <w:r w:rsidRPr="00AF28B8">
        <w:rPr>
          <w:rFonts w:ascii="Calibri" w:hAnsi="Calibri" w:cs="Calibri"/>
          <w:color w:val="000000"/>
          <w:sz w:val="22"/>
          <w:szCs w:val="22"/>
        </w:rPr>
        <w:t> = 0.046), use of protective clothing (OR = 0.48, </w:t>
      </w:r>
      <w:r w:rsidRPr="00AF28B8">
        <w:rPr>
          <w:rFonts w:ascii="Calibri" w:hAnsi="Calibri" w:cs="Calibri"/>
          <w:i/>
          <w:iCs/>
          <w:color w:val="000000"/>
          <w:sz w:val="22"/>
          <w:szCs w:val="22"/>
        </w:rPr>
        <w:t>p</w:t>
      </w:r>
      <w:r w:rsidRPr="00AF28B8">
        <w:rPr>
          <w:rFonts w:ascii="Calibri" w:hAnsi="Calibri" w:cs="Calibri"/>
          <w:color w:val="000000"/>
          <w:sz w:val="22"/>
          <w:szCs w:val="22"/>
        </w:rPr>
        <w:t> = 0.035), and pest control (OR = 0.40, </w:t>
      </w:r>
      <w:r w:rsidRPr="00AF28B8">
        <w:rPr>
          <w:rFonts w:ascii="Calibri" w:hAnsi="Calibri" w:cs="Calibri"/>
          <w:i/>
          <w:iCs/>
          <w:color w:val="000000"/>
          <w:sz w:val="22"/>
          <w:szCs w:val="22"/>
        </w:rPr>
        <w:t>p</w:t>
      </w:r>
      <w:r w:rsidRPr="00AF28B8">
        <w:rPr>
          <w:rFonts w:ascii="Calibri" w:hAnsi="Calibri" w:cs="Calibri"/>
          <w:color w:val="000000"/>
          <w:sz w:val="22"/>
          <w:szCs w:val="22"/>
        </w:rPr>
        <w:t> = 0.021) as significant predictors of food safety compliance. While 96.7% of food handlers demonstrated high awareness of environmental hygiene, only 65.0% exhibited good food safety practices. Major barriers to safe food handling included insufficient training (80%), financial limitations (86.6%), and lack of personal protective equipment (91.6%). These findings underscore the urgent need for targeted training programs, improved infrastructure, and consistent monitoring to enhance food safety within the GSFP and protect the health of school children.</w:t>
      </w:r>
    </w:p>
    <w:p w14:paraId="4EA54F8A" w14:textId="77777777" w:rsidR="00FE5D1C" w:rsidRPr="00AF28B8" w:rsidRDefault="00FE5D1C" w:rsidP="00FE5D1C">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25-A-2852-ASTMH</w:t>
      </w:r>
    </w:p>
    <w:p w14:paraId="36E94C22" w14:textId="77777777" w:rsidR="00FE5D1C" w:rsidRPr="00AF28B8" w:rsidRDefault="00FE5D1C" w:rsidP="00FE5D1C">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2F1A7684" w14:textId="77777777" w:rsidR="00FE5D1C" w:rsidRPr="00AF28B8" w:rsidRDefault="00FE5D1C" w:rsidP="00FE5D1C">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Phylogenetic analysis, mutation characterization, and comparison with vaccine reference strains of influenza HA protein sequences during the 2021/2022 and 2024 seasons in southwest Guatemala</w:t>
      </w:r>
    </w:p>
    <w:p w14:paraId="25416857" w14:textId="77777777" w:rsidR="00FE5D1C" w:rsidRPr="00AF28B8" w:rsidRDefault="00FE5D1C" w:rsidP="00FE5D1C">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Influenza virus surface protein hemagglutinin (HA) is the primary target of antibodies that protect against influenza virus infection and disease. The viral composition of the annual influenza vaccines differ for northern (NH) and southern (SH) hemisphere seasons. Vaccine formulation for Guatemala has fluctuated between NH and SH; some years both are used. We used the MinION (Oxford Nanopore Technologies) to sequence influenza A(H3N2) and influenza B virus samples collected in southwest Guatemala from December 2021-January 2022 and January-June 2024. HA protein sequence alignment with vaccine strains was conducted. Maximum likelihood trees were generated to estimate evolutionary distance between circulating and vaccine strains and were compared using Wilcoxon sign rank test. Mutation characterization was performed using FluSurver. For 2021/2022 A(H3N2) samples (n=27), we found a mean evolutionary distance of 9.7 amino acid (AA) substitutions/100 sites compared to the SH vaccine strain and 5.9 to NH (SH to NH distance comparison p &lt; 0.0001). None of the vaccine strains (3C.2a1b.1b/3C.2a1b.2a.1a) shared clades with circulating viruses (3C.2a1b.2a.2a.3). For the 2024 A(H3N2) samples (n=33), analysis revealed a mean distance of 2.3 compared to SH and 5.2 to NH vaccine strains (SH to NH distance comparison p&lt;0.001). Sequences from this period had a shared clade (3C.2a1b.2a.2a.3a.1) with the SH vaccine strain. Mutation characterization identified one of the 2024 samples with a mutation that removes a potential glycosylation site (T151A). Influenza B virus sequences (n=9) belonged to the same clade as the vaccine viruses (V1A.3 for 2021/2022 and V1A.3a.2 for 2024). The 2021/2022 circulating sequences in the region showed more AA similarity with the NH A H3N2 compared with the SH vaccine virus sequence. In contrast, the 2024 circulating A H3N2 strains showed more AA similarity and shared the same clade with the SH vaccine virus sequence. Our data may inform </w:t>
      </w:r>
      <w:r w:rsidRPr="00AF28B8">
        <w:rPr>
          <w:rFonts w:ascii="Calibri" w:hAnsi="Calibri" w:cs="Calibri"/>
          <w:color w:val="000000"/>
          <w:sz w:val="22"/>
          <w:szCs w:val="22"/>
        </w:rPr>
        <w:lastRenderedPageBreak/>
        <w:t>a proposed Guatemala-wide analysis to evaluate if location-specific NH/SH formulation recommendations could result in a better match between vaccine viruses and circulating strains.</w:t>
      </w:r>
    </w:p>
    <w:p w14:paraId="188FCE8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25-A-2853-ASTMH</w:t>
      </w:r>
    </w:p>
    <w:p w14:paraId="5FF2AB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7BBB1E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Urbanization gradients shape </w:t>
      </w:r>
      <w:r w:rsidRPr="00FE5D1C">
        <w:rPr>
          <w:rFonts w:ascii="Calibri" w:eastAsia="Times New Roman" w:hAnsi="Calibri" w:cs="Calibri"/>
          <w:b/>
          <w:bCs/>
          <w:i/>
          <w:iCs/>
          <w:color w:val="000000"/>
          <w:kern w:val="0"/>
          <w:sz w:val="22"/>
          <w:szCs w:val="22"/>
          <w14:ligatures w14:val="none"/>
        </w:rPr>
        <w:t>Aedes</w:t>
      </w:r>
      <w:r w:rsidRPr="00FE5D1C">
        <w:rPr>
          <w:rFonts w:ascii="Calibri" w:eastAsia="Times New Roman" w:hAnsi="Calibri" w:cs="Calibri"/>
          <w:b/>
          <w:bCs/>
          <w:color w:val="000000"/>
          <w:kern w:val="0"/>
          <w:sz w:val="22"/>
          <w:szCs w:val="22"/>
          <w14:ligatures w14:val="none"/>
        </w:rPr>
        <w:t> mosquito ecology and behaviour: Age structure, host-seeking, infectivity and insecticide resistance, informing precision vector control strategies</w:t>
      </w:r>
    </w:p>
    <w:p w14:paraId="548A5E2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Urbanization significantly influences the ecology and behavior of Aedes mosquitoes, yet its impact on key factors like age structure, longevity, host-seeking, infectivity, and insecticide resistance remains poorly understood. This study characterized Aedes ecology and behaviour across an urbanization gradient in Ban Pong District, Ratchaburi Province, Thailand, from November 2023 to October 2024. Adult mosquitoes were sampled from 400 households in urban, semi-urban, semi-rural, and rural zones during dry, hot, and wet seasons. Seasonal abundance peaked in urban areas during the dry season and in rural areas during the hot season. Mean biting rates of Aedes mosquitoes ranged from 1.10 to 2.67 bites per person per hour (bph). Biting risk was higher in urban areas, particularly at 10:00 AM. Peak biting occurred in urban settings, indoors the hot season (4.25 bph) and outdoors during the wet season (2.15 bph). Parity rates, indicating mosquito age, were high both in urban areas (86.65%) and in rural areas (78.91%), representing an increased transmission potential.</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Arboviral infections in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were determined, with 0.44% and 0.55% testing positive for Dengue and Zika viruses, respectively, primarily in semi-urban and semi-rural areas during the dry season. Widespread pyrethroid resistance (mortality &lt;10%) was observed. Knockdown resistance (</w:t>
      </w:r>
      <w:r w:rsidRPr="00FE5D1C">
        <w:rPr>
          <w:rFonts w:ascii="Calibri" w:eastAsia="Times New Roman" w:hAnsi="Calibri" w:cs="Calibri"/>
          <w:i/>
          <w:iCs/>
          <w:color w:val="000000"/>
          <w:kern w:val="0"/>
          <w:sz w:val="22"/>
          <w:szCs w:val="22"/>
          <w14:ligatures w14:val="none"/>
        </w:rPr>
        <w:t>kdr</w:t>
      </w:r>
      <w:r w:rsidRPr="00FE5D1C">
        <w:rPr>
          <w:rFonts w:ascii="Calibri" w:eastAsia="Times New Roman" w:hAnsi="Calibri" w:cs="Calibri"/>
          <w:color w:val="000000"/>
          <w:kern w:val="0"/>
          <w:sz w:val="22"/>
          <w:szCs w:val="22"/>
          <w14:ligatures w14:val="none"/>
        </w:rPr>
        <w:t>) mutations (S989P, V1016G, F1534C) were identified, with allelic frequencies ranging from 0.34 to 0.75 in resistant Aedes mosquitoes. This study highlights the complex interplay between levels of urbanization, seasonality, and </w:t>
      </w:r>
      <w:r w:rsidRPr="00FE5D1C">
        <w:rPr>
          <w:rFonts w:ascii="Calibri" w:eastAsia="Times New Roman" w:hAnsi="Calibri" w:cs="Calibri"/>
          <w:i/>
          <w:iCs/>
          <w:color w:val="000000"/>
          <w:kern w:val="0"/>
          <w:sz w:val="22"/>
          <w:szCs w:val="22"/>
          <w14:ligatures w14:val="none"/>
        </w:rPr>
        <w:t>Aedes </w:t>
      </w:r>
      <w:r w:rsidRPr="00FE5D1C">
        <w:rPr>
          <w:rFonts w:ascii="Calibri" w:eastAsia="Times New Roman" w:hAnsi="Calibri" w:cs="Calibri"/>
          <w:color w:val="000000"/>
          <w:kern w:val="0"/>
          <w:sz w:val="22"/>
          <w:szCs w:val="22"/>
          <w14:ligatures w14:val="none"/>
        </w:rPr>
        <w:t>mosquito characteristics. Higher mosquito abundance, parity rates, and resistance levels in urban settings amplify biting activity and disease transmission risk, necessitating targeted interventions such as indoor residual spraying (IRS) with alternative insecticides. Rural areas require timely interventions during peak seasonal abundance, but urban areas may require interventions year-round. High levels of pyrethroid resistance underscore the need for insecticide rotation and integrated management.</w:t>
      </w:r>
    </w:p>
    <w:p w14:paraId="5B4B37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25-A-2854-ASTMH</w:t>
      </w:r>
    </w:p>
    <w:p w14:paraId="6FA731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7C1440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Impact of seasonal malaria chemoprevention on antimalarial drug resistance and the emergence of non-falciparum species in Karamoja sub-region, Uganda</w:t>
      </w:r>
    </w:p>
    <w:p w14:paraId="300366D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Significant progress in malaria control has been achieved in Africa over the last decade, largely due to increased access to proven interventions such as insecticide-treated bed-nets, indoor residual spraying of insecticides, effective case management with artemisinin-based combination therapies (ACTs), and preventive drug use in high-risk groups through intermittent preventive treatment, mass drug administration and seasonal malaria chemoprevention (SMC). In Karamoja sub-region, Uganda, SMC has been widely implemented with notable success. However, its impact on antimalarial drug resistance and the emergence of non-</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species remains unclear. We hypothesized that SMC reduces the prevalence of falciparum infections while increasing the relative proportions of non-falciparum species and markers associated with resistance to antimalarial drugs used in SMC. We conducted a cross-sectional study to determine the prevalence of non-falciparum species by polymerase chain reaction amplification of 18S ribosomal RNA genes in 260 children aged 3 months to 59 months from Moroto and Napak Districts. The MAD</w:t>
      </w:r>
      <w:r w:rsidRPr="00FE5D1C">
        <w:rPr>
          <w:rFonts w:ascii="Calibri" w:eastAsia="Times New Roman" w:hAnsi="Calibri" w:cs="Calibri"/>
          <w:color w:val="000000"/>
          <w:kern w:val="0"/>
          <w:sz w:val="22"/>
          <w:szCs w:val="22"/>
          <w:vertAlign w:val="superscript"/>
          <w14:ligatures w14:val="none"/>
        </w:rPr>
        <w:t>4</w:t>
      </w:r>
      <w:r w:rsidRPr="00FE5D1C">
        <w:rPr>
          <w:rFonts w:ascii="Calibri" w:eastAsia="Times New Roman" w:hAnsi="Calibri" w:cs="Calibri"/>
          <w:color w:val="000000"/>
          <w:kern w:val="0"/>
          <w:sz w:val="22"/>
          <w:szCs w:val="22"/>
          <w14:ligatures w14:val="none"/>
        </w:rPr>
        <w:t>HatTeR sequencing protocol was used to genotype mutations associated with resistance to antimalarial drugs in 26 falciparum parasite isolates. Samples with very low parasitemia were not detected. At baseline,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xml:space="preserve"> prevalence was 1.5% at both sites; at end-line it was 7.4% in Moroto and 0.8% in Napak. P.ovale prevalence was 0.8% at both baseline and end-line in Moroto, and 2.3% in Napak. No parasite isolate carried markers associated with high level resistance to sulphadoxine </w:t>
      </w:r>
      <w:r w:rsidRPr="00FE5D1C">
        <w:rPr>
          <w:rFonts w:ascii="Calibri" w:eastAsia="Times New Roman" w:hAnsi="Calibri" w:cs="Calibri"/>
          <w:color w:val="000000"/>
          <w:kern w:val="0"/>
          <w:sz w:val="22"/>
          <w:szCs w:val="22"/>
          <w14:ligatures w14:val="none"/>
        </w:rPr>
        <w:lastRenderedPageBreak/>
        <w:t>pyrimethamine (SP) or amodiaquine (AQ). However, the prevalence of </w:t>
      </w:r>
      <w:r w:rsidRPr="00FE5D1C">
        <w:rPr>
          <w:rFonts w:ascii="Calibri" w:eastAsia="Times New Roman" w:hAnsi="Calibri" w:cs="Calibri"/>
          <w:i/>
          <w:iCs/>
          <w:color w:val="000000"/>
          <w:kern w:val="0"/>
          <w:sz w:val="22"/>
          <w:szCs w:val="22"/>
          <w14:ligatures w14:val="none"/>
        </w:rPr>
        <w:t>Pf</w:t>
      </w:r>
      <w:r w:rsidRPr="00FE5D1C">
        <w:rPr>
          <w:rFonts w:ascii="Calibri" w:eastAsia="Times New Roman" w:hAnsi="Calibri" w:cs="Calibri"/>
          <w:color w:val="000000"/>
          <w:kern w:val="0"/>
          <w:sz w:val="22"/>
          <w:szCs w:val="22"/>
          <w14:ligatures w14:val="none"/>
        </w:rPr>
        <w:t> K13 mutations associated with partial resistance to artemisinin, P 675V and 469Y was at 16% and 28% in Napak respectively. Our data suggests a potential emergence of non-falciparum species following SMC which is likely to increase with repeated rounds. SPAQ remains effective for SMC but there is need for continued monitoring for antifolate, transporter and K13 mutations in SMC-implementing areas and neighboring communities.</w:t>
      </w:r>
    </w:p>
    <w:p w14:paraId="0D8D7F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25-A-2855-ASTMH</w:t>
      </w:r>
    </w:p>
    <w:p w14:paraId="086EB3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Vaccine Clinical Trials</w:t>
      </w:r>
    </w:p>
    <w:p w14:paraId="19D7BFE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 Open-label Phase 2 trial in Flavivirus-Naive and Dengue-Immune US Healthy Adults: Humoral and T cell Responses to a Tetravalent Dengue Vaccine (TAK-003)</w:t>
      </w:r>
    </w:p>
    <w:p w14:paraId="04EAEE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TAK-003, a tetravalent dengue vaccine, demonstrated efficacy and safety against symptomatic and hospitalized dengue in a long-term phase 3 study. Robust immune responses are associated with protection against dengue virus (DENV). This phase 2 study evaluated innate, neutralizing antibody (nAb), T cell responses and safety of TAK-003 in healthy adult participants from the USA (NCT03746015). </w:t>
      </w:r>
      <w:r w:rsidRPr="00FE5D1C">
        <w:rPr>
          <w:rFonts w:ascii="Calibri" w:eastAsia="Times New Roman" w:hAnsi="Calibri" w:cs="Calibri"/>
          <w:b/>
          <w:bCs/>
          <w:color w:val="000000"/>
          <w:kern w:val="0"/>
          <w:sz w:val="22"/>
          <w:szCs w:val="22"/>
          <w14:ligatures w14:val="none"/>
        </w:rPr>
        <w:t>Methods: </w:t>
      </w:r>
      <w:r w:rsidRPr="00FE5D1C">
        <w:rPr>
          <w:rFonts w:ascii="Calibri" w:eastAsia="Times New Roman" w:hAnsi="Calibri" w:cs="Calibri"/>
          <w:color w:val="000000"/>
          <w:kern w:val="0"/>
          <w:sz w:val="22"/>
          <w:szCs w:val="22"/>
          <w14:ligatures w14:val="none"/>
        </w:rPr>
        <w:t>22 flavivirus (FV) naive participants and 8 DENV-1 or DENV-3 immune adult participants aged 18 to ≤60 years received 2 doses of TAK-003 (days 1 and 90). The primary objective assessed the nAb response (geometric mean titers [GMT]) against each dengue serotype post vaccination (microneutralization test 50% [MNT50]). The secondary objectives assessed the magnitude (interferon-gamma enzyme-linked immunospot [IFN-γ ELISpot]) and polyfunctionality (intracellular cytokine staining) of the T cell response post vaccination, vaccine viremia and safety. Participants were followed up for a total of 12 months.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GMTs to all 4 DENV serotypes increased from baseline following vaccination and remained elevated through 12 months in FV naive and DENV-immune groups. IFN-γ ELISpot T cell responses to structural (DENV-1-4 membrane/envelope and DENV-2 capsid) and non-structural (DENV-2 NS1, NS2/4, NS3, and NS5) peptide pools were detected in both groups. The highest IFN-γ ELISpot mean magnitudes to any DENV peptide pool were observed at Day 30 (1783.6 and 3484.0 spot-forming cells/10</w:t>
      </w:r>
      <w:r w:rsidRPr="00FE5D1C">
        <w:rPr>
          <w:rFonts w:ascii="Calibri" w:eastAsia="Times New Roman" w:hAnsi="Calibri" w:cs="Calibri"/>
          <w:color w:val="000000"/>
          <w:kern w:val="0"/>
          <w:sz w:val="22"/>
          <w:szCs w:val="22"/>
          <w:vertAlign w:val="superscript"/>
          <w14:ligatures w14:val="none"/>
        </w:rPr>
        <w:t>6</w:t>
      </w:r>
      <w:r w:rsidRPr="00FE5D1C">
        <w:rPr>
          <w:rFonts w:ascii="Calibri" w:eastAsia="Times New Roman" w:hAnsi="Calibri" w:cs="Calibri"/>
          <w:color w:val="000000"/>
          <w:kern w:val="0"/>
          <w:sz w:val="22"/>
          <w:szCs w:val="22"/>
          <w14:ligatures w14:val="none"/>
        </w:rPr>
        <w:t> peripheral blood mononuclear cells for FV-naive and DENV-immune groups, respectively) and remained above baseline levels through 12 months. Durable CD4+ and CD8+ polyfunctional T cell responses to DENV-1-4 structural and DENV-2 non-structural proteins were detected. Transient vaccine RNAemia occurred after first dose and no RNAemia was detected after Day 15. TAK-003 was well tolerated, with no important safety risks identified.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These immunogenicity data support a strong immediate effect of TAK-003 vaccination on humoral and cellular immune responses in FV naive and dengue immune adult participants.</w:t>
      </w:r>
    </w:p>
    <w:p w14:paraId="43DA99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25-A-2856-ASTMH</w:t>
      </w:r>
    </w:p>
    <w:p w14:paraId="3442C8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010A8C9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Integrating parasite genomics and epidemiological data to quantify malaria importation in Southwest Uganda</w:t>
      </w:r>
    </w:p>
    <w:p w14:paraId="0CC017D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Importation of malaria parasites through human movement poses a major challenge to control efforts. In areas with ongoing transmission, it remains difficult to distinguish imported from locally acquired infections. Using parasite genomic and epidemiological data, we aim to quantify importation’s role in Kamwezi, Uganda, a region with spatial variation in burden. We enrolled 400 households into a 2-year cohort in mid-2023, collecting travel histories, malaria episode data, and blood samples during bimonthly visits. Passive surveillance at a local health facility captures symptomatic infections alongside the cohort. All confirmed symptomatic cases and cohort-based asymptomatic infections with parasite density &gt;10 parasites/µL (via qPCR) undergo multiplex amplicon sequencing across 165 loci. We calculate genetic distance to estimate relatedness and evaluate predictors of high relatedness including travel status and geographic and temporal distance between cases. To date, 9 survey rounds include 13,928 visits from 2,049 individuals, with 1,250 symptomatic cases. Epidemiological data shows the role of importation is variable, accounting for 20% of symptomatic cases during low transmission periods. Results from sequencing the first 938 symptomatic cases collected from the health facility are consistent </w:t>
      </w:r>
      <w:r w:rsidRPr="00FE5D1C">
        <w:rPr>
          <w:rFonts w:ascii="Calibri" w:eastAsia="Times New Roman" w:hAnsi="Calibri" w:cs="Calibri"/>
          <w:color w:val="000000"/>
          <w:kern w:val="0"/>
          <w:sz w:val="22"/>
          <w:szCs w:val="22"/>
          <w14:ligatures w14:val="none"/>
        </w:rPr>
        <w:lastRenderedPageBreak/>
        <w:t>with a heterogeneous role of importation. We found 6.8% of pairs were highly related, but pairs were less likely to be related if further apart in time (OR per month = 0.95, 95% CI: 0.95-0.96), space (OR per km = 0.70, 95% CI: 0.69-0.70), or if either case traveled (OR = 0.65, 95% CI: 0.57-0.74). Furthermore, spatiotemporal clustering was stronger during periods of high transmission, when a higher proportion of cases is likely to be due to local transmission, than during low transmission periods. By the conference, we will have full sequencing data to (1) assess importation’s impact on symptomatic and asymptomatic infection and (2) estimate its contribution to onward transmission. These insights are essential for designing interventions that reduce importation-driven transmission.</w:t>
      </w:r>
    </w:p>
    <w:p w14:paraId="405F08D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25-A-2857-ASTMH</w:t>
      </w:r>
    </w:p>
    <w:p w14:paraId="18E309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58FE5F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Fasciola Knowledge and Hygiene Habits Among Participants of a Cross-sectional study in the Northern and Southern Highlands of Peru</w:t>
      </w:r>
    </w:p>
    <w:p w14:paraId="3191EBB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Fascioliasis is a zoonosis of high burden in the Andes Highlands. Risk factors for human infection are related to food handling and water sanitation. From January 2023 to May 2024, we performed a cross-sectional study on the epidemiology of Fasciola infection in 18 communities of the Cusco and Cajamarca regions of the Highlands of Peru. We aimed to evaluate the association of fascioliasis with knowledge and practices of the participants regarding this infection. Participants answered a survey and provided three stool samples. Stool was tested via Kato Katz and rapid sedimentation microscopy for Fasciola. We included 1,666 participants. The average age was 16.3 years (± 9.0), 58.6 % were female, 54.4% resided in the Cusco region. The fascioliasis prevalence was 3%. Non-infected participants were more likely to prepare food with water from irrigation canals (p=0.048) and prepare meals with uncooked herbs (p=0.001) as compared to infected individuals. No significant differences were found in those that reported access to safe drinking water (p=0.089), safe excreta disposal (p=0.769), or in Fasciola knowledge scores (p= 0.501) between infected and non-infected individuals. Evaluation of fascioliasis risk based on median livestock prevalence (37.3%, IQR 24-47) using logistic regression demonstrated that those living in high risk locations were less likely to drink water piped inside their homes (OR 0.43 95%CI 0.28-0.66, p&lt; 0.001) and to prepare food with raw herbs (OR 0.57 95% CI 0.42-0.78, p &lt; 0.001), but more likely to obtain water from pipes outside the home (OR 2.30 95%CI 1.78-2.96, p &lt; 0.001), drink from irrigation canals (OR 1.56 95%CI 1.22-2.01, p &lt; 0.001), buy herbs at the market (OR 1.54 95%CI 1.01-2.35, p 0.047), and use herbs found on the field for medication purposes (OR 1.31, 95%CI 1.05-1.66, p 0.018) as compared to those living in low risk areas. Differences in knowledge and cultural practices heavily influence fascioliasis risk in the Southern and Northern Highlands of Peru. Further research is needed to explore how education and changes in food handling and sanitation can translate into sustained Fasciola preventive practices.</w:t>
      </w:r>
    </w:p>
    <w:p w14:paraId="460C8B7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25-A-2858-ASTMH</w:t>
      </w:r>
    </w:p>
    <w:p w14:paraId="6A4F591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Security/Emerging Infection Preparedness, Surveillance and Response(s)</w:t>
      </w:r>
    </w:p>
    <w:p w14:paraId="01192FF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Reaching special populations in South Sudan: Experiences from mass drug administration in cattle camps</w:t>
      </w:r>
    </w:p>
    <w:p w14:paraId="3E5270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Trachoma Control Programs (TCP) implement mass drug administration (MDA) campaigns at the village level to interrupt transmission and reduce disease burden. In agreement with the World Health Organization’s guidelines, treatment coverage of &gt;80% among the eligible population is recommended. In Kapoeta East (KEC) and Kapoeta North (KNC) counties, South Sudan, with estimated populations of 193,000 and 76,000 respectively, seasonal migration among pastoral communities presents challenges for health outreach initiatives due to poor road conditions, difficulty locating mobile populations, and insecurity. The South Sudan TCP incorporates temporary cattle camps into their MDA planning in KEC and KNC. To better document population mobility and understand the role of cattle camps in achieving high coverage, the TCP collected additional information on temporary cattle camps during one MDA in KEC (Oct 2023) and 2 MDAs in KNC (Jan 2024, Sept 2024) using an Open Data Kit (ODK) based questionnaire and GPS collection. Results from KEC demonstrated that excluding cattle camps from </w:t>
      </w:r>
      <w:r w:rsidRPr="00FE5D1C">
        <w:rPr>
          <w:rFonts w:ascii="Calibri" w:eastAsia="Times New Roman" w:hAnsi="Calibri" w:cs="Calibri"/>
          <w:color w:val="000000"/>
          <w:kern w:val="0"/>
          <w:sz w:val="22"/>
          <w:szCs w:val="22"/>
          <w14:ligatures w14:val="none"/>
        </w:rPr>
        <w:lastRenderedPageBreak/>
        <w:t>MDA would miss a large portion of the population, with 11.8% of total treatments in KEC occurring in these camps. Despite commonly held beliefs that men primarily make up these camps, 38.2% of individuals treated in the camps were female and 37.9% were children under the age of 15 years. In KNC, seasonal variations were observed between the 2 time points. During the dry season (Jan 2024), camps were more abundant (n=58), farther from home communities, and accounted for 7.4% of treatments. In contrast, during the late wet season (Sept 2024), camps were fewer (n=8), closer to home communities, and contributed to &lt;1% of treatments. In the September MDA, pastoralists reported spending multiple months away from their home communities and visiting &gt;3 camps during their travels. These results highlight the importance of incorporating seasonal migration patterns into MDA planning to ensure high treatment coverage. In addition, as climate change may increase migration frequency and distance, understanding these dynamics will be essential for reaching mobile populations.</w:t>
      </w:r>
    </w:p>
    <w:p w14:paraId="7BA906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25-A-2859-ASTMH</w:t>
      </w:r>
    </w:p>
    <w:p w14:paraId="1E651AA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27BCA45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Real-time mosquito biting behavior above and below human host skin</w:t>
      </w:r>
    </w:p>
    <w:p w14:paraId="0AF909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Female mosquitoes rely on chemical and physical cues to locate hosts for blood feeding and to guide their decisions to bite. Upon landing, they explore the host skin surface and select suitable bite-sites. While surface activities exhibited by the female can be observed via high-speed videography, synchronizing these surface behaviors to real-time biting activities occurring below the skin surface remains challenging. We used high-speed videography and deep-learning video tracking analysis to describe real-time surface biting activities of </w:t>
      </w:r>
      <w:r w:rsidRPr="00FE5D1C">
        <w:rPr>
          <w:rFonts w:ascii="Calibri" w:eastAsia="Times New Roman" w:hAnsi="Calibri" w:cs="Calibri"/>
          <w:i/>
          <w:iCs/>
          <w:color w:val="000000"/>
          <w:kern w:val="0"/>
          <w:sz w:val="22"/>
          <w:szCs w:val="22"/>
          <w14:ligatures w14:val="none"/>
        </w:rPr>
        <w:t>Anopheles coluzzii </w:t>
      </w:r>
      <w:r w:rsidRPr="00FE5D1C">
        <w:rPr>
          <w:rFonts w:ascii="Calibri" w:eastAsia="Times New Roman" w:hAnsi="Calibri" w:cs="Calibri"/>
          <w:color w:val="000000"/>
          <w:kern w:val="0"/>
          <w:sz w:val="22"/>
          <w:szCs w:val="22"/>
          <w14:ligatures w14:val="none"/>
        </w:rPr>
        <w:t>females on a human host. We also used an electrophysiological assay to compare the below-skin biting profiles of wild type </w:t>
      </w:r>
      <w:r w:rsidRPr="00FE5D1C">
        <w:rPr>
          <w:rFonts w:ascii="Calibri" w:eastAsia="Times New Roman" w:hAnsi="Calibri" w:cs="Calibri"/>
          <w:i/>
          <w:iCs/>
          <w:color w:val="000000"/>
          <w:kern w:val="0"/>
          <w:sz w:val="22"/>
          <w:szCs w:val="22"/>
          <w14:ligatures w14:val="none"/>
        </w:rPr>
        <w:t>An. coluzzii</w:t>
      </w:r>
      <w:r w:rsidRPr="00FE5D1C">
        <w:rPr>
          <w:rFonts w:ascii="Calibri" w:eastAsia="Times New Roman" w:hAnsi="Calibri" w:cs="Calibri"/>
          <w:color w:val="000000"/>
          <w:kern w:val="0"/>
          <w:sz w:val="22"/>
          <w:szCs w:val="22"/>
          <w14:ligatures w14:val="none"/>
        </w:rPr>
        <w:t> mosquitoes to sensory-impaired mutant counterparts (</w:t>
      </w:r>
      <w:r w:rsidRPr="00FE5D1C">
        <w:rPr>
          <w:rFonts w:ascii="Calibri" w:eastAsia="Times New Roman" w:hAnsi="Calibri" w:cs="Calibri"/>
          <w:i/>
          <w:iCs/>
          <w:color w:val="000000"/>
          <w:kern w:val="0"/>
          <w:sz w:val="22"/>
          <w:szCs w:val="22"/>
          <w14:ligatures w14:val="none"/>
        </w:rPr>
        <w:t>orco</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IR76b</w:t>
      </w:r>
      <w:r w:rsidRPr="00FE5D1C">
        <w:rPr>
          <w:rFonts w:ascii="Calibri" w:eastAsia="Times New Roman" w:hAnsi="Calibri" w:cs="Calibri"/>
          <w:color w:val="000000"/>
          <w:kern w:val="0"/>
          <w:sz w:val="22"/>
          <w:szCs w:val="22"/>
          <w14:ligatures w14:val="none"/>
        </w:rPr>
        <w:t> co-receptors mutants). We compared genera-specific biting behaviors of wild type </w:t>
      </w:r>
      <w:r w:rsidRPr="00FE5D1C">
        <w:rPr>
          <w:rFonts w:ascii="Calibri" w:eastAsia="Times New Roman" w:hAnsi="Calibri" w:cs="Calibri"/>
          <w:i/>
          <w:iCs/>
          <w:color w:val="000000"/>
          <w:kern w:val="0"/>
          <w:sz w:val="22"/>
          <w:szCs w:val="22"/>
          <w14:ligatures w14:val="none"/>
        </w:rPr>
        <w:t>An. coluzzii</w:t>
      </w:r>
      <w:r w:rsidRPr="00FE5D1C">
        <w:rPr>
          <w:rFonts w:ascii="Calibri" w:eastAsia="Times New Roman" w:hAnsi="Calibri" w:cs="Calibri"/>
          <w:color w:val="000000"/>
          <w:kern w:val="0"/>
          <w:sz w:val="22"/>
          <w:szCs w:val="22"/>
          <w14:ligatures w14:val="none"/>
        </w:rPr>
        <w:t> (malaria vector) and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(non-malaria vector) mosquitoes, which might have developed unique biting strategies since their divergence &gt;150 mya. Surface body-part tracking of high-speed videography revealed distinct mouthpart-leg coordination during probing of the host skin. Using a computational analysis pipeline of the electrophysiological results, we confirmed 5 distinct components of mosquito biting behavior below the human host skin surface: skin piercing, blood vessel searching, blood ingestion, mouthpart retraction, and full mouthpart withdrawal. Temporal analysis of the electronic biting profiles indicated the duration of certain phases differed between the mosquito genera (faster piercing, searching, and withdrawal in </w:t>
      </w:r>
      <w:r w:rsidRPr="00FE5D1C">
        <w:rPr>
          <w:rFonts w:ascii="Calibri" w:eastAsia="Times New Roman" w:hAnsi="Calibri" w:cs="Calibri"/>
          <w:i/>
          <w:iCs/>
          <w:color w:val="000000"/>
          <w:kern w:val="0"/>
          <w:sz w:val="22"/>
          <w:szCs w:val="22"/>
          <w14:ligatures w14:val="none"/>
        </w:rPr>
        <w:t>An. coluzzii</w:t>
      </w:r>
      <w:r w:rsidRPr="00FE5D1C">
        <w:rPr>
          <w:rFonts w:ascii="Calibri" w:eastAsia="Times New Roman" w:hAnsi="Calibri" w:cs="Calibri"/>
          <w:color w:val="000000"/>
          <w:kern w:val="0"/>
          <w:sz w:val="22"/>
          <w:szCs w:val="22"/>
          <w14:ligatures w14:val="none"/>
        </w:rPr>
        <w:t> vs.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Time-series feature analysis comparing shapes of biting phases revealed genera-specific and genotype-specific differences in the skin piercing, blood ingestion, and mouthpart retraction patterns. These findings suggest: i) females modify certain components of their biting behavior</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when </w:t>
      </w:r>
      <w:r w:rsidRPr="00FE5D1C">
        <w:rPr>
          <w:rFonts w:ascii="Calibri" w:eastAsia="Times New Roman" w:hAnsi="Calibri" w:cs="Calibri"/>
          <w:i/>
          <w:iCs/>
          <w:color w:val="000000"/>
          <w:kern w:val="0"/>
          <w:sz w:val="22"/>
          <w:szCs w:val="22"/>
          <w14:ligatures w14:val="none"/>
        </w:rPr>
        <w:t>orco</w:t>
      </w:r>
      <w:r w:rsidRPr="00FE5D1C">
        <w:rPr>
          <w:rFonts w:ascii="Calibri" w:eastAsia="Times New Roman" w:hAnsi="Calibri" w:cs="Calibri"/>
          <w:color w:val="000000"/>
          <w:kern w:val="0"/>
          <w:sz w:val="22"/>
          <w:szCs w:val="22"/>
          <w14:ligatures w14:val="none"/>
        </w:rPr>
        <w:t> or </w:t>
      </w:r>
      <w:r w:rsidRPr="00FE5D1C">
        <w:rPr>
          <w:rFonts w:ascii="Calibri" w:eastAsia="Times New Roman" w:hAnsi="Calibri" w:cs="Calibri"/>
          <w:i/>
          <w:iCs/>
          <w:color w:val="000000"/>
          <w:kern w:val="0"/>
          <w:sz w:val="22"/>
          <w:szCs w:val="22"/>
          <w14:ligatures w14:val="none"/>
        </w:rPr>
        <w:t>IR76b</w:t>
      </w:r>
      <w:r w:rsidRPr="00FE5D1C">
        <w:rPr>
          <w:rFonts w:ascii="Calibri" w:eastAsia="Times New Roman" w:hAnsi="Calibri" w:cs="Calibri"/>
          <w:color w:val="000000"/>
          <w:kern w:val="0"/>
          <w:sz w:val="22"/>
          <w:szCs w:val="22"/>
          <w14:ligatures w14:val="none"/>
        </w:rPr>
        <w:t> chemosensory pathways are impaired; and ii)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Aedes</w:t>
      </w:r>
      <w:r w:rsidRPr="00FE5D1C">
        <w:rPr>
          <w:rFonts w:ascii="Calibri" w:eastAsia="Times New Roman" w:hAnsi="Calibri" w:cs="Calibri"/>
          <w:color w:val="000000"/>
          <w:kern w:val="0"/>
          <w:sz w:val="22"/>
          <w:szCs w:val="22"/>
          <w14:ligatures w14:val="none"/>
        </w:rPr>
        <w:t> mosquitoes use distinct biting strategies. These results provide new insights into the biting behaviors of mosquitoes on a human host.</w:t>
      </w:r>
    </w:p>
    <w:p w14:paraId="0EF4FF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25-A-2860-ASTMH</w:t>
      </w:r>
    </w:p>
    <w:p w14:paraId="67FC858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Epidemiology</w:t>
      </w:r>
    </w:p>
    <w:p w14:paraId="5D9CA7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Evaluating the Impact of Malaria Community Case Management in Malawi</w:t>
      </w:r>
    </w:p>
    <w:p w14:paraId="5DDD353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 2008, Malawi adopted the integrated community case management of childhood illnesses (iCCM) strategy, expanding its longstanding community health program. Under iCCM, health surveillance assistants (HSAs) provide malaria care to children under age five in areas that are hard to reach or at least 5 km from a health facility. Globally, iCCM has been shown to improve malaria outcomes through increased treatment rates and reduced delays; however, despite its many successes, iCCM impact has been uneven. Previous evaluations of roll-out in Malawi did not find increased care-seeking or substantially reduced under-five mortality. Later impact on malaria-specific outcomes has not been well characterized. This programmatic impact evaluation estimated the association of increasing iCCM with confirmed malaria hospitalizations and deaths in children under age five from 2019 through 2023 using </w:t>
      </w:r>
      <w:r w:rsidRPr="00FE5D1C">
        <w:rPr>
          <w:rFonts w:ascii="Calibri" w:eastAsia="Times New Roman" w:hAnsi="Calibri" w:cs="Calibri"/>
          <w:color w:val="000000"/>
          <w:kern w:val="0"/>
          <w:sz w:val="22"/>
          <w:szCs w:val="22"/>
          <w14:ligatures w14:val="none"/>
        </w:rPr>
        <w:lastRenderedPageBreak/>
        <w:t>a dose-response study design with routine surveillance data from DHIS2. Negative binomial regression models were estimated separately for the under-five malaria hospitalization rate and the under-five malaria death rate. The proportion of monthly under-five confirmed malaria cases detected through iCCM in each district was taken as the exposure. After adjusting for environmental covariates, malaria intervention coverage, malaria incidence, and urbanicity, each 5% increase in the percent of malaria cases detected by HSAs was associated with an 8% reduction in the under-five malaria hospitalization rate (incidence rate ratio [IRR] = 0.92, 95% credible interval [CI] = 0.89, 0.96) and a 2% reduction in the under-five malaria death rate (IRR = 0.98, 95% CI = 0.94, 1.01), though statistical evidence of the latter was weak. Our evaluation suggests increasing malaria care in the community may reduce severe disease among children under five and supports current programming. Future efforts may include improving HSA commodities supplies to enable uninterrupted malaria care, ensuring HSAs live in the communities they serve, and increasing HSA density in areas with too few malaria care providers.</w:t>
      </w:r>
    </w:p>
    <w:p w14:paraId="0A4E5F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25-A-2861-ASTMH</w:t>
      </w:r>
    </w:p>
    <w:p w14:paraId="7BB6B01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2A8E936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Impact of treatment delay and adherence on corneal abrasion healing</w:t>
      </w:r>
    </w:p>
    <w:p w14:paraId="3ABA05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Provision of antimicrobials by community health workers can reduce treatment delay and prevent corneal ulceration, but the efficacy of such programs depends on adherence. This study assesses the association between a non-healed corneal abrasion with treatment delay, as well as adherence. This is a prospective cohort study nested in the intervention arm of the Village-Integrated Eye Worker (VIEW) trial, using data collected from February 4, 2014, to October 20, 2017. Female community health volunteers (FCHVs) were trained to diagnose corneal abrasions and provide topical chloramphenicol and itraconazole. Participants were examined 3 days later for healing of corneal abrasions. FCHVs recorded participant-reported data on the time of ocular trauma and adherence to each dose of antimicrobial ointment. Of 4592 participants, 4421 had follow-up data on a total of 4564 abrasions. The mean age was 36.2 ± 18.1, and 59.5% were female. 3380 abrasions (74.1%) were diagnosed by the FCHV within 24 hours of the ocular trauma. 4529 individuals (99.2%) reported complete treatment adherence, and the remainder had partial adherence. Individuals with partial treatment adherence were 15.48 (95% CI 8.97, 26.72) times as likely to have not healed after 3 days compared to individuals with complete treatment adherence, adjusting for age, sex, visiting FCHV within 24 hours of trauma, and population density (as a marker of rural-urban status). Adjusting for age, sex, and population density, individuals who did not visit the FCHV within 24 hours of the ocular trauma were 2.36 (95% CI 1.57, 3.55) times as likely to have not healed after 3 days compared to individuals who visited the FCHV within 24 hours. Among our study population with corneal abrasions, treatment delay was associated with non-healing, providing a rationale for community-based antimicrobial prophylaxis programs to reduce the incidence of corneal ulcers in areas with a high burden of agricultural eye trauma. Imperfect treatment adherence was also associated with an increased risk of not healing, suggesting the importance of medication counseling in this setting.</w:t>
      </w:r>
    </w:p>
    <w:p w14:paraId="0D6D12B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25-A-2862-ASTMH</w:t>
      </w:r>
    </w:p>
    <w:p w14:paraId="2C748E7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0E8B233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Mathematical modeling methods describing the transmission dynamics of zoonoses using rodents as hosts : A scoping review</w:t>
      </w:r>
    </w:p>
    <w:p w14:paraId="0AD375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Rodents are recognized reservoirs for many zoonotic pathogens. Mathematical models are used to understand their role in the transmission dynamics and to better evaluate the effectiveness of response or control strategies for zoonoses. However, a consolidated synthesis of such models focusing specifically on rodents is lacking. The aim of this study was to describe which agent, parameters, types of models, and context are used in transmission dynamics models that have been used for rodent-borne zoonoses.Following PRISMA guidelines, a scoping review was conducted using PubMed, Web of Science, CAB Direct, and the Cochrane Library up to 2022, with no restriction in time or country. Studies </w:t>
      </w:r>
      <w:r w:rsidRPr="00FE5D1C">
        <w:rPr>
          <w:rFonts w:ascii="Calibri" w:eastAsia="Times New Roman" w:hAnsi="Calibri" w:cs="Calibri"/>
          <w:color w:val="000000"/>
          <w:kern w:val="0"/>
          <w:sz w:val="22"/>
          <w:szCs w:val="22"/>
          <w14:ligatures w14:val="none"/>
        </w:rPr>
        <w:lastRenderedPageBreak/>
        <w:t>reporting mathematical models of zoonotic diseases involving rodent hosts were eligible. Extracted data included pathogen type, rodent species, model type, hosts involved, and availability of data, among others. 21,315 articles were included in abstract and title screening, of which 452 were assessed in full text screening. Among them, data from 191 articles were extracted. Models included several pathogens including bacteria (n=52), viruses (n=64), protozoa (n=13), and helminths (n=20). The most frequently modeled pathogens were hantaviruses, </w:t>
      </w:r>
      <w:r w:rsidRPr="00FE5D1C">
        <w:rPr>
          <w:rFonts w:ascii="Calibri" w:eastAsia="Times New Roman" w:hAnsi="Calibri" w:cs="Calibri"/>
          <w:i/>
          <w:iCs/>
          <w:color w:val="000000"/>
          <w:kern w:val="0"/>
          <w:sz w:val="22"/>
          <w:szCs w:val="22"/>
          <w14:ligatures w14:val="none"/>
        </w:rPr>
        <w:t>Borrelia burgdorferi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Yersinia pestis. </w:t>
      </w:r>
      <w:r w:rsidRPr="00FE5D1C">
        <w:rPr>
          <w:rFonts w:ascii="Calibri" w:eastAsia="Times New Roman" w:hAnsi="Calibri" w:cs="Calibri"/>
          <w:color w:val="000000"/>
          <w:kern w:val="0"/>
          <w:sz w:val="22"/>
          <w:szCs w:val="22"/>
          <w14:ligatures w14:val="none"/>
        </w:rPr>
        <w:t>Most models were compartmental, though spatial and agent-based models were also found. Detailed extracted data will be presented only for compartmental models This scoping review emphasized important heterogeneity among modeling approaches, pathogen types, transmission modes, and the level of details reported in the studies. A standardized way of reporting mathematical model would facilitate the understanding of those models and help bridge the gap between modelers and model users such as researchers in related fields or knowledge users.</w:t>
      </w:r>
    </w:p>
    <w:p w14:paraId="6D597F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25-A-2863-ASTMH</w:t>
      </w:r>
    </w:p>
    <w:p w14:paraId="1D898E2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411F59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Antimalarial Potential of Some Synthesized Phenazine Derivatives Against </w:t>
      </w:r>
      <w:r w:rsidRPr="00FE5D1C">
        <w:rPr>
          <w:rFonts w:ascii="Calibri" w:eastAsia="Times New Roman" w:hAnsi="Calibri" w:cs="Calibri"/>
          <w:b/>
          <w:bCs/>
          <w:i/>
          <w:iCs/>
          <w:color w:val="000000"/>
          <w:kern w:val="0"/>
          <w:sz w:val="22"/>
          <w:szCs w:val="22"/>
          <w14:ligatures w14:val="none"/>
        </w:rPr>
        <w:t>Plasmodium falciparum in vitro</w:t>
      </w:r>
    </w:p>
    <w:p w14:paraId="6ABAE8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is one of the most problematic parasitic infections affecting humans especially in Sub-Saharan Africa. Due to its high morbidity and mortality, it is a threat to over 2 billion people living in areas of high incidence.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falciparum</w:t>
      </w:r>
      <w:r w:rsidRPr="00FE5D1C">
        <w:rPr>
          <w:rFonts w:ascii="Calibri" w:eastAsia="Times New Roman" w:hAnsi="Calibri" w:cs="Calibri"/>
          <w:color w:val="000000"/>
          <w:kern w:val="0"/>
          <w:sz w:val="22"/>
          <w:szCs w:val="22"/>
          <w14:ligatures w14:val="none"/>
        </w:rPr>
        <w:t>, the causative agent of this malignant form of malaria, exhibits high adaptability through mutation and has developed resistance to many types of antimalarial drugs. Consequently, the search for new and highly effective antimalarial drugs is imperative. This quest for efficient antimalarial drugs has led to an interest in phenazines as both natural and synthetic phenazines are known to possess interesting biological activities, including antimalarial activity. Twenty-one phenazines were synthesized via the reaction of β-lapachone and eight other o-quinones with four different ortho-diamines, and subsequently screened against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 vitro. All the phenazinic derivatives screened showed considerable chemo-suppression of parasitic development with pyrido and β-lapachone derivatives being the most active. Structurally, the pyrido-derivatives, which contain a nitrogen atom in the heterocyclic ring, share some similarities with chloroquine, a well-known anti-malarial drug. A structure activity relationship (SAR) was established justifying the activity of β-lapachone and pyrido derivatives due to their pyrane and hetero nitrogen ring structures. These findings pave the way for new research and development of new therapeutic agents for the treatment of malaria</w:t>
      </w:r>
      <w:r w:rsidRPr="00FE5D1C">
        <w:rPr>
          <w:rFonts w:ascii="Calibri" w:eastAsia="Times New Roman" w:hAnsi="Calibri" w:cs="Calibri"/>
          <w:i/>
          <w:iCs/>
          <w:color w:val="000000"/>
          <w:kern w:val="0"/>
          <w:sz w:val="22"/>
          <w:szCs w:val="22"/>
          <w14:ligatures w14:val="none"/>
        </w:rPr>
        <w:t>.</w:t>
      </w:r>
    </w:p>
    <w:p w14:paraId="1F685A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25-A-2865-ASTMH</w:t>
      </w:r>
    </w:p>
    <w:p w14:paraId="0172831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211BC2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Trends in Respiratory Tract Infections incidence and antimicrobial resistance in the United Arab Emirates from 2010-2022 based on a nationwide retrospective surveillance study</w:t>
      </w:r>
    </w:p>
    <w:p w14:paraId="41083EF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tract infections (RTIs) impose a significant global burden, particularly amid rising antimicrobial resistance. This retrospective observational study of RTI cases characterizes the epidemiology and resistance profiles of RTIs in the UAE from 2010 to 2022 using data from the national surveillance network. Pathogen identification and resistance profiling were performed according to CLSI guidelines.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Lower Respiratory tract Infection (LRI) incidence in the UAE was stable from 2011-2014 but increased significantly from 2015-2022 (AAPC 1.58, 95% CI 1.5:3.8). Although the incidence of </w:t>
      </w:r>
      <w:r w:rsidRPr="00FE5D1C">
        <w:rPr>
          <w:rFonts w:ascii="Calibri" w:eastAsia="Times New Roman" w:hAnsi="Calibri" w:cs="Calibri"/>
          <w:i/>
          <w:iCs/>
          <w:color w:val="000000"/>
          <w:kern w:val="0"/>
          <w:sz w:val="22"/>
          <w:szCs w:val="22"/>
          <w14:ligatures w14:val="none"/>
        </w:rPr>
        <w:t>Candida albicans</w:t>
      </w:r>
      <w:r w:rsidRPr="00FE5D1C">
        <w:rPr>
          <w:rFonts w:ascii="Calibri" w:eastAsia="Times New Roman" w:hAnsi="Calibri" w:cs="Calibri"/>
          <w:color w:val="000000"/>
          <w:kern w:val="0"/>
          <w:sz w:val="22"/>
          <w:szCs w:val="22"/>
          <w14:ligatures w14:val="none"/>
        </w:rPr>
        <w:t> increased significantly, </w:t>
      </w:r>
      <w:r w:rsidRPr="00FE5D1C">
        <w:rPr>
          <w:rFonts w:ascii="Calibri" w:eastAsia="Times New Roman" w:hAnsi="Calibri" w:cs="Calibri"/>
          <w:i/>
          <w:iCs/>
          <w:color w:val="000000"/>
          <w:kern w:val="0"/>
          <w:sz w:val="22"/>
          <w:szCs w:val="22"/>
          <w14:ligatures w14:val="none"/>
        </w:rPr>
        <w:t>Acinetobacter baumannii</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Escherichia coli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Haemophilus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influenzae </w:t>
      </w:r>
      <w:r w:rsidRPr="00FE5D1C">
        <w:rPr>
          <w:rFonts w:ascii="Calibri" w:eastAsia="Times New Roman" w:hAnsi="Calibri" w:cs="Calibri"/>
          <w:color w:val="000000"/>
          <w:kern w:val="0"/>
          <w:sz w:val="22"/>
          <w:szCs w:val="22"/>
          <w14:ligatures w14:val="none"/>
        </w:rPr>
        <w:t>declined significantly. In critical pathogens, carbapenem resistance among Enterobacterales was 22.5% overall—ranging from 4.2% in Serratia marcescens to 14.4% in Klebsiella pneumoniae—with third-generation cephalosporin resistance at 30.1% overall (62.3% in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 baumannii</w:t>
      </w:r>
      <w:r w:rsidRPr="00FE5D1C">
        <w:rPr>
          <w:rFonts w:ascii="Calibri" w:eastAsia="Times New Roman" w:hAnsi="Calibri" w:cs="Calibri"/>
          <w:color w:val="000000"/>
          <w:kern w:val="0"/>
          <w:sz w:val="22"/>
          <w:szCs w:val="22"/>
          <w14:ligatures w14:val="none"/>
        </w:rPr>
        <w:t xml:space="preserve"> exhibiting 61.0% carbapenem resistance. Among high-priority pathogens, Pseudomonas aeruginosa showed 27.4% carbapenem resistance and Enterococcus faecium 10.3% vancomycin </w:t>
      </w:r>
      <w:r w:rsidRPr="00FE5D1C">
        <w:rPr>
          <w:rFonts w:ascii="Calibri" w:eastAsia="Times New Roman" w:hAnsi="Calibri" w:cs="Calibri"/>
          <w:color w:val="000000"/>
          <w:kern w:val="0"/>
          <w:sz w:val="22"/>
          <w:szCs w:val="22"/>
          <w14:ligatures w14:val="none"/>
        </w:rPr>
        <w:lastRenderedPageBreak/>
        <w:t>resistance, while medium-priority organisms demonstrated high macrolide resistance in Streptococcus pyogenes (55.2%) and </w:t>
      </w:r>
      <w:r w:rsidRPr="00FE5D1C">
        <w:rPr>
          <w:rFonts w:ascii="Calibri" w:eastAsia="Times New Roman" w:hAnsi="Calibri" w:cs="Calibri"/>
          <w:i/>
          <w:iCs/>
          <w:color w:val="000000"/>
          <w:kern w:val="0"/>
          <w:sz w:val="22"/>
          <w:szCs w:val="22"/>
          <w14:ligatures w14:val="none"/>
        </w:rPr>
        <w:t>Streptococcus pneumoniae</w:t>
      </w:r>
      <w:r w:rsidRPr="00FE5D1C">
        <w:rPr>
          <w:rFonts w:ascii="Calibri" w:eastAsia="Times New Roman" w:hAnsi="Calibri" w:cs="Calibri"/>
          <w:color w:val="000000"/>
          <w:kern w:val="0"/>
          <w:sz w:val="22"/>
          <w:szCs w:val="22"/>
          <w14:ligatures w14:val="none"/>
        </w:rPr>
        <w:t> (56.9%). Temporal trends revealed declining resistance in </w:t>
      </w:r>
      <w:r w:rsidRPr="00FE5D1C">
        <w:rPr>
          <w:rFonts w:ascii="Calibri" w:eastAsia="Times New Roman" w:hAnsi="Calibri" w:cs="Calibri"/>
          <w:i/>
          <w:iCs/>
          <w:color w:val="000000"/>
          <w:kern w:val="0"/>
          <w:sz w:val="22"/>
          <w:szCs w:val="22"/>
          <w14:ligatures w14:val="none"/>
        </w:rPr>
        <w:t>A. baumannii</w:t>
      </w:r>
      <w:r w:rsidRPr="00FE5D1C">
        <w:rPr>
          <w:rFonts w:ascii="Calibri" w:eastAsia="Times New Roman" w:hAnsi="Calibri" w:cs="Calibri"/>
          <w:color w:val="000000"/>
          <w:kern w:val="0"/>
          <w:sz w:val="22"/>
          <w:szCs w:val="22"/>
          <w14:ligatures w14:val="none"/>
        </w:rPr>
        <w:t>, but rising carbapenem resistance in </w:t>
      </w:r>
      <w:r w:rsidRPr="00FE5D1C">
        <w:rPr>
          <w:rFonts w:ascii="Calibri" w:eastAsia="Times New Roman" w:hAnsi="Calibri" w:cs="Calibri"/>
          <w:i/>
          <w:iCs/>
          <w:color w:val="000000"/>
          <w:kern w:val="0"/>
          <w:sz w:val="22"/>
          <w:szCs w:val="22"/>
          <w14:ligatures w14:val="none"/>
        </w:rPr>
        <w:t>E. coli and</w:t>
      </w:r>
      <w:r w:rsidRPr="00FE5D1C">
        <w:rPr>
          <w:rFonts w:ascii="Calibri" w:eastAsia="Times New Roman" w:hAnsi="Calibri" w:cs="Calibri"/>
          <w:color w:val="000000"/>
          <w:kern w:val="0"/>
          <w:sz w:val="22"/>
          <w:szCs w:val="22"/>
          <w14:ligatures w14:val="none"/>
        </w:rPr>
        <w:t> MRSA prevalence . Tuberculosis, assessed separately, predominantly affected foreign nationals from South Asia and East Africa (&gt;85%) and increased significantly in Abu Dhabi (AAPC 3.38, 95% CI 1.13:6.19), with a pronounced post-pandemic surge (AAPC 18.91, 95% CI 4.05:30.91); resistance to isoniazid and rifampicin was below 15%, with multidrug resistance in &lt;5% of cases.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These findings underscore the urgent need for targeted public health interventions and robust antimicrobial stewardship to effectively manage respiratory infections and curb the spread of resistance.</w:t>
      </w:r>
    </w:p>
    <w:p w14:paraId="746460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25-A-2866-ASTMH</w:t>
      </w:r>
    </w:p>
    <w:p w14:paraId="49C6FF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Pathogenesis and Animal Models</w:t>
      </w:r>
    </w:p>
    <w:p w14:paraId="724EB8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MEG Reveals COVID-19 Related Reductions in Global Resting State Brain Activity in Nonhuman Primates</w:t>
      </w:r>
    </w:p>
    <w:p w14:paraId="510FA0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Navy Medicine Research and Development is critical to the force generation of a ready and deployable U.S. Navy by providing evidence-based approaches to define health guidelines that maximize force strength. COVID-19, caused by SARS-CoV-2, can lead to neurological complications including cognitive deficits and neurodegenerative symptoms, even without significant structural brain abnormalities. The impact of infection and potential neuroprotective effects of vaccination on brain activity remain underexplored. We investigated these effects using resting-state magnetoencephalography (MEG) in a non-human primate model. MEG, a non-invasive neurophysiological technique with sub-millisecond temporal and submillimeter spatial resolution, records biomagnetic fields generated by neural activity in real time. Using magnetic source imaging methods (MSI) such as synthetic aperture magnetometry (SAM), we mapped biomagnetic activity directly in brain space and constructed virtual electrodes (equivalent to local field potentials) for targeted brain regions. Our findings demonstrate significant reductions in global resting state activity following viral challenge in unvaccinated subjects, with substantial preservation of neural activity in animals receiving a psoralen-inactivated SARS-CoV-2 vaccine. These results establish MEG as a powerful tool for detecting subtle yet significant changes in brain function that may be overlooked by other imaging modalities and highlight vaccination's role in mitigating neurological outcomes. This study advances our understanding of vaccine-induced neuroprotection and demonstrates MEG's value for monitoring brain function in the context of viral infections.</w:t>
      </w:r>
    </w:p>
    <w:p w14:paraId="5F95344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25-A-2868-ASTMH</w:t>
      </w:r>
    </w:p>
    <w:p w14:paraId="7A02FF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Trachoma</w:t>
      </w:r>
    </w:p>
    <w:p w14:paraId="601E1E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Factors Associated with Recrudescent and Persistent Trachoma in Ethiopia and Niger: A Systematic Review and Individual Participant Data Meta-Analysis</w:t>
      </w:r>
    </w:p>
    <w:p w14:paraId="7E7D03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More than 100 million people globally are at risk of trachoma blindness. Current disease elimination initiatives target reducing the prevalence of the active trachoma sign to less than 5% in children between 1 to 9-year-olds, sustained for at least two years in the absence of ongoing antibiotic mass drug administration (MDA) in each formerly endemic evaluation unit. Despite extensive MDA, active trachoma persistence and recrudescence has remained a major challenge in some evaluation units, especially in Ethiopia and Niger. A systematic review was undertaken in 2023 to identify studies measuring TF prevalence in Niger and Ethiopia (PROSPERO: CRD42023408078). The overarching aim was to undertake individual participant data (IPD) meta-analysis to investigate factors associated with trachomatous inflammation—follicular (TF) status at individual level. The systematic review identified 1,254 records for screening, of which 42 studies were targeted for inclusion: 6 from Niger and 36 from Ethiopia. Overall, IPD was obtained from 9/36 of the studies requested from Ethiopia (n=868,459 participants, 2010-2019) and 0/6 from Niger. Harmonisation of data across studies is currently ongoing. Among 685,066 participants across all ages from 7 studies that have been consolidated to date, 47,884 (7.0%) were identified as having TF. Identification of risk factors at participant (age, sex) and household </w:t>
      </w:r>
      <w:r w:rsidRPr="00FE5D1C">
        <w:rPr>
          <w:rFonts w:ascii="Calibri" w:eastAsia="Times New Roman" w:hAnsi="Calibri" w:cs="Calibri"/>
          <w:color w:val="000000"/>
          <w:kern w:val="0"/>
          <w:sz w:val="22"/>
          <w:szCs w:val="22"/>
          <w14:ligatures w14:val="none"/>
        </w:rPr>
        <w:lastRenderedPageBreak/>
        <w:t>and community (socio-economic status, access to latrines and clean water sources) levels associated with TF is being undertaken. Multilevel regression model will be used to account for the clustering of the participants within households nested within evaluation units. This is the first IPD-MA planned in the context of trachoma aimed at investigating factors associated with TF at individual level. The analysis is expected to generate insights that will ultimately contribute towards tackling persistent and recrudescent active trachoma. First results arising from the IPD-MA will be presented at the conference.</w:t>
      </w:r>
    </w:p>
    <w:p w14:paraId="1D08BB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25-A-2869-ASTMH</w:t>
      </w:r>
    </w:p>
    <w:p w14:paraId="72FBBB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3E4D8F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Designing &amp; implementing a community-centered Seasonal Malaria Chemoprevention (SMC) pilot for optimized coverage and impact; a case study of Turkana Central, Kenya.</w:t>
      </w:r>
    </w:p>
    <w:p w14:paraId="407E7F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2022, the WHO revised the guideline to accommodate the implementation of SMC in eligible areas beyond the Sahel. Turkana County, Kenya is currently stratified as high-burden transmission zone (30% malaria prevalence), with documented seasonality in malaria cases especially amongst underfive children. In 2023, SMC was identified to be a potentially effective chemoprevention tool to address the malaria burden in Turkana Central Subcounty, targeting over 38,000 under-five children through a 5-monthly cycle of SPAQ administration. A pre-intervention formative study was conducted to provide critical insights to the design of an SMC intervention that was responsive to the needs &amp; challenges of Turkana context - an area characterized by nomadic &amp; highly mobile communities with high poverty index. Findings revealed a malaria positivity rate of 21% in Turkana Central. Qualitative studies also identified access to households by drug distributors (CHPs), stigma, &amp; acceptability as potential challenges. Formative study results were leveraged to design an SMC intervention that proactively addressed access-related issues through various delivery approaches (door-to-door, fixed points, mobile fixed points, &amp; integrated outreaches). A multi-stakeholder approach to community engagement was also adopted to engage relevant stakeholders who were identified as key to a successful campaign to promote acceptance, as reported from the study. Inter-cycle assessment findings were used to inform adaptations &amp; improvements after each SMC cycle. 88% of eligible children were reached in cycle 1, 101% in cycle 2, 95% in cycle 3, 100% in cycle 4, &amp; 104% in cycle 5. End of round coverage survey revealed 71% of targeted children received all 5 cycles. Also, an end of round rapid impact evaluation study reported a 71% reduction in malaria cases following a comparative analysis of malaria incidence with a nearby Turkana North Subcounty. Despite being a novel intervention in Kenya &amp; implemented in Turkana, designing the SMC intervention to leverage formative study results helped promote acceptance, achieve optimal impact and maximized coverage across all 5 cycles.</w:t>
      </w:r>
    </w:p>
    <w:p w14:paraId="4FDBAF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25-A-2871-ASTMH</w:t>
      </w:r>
    </w:p>
    <w:p w14:paraId="39F001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476625B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MAYV-IRES is a safe and effective vaccine to prevent Mayaro virus disease</w:t>
      </w:r>
    </w:p>
    <w:p w14:paraId="34C0F7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Mayaro virus (MAYV) is an emerging global pathogen. An arthritogenic alphavirus, it causes malaise, headache, fever, rash, swelling of the joints, arthralgia, and myalgia in infected patients. MAYV currently circulates in several South American countries as well as the greater and lesser Antilles, vectored by the arboreal </w:t>
      </w:r>
      <w:r w:rsidRPr="00FE5D1C">
        <w:rPr>
          <w:rFonts w:ascii="Calibri" w:eastAsia="Times New Roman" w:hAnsi="Calibri" w:cs="Calibri"/>
          <w:i/>
          <w:iCs/>
          <w:color w:val="000000"/>
          <w:kern w:val="0"/>
          <w:sz w:val="22"/>
          <w:szCs w:val="22"/>
          <w14:ligatures w14:val="none"/>
        </w:rPr>
        <w:t>Haemagogus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janthinomys </w:t>
      </w:r>
      <w:r w:rsidRPr="00FE5D1C">
        <w:rPr>
          <w:rFonts w:ascii="Calibri" w:eastAsia="Times New Roman" w:hAnsi="Calibri" w:cs="Calibri"/>
          <w:color w:val="000000"/>
          <w:kern w:val="0"/>
          <w:sz w:val="22"/>
          <w:szCs w:val="22"/>
          <w14:ligatures w14:val="none"/>
        </w:rPr>
        <w:t>mosquitoes, where it occasionally infects humans in rural areas. However, recent studies show that it can be transmitted by urban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mosquitoes. MAYV may therefore be poised to reemerge in large urban outbreaks, like dengue and chikungunya viruses. An effective, easy-to-deliver, single-dose vaccine is urgently needed for this neglected tropical disease. We investigated the safety and efficacy of the MAYV-IRES vaccine, which is attenuated by replacing the MAYV subgenomic promoter with an Internal Ribosome Initiation Site (IRES). The IRES element allows for a low level of structural protein production in mammalian cells, facilitating viral replication, but cannot be utilized in arthropod cells, limiting accidental transmission of this live-attenuated vaccine. We therefore expected that MAYV-IRES would be unable to replicate in mosquitoes. To test this hypothesis, we intrathoracically injected </w:t>
      </w:r>
      <w:r w:rsidRPr="00FE5D1C">
        <w:rPr>
          <w:rFonts w:ascii="Calibri" w:eastAsia="Times New Roman" w:hAnsi="Calibri" w:cs="Calibri"/>
          <w:i/>
          <w:iCs/>
          <w:color w:val="000000"/>
          <w:kern w:val="0"/>
          <w:sz w:val="22"/>
          <w:szCs w:val="22"/>
          <w14:ligatures w14:val="none"/>
        </w:rPr>
        <w:t>Aedes aegypti </w:t>
      </w:r>
      <w:r w:rsidRPr="00FE5D1C">
        <w:rPr>
          <w:rFonts w:ascii="Calibri" w:eastAsia="Times New Roman" w:hAnsi="Calibri" w:cs="Calibri"/>
          <w:color w:val="000000"/>
          <w:kern w:val="0"/>
          <w:sz w:val="22"/>
          <w:szCs w:val="22"/>
          <w14:ligatures w14:val="none"/>
        </w:rPr>
        <w:t xml:space="preserve">mosquitos with MAYV-IRES and wild-type MAYV, and we </w:t>
      </w:r>
      <w:r w:rsidRPr="00FE5D1C">
        <w:rPr>
          <w:rFonts w:ascii="Calibri" w:eastAsia="Times New Roman" w:hAnsi="Calibri" w:cs="Calibri"/>
          <w:color w:val="000000"/>
          <w:kern w:val="0"/>
          <w:sz w:val="22"/>
          <w:szCs w:val="22"/>
          <w14:ligatures w14:val="none"/>
        </w:rPr>
        <w:lastRenderedPageBreak/>
        <w:t>found that MAYV-IRES failed to replicate in those mosquitoes. We next tested the efficacy of MAYV-IRES in protecting mice from challenge with wild-type MAYV. Consistent with previous studies, we found that vaccination with 10^4 PFU of MAYV-IRES induced strong levels of neutralizing antibodies and protected mice from viremia and disease. However, we also observed several features of morbidity in mice following vaccination, suggesting that MAYV-IRES may not be sufficiently attenuated for use in immunocompromised individuals. Ongoing studies will examine the durability of protection after MAYV-IRES vaccination, and future studies will work to further attenuate the MAYV-IRES vaccine without compromising its efficacy.</w:t>
      </w:r>
    </w:p>
    <w:p w14:paraId="69EF61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25-A-2872-ASTMH</w:t>
      </w:r>
    </w:p>
    <w:p w14:paraId="1F69C5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37D319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One Health Perspective on Human and Canine </w:t>
      </w:r>
      <w:r w:rsidRPr="00FE5D1C">
        <w:rPr>
          <w:rFonts w:ascii="Calibri" w:eastAsia="Times New Roman" w:hAnsi="Calibri" w:cs="Calibri"/>
          <w:i/>
          <w:iCs/>
          <w:color w:val="000000"/>
          <w:kern w:val="0"/>
          <w:sz w:val="22"/>
          <w:szCs w:val="22"/>
          <w14:ligatures w14:val="none"/>
        </w:rPr>
        <w:t>Toxocara </w:t>
      </w:r>
      <w:r w:rsidRPr="00FE5D1C">
        <w:rPr>
          <w:rFonts w:ascii="Calibri" w:eastAsia="Times New Roman" w:hAnsi="Calibri" w:cs="Calibri"/>
          <w:color w:val="000000"/>
          <w:kern w:val="0"/>
          <w:sz w:val="22"/>
          <w:szCs w:val="22"/>
          <w14:ligatures w14:val="none"/>
        </w:rPr>
        <w:t>spp. Infections in Ashanti and Bono East Regions, Ghana</w:t>
      </w:r>
    </w:p>
    <w:p w14:paraId="3896A37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Toxocariasis, a zoonotic disease caused by </w:t>
      </w:r>
      <w:r w:rsidRPr="00FE5D1C">
        <w:rPr>
          <w:rFonts w:ascii="Calibri" w:eastAsia="Times New Roman" w:hAnsi="Calibri" w:cs="Calibri"/>
          <w:i/>
          <w:iCs/>
          <w:color w:val="000000"/>
          <w:kern w:val="0"/>
          <w:sz w:val="22"/>
          <w:szCs w:val="22"/>
          <w14:ligatures w14:val="none"/>
        </w:rPr>
        <w:t>Toxocara canis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T. cati</w:t>
      </w:r>
      <w:r w:rsidRPr="00FE5D1C">
        <w:rPr>
          <w:rFonts w:ascii="Calibri" w:eastAsia="Times New Roman" w:hAnsi="Calibri" w:cs="Calibri"/>
          <w:color w:val="000000"/>
          <w:kern w:val="0"/>
          <w:sz w:val="22"/>
          <w:szCs w:val="22"/>
          <w14:ligatures w14:val="none"/>
        </w:rPr>
        <w:t>, poses significant public health concerns, particularly in resource-limited settings. This study investigated the prevalence and risk factors of </w:t>
      </w:r>
      <w:r w:rsidRPr="00FE5D1C">
        <w:rPr>
          <w:rFonts w:ascii="Calibri" w:eastAsia="Times New Roman" w:hAnsi="Calibri" w:cs="Calibri"/>
          <w:i/>
          <w:iCs/>
          <w:color w:val="000000"/>
          <w:kern w:val="0"/>
          <w:sz w:val="22"/>
          <w:szCs w:val="22"/>
          <w14:ligatures w14:val="none"/>
        </w:rPr>
        <w:t>Toxocara</w:t>
      </w:r>
      <w:r w:rsidRPr="00FE5D1C">
        <w:rPr>
          <w:rFonts w:ascii="Calibri" w:eastAsia="Times New Roman" w:hAnsi="Calibri" w:cs="Calibri"/>
          <w:color w:val="000000"/>
          <w:kern w:val="0"/>
          <w:sz w:val="22"/>
          <w:szCs w:val="22"/>
          <w14:ligatures w14:val="none"/>
        </w:rPr>
        <w:t> spp. infections in humans and dogs in the Ashanti and Bono East regions of Ghana, adopting a One Health approach. A cross-sectional survey was conducted, involving 321 human participants and 443 dogs. Human blood samples and dog fecal samples were analyzed using ELISA and PCR to detect anti-</w:t>
      </w:r>
      <w:r w:rsidRPr="00FE5D1C">
        <w:rPr>
          <w:rFonts w:ascii="Calibri" w:eastAsia="Times New Roman" w:hAnsi="Calibri" w:cs="Calibri"/>
          <w:i/>
          <w:iCs/>
          <w:color w:val="000000"/>
          <w:kern w:val="0"/>
          <w:sz w:val="22"/>
          <w:szCs w:val="22"/>
          <w14:ligatures w14:val="none"/>
        </w:rPr>
        <w:t>Toxocara</w:t>
      </w:r>
      <w:r w:rsidRPr="00FE5D1C">
        <w:rPr>
          <w:rFonts w:ascii="Calibri" w:eastAsia="Times New Roman" w:hAnsi="Calibri" w:cs="Calibri"/>
          <w:color w:val="000000"/>
          <w:kern w:val="0"/>
          <w:sz w:val="22"/>
          <w:szCs w:val="22"/>
          <w14:ligatures w14:val="none"/>
        </w:rPr>
        <w:t> antibodies and parasite DNA, respectively. The findings revealed a human infection prevalence of 29.3%, with no significant regional variation. In contrast, canine infection prevalence was higher at 56.1%, with a significantly greater rate in the Bono East region (67.0%) compared to Ashanti (45.2%). In humans, regular contact with dogs (OR = 2.5,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0.02), frequent soil exposure (OR = 3.0,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0.03), poor nutritional status (OR = 2.8,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0.01), and infrequent deworming (OR = 4.5,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0.01) were identified as significant risk factors. Similarly, in dogs, human contact (OR = 3.2,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0.01), free-roaming behavior (OR = 2.9,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0.01), poor nutrition (OR = 2.7,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0.03), and lack of regular deworming (OR = 5.0,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&lt; 0.01) significantly increased the likelihood of infection. Infected humans exhibited elevated anemia, IgE levels and eosinophil counts, while infected dogs showed signs of ocular damage and anemia. These findings highlight the need for integrated human-animal health interventions to effectively control </w:t>
      </w:r>
      <w:r w:rsidRPr="00FE5D1C">
        <w:rPr>
          <w:rFonts w:ascii="Calibri" w:eastAsia="Times New Roman" w:hAnsi="Calibri" w:cs="Calibri"/>
          <w:i/>
          <w:iCs/>
          <w:color w:val="000000"/>
          <w:kern w:val="0"/>
          <w:sz w:val="22"/>
          <w:szCs w:val="22"/>
          <w14:ligatures w14:val="none"/>
        </w:rPr>
        <w:t>Toxocara</w:t>
      </w:r>
      <w:r w:rsidRPr="00FE5D1C">
        <w:rPr>
          <w:rFonts w:ascii="Calibri" w:eastAsia="Times New Roman" w:hAnsi="Calibri" w:cs="Calibri"/>
          <w:color w:val="000000"/>
          <w:kern w:val="0"/>
          <w:sz w:val="22"/>
          <w:szCs w:val="22"/>
          <w14:ligatures w14:val="none"/>
        </w:rPr>
        <w:t> spp. transmission in endemic regions.</w:t>
      </w:r>
    </w:p>
    <w:p w14:paraId="060ADF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25-A-2873-ASTMH</w:t>
      </w:r>
    </w:p>
    <w:p w14:paraId="6A1C04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(Immunology)</w:t>
      </w:r>
    </w:p>
    <w:p w14:paraId="4FE3FDA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Investigating Co-exposure to Neglected Tropical Diseases: Preliminary Results from Senegal</w:t>
      </w:r>
    </w:p>
    <w:p w14:paraId="7887DB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Neglected tropical diseases (NTDs) are diverse conditions caused by multiple pathogens with severe health and socio-economic impact. NTDs affect an estimated 1.5 billion people and cause over 534,000 deaths annually, of which 40% occur in Africa. In Senegal, NTDs are co-endemic and pose a significant health problem due to a lack of a universal surveillance system. This study measured the seroprevalence of 8 NTDs (Dengue, Zika, Chikungunya, Helminthiases, Schistosomiasis, Filariasis, Trachoma, and Onchocerciasis) and investigated the co-expression of antibodies as evidence of exposure to multiple pathogens. A total of 583 sera collected form patients during cross-sectional malaria surveys in Kédougou (159 in 2020, 332 in 2021) and Tambacounda (92 in 2017) regions, were analyzed for antibody responses using multiplex Luminex® technology. Correlation analyses (p &lt; 0.05) assessed antibody co-expression, and the multiplicity of seropositivity (MOS) was quantified. We found that patients exhibit both isolated and multiple antibody responses that clustered into four groups: arboviruses, microfilarial, intestinal parasites, and their interconnections with correlations ranging from 0.4 over 0.8. Overall, microfilarial seroprevalence was low (&lt;25%), while arboviral prevalence were high (40-59%). Seroprevalence of intestinal parasitic was 20-35% except for schistosomiasis which was 50%. Patients from Kédougou had higher seroprevalence and more diverse antibodies than those from Tambacounda. Overall, MOS was high (~60% poly-seropositive; mean = 4.58, SD = 2.36), with the distribution deviating significantly from normal (p ≈ 10⁻⁹). Sex differences were minimal, and adults (&gt;15 </w:t>
      </w:r>
      <w:r w:rsidRPr="00FE5D1C">
        <w:rPr>
          <w:rFonts w:ascii="Calibri" w:eastAsia="Times New Roman" w:hAnsi="Calibri" w:cs="Calibri"/>
          <w:color w:val="000000"/>
          <w:kern w:val="0"/>
          <w:sz w:val="22"/>
          <w:szCs w:val="22"/>
          <w14:ligatures w14:val="none"/>
        </w:rPr>
        <w:lastRenderedPageBreak/>
        <w:t>years) had modestly higher MOS than children (&lt;5 years). The study provided first insights into the co-circulation patterns of NTDs across time, space, sex and age groups. This underscores the complexity of pathogen exposure and reinforces the need for a multi-pathogen surveillance and coordinated context-specific interventions against NTDs in malaria endemic settings</w:t>
      </w:r>
    </w:p>
    <w:p w14:paraId="0F05F8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25-A-2874-ASTMH</w:t>
      </w:r>
    </w:p>
    <w:p w14:paraId="731DA5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537321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Lead Optimization of Novel Antimalarial Prodiginines</w:t>
      </w:r>
    </w:p>
    <w:p w14:paraId="02C60E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Natural products have long played a pivotal role in antimalarial drug discovery, providing some of the most effective treatments to date. In our ongoing efforts, we have identified and developed novel antimalarial prodiginines-a class of red-pigmented, linear and cyclic tripyrrole antibiotics produced by actinomycetes and other eubacteria. A number of prodiginines exhibited potent activity against both pan-sensitive and multi-drug resistant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strains at low nanomolar concentrations, underscoring their potential to discover new drug targets. Notably, some prodiginines achieved complete cures in </w:t>
      </w:r>
      <w:r w:rsidRPr="00FE5D1C">
        <w:rPr>
          <w:rFonts w:ascii="Calibri" w:eastAsia="Times New Roman" w:hAnsi="Calibri" w:cs="Calibri"/>
          <w:i/>
          <w:iCs/>
          <w:color w:val="000000"/>
          <w:kern w:val="0"/>
          <w:sz w:val="22"/>
          <w:szCs w:val="22"/>
          <w14:ligatures w14:val="none"/>
        </w:rPr>
        <w:t>Plasmodium yoelii</w:t>
      </w:r>
      <w:r w:rsidRPr="00FE5D1C">
        <w:rPr>
          <w:rFonts w:ascii="Calibri" w:eastAsia="Times New Roman" w:hAnsi="Calibri" w:cs="Calibri"/>
          <w:color w:val="000000"/>
          <w:kern w:val="0"/>
          <w:sz w:val="22"/>
          <w:szCs w:val="22"/>
          <w14:ligatures w14:val="none"/>
        </w:rPr>
        <w:t>-infected mice up to 28 days following a 4-day oral dosing regimen at 10‒25 mg/kg, with a few demonstrating curative efficacy after a single oral dose. Herein, we detail the lead optimization and structure-activity relationships of this chemotype, highlighting compounds with enhanced activity against both blood and liver stage malaria parasites, alongside improved metabolic and pharmacokinetic properties. Material has been reviewed by the Walter Reed Army Institute of Research. There is no objection to its presentation and/or publication. The opinions or assertions contained herein are the private views of the author, and are not to be construed as official, or as reflecting true views of the Department of the Army or the Department of Defense. Research was conducted under an IACUC-approved animal use protocol in an AAALAC International - accredited facility with a Public Health Services Animal Welfare Assurance and in compliance with the Animal Welfare Act and other federal statutes and regulations relating to laboratory animals.</w:t>
      </w:r>
    </w:p>
    <w:p w14:paraId="031EE8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25-A-2875-ASTMH</w:t>
      </w:r>
    </w:p>
    <w:p w14:paraId="53BA0D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23AF52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Application of GC</w:t>
      </w:r>
      <w:r w:rsidRPr="00FE5D1C">
        <w:rPr>
          <w:rFonts w:ascii="Calibri" w:eastAsia="Times New Roman" w:hAnsi="Calibri" w:cs="Calibri"/>
          <w:color w:val="000000"/>
          <w:kern w:val="0"/>
          <w:sz w:val="22"/>
          <w:szCs w:val="22"/>
          <w:vertAlign w:val="subscript"/>
          <w14:ligatures w14:val="none"/>
        </w:rPr>
        <w:t>3,</w:t>
      </w:r>
      <w:r w:rsidRPr="00FE5D1C">
        <w:rPr>
          <w:rFonts w:ascii="Calibri" w:eastAsia="Times New Roman" w:hAnsi="Calibri" w:cs="Calibri"/>
          <w:color w:val="000000"/>
          <w:kern w:val="0"/>
          <w:sz w:val="22"/>
          <w:szCs w:val="22"/>
          <w14:ligatures w14:val="none"/>
        </w:rPr>
        <w:t>a locus read coverage assessment tool, and machine learning to predict copy number variations of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plasmepsin-2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plasmepsin-3 </w:t>
      </w:r>
      <w:r w:rsidRPr="00FE5D1C">
        <w:rPr>
          <w:rFonts w:ascii="Calibri" w:eastAsia="Times New Roman" w:hAnsi="Calibri" w:cs="Calibri"/>
          <w:color w:val="000000"/>
          <w:kern w:val="0"/>
          <w:sz w:val="22"/>
          <w:szCs w:val="22"/>
          <w14:ligatures w14:val="none"/>
        </w:rPr>
        <w:t>among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strains</w:t>
      </w:r>
    </w:p>
    <w:p w14:paraId="180A0C9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computational tool called “Gene Coverage Count and Classification” (GC</w:t>
      </w:r>
      <w:r w:rsidRPr="00FE5D1C">
        <w:rPr>
          <w:rFonts w:ascii="Calibri" w:eastAsia="Times New Roman" w:hAnsi="Calibri" w:cs="Calibri"/>
          <w:color w:val="000000"/>
          <w:kern w:val="0"/>
          <w:sz w:val="22"/>
          <w:szCs w:val="22"/>
          <w:vertAlign w:val="subscript"/>
          <w14:ligatures w14:val="none"/>
        </w:rPr>
        <w:t>3</w:t>
      </w:r>
      <w:r w:rsidRPr="00FE5D1C">
        <w:rPr>
          <w:rFonts w:ascii="Calibri" w:eastAsia="Times New Roman" w:hAnsi="Calibri" w:cs="Calibri"/>
          <w:color w:val="000000"/>
          <w:kern w:val="0"/>
          <w:sz w:val="22"/>
          <w:szCs w:val="22"/>
          <w14:ligatures w14:val="none"/>
        </w:rPr>
        <w:t>) was developed to process genome-wide depth of coverage data from whole genome sequencing (WGS) reads. GC</w:t>
      </w:r>
      <w:r w:rsidRPr="00FE5D1C">
        <w:rPr>
          <w:rFonts w:ascii="Calibri" w:eastAsia="Times New Roman" w:hAnsi="Calibri" w:cs="Calibri"/>
          <w:color w:val="000000"/>
          <w:kern w:val="0"/>
          <w:sz w:val="22"/>
          <w:szCs w:val="22"/>
          <w:vertAlign w:val="subscript"/>
          <w14:ligatures w14:val="none"/>
        </w:rPr>
        <w:t>3</w:t>
      </w:r>
      <w:r w:rsidRPr="00FE5D1C">
        <w:rPr>
          <w:rFonts w:ascii="Calibri" w:eastAsia="Times New Roman" w:hAnsi="Calibri" w:cs="Calibri"/>
          <w:color w:val="000000"/>
          <w:kern w:val="0"/>
          <w:sz w:val="22"/>
          <w:szCs w:val="22"/>
          <w14:ligatures w14:val="none"/>
        </w:rPr>
        <w:t> was initially designed to detect gene deletions and output informative figures and tables. Additional development of GC</w:t>
      </w:r>
      <w:r w:rsidRPr="00FE5D1C">
        <w:rPr>
          <w:rFonts w:ascii="Calibri" w:eastAsia="Times New Roman" w:hAnsi="Calibri" w:cs="Calibri"/>
          <w:color w:val="000000"/>
          <w:kern w:val="0"/>
          <w:sz w:val="22"/>
          <w:szCs w:val="22"/>
          <w:vertAlign w:val="subscript"/>
          <w14:ligatures w14:val="none"/>
        </w:rPr>
        <w:t>3</w:t>
      </w:r>
      <w:r w:rsidRPr="00FE5D1C">
        <w:rPr>
          <w:rFonts w:ascii="Calibri" w:eastAsia="Times New Roman" w:hAnsi="Calibri" w:cs="Calibri"/>
          <w:color w:val="000000"/>
          <w:kern w:val="0"/>
          <w:sz w:val="22"/>
          <w:szCs w:val="22"/>
          <w14:ligatures w14:val="none"/>
        </w:rPr>
        <w:t> aims to extend its application to identify copy number variants (CNV), or gene duplications, using short-read WGS data, with a focus on CNVs linked to drug resistance loci. Specifically, we are focusing on CNVs at the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(Pf) multidrug resistant protein 1 (Pf</w:t>
      </w:r>
      <w:r w:rsidRPr="00FE5D1C">
        <w:rPr>
          <w:rFonts w:ascii="Calibri" w:eastAsia="Times New Roman" w:hAnsi="Calibri" w:cs="Calibri"/>
          <w:i/>
          <w:iCs/>
          <w:color w:val="000000"/>
          <w:kern w:val="0"/>
          <w:sz w:val="22"/>
          <w:szCs w:val="22"/>
          <w14:ligatures w14:val="none"/>
        </w:rPr>
        <w:t>mdr1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plasmepsin</w:t>
      </w:r>
      <w:r w:rsidRPr="00FE5D1C">
        <w:rPr>
          <w:rFonts w:ascii="Calibri" w:eastAsia="Times New Roman" w:hAnsi="Calibri" w:cs="Calibri"/>
          <w:color w:val="000000"/>
          <w:kern w:val="0"/>
          <w:sz w:val="22"/>
          <w:szCs w:val="22"/>
          <w14:ligatures w14:val="none"/>
        </w:rPr>
        <w:t>-2</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pm2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plasmepsin</w:t>
      </w:r>
      <w:r w:rsidRPr="00FE5D1C">
        <w:rPr>
          <w:rFonts w:ascii="Calibri" w:eastAsia="Times New Roman" w:hAnsi="Calibri" w:cs="Calibri"/>
          <w:color w:val="000000"/>
          <w:kern w:val="0"/>
          <w:sz w:val="22"/>
          <w:szCs w:val="22"/>
          <w14:ligatures w14:val="none"/>
        </w:rPr>
        <w:t>-3</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pm3</w:t>
      </w:r>
      <w:r w:rsidRPr="00FE5D1C">
        <w:rPr>
          <w:rFonts w:ascii="Calibri" w:eastAsia="Times New Roman" w:hAnsi="Calibri" w:cs="Calibri"/>
          <w:color w:val="000000"/>
          <w:kern w:val="0"/>
          <w:sz w:val="22"/>
          <w:szCs w:val="22"/>
          <w14:ligatures w14:val="none"/>
        </w:rPr>
        <w:t>) genes, which are associated with resistance to partner drugs used in some artemisinin-based combination therapies (ACTs), including mefloquine and piperaquine. These CNVs have primarily been observed in Southeast Asia, but have also been detected in sub-Saharan Africa. ACT partner drugs may be under additional selective pressure, which could lead to more rapid selection of resistance, particularly if resistance-associated CNVs already exist in a population. Preliminary work was conducted among sample set of 129 Cambodian isolates and identified 42.2%, 8.0% and 6.3% of samples with possible CNVs for </w:t>
      </w:r>
      <w:r w:rsidRPr="00FE5D1C">
        <w:rPr>
          <w:rFonts w:ascii="Calibri" w:eastAsia="Times New Roman" w:hAnsi="Calibri" w:cs="Calibri"/>
          <w:i/>
          <w:iCs/>
          <w:color w:val="000000"/>
          <w:kern w:val="0"/>
          <w:sz w:val="22"/>
          <w:szCs w:val="22"/>
          <w14:ligatures w14:val="none"/>
        </w:rPr>
        <w:t>pfmdr1</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pm2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pm3</w:t>
      </w:r>
      <w:r w:rsidRPr="00FE5D1C">
        <w:rPr>
          <w:rFonts w:ascii="Calibri" w:eastAsia="Times New Roman" w:hAnsi="Calibri" w:cs="Calibri"/>
          <w:color w:val="000000"/>
          <w:kern w:val="0"/>
          <w:sz w:val="22"/>
          <w:szCs w:val="22"/>
          <w14:ligatures w14:val="none"/>
        </w:rPr>
        <w:t>, respectively, that were previously considered negative for CNVs based on binned read counts. However, the association between WGS coverage data and CNVs is complex, requiring further modification to improve GC</w:t>
      </w:r>
      <w:r w:rsidRPr="00FE5D1C">
        <w:rPr>
          <w:rFonts w:ascii="Calibri" w:eastAsia="Times New Roman" w:hAnsi="Calibri" w:cs="Calibri"/>
          <w:color w:val="000000"/>
          <w:kern w:val="0"/>
          <w:sz w:val="22"/>
          <w:szCs w:val="22"/>
          <w:vertAlign w:val="subscript"/>
          <w14:ligatures w14:val="none"/>
        </w:rPr>
        <w:t>3</w:t>
      </w:r>
      <w:r w:rsidRPr="00FE5D1C">
        <w:rPr>
          <w:rFonts w:ascii="Calibri" w:eastAsia="Times New Roman" w:hAnsi="Calibri" w:cs="Calibri"/>
          <w:color w:val="000000"/>
          <w:kern w:val="0"/>
          <w:sz w:val="22"/>
          <w:szCs w:val="22"/>
          <w14:ligatures w14:val="none"/>
        </w:rPr>
        <w:t>’s accuracy and validity. Follow up analysis aims to expand our sample set to ~700 publicly available WGS samples from 13 malaria endemic countries in South America, Africa and Asia, and apply machine learning models to improve the prediction of CNVs. By expanding on the previous application of GC</w:t>
      </w:r>
      <w:r w:rsidRPr="00FE5D1C">
        <w:rPr>
          <w:rFonts w:ascii="Calibri" w:eastAsia="Times New Roman" w:hAnsi="Calibri" w:cs="Calibri"/>
          <w:color w:val="000000"/>
          <w:kern w:val="0"/>
          <w:sz w:val="22"/>
          <w:szCs w:val="22"/>
          <w:vertAlign w:val="subscript"/>
          <w14:ligatures w14:val="none"/>
        </w:rPr>
        <w:t>3</w:t>
      </w:r>
      <w:r w:rsidRPr="00FE5D1C">
        <w:rPr>
          <w:rFonts w:ascii="Calibri" w:eastAsia="Times New Roman" w:hAnsi="Calibri" w:cs="Calibri"/>
          <w:color w:val="000000"/>
          <w:kern w:val="0"/>
          <w:sz w:val="22"/>
          <w:szCs w:val="22"/>
          <w14:ligatures w14:val="none"/>
        </w:rPr>
        <w:t> to identify CNVs, results aim to demonstrate the feasibility of applying bioinformatics to automate accurate prediction and measure the prevalence of CNVs associated with drug resistance using WGS data.</w:t>
      </w:r>
    </w:p>
    <w:p w14:paraId="549130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25-A-2876-ASTMH</w:t>
      </w:r>
    </w:p>
    <w:p w14:paraId="61045AE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Diagnostics and Treatment</w:t>
      </w:r>
    </w:p>
    <w:p w14:paraId="7F20EA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DNA immunization for rapid generation of antibodies against </w:t>
      </w:r>
      <w:r w:rsidRPr="00FE5D1C">
        <w:rPr>
          <w:rFonts w:ascii="Calibri" w:eastAsia="Times New Roman" w:hAnsi="Calibri" w:cs="Calibri"/>
          <w:i/>
          <w:iCs/>
          <w:color w:val="000000"/>
          <w:kern w:val="0"/>
          <w:sz w:val="22"/>
          <w:szCs w:val="22"/>
          <w14:ligatures w14:val="none"/>
        </w:rPr>
        <w:t>Paragonimus kellicotti</w:t>
      </w:r>
      <w:r w:rsidRPr="00FE5D1C">
        <w:rPr>
          <w:rFonts w:ascii="Calibri" w:eastAsia="Times New Roman" w:hAnsi="Calibri" w:cs="Calibri"/>
          <w:color w:val="000000"/>
          <w:kern w:val="0"/>
          <w:sz w:val="22"/>
          <w:szCs w:val="22"/>
          <w14:ligatures w14:val="none"/>
        </w:rPr>
        <w:t> diagnostic antigens</w:t>
      </w:r>
    </w:p>
    <w:p w14:paraId="2CE13B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North American paragonimiasis is a food-borne trematode infection caused by </w:t>
      </w:r>
      <w:r w:rsidRPr="00FE5D1C">
        <w:rPr>
          <w:rFonts w:ascii="Calibri" w:eastAsia="Times New Roman" w:hAnsi="Calibri" w:cs="Calibri"/>
          <w:i/>
          <w:iCs/>
          <w:color w:val="000000"/>
          <w:kern w:val="0"/>
          <w:sz w:val="22"/>
          <w:szCs w:val="22"/>
          <w14:ligatures w14:val="none"/>
        </w:rPr>
        <w:t>Paragonimus kellicotti</w:t>
      </w:r>
      <w:r w:rsidRPr="00FE5D1C">
        <w:rPr>
          <w:rFonts w:ascii="Calibri" w:eastAsia="Times New Roman" w:hAnsi="Calibri" w:cs="Calibri"/>
          <w:color w:val="000000"/>
          <w:kern w:val="0"/>
          <w:sz w:val="22"/>
          <w:szCs w:val="22"/>
          <w14:ligatures w14:val="none"/>
        </w:rPr>
        <w:t>. While the infection can be treated with praziquantel, diagnosis is often challenging. An antigen capture assay for </w:t>
      </w:r>
      <w:r w:rsidRPr="00FE5D1C">
        <w:rPr>
          <w:rFonts w:ascii="Calibri" w:eastAsia="Times New Roman" w:hAnsi="Calibri" w:cs="Calibri"/>
          <w:i/>
          <w:iCs/>
          <w:color w:val="000000"/>
          <w:kern w:val="0"/>
          <w:sz w:val="22"/>
          <w:szCs w:val="22"/>
          <w14:ligatures w14:val="none"/>
        </w:rPr>
        <w:t>Paragonimus</w:t>
      </w:r>
      <w:r w:rsidRPr="00FE5D1C">
        <w:rPr>
          <w:rFonts w:ascii="Calibri" w:eastAsia="Times New Roman" w:hAnsi="Calibri" w:cs="Calibri"/>
          <w:color w:val="000000"/>
          <w:kern w:val="0"/>
          <w:sz w:val="22"/>
          <w:szCs w:val="22"/>
          <w14:ligatures w14:val="none"/>
        </w:rPr>
        <w:t> infections might solve the problem, but that would require specific, high affinity antibodies against a </w:t>
      </w:r>
      <w:r w:rsidRPr="00FE5D1C">
        <w:rPr>
          <w:rFonts w:ascii="Calibri" w:eastAsia="Times New Roman" w:hAnsi="Calibri" w:cs="Calibri"/>
          <w:i/>
          <w:iCs/>
          <w:color w:val="000000"/>
          <w:kern w:val="0"/>
          <w:sz w:val="22"/>
          <w:szCs w:val="22"/>
          <w14:ligatures w14:val="none"/>
        </w:rPr>
        <w:t>P. kellicotti</w:t>
      </w:r>
      <w:r w:rsidRPr="00FE5D1C">
        <w:rPr>
          <w:rFonts w:ascii="Calibri" w:eastAsia="Times New Roman" w:hAnsi="Calibri" w:cs="Calibri"/>
          <w:color w:val="000000"/>
          <w:kern w:val="0"/>
          <w:sz w:val="22"/>
          <w:szCs w:val="22"/>
          <w14:ligatures w14:val="none"/>
        </w:rPr>
        <w:t> protein. Recombinant proteins expressed in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 are not always suitable for generating specific antisera because of prokaryotic expression and co-purification of bacterial proteins. Furthermore, expression and stringent purification of recombinant antigens is often labor and time consuming. We have previously reported development of an antibody test for paragonimiasis based on a </w:t>
      </w:r>
      <w:r w:rsidRPr="00FE5D1C">
        <w:rPr>
          <w:rFonts w:ascii="Calibri" w:eastAsia="Times New Roman" w:hAnsi="Calibri" w:cs="Calibri"/>
          <w:i/>
          <w:iCs/>
          <w:color w:val="000000"/>
          <w:kern w:val="0"/>
          <w:sz w:val="22"/>
          <w:szCs w:val="22"/>
          <w14:ligatures w14:val="none"/>
        </w:rPr>
        <w:t>P. kellicotti</w:t>
      </w:r>
      <w:r w:rsidRPr="00FE5D1C">
        <w:rPr>
          <w:rFonts w:ascii="Calibri" w:eastAsia="Times New Roman" w:hAnsi="Calibri" w:cs="Calibri"/>
          <w:color w:val="000000"/>
          <w:kern w:val="0"/>
          <w:sz w:val="22"/>
          <w:szCs w:val="22"/>
          <w14:ligatures w14:val="none"/>
        </w:rPr>
        <w:t> cysteine protease (PkCp-6). In the current study we aimed to express PkCp-6 in a eukaryotic system in order to generate specific antibodies to the protein. We cloned PkCp-6 (GenBank AZZ10060.1) into the pCR3.1 DNA immunization vector (Invitrogen) and immunized 2 BALB-C mice three times, at two-week intervals, with 100 µg plasmid diluted in lactated Ringer’s solution. DNA vaccination antisera (DV-Cp-6) were used at a dilution of 1:500 for western blot and compared to results obtained with murine antibodies raised against the </w:t>
      </w:r>
      <w:r w:rsidRPr="00FE5D1C">
        <w:rPr>
          <w:rFonts w:ascii="Calibri" w:eastAsia="Times New Roman" w:hAnsi="Calibri" w:cs="Calibri"/>
          <w:i/>
          <w:iCs/>
          <w:color w:val="000000"/>
          <w:kern w:val="0"/>
          <w:sz w:val="22"/>
          <w:szCs w:val="22"/>
          <w14:ligatures w14:val="none"/>
        </w:rPr>
        <w:t>E. coli</w:t>
      </w:r>
      <w:r w:rsidRPr="00FE5D1C">
        <w:rPr>
          <w:rFonts w:ascii="Calibri" w:eastAsia="Times New Roman" w:hAnsi="Calibri" w:cs="Calibri"/>
          <w:color w:val="000000"/>
          <w:kern w:val="0"/>
          <w:sz w:val="22"/>
          <w:szCs w:val="22"/>
          <w14:ligatures w14:val="none"/>
        </w:rPr>
        <w:t>-expressed protein (EC-Cp-6). Antibodies to DV-Cp-6 recognized a single band at 37 kDa (the predicted MW for PkCp-6) in </w:t>
      </w:r>
      <w:r w:rsidRPr="00FE5D1C">
        <w:rPr>
          <w:rFonts w:ascii="Calibri" w:eastAsia="Times New Roman" w:hAnsi="Calibri" w:cs="Calibri"/>
          <w:i/>
          <w:iCs/>
          <w:color w:val="000000"/>
          <w:kern w:val="0"/>
          <w:sz w:val="22"/>
          <w:szCs w:val="22"/>
          <w14:ligatures w14:val="none"/>
        </w:rPr>
        <w:t>P. kellicotti</w:t>
      </w:r>
      <w:r w:rsidRPr="00FE5D1C">
        <w:rPr>
          <w:rFonts w:ascii="Calibri" w:eastAsia="Times New Roman" w:hAnsi="Calibri" w:cs="Calibri"/>
          <w:color w:val="000000"/>
          <w:kern w:val="0"/>
          <w:sz w:val="22"/>
          <w:szCs w:val="22"/>
          <w14:ligatures w14:val="none"/>
        </w:rPr>
        <w:t> total worm extract without any background. Antibodies to EC-Cp-6 bound to the PkCp-6 band at 37 kDa plus a nonspecific band at 23 kDa, with considerable background. The same polyclonal antisera were used to immunolocalize of Cp-6 in histological sections of adult </w:t>
      </w:r>
      <w:r w:rsidRPr="00FE5D1C">
        <w:rPr>
          <w:rFonts w:ascii="Calibri" w:eastAsia="Times New Roman" w:hAnsi="Calibri" w:cs="Calibri"/>
          <w:i/>
          <w:iCs/>
          <w:color w:val="000000"/>
          <w:kern w:val="0"/>
          <w:sz w:val="22"/>
          <w:szCs w:val="22"/>
          <w14:ligatures w14:val="none"/>
        </w:rPr>
        <w:t>P. kellicotti</w:t>
      </w:r>
      <w:r w:rsidRPr="00FE5D1C">
        <w:rPr>
          <w:rFonts w:ascii="Calibri" w:eastAsia="Times New Roman" w:hAnsi="Calibri" w:cs="Calibri"/>
          <w:color w:val="000000"/>
          <w:kern w:val="0"/>
          <w:sz w:val="22"/>
          <w:szCs w:val="22"/>
          <w14:ligatures w14:val="none"/>
        </w:rPr>
        <w:t>. Both antisera strongly labeled the outer tegument of the worm with no background at dilutions of up to 1:2000. Mice immunized with DV-Cp-6 will be used to generate monoclonal antibodies to facilitate the development of a sensitive antigen capture assay for PkCp-6. This study has shown that DNA immunization can be very helpful for rapidly generating specific antibodies for proteins that are difficult to express and purify</w:t>
      </w:r>
    </w:p>
    <w:p w14:paraId="57BDEA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25-A-2877-ASTMH</w:t>
      </w:r>
    </w:p>
    <w:p w14:paraId="2BD347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Maternal, Newborn and Child Health and Nutrition</w:t>
      </w:r>
    </w:p>
    <w:p w14:paraId="635C49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Exploring the long-term seroprevalence of SARS-CoV-2 antibodies in infants born to women with clinical or laboratory-confirmed COVID-19</w:t>
      </w:r>
    </w:p>
    <w:p w14:paraId="6676DA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Covid Pandemic exposed the vulnerability of young infants who were at high risk of severe illness with COVID-19 infections compared to older children. SARS -COVID- </w:t>
      </w:r>
      <w:r w:rsidRPr="00FE5D1C">
        <w:rPr>
          <w:rFonts w:ascii="Calibri" w:eastAsia="Times New Roman" w:hAnsi="Calibri" w:cs="Calibri"/>
          <w:color w:val="000000"/>
          <w:kern w:val="0"/>
          <w:sz w:val="22"/>
          <w:szCs w:val="22"/>
          <w:u w:val="single"/>
          <w14:ligatures w14:val="none"/>
        </w:rPr>
        <w:t>vaccination</w:t>
      </w:r>
      <w:r w:rsidRPr="00FE5D1C">
        <w:rPr>
          <w:rFonts w:ascii="Calibri" w:eastAsia="Times New Roman" w:hAnsi="Calibri" w:cs="Calibri"/>
          <w:color w:val="000000"/>
          <w:kern w:val="0"/>
          <w:sz w:val="22"/>
          <w:szCs w:val="22"/>
          <w14:ligatures w14:val="none"/>
        </w:rPr>
        <w:t> is not recommended for young infants, however it is inferred that newborns acquire maternally derived anti-SARS-CoV-2 antibodies passively through the </w:t>
      </w:r>
      <w:r w:rsidRPr="00FE5D1C">
        <w:rPr>
          <w:rFonts w:ascii="Calibri" w:eastAsia="Times New Roman" w:hAnsi="Calibri" w:cs="Calibri"/>
          <w:color w:val="000000"/>
          <w:kern w:val="0"/>
          <w:sz w:val="22"/>
          <w:szCs w:val="22"/>
          <w:u w:val="single"/>
          <w14:ligatures w14:val="none"/>
        </w:rPr>
        <w:t>placenta</w:t>
      </w:r>
      <w:r w:rsidRPr="00FE5D1C">
        <w:rPr>
          <w:rFonts w:ascii="Calibri" w:eastAsia="Times New Roman" w:hAnsi="Calibri" w:cs="Calibri"/>
          <w:color w:val="000000"/>
          <w:kern w:val="0"/>
          <w:sz w:val="22"/>
          <w:szCs w:val="22"/>
          <w14:ligatures w14:val="none"/>
        </w:rPr>
        <w:t> and breastmilk. We described the persistence of infection-induced </w:t>
      </w:r>
      <w:r w:rsidRPr="00FE5D1C">
        <w:rPr>
          <w:rFonts w:ascii="Calibri" w:eastAsia="Times New Roman" w:hAnsi="Calibri" w:cs="Calibri"/>
          <w:color w:val="000000"/>
          <w:kern w:val="0"/>
          <w:sz w:val="22"/>
          <w:szCs w:val="22"/>
          <w:u w:val="single"/>
          <w14:ligatures w14:val="none"/>
        </w:rPr>
        <w:t>maternal antibodies</w:t>
      </w:r>
      <w:r w:rsidRPr="00FE5D1C">
        <w:rPr>
          <w:rFonts w:ascii="Calibri" w:eastAsia="Times New Roman" w:hAnsi="Calibri" w:cs="Calibri"/>
          <w:color w:val="000000"/>
          <w:kern w:val="0"/>
          <w:sz w:val="22"/>
          <w:szCs w:val="22"/>
          <w14:ligatures w14:val="none"/>
        </w:rPr>
        <w:t> in infant circulation at 9-12 months of age. Methodology This was a cross-sectional study nested within the INTERCOVID multinational </w:t>
      </w:r>
      <w:r w:rsidRPr="00FE5D1C">
        <w:rPr>
          <w:rFonts w:ascii="Calibri" w:eastAsia="Times New Roman" w:hAnsi="Calibri" w:cs="Calibri"/>
          <w:color w:val="000000"/>
          <w:kern w:val="0"/>
          <w:sz w:val="22"/>
          <w:szCs w:val="22"/>
          <w:u w:val="single"/>
          <w14:ligatures w14:val="none"/>
        </w:rPr>
        <w:t>cohort study</w:t>
      </w:r>
      <w:r w:rsidRPr="00FE5D1C">
        <w:rPr>
          <w:rFonts w:ascii="Calibri" w:eastAsia="Times New Roman" w:hAnsi="Calibri" w:cs="Calibri"/>
          <w:color w:val="000000"/>
          <w:kern w:val="0"/>
          <w:sz w:val="22"/>
          <w:szCs w:val="22"/>
          <w14:ligatures w14:val="none"/>
        </w:rPr>
        <w:t> For each COVID positive pregnant woman, two unmatched consecutive COVID negative pregnant women were enrolled between April and September 2020. Women with a positive PCR test, radiographic signs consistent with COVID-19, or at least 2 predefined symptoms of COVID-19 were considered as COVID positive. For this nested cross-sectional study, all COVID positive and either one of the COVID negative participants recruited from the Aga Khan University, was approached at 9-12 months post-delivery, and maternal and infant sera were collected for antibody detection. Results Altogether, 83 pregnant mothers provided consent, of whom 32 (38.6 %) were COVID positive and 51 (61.4 %) were COVID negative. Anti-SARS-CoV-2 antibodies were present in 13 (41 %) infants born to COVID positive and 19 (39 %) infants born to COVID negative mothers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0.87). The presence of reactive antibodies in infants at follow-up was associated with </w:t>
      </w:r>
      <w:r w:rsidRPr="00FE5D1C">
        <w:rPr>
          <w:rFonts w:ascii="Calibri" w:eastAsia="Times New Roman" w:hAnsi="Calibri" w:cs="Calibri"/>
          <w:color w:val="000000"/>
          <w:kern w:val="0"/>
          <w:sz w:val="22"/>
          <w:szCs w:val="22"/>
          <w:u w:val="single"/>
          <w14:ligatures w14:val="none"/>
        </w:rPr>
        <w:t>maternal antibodies</w:t>
      </w:r>
      <w:r w:rsidRPr="00FE5D1C">
        <w:rPr>
          <w:rFonts w:ascii="Calibri" w:eastAsia="Times New Roman" w:hAnsi="Calibri" w:cs="Calibri"/>
          <w:color w:val="000000"/>
          <w:kern w:val="0"/>
          <w:sz w:val="22"/>
          <w:szCs w:val="22"/>
          <w14:ligatures w14:val="none"/>
        </w:rPr>
        <w:t> at follow-up (OR:9.50, 95 % CI:2.03-44.42;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0.004). COVID infection occurred in 3 (6 %) infants born to COVID negative mothers while no infant born to a COVID positive mother had a history of infection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 = 0.27).ConclusionThe presence of reactive anti-SARS-CoV-2 antibodies in infants at 9-12 months of age is associated with maternal seropositivity 9-12 months post-delivery rather than maternal infection during pregnancy. Further longitudinal studies are required to validate these findings and assess whether </w:t>
      </w:r>
      <w:r w:rsidRPr="00FE5D1C">
        <w:rPr>
          <w:rFonts w:ascii="Calibri" w:eastAsia="Times New Roman" w:hAnsi="Calibri" w:cs="Calibri"/>
          <w:color w:val="000000"/>
          <w:kern w:val="0"/>
          <w:sz w:val="22"/>
          <w:szCs w:val="22"/>
          <w:u w:val="single"/>
          <w14:ligatures w14:val="none"/>
        </w:rPr>
        <w:t>passive immunity</w:t>
      </w:r>
      <w:r w:rsidRPr="00FE5D1C">
        <w:rPr>
          <w:rFonts w:ascii="Calibri" w:eastAsia="Times New Roman" w:hAnsi="Calibri" w:cs="Calibri"/>
          <w:color w:val="000000"/>
          <w:kern w:val="0"/>
          <w:sz w:val="22"/>
          <w:szCs w:val="22"/>
          <w14:ligatures w14:val="none"/>
        </w:rPr>
        <w:t> in infants is protective against COVID-19 infection.</w:t>
      </w:r>
    </w:p>
    <w:p w14:paraId="78A5CA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25-A-2878-ASTMH</w:t>
      </w:r>
    </w:p>
    <w:p w14:paraId="0B51DC1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Bionomics, Behavior and Surveillance</w:t>
      </w:r>
    </w:p>
    <w:p w14:paraId="5E74DA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Size-dependent oviposition performance in a modified forced oviposition protocol for </w:t>
      </w:r>
      <w:r w:rsidRPr="00FE5D1C">
        <w:rPr>
          <w:rFonts w:ascii="Calibri" w:eastAsia="Times New Roman" w:hAnsi="Calibri" w:cs="Calibri"/>
          <w:i/>
          <w:iCs/>
          <w:color w:val="000000"/>
          <w:kern w:val="0"/>
          <w:sz w:val="22"/>
          <w:szCs w:val="22"/>
          <w14:ligatures w14:val="none"/>
        </w:rPr>
        <w:t>Culex quinquefasciatus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Aedes aegypti</w:t>
      </w:r>
    </w:p>
    <w:p w14:paraId="43EAC9C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Research in mosquito vector control heavily depends on the use of live specimens, with wild populations playing a vital role in surveillance efforts, field-based product assessments, and enhancing the precision and effectiveness of scientific studies. Despite their importance, establishing and maintaining wild mosquito colonies under laboratory conditions remains a persistent challenge. In this study, we introduce a modified forced oviposition technique adapted for two key mosquito-vector species: </w:t>
      </w:r>
      <w:r w:rsidRPr="00FE5D1C">
        <w:rPr>
          <w:rFonts w:ascii="Calibri" w:eastAsia="Times New Roman" w:hAnsi="Calibri" w:cs="Calibri"/>
          <w:i/>
          <w:iCs/>
          <w:color w:val="000000"/>
          <w:kern w:val="0"/>
          <w:sz w:val="22"/>
          <w:szCs w:val="22"/>
          <w14:ligatures w14:val="none"/>
        </w:rPr>
        <w:t>Aedes aegypti</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Culex quinquefasciatus</w:t>
      </w:r>
      <w:r w:rsidRPr="00FE5D1C">
        <w:rPr>
          <w:rFonts w:ascii="Calibri" w:eastAsia="Times New Roman" w:hAnsi="Calibri" w:cs="Calibri"/>
          <w:color w:val="000000"/>
          <w:kern w:val="0"/>
          <w:sz w:val="22"/>
          <w:szCs w:val="22"/>
          <w14:ligatures w14:val="none"/>
        </w:rPr>
        <w:t>. The method was evaluated using both laboratory-reared and field-caught mosquitoes, which were placed in oviposition tubes composed of 1.5 mL containers filled with moistened cotton and a strip of germination paper. To assess the influence of container size on oviposition rates, additional tests were conducted using four different tube volumes: 1.5, 5, 15, and 50 mL. Overall, the modified forced oviposition method proved highly effective, yielding eggs from both lab and field strains. The technique was more successful with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with over 80% of females ovipositing, compared to 50-60% for </w:t>
      </w:r>
      <w:r w:rsidRPr="00FE5D1C">
        <w:rPr>
          <w:rFonts w:ascii="Calibri" w:eastAsia="Times New Roman" w:hAnsi="Calibri" w:cs="Calibri"/>
          <w:i/>
          <w:iCs/>
          <w:color w:val="000000"/>
          <w:kern w:val="0"/>
          <w:sz w:val="22"/>
          <w:szCs w:val="22"/>
          <w14:ligatures w14:val="none"/>
        </w:rPr>
        <w:t>Cx. quinquefasciatus</w:t>
      </w:r>
      <w:r w:rsidRPr="00FE5D1C">
        <w:rPr>
          <w:rFonts w:ascii="Calibri" w:eastAsia="Times New Roman" w:hAnsi="Calibri" w:cs="Calibri"/>
          <w:color w:val="000000"/>
          <w:kern w:val="0"/>
          <w:sz w:val="22"/>
          <w:szCs w:val="22"/>
          <w14:ligatures w14:val="none"/>
        </w:rPr>
        <w:t>. Additionally, </w:t>
      </w:r>
      <w:r w:rsidRPr="00FE5D1C">
        <w:rPr>
          <w:rFonts w:ascii="Calibri" w:eastAsia="Times New Roman" w:hAnsi="Calibri" w:cs="Calibri"/>
          <w:i/>
          <w:iCs/>
          <w:color w:val="000000"/>
          <w:kern w:val="0"/>
          <w:sz w:val="22"/>
          <w:szCs w:val="22"/>
          <w14:ligatures w14:val="none"/>
        </w:rPr>
        <w:t>Cx. quinquefasciatus</w:t>
      </w:r>
      <w:r w:rsidRPr="00FE5D1C">
        <w:rPr>
          <w:rFonts w:ascii="Calibri" w:eastAsia="Times New Roman" w:hAnsi="Calibri" w:cs="Calibri"/>
          <w:color w:val="000000"/>
          <w:kern w:val="0"/>
          <w:sz w:val="22"/>
          <w:szCs w:val="22"/>
          <w14:ligatures w14:val="none"/>
        </w:rPr>
        <w:t> required a longer holding period (3-7 days) before oviposition, whereas </w:t>
      </w:r>
      <w:r w:rsidRPr="00FE5D1C">
        <w:rPr>
          <w:rFonts w:ascii="Calibri" w:eastAsia="Times New Roman" w:hAnsi="Calibri" w:cs="Calibri"/>
          <w:i/>
          <w:iCs/>
          <w:color w:val="000000"/>
          <w:kern w:val="0"/>
          <w:sz w:val="22"/>
          <w:szCs w:val="22"/>
          <w14:ligatures w14:val="none"/>
        </w:rPr>
        <w:t>Ae. aegypti</w:t>
      </w:r>
      <w:r w:rsidRPr="00FE5D1C">
        <w:rPr>
          <w:rFonts w:ascii="Calibri" w:eastAsia="Times New Roman" w:hAnsi="Calibri" w:cs="Calibri"/>
          <w:color w:val="000000"/>
          <w:kern w:val="0"/>
          <w:sz w:val="22"/>
          <w:szCs w:val="22"/>
          <w14:ligatures w14:val="none"/>
        </w:rPr>
        <w:t> females laid eggs within 24 hours of tube transfer. In </w:t>
      </w:r>
      <w:r w:rsidRPr="00FE5D1C">
        <w:rPr>
          <w:rFonts w:ascii="Calibri" w:eastAsia="Times New Roman" w:hAnsi="Calibri" w:cs="Calibri"/>
          <w:i/>
          <w:iCs/>
          <w:color w:val="000000"/>
          <w:kern w:val="0"/>
          <w:sz w:val="22"/>
          <w:szCs w:val="22"/>
          <w14:ligatures w14:val="none"/>
        </w:rPr>
        <w:t>Cx. quinquefasciatus</w:t>
      </w:r>
      <w:r w:rsidRPr="00FE5D1C">
        <w:rPr>
          <w:rFonts w:ascii="Calibri" w:eastAsia="Times New Roman" w:hAnsi="Calibri" w:cs="Calibri"/>
          <w:color w:val="000000"/>
          <w:kern w:val="0"/>
          <w:sz w:val="22"/>
          <w:szCs w:val="22"/>
          <w14:ligatures w14:val="none"/>
        </w:rPr>
        <w:t> lab strains, egg hatch rates were influenced by whether the egg rafts remained intact or were broken, though this factor had less impact on wild strains. Both species demonstrated a preference for smaller, confined spaces—exhibiting claustrophilic oviposition behavior—as higher egg-laying rates were observed in the 1.5 and 5 mL tubes. These findings indicate that the adapted forced oviposition method is not only versatile but also effective for producing F1 generations from various mosquito vectors, supporting critical research in vector control.</w:t>
      </w:r>
    </w:p>
    <w:p w14:paraId="214AB70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25-A-2880-ASTMH</w:t>
      </w:r>
    </w:p>
    <w:p w14:paraId="4A5C26B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4C4603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 Intestinal Perforation: A Prospective Study in Galmi, Niger</w:t>
      </w:r>
    </w:p>
    <w:p w14:paraId="35027C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 intestinal perforation (TIP) is a late complication of typhoid fever – caused by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enterica</w:t>
      </w:r>
      <w:r w:rsidRPr="00FE5D1C">
        <w:rPr>
          <w:rFonts w:ascii="Calibri" w:eastAsia="Times New Roman" w:hAnsi="Calibri" w:cs="Calibri"/>
          <w:color w:val="000000"/>
          <w:kern w:val="0"/>
          <w:sz w:val="22"/>
          <w:szCs w:val="22"/>
          <w14:ligatures w14:val="none"/>
        </w:rPr>
        <w:t> serovar Typhi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Typhi) – that typically occurs two weeks after initial symptoms. Due to a lack of blood culture capacity in typhoid-endemic areas, TIP is often diagnosed at surgery by characteristic operative findings. The pathognomonic feature of TIP is one or more longitudinal, oval perforations on the anti-mesenteric side of the small bowel, most commonly the distal ileum. While TIP is rare in developed countries, it remains a leading cause of emergency abdominal surgery among pediatric population in resource-limited settings, particularly sub-Saharan Africa. To better understand TIP in this setting, we conducted a prospective observational study in children aged 3-17 years with non-traumatic acute abdomen at Hôpital de la SIM in Galmi, Niger from August 31, 2023 through December 31, 2024. We enrolled 459 participants, of whom 425 underwent surgery for suspected peritonitis. The median age was 10 (7,13) and 98.4% had a history of fever with a median duration of 7 (7,14) days. The most common operative diagnosis was TIP (n=335, 78.8%), followed by appendicitis. Ileal perforation was seen in 94.3% of all presumed TIP cases and the most common procedures performed for TIP cases were primary repair of bowel (52.8%) and small bowel resection (23.0%). An ileostomy was performed in 40.9% of cases. There were 69 total deaths in participants with TIP (20.6%). During this study, 294 blood cultures were drawn before surgery and 20.7% were positive for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Typhi. Notably, 90.2% of these were resistant to ciprofloxacin, prompting a change in antimicrobial management. Nineteen blood cultures (6.4%) were positive for </w:t>
      </w:r>
      <w:r w:rsidRPr="00FE5D1C">
        <w:rPr>
          <w:rFonts w:ascii="Calibri" w:eastAsia="Times New Roman" w:hAnsi="Calibri" w:cs="Calibri"/>
          <w:i/>
          <w:iCs/>
          <w:color w:val="000000"/>
          <w:kern w:val="0"/>
          <w:sz w:val="22"/>
          <w:szCs w:val="22"/>
          <w14:ligatures w14:val="none"/>
        </w:rPr>
        <w:t>Escherichia coli</w:t>
      </w:r>
      <w:r w:rsidRPr="00FE5D1C">
        <w:rPr>
          <w:rFonts w:ascii="Calibri" w:eastAsia="Times New Roman" w:hAnsi="Calibri" w:cs="Calibri"/>
          <w:color w:val="000000"/>
          <w:kern w:val="0"/>
          <w:sz w:val="22"/>
          <w:szCs w:val="22"/>
          <w14:ligatures w14:val="none"/>
        </w:rPr>
        <w:t>, and 15 of these (78.9%) were ceftriaxone-resistant, consistent with extended spectrum beta-lactamase resistance. TIP is the leading cause of emergency pediatric abdominal surgery in Galmi, Niger. Antimicrobial resistance patterns further highlight the need for TCV introduction. TIP operative data can serve as a measure of typhoid burden, particularly in countries with inadequate blood culture diagnostic capacity.</w:t>
      </w:r>
    </w:p>
    <w:p w14:paraId="3B6C63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25-A-2881-ASTMH</w:t>
      </w:r>
    </w:p>
    <w:p w14:paraId="483B83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2E3B70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Preclinical Characterization of a Potent Antimalarial against Liver, Blood, and Mosquito Stages of </w:t>
      </w:r>
      <w:r w:rsidRPr="00FE5D1C">
        <w:rPr>
          <w:rFonts w:ascii="Calibri" w:eastAsia="Times New Roman" w:hAnsi="Calibri" w:cs="Calibri"/>
          <w:b/>
          <w:bCs/>
          <w:i/>
          <w:iCs/>
          <w:color w:val="000000"/>
          <w:kern w:val="0"/>
          <w:sz w:val="22"/>
          <w:szCs w:val="22"/>
          <w14:ligatures w14:val="none"/>
        </w:rPr>
        <w:t>Plasmodium</w:t>
      </w:r>
    </w:p>
    <w:p w14:paraId="396A71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Pressing and ongoing needs for novel antimalarial interventions include affordability, safety for the most vulnerable patients, single-dose treatment, aptitude for killing liver stage parasites stage (where dormant forms reside) with relapse prevention, low susceptibility to drug resistance, and the ability to block transmission. Our novel acridone chemotype represents a broad-spectrum approach with the potential to vanquish those challenges. Through rigorous optimization process, we have developed a late-stage lead candidate that is potent against liver (including hypnozoites), blood (both asexual and sexual) and mosquito stage malaria, with single-dose cure ability, and potentials to prevent relapsing malaria infection and block transmission. Mechanistic studies suggest parasite mitochondrial electron transport chain as the drug target but with distinctive binding sites from antimalarials currently in use or under development. Extensive and comprehensive preclinical evaluations of our late lead acridone candidate will be presented. Material has been reviewed by the Walter Reed Army Institute of Research. There is no objection to its presentation and/or publication. The opinions or assertions contained herein are the private views of the author, and are not to be construed as official, or as reflecting true views of the Department of the Army or the Department of Defense. Research was conducted under an IACUC-approved animal use protocol in an AAALAC International - accredited facility with a Public Health Services Animal Welfare Assurance and in compliance with the Animal Welfare Act and other federal statutes and regulations relating to laboratory animals.</w:t>
      </w:r>
    </w:p>
    <w:p w14:paraId="439F81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25-A-2882-ASTMH</w:t>
      </w:r>
    </w:p>
    <w:p w14:paraId="593DD75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347BA94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Single-cell RNA sequencing of </w:t>
      </w:r>
      <w:r w:rsidRPr="00FE5D1C">
        <w:rPr>
          <w:rFonts w:ascii="Calibri" w:eastAsia="Times New Roman" w:hAnsi="Calibri" w:cs="Calibri"/>
          <w:i/>
          <w:iCs/>
          <w:color w:val="000000"/>
          <w:kern w:val="0"/>
          <w:sz w:val="22"/>
          <w:szCs w:val="22"/>
          <w14:ligatures w14:val="none"/>
        </w:rPr>
        <w:t>Culex pipiens</w:t>
      </w:r>
      <w:r w:rsidRPr="00FE5D1C">
        <w:rPr>
          <w:rFonts w:ascii="Calibri" w:eastAsia="Times New Roman" w:hAnsi="Calibri" w:cs="Calibri"/>
          <w:color w:val="000000"/>
          <w:kern w:val="0"/>
          <w:sz w:val="22"/>
          <w:szCs w:val="22"/>
          <w14:ligatures w14:val="none"/>
        </w:rPr>
        <w:t> ovaries and fat bodies: Insights into diapause and non-diapause conditions</w:t>
      </w:r>
    </w:p>
    <w:p w14:paraId="071A06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Culex pipiens</w:t>
      </w:r>
      <w:r w:rsidRPr="00FE5D1C">
        <w:rPr>
          <w:rFonts w:ascii="Calibri" w:eastAsia="Times New Roman" w:hAnsi="Calibri" w:cs="Calibri"/>
          <w:color w:val="000000"/>
          <w:kern w:val="0"/>
          <w:sz w:val="22"/>
          <w:szCs w:val="22"/>
          <w14:ligatures w14:val="none"/>
        </w:rPr>
        <w:t> mosquitoes enter reproductive diapause in response to unfavorable environmental cues such as a shortened photoperiod and lower temperatures. This dormancy is marked by arrested ovarian development and significant physiological changes in the fat body. Nonetheless, the regulatory mechanisms influencing diapause that are particular to tissue and cell types remain inadequately defined. We are utilizing single-cell RNA sequencing to delineate gene expression in the ovaries and fat bodies of adult female mosquitoes in both diapausing and non-diapausing states. This high-resolution approach enables the identification of distinct cellular populations and characterizes transcriptional changes associated with diapause. Comparative analyses between the two physiological states reveal key genes and pathways involved in reproductive arrest, metabolic reprogramming, and hormonal signaling. These findings lay the groundwork for a cellular-level understanding of diapause and may identify novel molecular targets for disrupting diapause in </w:t>
      </w:r>
      <w:r w:rsidRPr="00FE5D1C">
        <w:rPr>
          <w:rFonts w:ascii="Calibri" w:eastAsia="Times New Roman" w:hAnsi="Calibri" w:cs="Calibri"/>
          <w:i/>
          <w:iCs/>
          <w:color w:val="000000"/>
          <w:kern w:val="0"/>
          <w:sz w:val="22"/>
          <w:szCs w:val="22"/>
          <w14:ligatures w14:val="none"/>
        </w:rPr>
        <w:t>Culex pipiens</w:t>
      </w:r>
      <w:r w:rsidRPr="00FE5D1C">
        <w:rPr>
          <w:rFonts w:ascii="Calibri" w:eastAsia="Times New Roman" w:hAnsi="Calibri" w:cs="Calibri"/>
          <w:color w:val="000000"/>
          <w:kern w:val="0"/>
          <w:sz w:val="22"/>
          <w:szCs w:val="22"/>
          <w14:ligatures w14:val="none"/>
        </w:rPr>
        <w:t>, with potential applications in vector control strategies.</w:t>
      </w:r>
    </w:p>
    <w:p w14:paraId="0C6D95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25-A-2883-ASTMH</w:t>
      </w:r>
    </w:p>
    <w:p w14:paraId="62FD922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34DC09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Intensive supervision of community health workers by mobile nurse to better prevent, diagnose and treat malaria cases in West Africa: a pragmatic transnational step-wedge cluster-randomized controlled trial</w:t>
      </w:r>
    </w:p>
    <w:p w14:paraId="78551F3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limited access to prevention, diagnostic and treatment, among remote rural communities leads to delays in case management, increased severity of cases, and higher malaria transmission. We hypothesized that such a supervised community-based approach could lead to improved malaria </w:t>
      </w:r>
      <w:r w:rsidRPr="00FE5D1C">
        <w:rPr>
          <w:rFonts w:ascii="Calibri" w:eastAsia="Times New Roman" w:hAnsi="Calibri" w:cs="Calibri"/>
          <w:color w:val="000000"/>
          <w:kern w:val="0"/>
          <w:sz w:val="22"/>
          <w:szCs w:val="22"/>
          <w14:ligatures w14:val="none"/>
        </w:rPr>
        <w:lastRenderedPageBreak/>
        <w:t>control. We conducted a stepped wedge cluster randomized controlled trial in 36 rural villages of two rural districts in Burkina Faso (BFA, n=18) and Côte d’Ivoire (RCI, n=18) from December 2021 to February 2024. The intervention consisted in deploying one CHW for a maximum of 35 households, with supervision by a mobile nurse of their prevention, diagnostic, and treatment activities. In the control group, no CHWs were deployed. The study included 4 steps at a 6-month time-interval: no intervention (month 0-6), intervention in 12 (m6-12), 24 (m12-18) and 36 villages (m18-25). We compared intervention and control villages regarding the 1) incidence of diagnosed and treated cases, 2) incidence of severe malaria, 3) the number of RDTs realized, and 4) the number of symptomatic malaria cases during the cross-sectional surveys per month/survey and village using negative binomial regression models with generalized additive mixed models. The trial involved 5,231 individuals in BFA and 4,193 in RCI respectively, 3,255 uncomplicated malaria cases were diagnosed and managed by CHWs in BFA and 1,193 in RCI. The incidence of cases in intervention villages was four times higher than in control villages (SIR=4.61, CI</w:t>
      </w:r>
      <w:r w:rsidRPr="00FE5D1C">
        <w:rPr>
          <w:rFonts w:ascii="Calibri" w:eastAsia="Times New Roman" w:hAnsi="Calibri" w:cs="Calibri"/>
          <w:color w:val="000000"/>
          <w:kern w:val="0"/>
          <w:sz w:val="22"/>
          <w:szCs w:val="22"/>
          <w:vertAlign w:val="subscript"/>
          <w14:ligatures w14:val="none"/>
        </w:rPr>
        <w:t>95%</w:t>
      </w:r>
      <w:r w:rsidRPr="00FE5D1C">
        <w:rPr>
          <w:rFonts w:ascii="Calibri" w:eastAsia="Times New Roman" w:hAnsi="Calibri" w:cs="Calibri"/>
          <w:color w:val="000000"/>
          <w:kern w:val="0"/>
          <w:sz w:val="22"/>
          <w:szCs w:val="22"/>
          <w14:ligatures w14:val="none"/>
        </w:rPr>
        <w:t>=[3.98;5.82]). There was a 69% reduction in severe malaria incidence in the intervention group (SIR = 0.31 [0.10 - 0.90]). The intervention had no significant impact on health center activity, whether considering the number of RDTs realized in healthcare centres (SIR=1.08, CI</w:t>
      </w:r>
      <w:r w:rsidRPr="00FE5D1C">
        <w:rPr>
          <w:rFonts w:ascii="Calibri" w:eastAsia="Times New Roman" w:hAnsi="Calibri" w:cs="Calibri"/>
          <w:color w:val="000000"/>
          <w:kern w:val="0"/>
          <w:sz w:val="22"/>
          <w:szCs w:val="22"/>
          <w:vertAlign w:val="subscript"/>
          <w14:ligatures w14:val="none"/>
        </w:rPr>
        <w:t>95%</w:t>
      </w:r>
      <w:r w:rsidRPr="00FE5D1C">
        <w:rPr>
          <w:rFonts w:ascii="Calibri" w:eastAsia="Times New Roman" w:hAnsi="Calibri" w:cs="Calibri"/>
          <w:color w:val="000000"/>
          <w:kern w:val="0"/>
          <w:sz w:val="22"/>
          <w:szCs w:val="22"/>
          <w14:ligatures w14:val="none"/>
        </w:rPr>
        <w:t>=[0.92;1.27]) or the number of symptomatic malaria cases (OR=1.32, CI</w:t>
      </w:r>
      <w:r w:rsidRPr="00FE5D1C">
        <w:rPr>
          <w:rFonts w:ascii="Calibri" w:eastAsia="Times New Roman" w:hAnsi="Calibri" w:cs="Calibri"/>
          <w:color w:val="000000"/>
          <w:kern w:val="0"/>
          <w:sz w:val="22"/>
          <w:szCs w:val="22"/>
          <w:vertAlign w:val="subscript"/>
          <w14:ligatures w14:val="none"/>
        </w:rPr>
        <w:t>95%</w:t>
      </w:r>
      <w:r w:rsidRPr="00FE5D1C">
        <w:rPr>
          <w:rFonts w:ascii="Calibri" w:eastAsia="Times New Roman" w:hAnsi="Calibri" w:cs="Calibri"/>
          <w:color w:val="000000"/>
          <w:kern w:val="0"/>
          <w:sz w:val="22"/>
          <w:szCs w:val="22"/>
          <w14:ligatures w14:val="none"/>
        </w:rPr>
        <w:t>=[0.86;2.03]). The intervention significantly increased the number of diagnosed and treated malaria cases and reduced severe malaria. The closer supervision of CHWs by mobile nurses seems to be an effective approach to strengthen the impact of malaria control measures.</w:t>
      </w:r>
    </w:p>
    <w:p w14:paraId="749BE1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25-A-2884-ASTMH</w:t>
      </w:r>
    </w:p>
    <w:p w14:paraId="1B28538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Biology, Physiology and Immunity</w:t>
      </w:r>
    </w:p>
    <w:p w14:paraId="75187D1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implication of SAMSP1, sporozoite-associated mosquito saliva protein, as a host factor for malaria parasite transmission</w:t>
      </w:r>
    </w:p>
    <w:p w14:paraId="4784A80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parasites depend on various host factors derived from mosquitoes during their complex interactions with the vector's midgut, hemolymph, and salivary glands. While mosquito saliva primarily aids blood feeding, it also influences malaria parasite transmission, yet the exact roles of mosquito salivary proteins remain unclear. Sporozoite-associated mosquito saliva proteins (SAMSP1) have been shown to facilitate Plasmodium infection in mice. In this study, through RNAi gene silencing and CRISPR/Cas9-mediated gene editing, we demonstrated that SAMSP1 knockdown or knockout mosquitoes significantly reduced both human and rodent malaria parasite oocyst and sporozoite loads, indicating their crucial role as host factors in mediating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infection in the mosquito midgut. Co-feeding experiments using polyclonal antibodies against SAMSP1 resulted in a significant reduction in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oocyst loads, while active immunization of mice with SAMSP1 led to a notable decrease in oocyst loads, highlighting its potential as a transmission-blocking vaccine candidate. Monoclonal antibodies generated via hybridoma cells, followed by co-feeding assays, identified one antibody that remarkedly reduced oocyst loads. Mechanistic investigations, including bioinformatic analysis, RNAseq, qPCR, co-immunoprecipitation, and confocal microscopy at different gut stages post-Plasmodium infection, suggest that SAMSP1 functions as a host factor by facilitating ookinete invasion of the midgut epithelium while also acting as an immune antagonist, thereby promoting parasite infection. Future directions will include sequencing the lead monoclonal antibody and exploring transgenic and gene-drive approaches for targeted malaria transmission control.</w:t>
      </w:r>
    </w:p>
    <w:p w14:paraId="472F4DB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25-A-2885-ASTMH</w:t>
      </w:r>
    </w:p>
    <w:p w14:paraId="7CC452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12A836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Innovative 3D-Generative Chemistry Approach to Identify Novel Promising Hits Against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Proteasome</w:t>
      </w:r>
    </w:p>
    <w:p w14:paraId="5A48F5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continues to pose a significant global health threat, with millions of cases and over 500,000 deaths reported annually. The rise of drug-resistant strains highlights the urgent need for new therapeutic options. Proteasome, with an essential role in all stages of the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xml:space="preserve"> life cycle, </w:t>
      </w:r>
      <w:r w:rsidRPr="00FE5D1C">
        <w:rPr>
          <w:rFonts w:ascii="Calibri" w:eastAsia="Times New Roman" w:hAnsi="Calibri" w:cs="Calibri"/>
          <w:color w:val="000000"/>
          <w:kern w:val="0"/>
          <w:sz w:val="22"/>
          <w:szCs w:val="22"/>
          <w14:ligatures w14:val="none"/>
        </w:rPr>
        <w:lastRenderedPageBreak/>
        <w:t>represents a promising target for developing new therapies against all stages of the disease. In this study, we used Pocket Crafter, a cutting-edge 3D generative chemistry modelling tool designed to facilitate hit-finding in the early stages of drug discovery. To find compounds that specifically targeted the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proteasome pocket with desirable host selectivity, 3D GenChem was used to yield ~800 k in silico hits through a deep learning algorithm that built molecules atom by atom and bond by bond. Further in silico structure–activity relationship and clustering analysis along with filtering for physical-chemical properties, drug-likeness, and availability in the Novartis' chemical archive resulted in a focused set of 18 k compounds for experimental high-throughput screening. This Pocket Crafter experimental screen yielded significantly improved hit rate compared to our past unbiassed diverse New Chemical Entity library and identified compounds with submicromolar potencies against </w:t>
      </w:r>
      <w:r w:rsidRPr="00FE5D1C">
        <w:rPr>
          <w:rFonts w:ascii="Calibri" w:eastAsia="Times New Roman" w:hAnsi="Calibri" w:cs="Calibri"/>
          <w:i/>
          <w:iCs/>
          <w:color w:val="000000"/>
          <w:kern w:val="0"/>
          <w:sz w:val="22"/>
          <w:szCs w:val="22"/>
          <w14:ligatures w14:val="none"/>
        </w:rPr>
        <w:t>Plasmodium</w:t>
      </w:r>
      <w:r w:rsidRPr="00FE5D1C">
        <w:rPr>
          <w:rFonts w:ascii="Calibri" w:eastAsia="Times New Roman" w:hAnsi="Calibri" w:cs="Calibri"/>
          <w:color w:val="000000"/>
          <w:kern w:val="0"/>
          <w:sz w:val="22"/>
          <w:szCs w:val="22"/>
          <w14:ligatures w14:val="none"/>
        </w:rPr>
        <w:t> proteasome in a biochemical assay. Several chemotypes were further profiled against disease-relevant </w:t>
      </w:r>
      <w:r w:rsidRPr="00FE5D1C">
        <w:rPr>
          <w:rFonts w:ascii="Calibri" w:eastAsia="Times New Roman" w:hAnsi="Calibri" w:cs="Calibri"/>
          <w:i/>
          <w:iCs/>
          <w:color w:val="000000"/>
          <w:kern w:val="0"/>
          <w:sz w:val="22"/>
          <w:szCs w:val="22"/>
          <w14:ligatures w14:val="none"/>
        </w:rPr>
        <w:t>in vitro</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Plasmodium sp</w:t>
      </w:r>
      <w:r w:rsidRPr="00FE5D1C">
        <w:rPr>
          <w:rFonts w:ascii="Calibri" w:eastAsia="Times New Roman" w:hAnsi="Calibri" w:cs="Calibri"/>
          <w:color w:val="000000"/>
          <w:kern w:val="0"/>
          <w:sz w:val="22"/>
          <w:szCs w:val="22"/>
          <w14:ligatures w14:val="none"/>
        </w:rPr>
        <w:t> cellular assays. Our study presents a comprehensive hit-finding strategy that integrates virtual screening through 3D generative chemistry, hit validation, and correlation with phenotypic assays. We demonstrate AI-driven approaches can accelerate the discovery of novel antimalarial compounds, underscoring their transformative potential in drug development.</w:t>
      </w:r>
    </w:p>
    <w:p w14:paraId="3BFF57F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25-A-2886-ASTMH</w:t>
      </w:r>
    </w:p>
    <w:p w14:paraId="4DDD78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4469047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vaccine against plasmodium falciparum in clinical phase; Perspective and challenges</w:t>
      </w:r>
    </w:p>
    <w:p w14:paraId="0BDE070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INTRODUCTION</w:t>
      </w:r>
      <w:r w:rsidRPr="00FE5D1C">
        <w:rPr>
          <w:rFonts w:ascii="Calibri" w:eastAsia="Times New Roman" w:hAnsi="Calibri" w:cs="Calibri"/>
          <w:color w:val="000000"/>
          <w:kern w:val="0"/>
          <w:sz w:val="22"/>
          <w:szCs w:val="22"/>
          <w14:ligatures w14:val="none"/>
        </w:rPr>
        <w:t> Malaria remains a major public health concern. In recent years, several factors have undermined progress towards eradicating the disease. While there is only one prequalified antimalarial vaccine, RTS,S ; with an efficacy rate of 36%. The World Health Organisation (WHO) recommends the development of a vaccine with at least 75% efficacy by 2030. The aim of this study was to provide an update on the status of malaria vaccines candidates that have reached at least phase II against Plasmodium Falciparum, the most feared species, to identify challenges involved in developing these vaccines, and to discuss the outlook. </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We conducted a systematic literature review on two platforms clinicaltrial.gov and ISRCTN registry to list vaccine trials, and an additional search on Pubmed, Embase, Google schoolar and scopus for results. </w:t>
      </w:r>
      <w:r w:rsidRPr="00FE5D1C">
        <w:rPr>
          <w:rFonts w:ascii="Calibri" w:eastAsia="Times New Roman" w:hAnsi="Calibri" w:cs="Calibri"/>
          <w:b/>
          <w:bCs/>
          <w:color w:val="000000"/>
          <w:kern w:val="0"/>
          <w:sz w:val="22"/>
          <w:szCs w:val="22"/>
          <w14:ligatures w14:val="none"/>
        </w:rPr>
        <w:t>RESULTS</w:t>
      </w:r>
      <w:r w:rsidRPr="00FE5D1C">
        <w:rPr>
          <w:rFonts w:ascii="Calibri" w:eastAsia="Times New Roman" w:hAnsi="Calibri" w:cs="Calibri"/>
          <w:color w:val="000000"/>
          <w:kern w:val="0"/>
          <w:sz w:val="22"/>
          <w:szCs w:val="22"/>
          <w14:ligatures w14:val="none"/>
        </w:rPr>
        <w:t> Ten active vaccines candidates were identified : RTS,S, The R21, PfSPZ, The PfSPZ-CVac, The PfSPZ-GA2, The MSP3-CRM, The RH5, The RH5,1, The RH5.2 -VLP and The Pfs230 D1M. Pre-erythrocytic vaccines were most advanced with RTS,S prequalified and R21 in phase III, with 77% vaccine efficacy reported in phaseII. However, the serious adverse events reported ( convulsion, meningitis ), suggest that further investigation and monitoring are required in subsequent phase. The RH5 targeting the blood phase reduces the rate of parasite multiplication by 33%. </w:t>
      </w:r>
      <w:r w:rsidRPr="00FE5D1C">
        <w:rPr>
          <w:rFonts w:ascii="Calibri" w:eastAsia="Times New Roman" w:hAnsi="Calibri" w:cs="Calibri"/>
          <w:b/>
          <w:bCs/>
          <w:color w:val="000000"/>
          <w:kern w:val="0"/>
          <w:sz w:val="22"/>
          <w:szCs w:val="22"/>
          <w14:ligatures w14:val="none"/>
        </w:rPr>
        <w:t>CONCLUSION</w:t>
      </w:r>
      <w:r w:rsidRPr="00FE5D1C">
        <w:rPr>
          <w:rFonts w:ascii="Calibri" w:eastAsia="Times New Roman" w:hAnsi="Calibri" w:cs="Calibri"/>
          <w:color w:val="000000"/>
          <w:kern w:val="0"/>
          <w:sz w:val="22"/>
          <w:szCs w:val="22"/>
          <w14:ligatures w14:val="none"/>
        </w:rPr>
        <w:t> The approach of a multivalent vaccine combining R21 and RH5 could improve efficacy. The 2030 target could be reached. The next challenge will be to make the vaccine available in developing countries that bear the greatest burden of malaria. </w:t>
      </w:r>
      <w:r w:rsidRPr="00FE5D1C">
        <w:rPr>
          <w:rFonts w:ascii="Calibri" w:eastAsia="Times New Roman" w:hAnsi="Calibri" w:cs="Calibri"/>
          <w:b/>
          <w:bCs/>
          <w:i/>
          <w:iCs/>
          <w:color w:val="000000"/>
          <w:kern w:val="0"/>
          <w:sz w:val="22"/>
          <w:szCs w:val="22"/>
          <w14:ligatures w14:val="none"/>
        </w:rPr>
        <w:t>Key Words</w:t>
      </w:r>
      <w:r w:rsidRPr="00FE5D1C">
        <w:rPr>
          <w:rFonts w:ascii="Calibri" w:eastAsia="Times New Roman" w:hAnsi="Calibri" w:cs="Calibri"/>
          <w:color w:val="000000"/>
          <w:kern w:val="0"/>
          <w:sz w:val="22"/>
          <w:szCs w:val="22"/>
          <w14:ligatures w14:val="none"/>
        </w:rPr>
        <w:t> : Malaria, Vaccine, Effacacity , Challenges 2023.</w:t>
      </w:r>
    </w:p>
    <w:p w14:paraId="5FBF71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25-A-2887-ASTMH</w:t>
      </w:r>
    </w:p>
    <w:p w14:paraId="4E7DA76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458C03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Comparison and calibration of Simulium catches between Human Landing Catch and Esperanza Window Trap for onchocerciasis surveillance</w:t>
      </w:r>
    </w:p>
    <w:p w14:paraId="27795EE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 landing catch (HLC) is the standard method for collecting blackfly vectors in onchocerciasis endemic countries in Africa. Limitations of the method, alongside the programmatic need to collect and screen large numbers of blackflies to determine the interruption of</w:t>
      </w:r>
      <w:r w:rsidRPr="00FE5D1C">
        <w:rPr>
          <w:rFonts w:ascii="Calibri" w:eastAsia="Times New Roman" w:hAnsi="Calibri" w:cs="Calibri"/>
          <w:i/>
          <w:iCs/>
          <w:color w:val="000000"/>
          <w:kern w:val="0"/>
          <w:sz w:val="22"/>
          <w:szCs w:val="22"/>
          <w14:ligatures w14:val="none"/>
        </w:rPr>
        <w:t> Onchocerca volvulus</w:t>
      </w:r>
      <w:r w:rsidRPr="00FE5D1C">
        <w:rPr>
          <w:rFonts w:ascii="Calibri" w:eastAsia="Times New Roman" w:hAnsi="Calibri" w:cs="Calibri"/>
          <w:color w:val="000000"/>
          <w:kern w:val="0"/>
          <w:sz w:val="22"/>
          <w:szCs w:val="22"/>
          <w14:ligatures w14:val="none"/>
        </w:rPr>
        <w:t> transmission, requires alternative collection tools to be evaluated at scale. We tested the alternative Esperanza Window Trap (EWT) against HLC in 40 locations in Benin that reflected a range of blackfly population densities. We used a balanced four-day cross-over study design at each location, with 320 total trapping days in 2023, which was repeated in 2024 at the same locations. Overall, 67,950 blackflies were collected. These were morphologically identified as members of the target vector group </w:t>
      </w:r>
      <w:r w:rsidRPr="00FE5D1C">
        <w:rPr>
          <w:rFonts w:ascii="Calibri" w:eastAsia="Times New Roman" w:hAnsi="Calibri" w:cs="Calibri"/>
          <w:i/>
          <w:iCs/>
          <w:color w:val="000000"/>
          <w:kern w:val="0"/>
          <w:sz w:val="22"/>
          <w:szCs w:val="22"/>
          <w14:ligatures w14:val="none"/>
        </w:rPr>
        <w:t xml:space="preserve">Simulium </w:t>
      </w:r>
      <w:r w:rsidRPr="00FE5D1C">
        <w:rPr>
          <w:rFonts w:ascii="Calibri" w:eastAsia="Times New Roman" w:hAnsi="Calibri" w:cs="Calibri"/>
          <w:i/>
          <w:iCs/>
          <w:color w:val="000000"/>
          <w:kern w:val="0"/>
          <w:sz w:val="22"/>
          <w:szCs w:val="22"/>
          <w14:ligatures w14:val="none"/>
        </w:rPr>
        <w:lastRenderedPageBreak/>
        <w:t>damnosum sensu lato</w:t>
      </w:r>
      <w:r w:rsidRPr="00FE5D1C">
        <w:rPr>
          <w:rFonts w:ascii="Calibri" w:eastAsia="Times New Roman" w:hAnsi="Calibri" w:cs="Calibri"/>
          <w:color w:val="000000"/>
          <w:kern w:val="0"/>
          <w:sz w:val="22"/>
          <w:szCs w:val="22"/>
          <w14:ligatures w14:val="none"/>
        </w:rPr>
        <w:t>, which were present in both trap types. Of these, 7.2% were collected by EWT, and the remaining 92.8% by HLC, indicating the main challenge of alternative sampling methods remains the low catch per trap. However, EWTs were able to collect blackflies in 95% of sites in 2023, and 87.5% of sites in 2024. To calibrate the two methods, we developed a statistical model that links both trap catches to a shared underlying blackfly density. EWT counts were assumed to scale linearly with density, while HLC counts followed a hyperbolic response function, allowing us to capture potential saturation effects at higher densities. This revealed a clear density-dependent relationship, suggesting that human collectors may become overwhelmed when blackfly abundance is high. As a result, the HLC method may substantially underestimate biting rates above a certain threshold. The model also yields conversion coefficients that may help programmes calibrate these methods locally. We offer suggestions for how to overcome the challenges identified in this study and operationalise alternative sampling methods to reach the minimum number of 6,000 blackflies per operational transmission zone, as required for screening under the WHO’s guidelines for verifying onchocerciasis elimination.</w:t>
      </w:r>
    </w:p>
    <w:p w14:paraId="7639AE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25-A-2888-ASTMH</w:t>
      </w:r>
    </w:p>
    <w:p w14:paraId="1DD76AD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6C2B6C09" w14:textId="0DFF9C4D"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Biochemical and cytokine response in Dengue patients from eastern India</w:t>
      </w:r>
    </w:p>
    <w:p w14:paraId="58DC87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is a serious global health problem, ranging from mild Dengue Fever (DF) to Dengue Fever with Warning Signs (DFWS) and Severe Dengue (SD) as per the 2009 WHO guidelines. Biomarkers predicting dengue outcomes may prevent unnecessary admissions during epidemics. This study evaluates cytokine profiles, serum albumin, alanine and aspartate aminotransferase (ALT, AST) in patients with DF, DFWS and SD to determine their potential as early severity classifiers.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Blood samples were collected from dengue patients (12 DF, 26 DFWS, and 26 SD) and healthy controls (12) during the acute phase of infection after taking written informed consent. Plasma was extracted and stored at -80°C until further analysis. Cytokine levels were measured using the Th1/Th2/Th17 Cytometric Bead Array (CBA) kit (BD Biosciences) to quantify IL-2, IL-4, IL-6, IL-10, IL-17, TNF-α, and IFN-γ. Samples were analyzed in singlets, and standard curves were generated for cytokine quantification. Serum albumin, ALT and AST of patients were also compared. Statistical analysis was performed using GraphPad Prism. One-way ANOVA test and Kruskal-Wallis Test was used to compare cytokine levels and biochemical parameters between groups.IL-17 level was significantly elevated in DFWS and SD patients compared to healthy controls (HC), while DF patients showed no significant difference from HC. IFN- γ, TNF-α, IL-4 was significantly higher in DFWS compared to DF while they were significantly lower in SD compared to DFWS. IL-10 level was significantly elevated in SD compared to DF. IL-6 level was significantly elevated in SD compared to DF and DFWS. IL-2 level was significantly elevated in DF, DFWS and SD patients compared to healthy controls (HC). It was significantly lower in DF compared to SD and DFWS and in SD compared to DFWS. Low serum albumin and high ALT and AST were significantly associated with SD when compared with DFWS and DF.</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Fall in serum albumin, IFN- γ, TNF-α, IL-4 levels and increase in ALT, AST, IL6 are suggestive of severe disease.</w:t>
      </w:r>
    </w:p>
    <w:p w14:paraId="1F4B4C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25-A-2889-ASTMH</w:t>
      </w:r>
    </w:p>
    <w:p w14:paraId="26CA77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40648D3C" w14:textId="221BE5A1"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Development of novel diagnostic targets for </w:t>
      </w:r>
      <w:r w:rsidRPr="00FE5D1C">
        <w:rPr>
          <w:rFonts w:ascii="Calibri" w:eastAsia="Times New Roman" w:hAnsi="Calibri" w:cs="Calibri"/>
          <w:i/>
          <w:iCs/>
          <w:color w:val="000000"/>
          <w:kern w:val="0"/>
          <w:sz w:val="22"/>
          <w:szCs w:val="22"/>
          <w14:ligatures w14:val="none"/>
        </w:rPr>
        <w:t>Dracunculus medinensis</w:t>
      </w:r>
    </w:p>
    <w:p w14:paraId="6C8B02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Dracunculiasis is caused by infection with the roundworm parasite </w:t>
      </w:r>
      <w:r w:rsidRPr="00FE5D1C">
        <w:rPr>
          <w:rFonts w:ascii="Calibri" w:eastAsia="Times New Roman" w:hAnsi="Calibri" w:cs="Calibri"/>
          <w:i/>
          <w:iCs/>
          <w:color w:val="000000"/>
          <w:kern w:val="0"/>
          <w:sz w:val="22"/>
          <w:szCs w:val="22"/>
          <w14:ligatures w14:val="none"/>
        </w:rPr>
        <w:t>Dracunculus medinensis</w:t>
      </w:r>
      <w:r w:rsidRPr="00FE5D1C">
        <w:rPr>
          <w:rFonts w:ascii="Calibri" w:eastAsia="Times New Roman" w:hAnsi="Calibri" w:cs="Calibri"/>
          <w:color w:val="000000"/>
          <w:kern w:val="0"/>
          <w:sz w:val="22"/>
          <w:szCs w:val="22"/>
          <w14:ligatures w14:val="none"/>
        </w:rPr>
        <w:t> (Dm). With just 14 human cases in 2024, dracunculiasis is on the verge of eradication despite the lack of a curative treatment or vaccine. However, the recent growth in animal reservoirs (dogs, cats, baboons) and an increased understanding of the paratenic hosts involved has complicated elimination efforts and necessitated novel diagnostics. Newly developed diagnostics are required to distinguish both pre-patent infection in animals and analytes in environmental samples, such as water and aquatic animals. Bioinformatic analysis of the sequence read archives of Dm and closely related guinea worms </w:t>
      </w:r>
      <w:r w:rsidRPr="00FE5D1C">
        <w:rPr>
          <w:rFonts w:ascii="Calibri" w:eastAsia="Times New Roman" w:hAnsi="Calibri" w:cs="Calibri"/>
          <w:i/>
          <w:iCs/>
          <w:color w:val="000000"/>
          <w:kern w:val="0"/>
          <w:sz w:val="22"/>
          <w:szCs w:val="22"/>
          <w14:ligatures w14:val="none"/>
        </w:rPr>
        <w:t>D. insignis</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D. lutrae</w:t>
      </w:r>
      <w:r w:rsidRPr="00FE5D1C">
        <w:rPr>
          <w:rFonts w:ascii="Calibri" w:eastAsia="Times New Roman" w:hAnsi="Calibri" w:cs="Calibri"/>
          <w:color w:val="000000"/>
          <w:kern w:val="0"/>
          <w:sz w:val="22"/>
          <w:szCs w:val="22"/>
          <w14:ligatures w14:val="none"/>
        </w:rPr>
        <w:t xml:space="preserve"> resulted in the identification of highly repetitive elements specific for each of the </w:t>
      </w:r>
      <w:r w:rsidRPr="00FE5D1C">
        <w:rPr>
          <w:rFonts w:ascii="Calibri" w:eastAsia="Times New Roman" w:hAnsi="Calibri" w:cs="Calibri"/>
          <w:color w:val="000000"/>
          <w:kern w:val="0"/>
          <w:sz w:val="22"/>
          <w:szCs w:val="22"/>
          <w14:ligatures w14:val="none"/>
        </w:rPr>
        <w:lastRenderedPageBreak/>
        <w:t>species. Screening of qPCR assays targeting multiple Dm-specific targets resulted in the selection of CL14, CL25 and CL55 that were highly sensitive to Dm genomic DNA (gDNA). Of the three targets, CL14 was capable of detecting gDNA of Dm across geographic isolates (Angola, Cameroon, Mali, South Sudan) and was reliably more sensitive than CytB and Cox3 (n=11). Additionally, CL14 was able to detect as little as a 1/10,000 dilution of a single larva following alkaline digestion (n=5). Dried blood spots spiked with 100, 10, 1 pg/µL of Dm gDNA were also detected by CL14 (n=5) after digestion, which may hold promise for field-collected samples. Preliminary experiments to detect CL14 in circulating cell-free DNA from plasma of dogs indicated no cross-reactivity with </w:t>
      </w:r>
      <w:r w:rsidRPr="00FE5D1C">
        <w:rPr>
          <w:rFonts w:ascii="Calibri" w:eastAsia="Times New Roman" w:hAnsi="Calibri" w:cs="Calibri"/>
          <w:i/>
          <w:iCs/>
          <w:color w:val="000000"/>
          <w:kern w:val="0"/>
          <w:sz w:val="22"/>
          <w:szCs w:val="22"/>
          <w14:ligatures w14:val="none"/>
        </w:rPr>
        <w:t>Dirofilaria immitis</w:t>
      </w:r>
      <w:r w:rsidRPr="00FE5D1C">
        <w:rPr>
          <w:rFonts w:ascii="Calibri" w:eastAsia="Times New Roman" w:hAnsi="Calibri" w:cs="Calibri"/>
          <w:color w:val="000000"/>
          <w:kern w:val="0"/>
          <w:sz w:val="22"/>
          <w:szCs w:val="22"/>
          <w14:ligatures w14:val="none"/>
        </w:rPr>
        <w:t> (dog heartworm; n=4), or uninfected dogs (n=2). Furthermore, CL14 was not cross reactive with a single confirmed </w:t>
      </w:r>
      <w:r w:rsidRPr="00FE5D1C">
        <w:rPr>
          <w:rFonts w:ascii="Calibri" w:eastAsia="Times New Roman" w:hAnsi="Calibri" w:cs="Calibri"/>
          <w:i/>
          <w:iCs/>
          <w:color w:val="000000"/>
          <w:kern w:val="0"/>
          <w:sz w:val="22"/>
          <w:szCs w:val="22"/>
          <w14:ligatures w14:val="none"/>
        </w:rPr>
        <w:t>Dracunculus insignis</w:t>
      </w:r>
      <w:r w:rsidRPr="00FE5D1C">
        <w:rPr>
          <w:rFonts w:ascii="Calibri" w:eastAsia="Times New Roman" w:hAnsi="Calibri" w:cs="Calibri"/>
          <w:color w:val="000000"/>
          <w:kern w:val="0"/>
          <w:sz w:val="22"/>
          <w:szCs w:val="22"/>
          <w14:ligatures w14:val="none"/>
        </w:rPr>
        <w:t> sample; more testing is needed to confirm the lack of cross reactivity with other </w:t>
      </w:r>
      <w:r w:rsidRPr="00FE5D1C">
        <w:rPr>
          <w:rFonts w:ascii="Calibri" w:eastAsia="Times New Roman" w:hAnsi="Calibri" w:cs="Calibri"/>
          <w:i/>
          <w:iCs/>
          <w:color w:val="000000"/>
          <w:kern w:val="0"/>
          <w:sz w:val="22"/>
          <w:szCs w:val="22"/>
          <w14:ligatures w14:val="none"/>
        </w:rPr>
        <w:t>Dracunculus</w:t>
      </w:r>
      <w:r w:rsidRPr="00FE5D1C">
        <w:rPr>
          <w:rFonts w:ascii="Calibri" w:eastAsia="Times New Roman" w:hAnsi="Calibri" w:cs="Calibri"/>
          <w:color w:val="000000"/>
          <w:kern w:val="0"/>
          <w:sz w:val="22"/>
          <w:szCs w:val="22"/>
          <w14:ligatures w14:val="none"/>
        </w:rPr>
        <w:t> species. Additional testing with samples collected across geographic locations as well as environmental samples from Chad will help elucidate the potential future of CL14 as a diagnostic to monitor both animal reservoirs and environmental samples.</w:t>
      </w:r>
    </w:p>
    <w:p w14:paraId="2BF0871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25-A-2890-ASTMH</w:t>
      </w:r>
    </w:p>
    <w:p w14:paraId="457A9A6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0B8130B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Understanding the Key Drivers of Impact of Malaria Interventions in Ghana: A Sensitivity Analysis</w:t>
      </w:r>
    </w:p>
    <w:p w14:paraId="763790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Over the years, Ghana has made significant progress in transitioning from malaria control toward the goal of elimination. Despite this progress, malaria remains a major public health concern, contributing to 40% of outpatient cases nationwide. As malaria transmission is highly heterogeneous across the country, a more targeted response is required. One goal outlined in Ghana’s current National Malaria Elimination Strategic Plan (NMESP) is to reduce clinical incidence by 50% by 2028. Understanding the key drivers of intervention impact at the district level is crucial to achieving this. To simulate malaria incidence in Ghana, we parameterized the individual-based model OpenMalaria to reflect district-specific intervention combinations from the NMESP. We systematically evaluated the relative importance of key intervention parameters on incidence reduction from 2023 to 2026 using variance-based sensitivity analysis. Since these methods require rapid and reliable prediction of outcomes across a high-dimensional parameter space, we implemented Latin hypercube sampling and trained a Gaussian process (GP) surrogate model for each of Ghana’s 261 districts. This approach allowed us to assess how variations in parameters contribute to incidence reduction. The sampling method reduced the number of simulations required and decreased runtime by a factor of 10. The trained GP models showed strong predictive performance, with a coefficient of determination of 95%. While insecticide-treated bednets (ITNs) were generally the most impactful, the sensitivity analysis revealed substantial heterogeneity across districts. In areas with several interventions co-deployed, ITN coverage was the dominant contributor to variability in impact, followed by coverage of indoor residual spraying (IRS), seasonal malaria chemoprevention (SMC), and malaria vaccine. This work highlights the importance of geographically tailored strategies based on local drivers of impact. Future work will expand the sensitivity analysis to include intervention efficacy and geography-specific parameters.</w:t>
      </w:r>
    </w:p>
    <w:p w14:paraId="4CB580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25-A-2893-ASTMH</w:t>
      </w:r>
    </w:p>
    <w:p w14:paraId="6A1392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0BEDCA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Reduction of Malaria Transmission Attributed to Combinational Use of Schizonticidal Drugs and the Gametocytocidal Primaquine</w:t>
      </w:r>
    </w:p>
    <w:p w14:paraId="3C6DA6E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transmission can be potentially interrupted by combining schizonticidal drugs with primaquine (PQ), which acts as a gametocytocidal agent. The effect of synergistically targeting asexual blood stages and transmissible gametocyte stages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has not been systematically studied over long periods and across endemic areas. Data sources from the most recent WHO World Malaria Reports (2023, 2024), covering information on malaria cases, deaths, and population-at-risk data for 108 countries between 2000-2023. Drug treatment policies for uncomplicated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(2021) were extracted from the World Malaria Report 2022 and supplemented with national data. Linear mixed-</w:t>
      </w:r>
      <w:r w:rsidRPr="00FE5D1C">
        <w:rPr>
          <w:rFonts w:ascii="Calibri" w:eastAsia="Times New Roman" w:hAnsi="Calibri" w:cs="Calibri"/>
          <w:color w:val="000000"/>
          <w:kern w:val="0"/>
          <w:sz w:val="22"/>
          <w:szCs w:val="22"/>
          <w14:ligatures w14:val="none"/>
        </w:rPr>
        <w:lastRenderedPageBreak/>
        <w:t>effects models were fit to investigate the temporal impact of PQ use on relative malaria incidence and mortality, adjusted for country-specific variability. After exclusions, analyses included 55 countries. Of 55 countries analyzed, 28 do not recommend PQ, 4 recommend it in some, and 23 recommend it in all first-line therapies for uncomplicated </w:t>
      </w:r>
      <w:r w:rsidRPr="00FE5D1C">
        <w:rPr>
          <w:rFonts w:ascii="Calibri" w:eastAsia="Times New Roman" w:hAnsi="Calibri" w:cs="Calibri"/>
          <w:i/>
          <w:iCs/>
          <w:color w:val="000000"/>
          <w:kern w:val="0"/>
          <w:sz w:val="22"/>
          <w:szCs w:val="22"/>
          <w14:ligatures w14:val="none"/>
        </w:rPr>
        <w:t>P. falciparum infections</w:t>
      </w:r>
      <w:r w:rsidRPr="00FE5D1C">
        <w:rPr>
          <w:rFonts w:ascii="Calibri" w:eastAsia="Times New Roman" w:hAnsi="Calibri" w:cs="Calibri"/>
          <w:color w:val="000000"/>
          <w:kern w:val="0"/>
          <w:sz w:val="22"/>
          <w:szCs w:val="22"/>
          <w14:ligatures w14:val="none"/>
        </w:rPr>
        <w:t>. Countries with PQ use in all or some treatments showed faster temporal reductions in malaria incidence, particularly from 2001-2010. Linear mixed-effects models confirmed significant time-dependent decreases in incidence and mortality with PQ use (p&lt;0.05). Dichotomizing PQ use as “some” </w:t>
      </w:r>
      <w:r w:rsidRPr="00FE5D1C">
        <w:rPr>
          <w:rFonts w:ascii="Calibri" w:eastAsia="Times New Roman" w:hAnsi="Calibri" w:cs="Calibri"/>
          <w:i/>
          <w:iCs/>
          <w:color w:val="000000"/>
          <w:kern w:val="0"/>
          <w:sz w:val="22"/>
          <w:szCs w:val="22"/>
          <w14:ligatures w14:val="none"/>
        </w:rPr>
        <w:t>vs.</w:t>
      </w:r>
      <w:r w:rsidRPr="00FE5D1C">
        <w:rPr>
          <w:rFonts w:ascii="Calibri" w:eastAsia="Times New Roman" w:hAnsi="Calibri" w:cs="Calibri"/>
          <w:color w:val="000000"/>
          <w:kern w:val="0"/>
          <w:sz w:val="22"/>
          <w:szCs w:val="22"/>
          <w14:ligatures w14:val="none"/>
        </w:rPr>
        <w:t> “none” yielded better model fits than “all” </w:t>
      </w:r>
      <w:r w:rsidRPr="00FE5D1C">
        <w:rPr>
          <w:rFonts w:ascii="Calibri" w:eastAsia="Times New Roman" w:hAnsi="Calibri" w:cs="Calibri"/>
          <w:i/>
          <w:iCs/>
          <w:color w:val="000000"/>
          <w:kern w:val="0"/>
          <w:sz w:val="22"/>
          <w:szCs w:val="22"/>
          <w14:ligatures w14:val="none"/>
        </w:rPr>
        <w:t>vs.</w:t>
      </w:r>
      <w:r w:rsidRPr="00FE5D1C">
        <w:rPr>
          <w:rFonts w:ascii="Calibri" w:eastAsia="Times New Roman" w:hAnsi="Calibri" w:cs="Calibri"/>
          <w:color w:val="000000"/>
          <w:kern w:val="0"/>
          <w:sz w:val="22"/>
          <w:szCs w:val="22"/>
          <w14:ligatures w14:val="none"/>
        </w:rPr>
        <w:t> “not all,” supporting PQ’s impact on malaria control. These findings support the integration of schizonticidal drugs with primaquine in malaria elimination strategies, offering a dual-targeted approach to interrupt transmission cycles and accelerate progress toward global malaria eradication goals.</w:t>
      </w:r>
    </w:p>
    <w:p w14:paraId="55A88C4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25-A-2894-ASTMH</w:t>
      </w:r>
    </w:p>
    <w:p w14:paraId="3E1AB8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221ECA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Multi-country evaluation of the performance of a modified human landing collection method for</w:t>
      </w:r>
      <w:r w:rsidRPr="00FE5D1C">
        <w:rPr>
          <w:rFonts w:ascii="Calibri" w:eastAsia="Times New Roman" w:hAnsi="Calibri" w:cs="Calibri"/>
          <w:i/>
          <w:iCs/>
          <w:color w:val="000000"/>
          <w:kern w:val="0"/>
          <w:sz w:val="22"/>
          <w:szCs w:val="22"/>
          <w14:ligatures w14:val="none"/>
        </w:rPr>
        <w:t>Simulium damnosum</w:t>
      </w:r>
      <w:r w:rsidRPr="00FE5D1C">
        <w:rPr>
          <w:rFonts w:ascii="Calibri" w:eastAsia="Times New Roman" w:hAnsi="Calibri" w:cs="Calibri"/>
          <w:color w:val="000000"/>
          <w:kern w:val="0"/>
          <w:sz w:val="22"/>
          <w:szCs w:val="22"/>
          <w14:ligatures w14:val="none"/>
        </w:rPr>
        <w:t>s.l.</w:t>
      </w:r>
    </w:p>
    <w:p w14:paraId="123A5CD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Given the ethical concerns surrounding the traditional bare-legged (standard) human landing collection (sHLC) method for collecting </w:t>
      </w:r>
      <w:r w:rsidRPr="00FE5D1C">
        <w:rPr>
          <w:rFonts w:ascii="Calibri" w:eastAsia="Times New Roman" w:hAnsi="Calibri" w:cs="Calibri"/>
          <w:i/>
          <w:iCs/>
          <w:color w:val="000000"/>
          <w:kern w:val="0"/>
          <w:sz w:val="22"/>
          <w:szCs w:val="22"/>
          <w14:ligatures w14:val="none"/>
        </w:rPr>
        <w:t>Simulium</w:t>
      </w:r>
      <w:r w:rsidRPr="00FE5D1C">
        <w:rPr>
          <w:rFonts w:ascii="Calibri" w:eastAsia="Times New Roman" w:hAnsi="Calibri" w:cs="Calibri"/>
          <w:color w:val="000000"/>
          <w:kern w:val="0"/>
          <w:sz w:val="22"/>
          <w:szCs w:val="22"/>
          <w14:ligatures w14:val="none"/>
        </w:rPr>
        <w:t> vectors of human onchocerciasis, a previous study showed that wearing protective color trousers collected comparable numbers and physiological status of flies. Although this is a promising alternative, the study was done only in one ecological zone. This current research aimed to confirm these findings in different bioecological zones and transmission environments, with well-characterized cytospecies. The research was conducted across three ecological zones (forest, savanna, and transition) in five countries: Burkina Faso, Cameroon, Chad, Ghana, and Nigeria. Seven different color trouser combinations of red, blue and black and sHLC were tested in a Latin Square design to collect flies. Fly collections were made for eight days each month for two months in both rainy and dry seasons. About 75% of flies collected were dissected for parity and infection to compare the physiological status of flies collected amongst the different methods. A total of 222,991 flies were collected from the five countries. Preliminary results indicate that the sHLC collected highest number of flies for all countries, except Chad, followed by black and red. Although the black and red collected higher numbers, they did not appear to be significantly different from the other color combinations and the standard. Furthermore, there was also no significant difference in the physiological status of flies collected for all combinations. The observation that vector collectors wearing black and red color trousers collected comparable number of flies of similar physiological status as the sHLC indicates that these colors can serve as safe and effective alternatives for collecting anthropophilic vector blackflies. Thus, this addresses the ongoing ethical challenge of exposing collectors during fly collection processes. Further analyses are ongoing to determine the most effective color combinations for specific ecological settings and species.</w:t>
      </w:r>
    </w:p>
    <w:p w14:paraId="64098C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25-A-2895-ASTMH</w:t>
      </w:r>
    </w:p>
    <w:p w14:paraId="5D4F0C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3C9A41B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Deaths suspected with Infantile Hypertrophic Pyloric Stenosis (IHPS) in four randomized controlled trials of azithromycin and placebo</w:t>
      </w:r>
    </w:p>
    <w:p w14:paraId="04D82C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Studies have reported an association between IHPS and macrolide use during the early weeks of life. To assess whether azithromycin increased IHPS risk, we identified children who died and were suspected of IHPS across 4 randomized controlled trials. The CHATON and NAITRE trials individually randomized participants to azithromycin or placebo, including children 5-12 weeks old and children 8-27 days old, respectively. The CHAT and AVENIR trials randomized communities to receive biannual mass administration of azithromycin or placebo to children 1-59 months old. Mortality was suspected to be related to IHPS when verbal autopsies included vomiting, vomiting after every feed, and the inability to retain any food or liquid. For CHATON, NAITRE and CHAT, verbal autopsies were performed on all children who died. For AVENIR, only children treated between 30-42 days and were recorded dead at </w:t>
      </w:r>
      <w:r w:rsidRPr="00FE5D1C">
        <w:rPr>
          <w:rFonts w:ascii="Calibri" w:eastAsia="Times New Roman" w:hAnsi="Calibri" w:cs="Calibri"/>
          <w:color w:val="000000"/>
          <w:kern w:val="0"/>
          <w:sz w:val="22"/>
          <w:szCs w:val="22"/>
          <w14:ligatures w14:val="none"/>
        </w:rPr>
        <w:lastRenderedPageBreak/>
        <w:t>the subsequent census were autopsied. Each study was summarized independently and by arm and sex based on the most recent treatment date. Overall, 45 cases suspected of IHPS had a mean age of 4.26±2.52 months and were 48.9% female. 22 (48.9%) received azithromycin and 23 (51.1%) received placebo. 7 children died within 21 days after treatment administration, of which 4 were from the azithromycin arm. Neither sex (P=0.75) nor treatment assignment (P=0.64) were associated with suspected IHPS. When considering individual studies, 0.06% (19/ 32,877) children died with suspected IHPS in CHATON had a mean age of 3.32 ± 1.63 months; 10 (52.6%) were in the azithromycin arm. For NAITRE, 0.06% (14/21,833) children died suspected of IHPS had a mean age of 4.79±2.72 months; 6 (42.9%) were from the azithromycin arm. In CHAT, 0.01% (4/76,839) of children died with suspected IHPS; all 4 children (mean age 7.25±3.86 months) were from the placebo arm. In AVENIR, 4 out of 440,133 children who died with suspected IHPS had a mean age of 4.00± 1.00 months; 3 (75%) were in the azithromycin arm. To date, this is the largest study reporting deaths suspected of IHPS among randomized controlled trials, and finds no significant difference between azithromycin and placebo arms.</w:t>
      </w:r>
    </w:p>
    <w:p w14:paraId="742854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25-A-2896-ASTMH</w:t>
      </w:r>
    </w:p>
    <w:p w14:paraId="4A3E73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Therapeutics and Antiviral Drugs</w:t>
      </w:r>
    </w:p>
    <w:p w14:paraId="58EBE1C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Generation of Therapeutic Human IgG Monoclonal Antibodies Against Severe Fever with Thrombocytopenia Syndrome from Human-Immune-System Humanized DRAGA Mice</w:t>
      </w:r>
    </w:p>
    <w:p w14:paraId="6C412B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landscape of emerging infectious diseases around the globe is ever-evolving, and therefore development of efficacious therapeutic is critical to ensure the full health of U.S. forces. Severe Fever with Thrombocytopenia Syndrome (SFTS) is an emerging infectious disease caused by </w:t>
      </w:r>
      <w:r w:rsidRPr="00FE5D1C">
        <w:rPr>
          <w:rFonts w:ascii="Calibri" w:eastAsia="Times New Roman" w:hAnsi="Calibri" w:cs="Calibri"/>
          <w:i/>
          <w:iCs/>
          <w:color w:val="000000"/>
          <w:kern w:val="0"/>
          <w:sz w:val="22"/>
          <w:szCs w:val="22"/>
          <w14:ligatures w14:val="none"/>
        </w:rPr>
        <w:t>Dabie bandavirus</w:t>
      </w:r>
      <w:r w:rsidRPr="00FE5D1C">
        <w:rPr>
          <w:rFonts w:ascii="Calibri" w:eastAsia="Times New Roman" w:hAnsi="Calibri" w:cs="Calibri"/>
          <w:color w:val="000000"/>
          <w:kern w:val="0"/>
          <w:sz w:val="22"/>
          <w:szCs w:val="22"/>
          <w14:ligatures w14:val="none"/>
        </w:rPr>
        <w:t> also known as the SFTS virus. SFTS infections are endemic in China, Japan, and Korea with reported mortality rates of 6-23 %. Though the disease is transmitted by tick bites, recent studies reported human-to-human transmission, which raises the concern for potential SFTS pandemics. Currently there are no FDA-approved vaccines or therapeutics for prevention or treatment of SFTS infections, making it imperative to develop therapeutics against SFTS infections. Humanized DRAGA mice infused with human hematopoietic stem cells from cord blood reconstitute a long-term functional human immune system and respond to vaccination by eliciting specific human antibodies. DRAGA mice thus represent a rapid research platform for generation of therapeutic human monoclonal antibodies (hmAbs) against current and emerging infectious diseases. Here, we generated and characterized hmAbs against SFTS-glycoprotein (Gn) using DRAGA mice (n=7) immunized with a research-grade DNA vaccine encoding for the M segment (genotype A) and boosted with a recombinant protein adjuvanted in ALFQ. Using hybridoma technology, 342 human IgG-secreting B cell hybridoma clones were obtained from the splenic human B cells fused with K6H6 myeloma cells. Among them, 16 hmAbs showed specific binding to SFTSV-Gn protein as determined by ELISA. We conclude the DRAGA mice as a rapid platform for generation of therapeutic hmAbs against current and emerging infectious diseases.</w:t>
      </w:r>
    </w:p>
    <w:p w14:paraId="1B3E98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25-A-2897-ASTMH</w:t>
      </w:r>
    </w:p>
    <w:p w14:paraId="4B7441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Emerging Viral Diseases</w:t>
      </w:r>
    </w:p>
    <w:p w14:paraId="4613C37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Parental Compliance, Knowledge and Attitude Towards Measles Vaccination and Its Associated Factors Among a Cohort of Parents in Sri Lanka.</w:t>
      </w:r>
    </w:p>
    <w:p w14:paraId="7F3EE6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Measles has reemerged as a public health concern in recent years despite it being vaccine-preventable. Sri Lanka, which had previously eradicated measles, has also shown a recent rise in measles incidence. This study aimed at assessing parental compliance, knowledge and attitude towards measles vaccination and its associated factors, among a cohort of parents in Sri Lanka. A cross-sectional study, using an interviewer-administered questionnaire, was conducted among 393 participants, at the Lady Ridgeway Hospital in Colombo, Sri Lanka. Data was analysed using the chi-squared test and Fisher’s Exact test at 95% confidence interval, and binary logistic regression. The cumulative knowledge and attitude scores were categorized based on Bloom’s cut off points, viz scores ≥ 80% taken as ‘good’, 60% to 79% as </w:t>
      </w:r>
      <w:r w:rsidRPr="00FE5D1C">
        <w:rPr>
          <w:rFonts w:ascii="Calibri" w:eastAsia="Times New Roman" w:hAnsi="Calibri" w:cs="Calibri"/>
          <w:color w:val="000000"/>
          <w:kern w:val="0"/>
          <w:sz w:val="22"/>
          <w:szCs w:val="22"/>
          <w14:ligatures w14:val="none"/>
        </w:rPr>
        <w:lastRenderedPageBreak/>
        <w:t>‘moderate’ and scores &lt; 60% as ‘poor’. Majority had ‘good’ compliance to vaccination (96.4%, n=379), while nearly half had a ‘poor’ level of knowledge (53.2%, n=209) and 84.2% showed a ‘moderate’ attitude (n=331). The district of residence showed a statistically significant association with compliance (p=0.043), with those from Colombo having more compliance compared to those from other districts. An association was found between parental knowledge and compliance (p=0.025). Participants with ‘poor’ levels of knowledge had higher compliance compared to those with ‘moderate’ and ‘good’ knowledge. However, there was no association between parental attitude and compliance to measles vaccination. Knowledge is a potential key factor associated with parents’ compliance to vaccination. It would be prudent to find reasons for poor compliance associated with higher levels of knowledge and develop community engagement programmes and policies to address such reasons. Further studies on compliance and district of residence, may provide better insights into ways of improving compliance depending on the area of residence. Novel approaches such as online systems with SMS reminders of vaccination dates may have the potential to improve vaccine compliance and there by prevent resurgence of measles as a public health problem.</w:t>
      </w:r>
    </w:p>
    <w:p w14:paraId="2B2C0B2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25-A-2898-ASTMH</w:t>
      </w:r>
    </w:p>
    <w:p w14:paraId="53B385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Parasite Transmission Biology</w:t>
      </w:r>
    </w:p>
    <w:p w14:paraId="29246F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Role of Plasmodium falciparum Gametocytogenesis in the Spread of Resistance to Artemisinin-Based Combination Therapies</w:t>
      </w:r>
    </w:p>
    <w:p w14:paraId="75DCC5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elimination goals are threatened by the spread of artemisinin resistance in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 response, several countries replace current artemisinin combination therapies (ACTs), often artemether-lumefantrine (AL), with triple ACTs, or introduce alternative treatments, to sustain drug efficacy. Although drug efficacy determines the survival of asexual parasites carrying resistance-conferring mutations in treated infections, the abundance of their derived gametocytes determines their transmission. Importantly, some ACTs are associated with higher gametocytemia. A mechanistic model is introduced, which quantitatively describes how the effect of drugs on asexual and sexual parasites determines their spread. The model incorporates the effectiveness of drugs on resistant/sensitive asexual as well as non-replicating early- and late-stage sexual parasites (gametocytes). Evolutionary fitness is determined as the area under the curve of late-stage gametocytes of resistant/sensitive parasites. This is combined with a population-genetic model that describes the spread of resistance.</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Assuming intuitive model parameters, the evolutionary fitness of three alternative drug treatments with the same effectiveness on asexual parasites with (i) no, (ii) only and early-stage, or (iii) an early- and late-stage gametocytocidal effect, is contrasted. An early-stage gametocytocidal effect substantially slows down the spread of resistance. A late-stage gametocytocidal effect contains the spread of resistance only if it is sustained beyond the clearance of asexual parasites. These findings challenge current attempts to introduce artesunate-amodiaquine (ASAQ) or dihydroartemisinin-piperaquine (DHAPPQ) as alternatives to AL, unless combined with 8-aminiquinolines, which target both early- and late-stage gametocytes, since these treatments are associated with higher gametocytemia.</w:t>
      </w:r>
    </w:p>
    <w:p w14:paraId="31A1973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25-A-2899-ASTMH</w:t>
      </w:r>
    </w:p>
    <w:p w14:paraId="1F32364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6459F9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Development of a Novel Dual-stage Active Antimalarial Chemotype with Radical Cure Potential</w:t>
      </w:r>
    </w:p>
    <w:p w14:paraId="6ABF88D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There is an ongoing and pressing need for developing new antimalarial intervention tools to prevent and treat malaria. Drugs that are efficacious in both treating active bloodstream infections and preventing the disease at the liver stage before clinical manifestations occur, ideally with the ability to provide radical cure by clearing dormant parasites hibernating in host liver cells to prevent relapse malaria, are of high importance and particular interest in the eradication campaign. Recently, we have developed a novel antimalarial tetrahydroacridone chemotype with dual stage activity against both blood stage and liver stage malaria, as well as single-dose cure ability and potential to prevent relapsing malaria infection. Extensive structural activity relationship and attributes of an early lead candidate of our dual-</w:t>
      </w:r>
      <w:r w:rsidRPr="00FE5D1C">
        <w:rPr>
          <w:rFonts w:ascii="Calibri" w:eastAsia="Times New Roman" w:hAnsi="Calibri" w:cs="Calibri"/>
          <w:color w:val="000000"/>
          <w:kern w:val="0"/>
          <w:sz w:val="22"/>
          <w:szCs w:val="22"/>
          <w14:ligatures w14:val="none"/>
        </w:rPr>
        <w:lastRenderedPageBreak/>
        <w:t>stage active tetrahydroacridone chemotype will be presented. Material has been reviewed by the Walter Reed Army Institute of Research. There is no objection to its presentation and/or publication. The opinions or assertions contained herein are the private views of the author, and are not to be construed as official, or as reflecting true views of the Department of the Army or the Department of Defense. Research was conducted under an IACUC-approved animal use protocol in an AAALAC International - accredited facility with a Public Health Services Animal Welfare Assurance and in compliance with the Animal Welfare Act and other federal statutes and regulations relating to laboratory animals.</w:t>
      </w:r>
    </w:p>
    <w:p w14:paraId="50F1CB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25-A-2900-ASTMH</w:t>
      </w:r>
    </w:p>
    <w:p w14:paraId="671A5DB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798B68D0" w14:textId="2345190C"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function of the </w:t>
      </w:r>
      <w:r w:rsidRPr="00FE5D1C">
        <w:rPr>
          <w:rFonts w:ascii="Calibri" w:eastAsia="Times New Roman" w:hAnsi="Calibri" w:cs="Calibri"/>
          <w:i/>
          <w:iCs/>
          <w:color w:val="000000"/>
          <w:kern w:val="0"/>
          <w:sz w:val="22"/>
          <w:szCs w:val="22"/>
          <w14:ligatures w14:val="none"/>
        </w:rPr>
        <w:t>membrin</w:t>
      </w:r>
      <w:r w:rsidRPr="00FE5D1C">
        <w:rPr>
          <w:rFonts w:ascii="Calibri" w:eastAsia="Times New Roman" w:hAnsi="Calibri" w:cs="Calibri"/>
          <w:color w:val="000000"/>
          <w:kern w:val="0"/>
          <w:sz w:val="22"/>
          <w:szCs w:val="22"/>
          <w14:ligatures w14:val="none"/>
        </w:rPr>
        <w:t> gene in modulating juvenile hormone production and mating success in adult male </w:t>
      </w:r>
      <w:r w:rsidRPr="00FE5D1C">
        <w:rPr>
          <w:rFonts w:ascii="Calibri" w:eastAsia="Times New Roman" w:hAnsi="Calibri" w:cs="Calibri"/>
          <w:i/>
          <w:iCs/>
          <w:color w:val="000000"/>
          <w:kern w:val="0"/>
          <w:sz w:val="22"/>
          <w:szCs w:val="22"/>
          <w14:ligatures w14:val="none"/>
        </w:rPr>
        <w:t>Culex pipiens</w:t>
      </w:r>
      <w:r w:rsidRPr="00FE5D1C">
        <w:rPr>
          <w:rFonts w:ascii="Calibri" w:eastAsia="Times New Roman" w:hAnsi="Calibri" w:cs="Calibri"/>
          <w:color w:val="000000"/>
          <w:kern w:val="0"/>
          <w:sz w:val="22"/>
          <w:szCs w:val="22"/>
          <w14:ligatures w14:val="none"/>
        </w:rPr>
        <w:t> mosquitoes</w:t>
      </w:r>
    </w:p>
    <w:p w14:paraId="7440DA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order to successfully implement various vector control programs, such as the sterile insect technique (SIT), on </w:t>
      </w:r>
      <w:r w:rsidRPr="00FE5D1C">
        <w:rPr>
          <w:rFonts w:ascii="Calibri" w:eastAsia="Times New Roman" w:hAnsi="Calibri" w:cs="Calibri"/>
          <w:i/>
          <w:iCs/>
          <w:color w:val="000000"/>
          <w:kern w:val="0"/>
          <w:sz w:val="22"/>
          <w:szCs w:val="22"/>
          <w14:ligatures w14:val="none"/>
        </w:rPr>
        <w:t>Culex</w:t>
      </w:r>
      <w:r w:rsidRPr="00FE5D1C">
        <w:rPr>
          <w:rFonts w:ascii="Calibri" w:eastAsia="Times New Roman" w:hAnsi="Calibri" w:cs="Calibri"/>
          <w:color w:val="000000"/>
          <w:kern w:val="0"/>
          <w:sz w:val="22"/>
          <w:szCs w:val="22"/>
          <w14:ligatures w14:val="none"/>
        </w:rPr>
        <w:t> mosquito disease vectors, it is crucial to identify the specific genes that can be targeted for male sterilization. Additionally, it is important to determine the cells or tissues where these reproductively relevant genes are most concentrated in males. In our previous study, we conducted an RNA-seq and qRT-PCR analysis on the complete genome of the male accessory gland (MAG) of </w:t>
      </w:r>
      <w:r w:rsidRPr="00FE5D1C">
        <w:rPr>
          <w:rFonts w:ascii="Calibri" w:eastAsia="Times New Roman" w:hAnsi="Calibri" w:cs="Calibri"/>
          <w:i/>
          <w:iCs/>
          <w:color w:val="000000"/>
          <w:kern w:val="0"/>
          <w:sz w:val="22"/>
          <w:szCs w:val="22"/>
          <w14:ligatures w14:val="none"/>
        </w:rPr>
        <w:t>Cx. pipiens</w:t>
      </w:r>
      <w:r w:rsidRPr="00FE5D1C">
        <w:rPr>
          <w:rFonts w:ascii="Calibri" w:eastAsia="Times New Roman" w:hAnsi="Calibri" w:cs="Calibri"/>
          <w:color w:val="000000"/>
          <w:kern w:val="0"/>
          <w:sz w:val="22"/>
          <w:szCs w:val="22"/>
          <w14:ligatures w14:val="none"/>
        </w:rPr>
        <w:t>. This gland is widely recognized as a significant, albeit understudied, reproductive organ. The objective of our investigation was to identify genes that may be elevated and potentially beneficial for adult male sterilization. Subsequently, we selected the gene </w:t>
      </w:r>
      <w:r w:rsidRPr="00FE5D1C">
        <w:rPr>
          <w:rFonts w:ascii="Calibri" w:eastAsia="Times New Roman" w:hAnsi="Calibri" w:cs="Calibri"/>
          <w:i/>
          <w:iCs/>
          <w:color w:val="000000"/>
          <w:kern w:val="0"/>
          <w:sz w:val="22"/>
          <w:szCs w:val="22"/>
          <w14:ligatures w14:val="none"/>
        </w:rPr>
        <w:t>membrin</w:t>
      </w:r>
      <w:r w:rsidRPr="00FE5D1C">
        <w:rPr>
          <w:rFonts w:ascii="Calibri" w:eastAsia="Times New Roman" w:hAnsi="Calibri" w:cs="Calibri"/>
          <w:color w:val="000000"/>
          <w:kern w:val="0"/>
          <w:sz w:val="22"/>
          <w:szCs w:val="22"/>
          <w14:ligatures w14:val="none"/>
        </w:rPr>
        <w:t> (CPIJ006096) that is linked to increased expression in young and, therefore, reproductively viable MAGs, for a subsequent functional examination. An initial RNA interference (RNAi) knockdown of </w:t>
      </w:r>
      <w:r w:rsidRPr="00FE5D1C">
        <w:rPr>
          <w:rFonts w:ascii="Calibri" w:eastAsia="Times New Roman" w:hAnsi="Calibri" w:cs="Calibri"/>
          <w:i/>
          <w:iCs/>
          <w:color w:val="000000"/>
          <w:kern w:val="0"/>
          <w:sz w:val="22"/>
          <w:szCs w:val="22"/>
          <w14:ligatures w14:val="none"/>
        </w:rPr>
        <w:t>membrin</w:t>
      </w:r>
      <w:r w:rsidRPr="00FE5D1C">
        <w:rPr>
          <w:rFonts w:ascii="Calibri" w:eastAsia="Times New Roman" w:hAnsi="Calibri" w:cs="Calibri"/>
          <w:color w:val="000000"/>
          <w:kern w:val="0"/>
          <w:sz w:val="22"/>
          <w:szCs w:val="22"/>
          <w14:ligatures w14:val="none"/>
        </w:rPr>
        <w:t> (CPIJ006096) revealed a difference in phenotype of </w:t>
      </w:r>
      <w:r w:rsidRPr="00FE5D1C">
        <w:rPr>
          <w:rFonts w:ascii="Calibri" w:eastAsia="Times New Roman" w:hAnsi="Calibri" w:cs="Calibri"/>
          <w:i/>
          <w:iCs/>
          <w:color w:val="000000"/>
          <w:kern w:val="0"/>
          <w:sz w:val="22"/>
          <w:szCs w:val="22"/>
          <w14:ligatures w14:val="none"/>
        </w:rPr>
        <w:t>Cx. pipiens</w:t>
      </w:r>
      <w:r w:rsidRPr="00FE5D1C">
        <w:rPr>
          <w:rFonts w:ascii="Calibri" w:eastAsia="Times New Roman" w:hAnsi="Calibri" w:cs="Calibri"/>
          <w:color w:val="000000"/>
          <w:kern w:val="0"/>
          <w:sz w:val="22"/>
          <w:szCs w:val="22"/>
          <w14:ligatures w14:val="none"/>
        </w:rPr>
        <w:t> wild type vs. knockdown MAG tissue. Then, small cage fertility assays to evaluate insemination success and the reproductive capacity of wild type vs. knockdown individuals revealed impairments in both insemination success and reproductive fitness of knockdown males. Furthermore, after a qRT-PCR analysis of gene expression patterns across different time points in knockdown vs. wild type MAGs, notable differences in expression were observed, including the upregulation of </w:t>
      </w:r>
      <w:r w:rsidRPr="00FE5D1C">
        <w:rPr>
          <w:rFonts w:ascii="Calibri" w:eastAsia="Times New Roman" w:hAnsi="Calibri" w:cs="Calibri"/>
          <w:i/>
          <w:iCs/>
          <w:color w:val="000000"/>
          <w:kern w:val="0"/>
          <w:sz w:val="22"/>
          <w:szCs w:val="22"/>
          <w14:ligatures w14:val="none"/>
        </w:rPr>
        <w:t>juvenile hormone esterase </w:t>
      </w:r>
      <w:r w:rsidRPr="00FE5D1C">
        <w:rPr>
          <w:rFonts w:ascii="Calibri" w:eastAsia="Times New Roman" w:hAnsi="Calibri" w:cs="Calibri"/>
          <w:color w:val="000000"/>
          <w:kern w:val="0"/>
          <w:sz w:val="22"/>
          <w:szCs w:val="22"/>
          <w14:ligatures w14:val="none"/>
        </w:rPr>
        <w:t>(CPIJ018753) in knockdown tissue. At last, the MAG tissue of both wild type and knockdown males is analyzed using mass spectroscopy to ascertain the presence or absence of the potentially crucial JH hormone. This analysis aims to establish a connection between membrin activity and the sufficient production of JH hormone in the MAG.</w:t>
      </w:r>
    </w:p>
    <w:p w14:paraId="76FD64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25-A-2901-ASTMH</w:t>
      </w:r>
    </w:p>
    <w:p w14:paraId="71F90F1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7AC542E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Optimization of SMC Campaigns through Digitalized Micro-Planning in DHIS2: Pilot Phase in Mali</w:t>
      </w:r>
    </w:p>
    <w:p w14:paraId="7CA50F8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Micro-planning is a crucial step in Seasonal Malaria Chemoprevention (SMC) campaigns, as it structures the distribution of pharmaceuticals by health area. Typical digitalization of SMC campaigns does not enable monitoring of geographical coverage at village level. To address this, Mali initiated a pilot to digitalize micro-planning by integrating village-level population data into DHIS2. The Baraouli health district, with its advanced experience in digitizing SMC campaigns, was chosen for this initiative. It includes 27 health areas and covers 259 villages/hamlets. The approach consisted of parameterizing and integrating the micro-planning template in Excel format into DHIS2 and hierarchizing the localities by village, health area, and district. Unlike the traditional method, where population data were manually imported after validation, the pilot allows populations data to be entered directly in DHIS2 and instantly accounted for in the microplanning system. A total of 35 key indicators were configured and disaggregated to the village level, enabling automated calculations for human, financial, and pharmaceutical resource allocation, while facilitating continuous monitoring through interactive dashboards. 54 health facility managers, 2 district-level staff, and 10 national-level experts participated in the digital microplanning exercise. Initial results indicate a significant improvement, with 95% </w:t>
      </w:r>
      <w:r w:rsidRPr="00FE5D1C">
        <w:rPr>
          <w:rFonts w:ascii="Calibri" w:eastAsia="Times New Roman" w:hAnsi="Calibri" w:cs="Calibri"/>
          <w:color w:val="000000"/>
          <w:kern w:val="0"/>
          <w:sz w:val="22"/>
          <w:szCs w:val="22"/>
          <w14:ligatures w14:val="none"/>
        </w:rPr>
        <w:lastRenderedPageBreak/>
        <w:t>accuracy and better resource optimization. Based on positive initial results, a progressive national expansion is planned, incorporating advanced analytical tools and strengthened interoperability with existing health systems. This ongoing initiative aims to provide an innovative and scalable solution to improve malaria intervention efficiency in endemic areas. Final results are expected in June 2025 should confirm the potential of this approach to enhance SMC campaign implementation.</w:t>
      </w:r>
    </w:p>
    <w:p w14:paraId="6352A0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25-A-2902-ASTMH</w:t>
      </w:r>
    </w:p>
    <w:p w14:paraId="73F215E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293E19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Establishment of a Novel Statistic Model for Evaluating the Effectiveness of Molecular Surveillance on Multiplicity of Infection and Haplotype Frequencies in Malaria Pathogens</w:t>
      </w:r>
    </w:p>
    <w:p w14:paraId="4E58B54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presence of different pathogen variants within the same infection, referred to as multiplicity of infection (MOI), confounds molecular disease surveillance in diseases such as malaria. Specifically, if molecular/genetic assays yield unphased data, MOI causes ambiguity concerning pathogen haplotypes. Hence, statistical models are required to infer haplotype frequencies and MOI from ambiguous data. Such methods must be applicable to a general genetic architecture when aiming to condition secondary analyses, e.g., population genetic measures such as heterozygosity or linkage disequilibrium, on the background of variants of interest, e.g., drug-resistance associated haplotypes. Here, a statistical method to estimate MOI and pathogen haplotype frequencies, assuming a general genetic architecture, is introduced. The statistical model is formulated, and the relation between haplotype frequency, prevalence, and MOI is explained. Because no closed solution exists for the maximum-likelihood estimate (MLE), the expectation-maximization (EM) algorithm is used for its derivation. The asymptotic variance of the estimator (inverse Fisher information) is derived. This yields a lower bound for the variance of the estimated model parameters. Numerical simulations showed that the bias of the estimator decreases with sample size, and that its covariance is well approximated by the inverse Fisher information, suggesting that the estimator is asymptotically unbiased and efficient. Application of the method is exemplified by analyzing an empirical dataset from Cameroon concerning anti-malarial drug resistance. The results indicate usage of the method to derive population genetic measures associated with haplotypes of interest. Collectively, the proposed method has desirable statistical properties and is adequate for handling molecular data consisting of a moderate number of multiallelic molecular markers, while the EM-algorithm provides a stable iteration to numerically calculate the MLEs. An efficient implementation of the algorithm, alongside detailed documentation, is available.</w:t>
      </w:r>
    </w:p>
    <w:p w14:paraId="3C2F4E2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25-A-2903-ASTMH</w:t>
      </w:r>
    </w:p>
    <w:p w14:paraId="7DD5A3C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07F7F37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Comparative Impact of Digitalization on Mass Campaigns (SMC and LLIN): Efficiency, Operational Gains, and Scalability Prospects</w:t>
      </w:r>
    </w:p>
    <w:p w14:paraId="4E42DE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integration of digitalization into SMC and LLIN distribution campaigns represents a step forward in the fight against malaria in Mali. This case study analyzes the impact of digitalization on operational efficiency, data quality, and equitable access to interventions, compared to traditional methods. Between 2022 and 2024, the gradual expansion of digital tools led to a significant improvement in campaign performance. In digitized areas, per data from the national health information system (DHIS2), SMC coverage increased from 60% in 2022 to 95% in 2024, while LLIN distribution reached 97%. Data collection via mobile applications integrated with DHIS2 reduced data entry errors by 85%, improved stock monitoring, and enabled real-time reporting, reducing response times to supply shortages by 50%. The adoption of innovative solutions such as offline data collection, QR codes, and GPS tracking enhanced campaign efficiency and child or household traceability to 98%. QR codes facilitated precise tracking of treated children’s cohorts, while GPS mapping provided detailed visualization of interventions. These technologies optimized planning, logistics, and supervision, improving resource allocation and monitoring of high-risk areas. They also overcame the limitations of traditional approaches and increased the scalability of campaigns. In conclusion, this case study demonstrates that </w:t>
      </w:r>
      <w:r w:rsidRPr="00FE5D1C">
        <w:rPr>
          <w:rFonts w:ascii="Calibri" w:eastAsia="Times New Roman" w:hAnsi="Calibri" w:cs="Calibri"/>
          <w:color w:val="000000"/>
          <w:kern w:val="0"/>
          <w:sz w:val="22"/>
          <w:szCs w:val="22"/>
          <w14:ligatures w14:val="none"/>
        </w:rPr>
        <w:lastRenderedPageBreak/>
        <w:t>digitalization not only enhances campaign efficiency and speed of campaigns but also offers a sustainable and adaptable solution for other public health interventions. Its widespread large-scale adoption could significantly boost malaria control efforts in Mali.</w:t>
      </w:r>
    </w:p>
    <w:p w14:paraId="7667C45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25-A-2904-ASTMH</w:t>
      </w:r>
    </w:p>
    <w:p w14:paraId="05E4029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745261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Viruses in Symptomatic Banana Farmworkers in Rural Guatemala</w:t>
      </w:r>
    </w:p>
    <w:p w14:paraId="52D401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Many pathogens can cause influenza-like-illness (ILI). This study aimed to identify other respiratory pathogens and risk factors for respiratory illness among banana farm workers with ILI. We carried out prospective self-reported ILI surveillance in a cohort of agricultural workers (AW). AW reporting 1–7 days of cough, fever, or difficulty breathing from July 2020-June 2024 underwent PCR testing on the Roche cobas® Liat® for FLUV A/B, SARS-CoV-2 and RSV (results provided within 24 hours). If negative, further multiplex PCR testing was conducted on the BioFire® (RP2.1) for 21 respiratory pathogens (results provided as testing kits were available). In this period, 315 AW (out of 2,630) reported 400 ILI events, of which 68% (273/400) were negative on the cobas panel. Of those, 253 ILI events were tested on Biofire (testing kits unavailable for 20) and 53% (134/253) tested positive for at least one pathogen. The remaining 47% (119/253) were negative for all evaluated pathogens. We explored sex (chi-square test), number of children in the home (Wilcox test, WT), household income (WT), work area (Fisher’s Exact Test, FET) and obesity (FET) as risk factors for having multiple events. Human rhino/enterovirus (HR/EV) was the most frequently detected pathogen (66%, 88/134); 82 single-detection and 6 co-detection events. Other common pathogens were seasonal coronaviruses (12%, 16/134) and parainfluenza (6%, 8/134). Of the AW tested on Biofire, 33 individuals had multiple ILI events and 179 had a single event. Administrative AW had 5.0 times the odds of having multiple events than field or packing plant AW (CI: 1.8-14, p &lt; 0.01). Obese AW had 2.4 times the odds of having multiple events than non-obese AW (Fisher’s Exact CI: 1.2-4.8, p=0.01). Other risk factors evaluated were not significantly associated (p &lt; .05) with having multiple events. Non-pharmaceutical measures are important to prevent persistent HR/EV as well as multiple events in workers with higher odds of multiple episodes. Real-time reporting of this surveillance is available on a public dashboard: https://funsaludinvestigacion.shinyapps.io/code/</w:t>
      </w:r>
    </w:p>
    <w:p w14:paraId="2A50125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25-A-2905-ASTMH</w:t>
      </w:r>
    </w:p>
    <w:p w14:paraId="5CDCC0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1BCD90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Bottlenecks to pilot implementation of intermittent preventive treatment at the community level, Mali</w:t>
      </w:r>
    </w:p>
    <w:p w14:paraId="383D8A5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Intermittent preventive treatment of malaria in pregnancy (IPTp) with sulfadoxine-pyrimethamine is a preventive intervention against malaria and anemia in pregnant women recommended by the World Health Organisation (WHO). Coverage in Mali remains below the target of 80%. Dispensing by community agents has been recommended by the WHO to boost coverage. The aim of this study is to assess the impact on antenatal consultation coverage and uptake of IPTp in a pilot of community IPTp in Mali. The study involved a health district with high malaria transmission in Mali: Bla health district in Ségou region. The data were extracted from DHIS2. The analyses consisted of presenting the data graphically and comparing the average monthly number of women receiving IPTp and ANC before and after the intervention at community level, as well as the use of ANC. The average monthly number of pregnant women who benefited from ANC during the community IPTp period was 926 (95%CI; 863-1069) compared to 970 (95%CI; 894-1048) women in the period before the intervention. The average monthly number of pregnant women who took IPTp-1 during the intervention was 1028 (95%CI; 784-1110) versus 962 (95%CI; 962-1098) before the intervention. The average monthly number of pregnant women who took IPTp-3 during the intervention was 641 (95%CI; 586-709) versus 778 (95%CI; 646-890) before the intervention. The monitoring reports showed the absence of data collection registers at certain community sites, resulting in possible underreporting of women receiving IPTp-1 and IPTp-3 </w:t>
      </w:r>
      <w:r w:rsidRPr="00FE5D1C">
        <w:rPr>
          <w:rFonts w:ascii="Calibri" w:eastAsia="Times New Roman" w:hAnsi="Calibri" w:cs="Calibri"/>
          <w:color w:val="000000"/>
          <w:kern w:val="0"/>
          <w:sz w:val="22"/>
          <w:szCs w:val="22"/>
          <w14:ligatures w14:val="none"/>
        </w:rPr>
        <w:lastRenderedPageBreak/>
        <w:t>through community channels. The results do not show a significant impact of community IPT on IPTp-3 coverage in Mali. Ongoing supervision must be put in place to ensure that all data is recorded in order to improve IPTp-3 coverage indicators.</w:t>
      </w:r>
    </w:p>
    <w:p w14:paraId="2BF13F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25-A-2906-ASTMH</w:t>
      </w:r>
    </w:p>
    <w:p w14:paraId="6115D4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Respiratory Infections</w:t>
      </w:r>
    </w:p>
    <w:p w14:paraId="1D7C50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BREAD: a pre-processing pipeline and R package to address technical variation in serological data</w:t>
      </w:r>
    </w:p>
    <w:p w14:paraId="453B43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Immunoassays measure antibody responses to antigens, thus providing epidemiological insights into pathogen exposure. Many platforms (e.g. multiplex bead assays) quantify antibody levels by capturing binding events between dozens of different antigens and antibodies using light emission (e.g. fluorescence). However, these measurements contain technical variation that can obscure accurate epidemiological inference, and few tools have been developed to remove this technical variation. To address these gaps, we tested combinations of background correction, normalization, and standardization methods (fitting a curve to serial dilutions to estimate sample concentrations). We evaluated the performance of these combinations on two datasets: a cohort in Zambia of 1940 samples measuring responses to 21 malaria antigens, and a cohort in Uganda of 1483 samples measuring responses to 3 SARS-CoV-2 antigens. To identify the optimal ordering and combination of pre-processing steps, we compared concordance across technical replicates of pre-processed and raw measurements. Generally, estimating sample concentration with standard curves decreased concordance by up to 73%, suggesting standardization introduces substantial technical variation. However, the use of linear models to remove plate-to-plate effects independently, or after standardization, increased concordance. Other normalization methods developed for genomic assays decreased concordance by up to 35%. Some standardization and genomic normalization methods changed previously published estimates of seroprevalence to SARS-CoV-2 spike protein by up to 58% in absolute value. These results suggest that additional normalization with linear models reduces the technical variation introduced by estimating sample concentrations to produce interpretable results (e.g., IU values). Finally, if technical variation is not carefully removed, downstream estimates can be substantially impacted. We developed a publicly available R package, </w:t>
      </w:r>
      <w:r w:rsidRPr="00FE5D1C">
        <w:rPr>
          <w:rFonts w:ascii="Calibri" w:eastAsia="Times New Roman" w:hAnsi="Calibri" w:cs="Calibri"/>
          <w:b/>
          <w:bCs/>
          <w:color w:val="000000"/>
          <w:kern w:val="0"/>
          <w:sz w:val="22"/>
          <w:szCs w:val="22"/>
          <w14:ligatures w14:val="none"/>
        </w:rPr>
        <w:t>B</w:t>
      </w:r>
      <w:r w:rsidRPr="00FE5D1C">
        <w:rPr>
          <w:rFonts w:ascii="Calibri" w:eastAsia="Times New Roman" w:hAnsi="Calibri" w:cs="Calibri"/>
          <w:color w:val="000000"/>
          <w:kern w:val="0"/>
          <w:sz w:val="22"/>
          <w:szCs w:val="22"/>
          <w14:ligatures w14:val="none"/>
        </w:rPr>
        <w:t>ead </w:t>
      </w:r>
      <w:r w:rsidRPr="00FE5D1C">
        <w:rPr>
          <w:rFonts w:ascii="Calibri" w:eastAsia="Times New Roman" w:hAnsi="Calibri" w:cs="Calibri"/>
          <w:b/>
          <w:bCs/>
          <w:color w:val="000000"/>
          <w:kern w:val="0"/>
          <w:sz w:val="22"/>
          <w:szCs w:val="22"/>
          <w14:ligatures w14:val="none"/>
        </w:rPr>
        <w:t>R</w:t>
      </w:r>
      <w:r w:rsidRPr="00FE5D1C">
        <w:rPr>
          <w:rFonts w:ascii="Calibri" w:eastAsia="Times New Roman" w:hAnsi="Calibri" w:cs="Calibri"/>
          <w:color w:val="000000"/>
          <w:kern w:val="0"/>
          <w:sz w:val="22"/>
          <w:szCs w:val="22"/>
          <w14:ligatures w14:val="none"/>
        </w:rPr>
        <w:t>eadout, </w:t>
      </w:r>
      <w:r w:rsidRPr="00FE5D1C">
        <w:rPr>
          <w:rFonts w:ascii="Calibri" w:eastAsia="Times New Roman" w:hAnsi="Calibri" w:cs="Calibri"/>
          <w:b/>
          <w:bCs/>
          <w:color w:val="000000"/>
          <w:kern w:val="0"/>
          <w:sz w:val="22"/>
          <w:szCs w:val="22"/>
          <w14:ligatures w14:val="none"/>
        </w:rPr>
        <w:t>E</w:t>
      </w:r>
      <w:r w:rsidRPr="00FE5D1C">
        <w:rPr>
          <w:rFonts w:ascii="Calibri" w:eastAsia="Times New Roman" w:hAnsi="Calibri" w:cs="Calibri"/>
          <w:color w:val="000000"/>
          <w:kern w:val="0"/>
          <w:sz w:val="22"/>
          <w:szCs w:val="22"/>
          <w14:ligatures w14:val="none"/>
        </w:rPr>
        <w:t>xploration, </w:t>
      </w:r>
      <w:r w:rsidRPr="00FE5D1C">
        <w:rPr>
          <w:rFonts w:ascii="Calibri" w:eastAsia="Times New Roman" w:hAnsi="Calibri" w:cs="Calibri"/>
          <w:b/>
          <w:bCs/>
          <w:color w:val="000000"/>
          <w:kern w:val="0"/>
          <w:sz w:val="22"/>
          <w:szCs w:val="22"/>
          <w14:ligatures w14:val="none"/>
        </w:rPr>
        <w:t>A</w:t>
      </w:r>
      <w:r w:rsidRPr="00FE5D1C">
        <w:rPr>
          <w:rFonts w:ascii="Calibri" w:eastAsia="Times New Roman" w:hAnsi="Calibri" w:cs="Calibri"/>
          <w:color w:val="000000"/>
          <w:kern w:val="0"/>
          <w:sz w:val="22"/>
          <w:szCs w:val="22"/>
          <w14:ligatures w14:val="none"/>
        </w:rPr>
        <w:t>nd </w:t>
      </w:r>
      <w:r w:rsidRPr="00FE5D1C">
        <w:rPr>
          <w:rFonts w:ascii="Calibri" w:eastAsia="Times New Roman" w:hAnsi="Calibri" w:cs="Calibri"/>
          <w:b/>
          <w:bCs/>
          <w:color w:val="000000"/>
          <w:kern w:val="0"/>
          <w:sz w:val="22"/>
          <w:szCs w:val="22"/>
          <w14:ligatures w14:val="none"/>
        </w:rPr>
        <w:t>D</w:t>
      </w:r>
      <w:r w:rsidRPr="00FE5D1C">
        <w:rPr>
          <w:rFonts w:ascii="Calibri" w:eastAsia="Times New Roman" w:hAnsi="Calibri" w:cs="Calibri"/>
          <w:color w:val="000000"/>
          <w:kern w:val="0"/>
          <w:sz w:val="22"/>
          <w:szCs w:val="22"/>
          <w14:ligatures w14:val="none"/>
        </w:rPr>
        <w:t>ata Analysis (BREAD), that flexibly performs and compares pre-processing steps.</w:t>
      </w:r>
    </w:p>
    <w:p w14:paraId="0D9417A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25-A-2907-ASTMH</w:t>
      </w:r>
    </w:p>
    <w:p w14:paraId="055B7B5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Diagnosis - Challenges and Innovations</w:t>
      </w:r>
    </w:p>
    <w:p w14:paraId="2196A7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 novel Statistical Method to Estimate the Prevalence of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with </w:t>
      </w:r>
      <w:r w:rsidRPr="00FE5D1C">
        <w:rPr>
          <w:rFonts w:ascii="Calibri" w:eastAsia="Times New Roman" w:hAnsi="Calibri" w:cs="Calibri"/>
          <w:i/>
          <w:iCs/>
          <w:color w:val="000000"/>
          <w:kern w:val="0"/>
          <w:sz w:val="22"/>
          <w:szCs w:val="22"/>
          <w14:ligatures w14:val="none"/>
        </w:rPr>
        <w:t>Pfhrp</w:t>
      </w:r>
      <w:r w:rsidRPr="00FE5D1C">
        <w:rPr>
          <w:rFonts w:ascii="Calibri" w:eastAsia="Times New Roman" w:hAnsi="Calibri" w:cs="Calibri"/>
          <w:color w:val="000000"/>
          <w:kern w:val="0"/>
          <w:sz w:val="22"/>
          <w:szCs w:val="22"/>
          <w14:ligatures w14:val="none"/>
        </w:rPr>
        <w:t>2/3 Gene Deletions in the Presence of Multi-Clone Parasite Infections</w:t>
      </w:r>
    </w:p>
    <w:p w14:paraId="2BA946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World Health Organization (WHO) has raised concerns over increasing </w:t>
      </w:r>
      <w:r w:rsidRPr="00FE5D1C">
        <w:rPr>
          <w:rFonts w:ascii="Calibri" w:eastAsia="Times New Roman" w:hAnsi="Calibri" w:cs="Calibri"/>
          <w:i/>
          <w:iCs/>
          <w:color w:val="000000"/>
          <w:kern w:val="0"/>
          <w:sz w:val="22"/>
          <w:szCs w:val="22"/>
          <w14:ligatures w14:val="none"/>
        </w:rPr>
        <w:t>Pfhrp2/3 </w:t>
      </w:r>
      <w:r w:rsidRPr="00FE5D1C">
        <w:rPr>
          <w:rFonts w:ascii="Calibri" w:eastAsia="Times New Roman" w:hAnsi="Calibri" w:cs="Calibri"/>
          <w:color w:val="000000"/>
          <w:kern w:val="0"/>
          <w:sz w:val="22"/>
          <w:szCs w:val="22"/>
          <w14:ligatures w14:val="none"/>
        </w:rPr>
        <w:t>gene deletions, undermining the sensitivity of</w:t>
      </w:r>
      <w:r w:rsidRPr="00FE5D1C">
        <w:rPr>
          <w:rFonts w:ascii="Calibri" w:eastAsia="Times New Roman" w:hAnsi="Calibri" w:cs="Calibri"/>
          <w:i/>
          <w:iCs/>
          <w:color w:val="000000"/>
          <w:kern w:val="0"/>
          <w:sz w:val="22"/>
          <w:szCs w:val="22"/>
          <w14:ligatures w14:val="none"/>
        </w:rPr>
        <w:t> Pf</w:t>
      </w:r>
      <w:r w:rsidRPr="00FE5D1C">
        <w:rPr>
          <w:rFonts w:ascii="Calibri" w:eastAsia="Times New Roman" w:hAnsi="Calibri" w:cs="Calibri"/>
          <w:color w:val="000000"/>
          <w:kern w:val="0"/>
          <w:sz w:val="22"/>
          <w:szCs w:val="22"/>
          <w14:ligatures w14:val="none"/>
        </w:rPr>
        <w:t>HRP2-based rapid diagnostic tests (RDTs). Close monitoring of the population and a change in diagnostic methods are recommended if the prevalence of parasites with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deletions exceeds 5%. In high transmission settings, accurate estimates are hampered by the frequent occurrence of mixed-clone infections (multiplicity of infection; MOI). If parasites with and without deletions are present in an infection, standard molecular assays cannot detect the presence of the former. To accurately estimate frequencies of haplotypes with</w:t>
      </w:r>
      <w:r w:rsidRPr="00FE5D1C">
        <w:rPr>
          <w:rFonts w:ascii="Calibri" w:eastAsia="Times New Roman" w:hAnsi="Calibri" w:cs="Calibri"/>
          <w:i/>
          <w:iCs/>
          <w:color w:val="000000"/>
          <w:kern w:val="0"/>
          <w:sz w:val="22"/>
          <w:szCs w:val="22"/>
          <w14:ligatures w14:val="none"/>
        </w:rPr>
        <w:t> Pfhrp2/3</w:t>
      </w:r>
      <w:r w:rsidRPr="00FE5D1C">
        <w:rPr>
          <w:rFonts w:ascii="Calibri" w:eastAsia="Times New Roman" w:hAnsi="Calibri" w:cs="Calibri"/>
          <w:color w:val="000000"/>
          <w:kern w:val="0"/>
          <w:sz w:val="22"/>
          <w:szCs w:val="22"/>
          <w14:ligatures w14:val="none"/>
        </w:rPr>
        <w:t> gene deletions in the presence of mixed infections, we introduce a novel statistical model that combines genetic/molecular information from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with that from neutral markers. Maximum-likelihood estimates (MLEs) are obtained for haplotype frequencies characterized by markers at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loci and loci for neutral markers. The expectation-maximization algorithm is used to derive the MLEs. The adequacy of the method (precision and accuracy) is assessed by numerical simulations. Furthermore, this method was applied to an active surveillance study conducted in a tribal community in Jabalpur, India, which enrolled febrile community members (n=432) between October and November 2021. Four markers each at </w:t>
      </w:r>
      <w:r w:rsidRPr="00FE5D1C">
        <w:rPr>
          <w:rFonts w:ascii="Calibri" w:eastAsia="Times New Roman" w:hAnsi="Calibri" w:cs="Calibri"/>
          <w:i/>
          <w:iCs/>
          <w:color w:val="000000"/>
          <w:kern w:val="0"/>
          <w:sz w:val="22"/>
          <w:szCs w:val="22"/>
          <w14:ligatures w14:val="none"/>
        </w:rPr>
        <w:t>Pfhrp2</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Phrp3</w:t>
      </w:r>
      <w:r w:rsidRPr="00FE5D1C">
        <w:rPr>
          <w:rFonts w:ascii="Calibri" w:eastAsia="Times New Roman" w:hAnsi="Calibri" w:cs="Calibri"/>
          <w:color w:val="000000"/>
          <w:kern w:val="0"/>
          <w:sz w:val="22"/>
          <w:szCs w:val="22"/>
          <w14:ligatures w14:val="none"/>
        </w:rPr>
        <w:t> are combined with one marker each at </w:t>
      </w:r>
      <w:r w:rsidRPr="00FE5D1C">
        <w:rPr>
          <w:rFonts w:ascii="Calibri" w:eastAsia="Times New Roman" w:hAnsi="Calibri" w:cs="Calibri"/>
          <w:i/>
          <w:iCs/>
          <w:color w:val="000000"/>
          <w:kern w:val="0"/>
          <w:sz w:val="22"/>
          <w:szCs w:val="22"/>
          <w14:ligatures w14:val="none"/>
        </w:rPr>
        <w:t>Pfmsp1</w:t>
      </w:r>
      <w:r w:rsidRPr="00FE5D1C">
        <w:rPr>
          <w:rFonts w:ascii="Calibri" w:eastAsia="Times New Roman" w:hAnsi="Calibri" w:cs="Calibri"/>
          <w:color w:val="000000"/>
          <w:kern w:val="0"/>
          <w:sz w:val="22"/>
          <w:szCs w:val="22"/>
          <w14:ligatures w14:val="none"/>
        </w:rPr>
        <w:t> (which encodes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merozoite surface protein 1) and </w:t>
      </w:r>
      <w:r w:rsidRPr="00FE5D1C">
        <w:rPr>
          <w:rFonts w:ascii="Calibri" w:eastAsia="Times New Roman" w:hAnsi="Calibri" w:cs="Calibri"/>
          <w:i/>
          <w:iCs/>
          <w:color w:val="000000"/>
          <w:kern w:val="0"/>
          <w:sz w:val="22"/>
          <w:szCs w:val="22"/>
          <w14:ligatures w14:val="none"/>
        </w:rPr>
        <w:t>Pfmsp2</w:t>
      </w:r>
      <w:r w:rsidRPr="00FE5D1C">
        <w:rPr>
          <w:rFonts w:ascii="Calibri" w:eastAsia="Times New Roman" w:hAnsi="Calibri" w:cs="Calibri"/>
          <w:color w:val="000000"/>
          <w:kern w:val="0"/>
          <w:sz w:val="22"/>
          <w:szCs w:val="22"/>
          <w14:ligatures w14:val="none"/>
        </w:rPr>
        <w:t xml:space="preserve">. Data from a total of 117 patients who </w:t>
      </w:r>
      <w:r w:rsidRPr="00FE5D1C">
        <w:rPr>
          <w:rFonts w:ascii="Calibri" w:eastAsia="Times New Roman" w:hAnsi="Calibri" w:cs="Calibri"/>
          <w:color w:val="000000"/>
          <w:kern w:val="0"/>
          <w:sz w:val="22"/>
          <w:szCs w:val="22"/>
          <w14:ligatures w14:val="none"/>
        </w:rPr>
        <w:lastRenderedPageBreak/>
        <w:t>had both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infections and genetic information for the molecular markers underwent further analysis with our novel statistical method. Results indicate that this novel method has promising statistical properties (asymptotic and in finite samples) and can be readily applied to real-world situations. We provide a stable implementation of the method in R. This novel approach enables accurate estimation of </w:t>
      </w:r>
      <w:r w:rsidRPr="00FE5D1C">
        <w:rPr>
          <w:rFonts w:ascii="Calibri" w:eastAsia="Times New Roman" w:hAnsi="Calibri" w:cs="Calibri"/>
          <w:i/>
          <w:iCs/>
          <w:color w:val="000000"/>
          <w:kern w:val="0"/>
          <w:sz w:val="22"/>
          <w:szCs w:val="22"/>
          <w14:ligatures w14:val="none"/>
        </w:rPr>
        <w:t>Pfhrp2/3</w:t>
      </w:r>
      <w:r w:rsidRPr="00FE5D1C">
        <w:rPr>
          <w:rFonts w:ascii="Calibri" w:eastAsia="Times New Roman" w:hAnsi="Calibri" w:cs="Calibri"/>
          <w:color w:val="000000"/>
          <w:kern w:val="0"/>
          <w:sz w:val="22"/>
          <w:szCs w:val="22"/>
          <w14:ligatures w14:val="none"/>
        </w:rPr>
        <w:t> deletion frequencies in complex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infections, addressing a key limitation of current molecular surveillance methods.</w:t>
      </w:r>
    </w:p>
    <w:p w14:paraId="17FE5D0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25-A-2909-ASTMH</w:t>
      </w:r>
    </w:p>
    <w:p w14:paraId="14444C5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1B32255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Plasma Proteomic Analysis Revealed Elevated Risk of Nausea and Vomiting Markers in Pediatric Severe Malarial Anemia Patients</w:t>
      </w:r>
    </w:p>
    <w:p w14:paraId="6DCF2BC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caused by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infection, typically presents with fever, chills, headache, muscle pain (myalgias), nausea, and vomiting. Frequent recurrence of N/V can significantly reduce the quality of life. Severe malarial anemia (SMA: Hb&lt;6.0 g/dL, with any density parasitemia) is the primary clinical manifestation of severe malaria in holoendemic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transmission regions. It remains one of the leading causes of morbidity and mortality among children under five years of age in these settings, including Siaya County in western Kenya. To define molecular signatures associated with N/V, we utilized an aptamer-based technology (SomaScan) to quantify 6,600 circulating human proteins in plasma samples collected from children (3-38 months) with non-SMA (Hb≥6.0 g/dL, n=20) and SMA (n=20) upon enrollment (pre-treatment: day 0). V/N for 1-3 days was more common in the SMA group (15/20) than in children with non-SMA (8/20,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=0.054). The proteomics revealed 1,336 differentially expressed proteins (DEPs) in SMA </w:t>
      </w:r>
      <w:r w:rsidRPr="00FE5D1C">
        <w:rPr>
          <w:rFonts w:ascii="Calibri" w:eastAsia="Times New Roman" w:hAnsi="Calibri" w:cs="Calibri"/>
          <w:i/>
          <w:iCs/>
          <w:color w:val="000000"/>
          <w:kern w:val="0"/>
          <w:sz w:val="22"/>
          <w:szCs w:val="22"/>
          <w14:ligatures w14:val="none"/>
        </w:rPr>
        <w:t>vs</w:t>
      </w:r>
      <w:r w:rsidRPr="00FE5D1C">
        <w:rPr>
          <w:rFonts w:ascii="Calibri" w:eastAsia="Times New Roman" w:hAnsi="Calibri" w:cs="Calibri"/>
          <w:color w:val="000000"/>
          <w:kern w:val="0"/>
          <w:sz w:val="22"/>
          <w:szCs w:val="22"/>
          <w14:ligatures w14:val="none"/>
        </w:rPr>
        <w:t>. non-SMA patients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&lt;0.050, corrected for FDR&lt;0.250): 670 proteins were up-regulated, whilst 666 proteins were down-regulated. Growth/differentiation factor 15 (GDF15), a hormone responsible for N/V (mostly common in pregnant women), was up-regulated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FoldChange=1.105,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=1.065E-2, FDR=0.121) in the SMA group. In contrast, carboxylesterase 3 (CES3) was down-regulated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FoldChange=-0.875,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=2.484E-2, FDR=0.179) in SMA relative to non-SMA patients. Since irinotecan is emerging in drug-repurposing efforts for malaria, and is metabolized by CES3, caution is warranted based on down-regulation of CES3 in our findings. These findings identify GDF15 as a potential driver of vomiting in SMA and highlight reduced CES3 expression as a critical consideration for irinotecan-based antimalarial strategies in children with severe malaria.</w:t>
      </w:r>
    </w:p>
    <w:p w14:paraId="3FCE914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25-A-2910-ASTMH</w:t>
      </w:r>
    </w:p>
    <w:p w14:paraId="72A969D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684DB3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A suspected case of human rabies with epidemiologic link with an asymptomatic canine rabies case in the Souari Health Area, Garoua 1 Health District, North Region-Cameroon, 2024</w:t>
      </w:r>
    </w:p>
    <w:p w14:paraId="07EFB67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Rabies, a 100% deadly viral zoonotic disease, causes 55,000 deaths annually. On February 08, 2024, the National Veterinary Laboratory Garoua confirmed rabies in an asymptomatic dog following death of a human case in the Souari Health Area (SHA). This paper describes the suspected human and confirmed animal cases. From March 20 to 27, 2024, we conducted a descriptive study in SHA. We collected data through verbal autopsy with families, human and animal health personnel (HHP/AHP) and reviewed case files/reports. Death of suspected human case led to detection of canine case. We mapped cases to describe signs and symptoms (S/S) and case management. On December 02, 2023, a 5-year-old boy bitten on the left calf received anti-tetanus serum, oral antibiotic and wound dressing in a clandestine structure. No human rabies immune globulin (HRIG) or antirabies vaccine administered. On January 28, 2024, fever, liquid dysphagia and limb paresis appeared. Admitted at the Regional Hospital Garoua on February 04, 2024, symptoms aggravated with photophobia, hydrophobia, convulsion, and hyper-salivation. Public health authorities received notification on February 06, 2024 and preliminary investigation done. Patient referred and vaccine not administered due to severity. Patient died at home on February 08. As patient’s condition degraded, owner quarantined dog on 06-08 February 2024. The 3-year-old aggressive vaccinated dog had bitten 12 victims since August 2022. Dog decapitated; samples </w:t>
      </w:r>
      <w:r w:rsidRPr="00FE5D1C">
        <w:rPr>
          <w:rFonts w:ascii="Calibri" w:eastAsia="Times New Roman" w:hAnsi="Calibri" w:cs="Calibri"/>
          <w:color w:val="000000"/>
          <w:kern w:val="0"/>
          <w:sz w:val="22"/>
          <w:szCs w:val="22"/>
          <w14:ligatures w14:val="none"/>
        </w:rPr>
        <w:lastRenderedPageBreak/>
        <w:t>tested revealed positive results. On February 12, local AHP authorities launched vaccination campaign, active case search, sensitization and evaluation of vaccination coverage. This investigation highlighted gaps in rabies prevention, notification, HHP case management, lack of AHP response to a known aggressive animal, no documented response by AHP to a known aggressive animal, standard animal quarantine period not initiated, delayed activation of the national surveillance and response system. Further studies on vaccine authenticity and virus type warranted. Training of AHP/HHP on notification and case management recommended.</w:t>
      </w:r>
    </w:p>
    <w:p w14:paraId="123700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25-A-2911-ASTMH</w:t>
      </w:r>
    </w:p>
    <w:p w14:paraId="6312FE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6AC062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Mosquito-borne diseases in North Borneo Sabah Malaysia: Development of a machine learning pipeline to support vector detection and risk factor assessment</w:t>
      </w:r>
    </w:p>
    <w:p w14:paraId="719C12C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Mosquito-borne diseases remain a major public health concern in North Borneo, Sabah, Malaysia, where rapid urbanization and expansion of agriculture into forested areas increases human exposure to mosquito vectors. Mosquito surveillance is essential for monitoring vector distribution and disease risk. However, conventional surveillance methods face challenges, such as the high time and labor costs of mosquito identification and the lack of a pipeline to use surveillance data to predict high-risk areas, which is critical for proactive disease control strategies. Therefore, we aim to develop a machine learning pipeline that supports vector diversity screening and can be linked to pathogen screening results to predict high-risk areas and factors associated with the occurrence of mosquito-borne diseases. Specifically, we used a computer vision model with YOLOv8 to identify and count the number of Aedes and Anopheles mosquitoes in a given area. Incorporating this vector data and other dependent variables, e.g. landscape and weather data, an ML model XGboost was used to predict the high-risk areas and Boruta was used to assess the risk factors. Our results show that the computer vision model achieved 91% mAP, 90.5 precision and 89% recall in identifying mosquitoes, and by using XGBoost, an accuracy of more than 86% for the high-risk area. Boruta highlighted both the type of landscape and the diversity of mosquitoes as factors for high risk. Interestingly, the high-risk mosquitoes for transmission in most areas were Ae. albopictus and Anopheles dolnadi, which are usually secondary vectors for dengue and zoonotic malaria, respectively. Our ML pipeline was open source and will be adopted by other studies in other areas to enable timely and proactive intervention before disease outbreak.</w:t>
      </w:r>
    </w:p>
    <w:p w14:paraId="0B89BCE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25-A-2912-ASTMH</w:t>
      </w:r>
    </w:p>
    <w:p w14:paraId="3E21BF8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2FBD08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Proteomic Profiling Reveals Cytoskeletal Dysregulation in Pediatric Severe Malarial Anemia</w:t>
      </w:r>
    </w:p>
    <w:p w14:paraId="02004A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Severe malarial anemia [SMA, hemoglobin (Hb)&lt;6.0 g/dL] is a significant health burden in children under five years in holoendemic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regions. To define host protein signatures linked with SMA, a 7,000-protein aptamer-based assay (SomaScan) was performed on plasma samples collected from children aged 3-38 months with non-SMA (Hb≥6.0 g/dL; n=20) or SMA (n=20). There were 1,336 differentially expressed proteins (DEPs,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&lt;0.050) between SMA </w:t>
      </w:r>
      <w:r w:rsidRPr="00FE5D1C">
        <w:rPr>
          <w:rFonts w:ascii="Calibri" w:eastAsia="Times New Roman" w:hAnsi="Calibri" w:cs="Calibri"/>
          <w:i/>
          <w:iCs/>
          <w:color w:val="000000"/>
          <w:kern w:val="0"/>
          <w:sz w:val="22"/>
          <w:szCs w:val="22"/>
          <w14:ligatures w14:val="none"/>
        </w:rPr>
        <w:t>vs</w:t>
      </w:r>
      <w:r w:rsidRPr="00FE5D1C">
        <w:rPr>
          <w:rFonts w:ascii="Calibri" w:eastAsia="Times New Roman" w:hAnsi="Calibri" w:cs="Calibri"/>
          <w:color w:val="000000"/>
          <w:kern w:val="0"/>
          <w:sz w:val="22"/>
          <w:szCs w:val="22"/>
          <w14:ligatures w14:val="none"/>
        </w:rPr>
        <w:t>. non-SMA, of which 182 were cytoskeleton-related (103 down-regulated and 79 up-regulated). The top-ranked DEPs were Golgi Phosphoprotein 3 (GOLPH3)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FoldChange=-1.70) and Serine/Threonine-Protein Kinase (NEK7)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FoldChange=1.10). Pathway enrichment analysis in Metacore</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revealed five top-ranked pathways: </w:t>
      </w:r>
      <w:r w:rsidRPr="00FE5D1C">
        <w:rPr>
          <w:rFonts w:ascii="Calibri" w:eastAsia="Times New Roman" w:hAnsi="Calibri" w:cs="Calibri"/>
          <w:i/>
          <w:iCs/>
          <w:color w:val="000000"/>
          <w:kern w:val="0"/>
          <w:sz w:val="22"/>
          <w:szCs w:val="22"/>
          <w14:ligatures w14:val="none"/>
        </w:rPr>
        <w:t>Regulation of Actin Cytoskeleton Nucleation and Polymerization by Rho GTPases</w:t>
      </w:r>
      <w:r w:rsidRPr="00FE5D1C">
        <w:rPr>
          <w:rFonts w:ascii="Calibri" w:eastAsia="Times New Roman" w:hAnsi="Calibri" w:cs="Calibri"/>
          <w:color w:val="000000"/>
          <w:kern w:val="0"/>
          <w:sz w:val="22"/>
          <w:szCs w:val="22"/>
          <w14:ligatures w14:val="none"/>
        </w:rPr>
        <w:t>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=2.30E-08), </w:t>
      </w:r>
      <w:r w:rsidRPr="00FE5D1C">
        <w:rPr>
          <w:rFonts w:ascii="Calibri" w:eastAsia="Times New Roman" w:hAnsi="Calibri" w:cs="Calibri"/>
          <w:i/>
          <w:iCs/>
          <w:color w:val="000000"/>
          <w:kern w:val="0"/>
          <w:sz w:val="22"/>
          <w:szCs w:val="22"/>
          <w14:ligatures w14:val="none"/>
        </w:rPr>
        <w:t>Integrin-Mediated Cell Adhesion and Migration</w:t>
      </w:r>
      <w:r w:rsidRPr="00FE5D1C">
        <w:rPr>
          <w:rFonts w:ascii="Calibri" w:eastAsia="Times New Roman" w:hAnsi="Calibri" w:cs="Calibri"/>
          <w:color w:val="000000"/>
          <w:kern w:val="0"/>
          <w:sz w:val="22"/>
          <w:szCs w:val="22"/>
          <w14:ligatures w14:val="none"/>
        </w:rPr>
        <w:t>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=3.12E-07), </w:t>
      </w:r>
      <w:r w:rsidRPr="00FE5D1C">
        <w:rPr>
          <w:rFonts w:ascii="Calibri" w:eastAsia="Times New Roman" w:hAnsi="Calibri" w:cs="Calibri"/>
          <w:i/>
          <w:iCs/>
          <w:color w:val="000000"/>
          <w:kern w:val="0"/>
          <w:sz w:val="22"/>
          <w:szCs w:val="22"/>
          <w14:ligatures w14:val="none"/>
        </w:rPr>
        <w:t>VEGF Signaling via VEGFR2</w:t>
      </w:r>
      <w:r w:rsidRPr="00FE5D1C">
        <w:rPr>
          <w:rFonts w:ascii="Calibri" w:eastAsia="Times New Roman" w:hAnsi="Calibri" w:cs="Calibri"/>
          <w:color w:val="000000"/>
          <w:kern w:val="0"/>
          <w:sz w:val="22"/>
          <w:szCs w:val="22"/>
          <w14:ligatures w14:val="none"/>
        </w:rPr>
        <w:t>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=6.20E-07), </w:t>
      </w:r>
      <w:r w:rsidRPr="00FE5D1C">
        <w:rPr>
          <w:rFonts w:ascii="Calibri" w:eastAsia="Times New Roman" w:hAnsi="Calibri" w:cs="Calibri"/>
          <w:i/>
          <w:iCs/>
          <w:color w:val="000000"/>
          <w:kern w:val="0"/>
          <w:sz w:val="22"/>
          <w:szCs w:val="22"/>
          <w14:ligatures w14:val="none"/>
        </w:rPr>
        <w:t>S1P1 Receptor Signaling</w:t>
      </w:r>
      <w:r w:rsidRPr="00FE5D1C">
        <w:rPr>
          <w:rFonts w:ascii="Calibri" w:eastAsia="Times New Roman" w:hAnsi="Calibri" w:cs="Calibri"/>
          <w:color w:val="000000"/>
          <w:kern w:val="0"/>
          <w:sz w:val="22"/>
          <w:szCs w:val="22"/>
          <w14:ligatures w14:val="none"/>
        </w:rPr>
        <w:t>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=6.20E-07), and </w:t>
      </w:r>
      <w:r w:rsidRPr="00FE5D1C">
        <w:rPr>
          <w:rFonts w:ascii="Calibri" w:eastAsia="Times New Roman" w:hAnsi="Calibri" w:cs="Calibri"/>
          <w:i/>
          <w:iCs/>
          <w:color w:val="000000"/>
          <w:kern w:val="0"/>
          <w:sz w:val="22"/>
          <w:szCs w:val="22"/>
          <w14:ligatures w14:val="none"/>
        </w:rPr>
        <w:t>Activation of NADPH Oxidase</w:t>
      </w:r>
      <w:r w:rsidRPr="00FE5D1C">
        <w:rPr>
          <w:rFonts w:ascii="Calibri" w:eastAsia="Times New Roman" w:hAnsi="Calibri" w:cs="Calibri"/>
          <w:color w:val="000000"/>
          <w:kern w:val="0"/>
          <w:sz w:val="22"/>
          <w:szCs w:val="22"/>
          <w14:ligatures w14:val="none"/>
        </w:rPr>
        <w:t>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=1.36E-06). A protein-protein interaction (PPI) network of the cytoskeleton-related DEPs (PPI enrichment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&lt;1.00E-16) was constructed in STRING. Further PPI network analysis in Cytoscape identified RAC-alpha Serine/Threonine-Protein Kinase (AKT1) as the central hub, with additional hub nodes in five distinct clusters: TGFB1 (cluster 1), SRC (cluster 2), GSN (cluster 3), MAD2L1 (cluster 4), and PAK4 (cluster 5). Logistic regression, controlling for anemia-</w:t>
      </w:r>
      <w:r w:rsidRPr="00FE5D1C">
        <w:rPr>
          <w:rFonts w:ascii="Calibri" w:eastAsia="Times New Roman" w:hAnsi="Calibri" w:cs="Calibri"/>
          <w:color w:val="000000"/>
          <w:kern w:val="0"/>
          <w:sz w:val="22"/>
          <w:szCs w:val="22"/>
          <w14:ligatures w14:val="none"/>
        </w:rPr>
        <w:lastRenderedPageBreak/>
        <w:t>promoting covariates, showed that the odds of SMA significantly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&lt;0.050) increased with expression levels of GOLPH3, MAD2L1, and TGFB1 (OR=7.42, 4.46, and 3.25, respectively), and decreased with levels of AKT1, GSN, SRC, PAK4, and NEK7 (OR=0.16, 0.24, 0.12, 0.02, and 0.15, respectively). These findings reveal cytoskeletal dysregulation as a key feature of SMA and identify novel circulating protein signatures with potential mechanistic and biomarker relevance.</w:t>
      </w:r>
    </w:p>
    <w:p w14:paraId="604347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25-A-2913-ASTMH</w:t>
      </w:r>
    </w:p>
    <w:p w14:paraId="1021E5E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7F7DE43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Effect of Lactobacillus acidophilus probiotic supplementation on the physiological status of experimental Wistar rats infected with Trypanosoma brucei brucei</w:t>
      </w:r>
    </w:p>
    <w:p w14:paraId="1BAA457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 African Trypanosomiasis (HAT), caused by </w:t>
      </w:r>
      <w:r w:rsidRPr="00FE5D1C">
        <w:rPr>
          <w:rFonts w:ascii="Calibri" w:eastAsia="Times New Roman" w:hAnsi="Calibri" w:cs="Calibri"/>
          <w:i/>
          <w:iCs/>
          <w:color w:val="000000"/>
          <w:kern w:val="0"/>
          <w:sz w:val="22"/>
          <w:szCs w:val="22"/>
          <w14:ligatures w14:val="none"/>
        </w:rPr>
        <w:t>Trypanosoma</w:t>
      </w:r>
      <w:r w:rsidRPr="00FE5D1C">
        <w:rPr>
          <w:rFonts w:ascii="Calibri" w:eastAsia="Times New Roman" w:hAnsi="Calibri" w:cs="Calibri"/>
          <w:color w:val="000000"/>
          <w:kern w:val="0"/>
          <w:sz w:val="22"/>
          <w:szCs w:val="22"/>
          <w14:ligatures w14:val="none"/>
        </w:rPr>
        <w:t> species, with severe impacts on human health, has become a serious health challenge in Nigeria due to the remoteness of affected areas with limited access to health care</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The effect of treatment with </w:t>
      </w:r>
      <w:r w:rsidRPr="00FE5D1C">
        <w:rPr>
          <w:rFonts w:ascii="Calibri" w:eastAsia="Times New Roman" w:hAnsi="Calibri" w:cs="Calibri"/>
          <w:i/>
          <w:iCs/>
          <w:color w:val="000000"/>
          <w:kern w:val="0"/>
          <w:sz w:val="22"/>
          <w:szCs w:val="22"/>
          <w14:ligatures w14:val="none"/>
        </w:rPr>
        <w:t>Lactobacillus acidophilus</w:t>
      </w:r>
      <w:r w:rsidRPr="00FE5D1C">
        <w:rPr>
          <w:rFonts w:ascii="Calibri" w:eastAsia="Times New Roman" w:hAnsi="Calibri" w:cs="Calibri"/>
          <w:color w:val="000000"/>
          <w:kern w:val="0"/>
          <w:sz w:val="22"/>
          <w:szCs w:val="22"/>
          <w14:ligatures w14:val="none"/>
        </w:rPr>
        <w:t> probiotic on the physiological status of experimental Wistar rats infected with </w:t>
      </w:r>
      <w:r w:rsidRPr="00FE5D1C">
        <w:rPr>
          <w:rFonts w:ascii="Calibri" w:eastAsia="Times New Roman" w:hAnsi="Calibri" w:cs="Calibri"/>
          <w:i/>
          <w:iCs/>
          <w:color w:val="000000"/>
          <w:kern w:val="0"/>
          <w:sz w:val="22"/>
          <w:szCs w:val="22"/>
          <w14:ligatures w14:val="none"/>
        </w:rPr>
        <w:t>Trypanosoma brucei brucei </w:t>
      </w:r>
      <w:r w:rsidRPr="00FE5D1C">
        <w:rPr>
          <w:rFonts w:ascii="Calibri" w:eastAsia="Times New Roman" w:hAnsi="Calibri" w:cs="Calibri"/>
          <w:color w:val="000000"/>
          <w:kern w:val="0"/>
          <w:sz w:val="22"/>
          <w:szCs w:val="22"/>
          <w14:ligatures w14:val="none"/>
        </w:rPr>
        <w:t>was investigated. </w:t>
      </w:r>
      <w:r w:rsidRPr="00FE5D1C">
        <w:rPr>
          <w:rFonts w:ascii="Calibri" w:eastAsia="Times New Roman" w:hAnsi="Calibri" w:cs="Calibri"/>
          <w:i/>
          <w:iCs/>
          <w:color w:val="000000"/>
          <w:kern w:val="0"/>
          <w:sz w:val="22"/>
          <w:szCs w:val="22"/>
          <w14:ligatures w14:val="none"/>
        </w:rPr>
        <w:t>Trypanosoma brucei brucei</w:t>
      </w:r>
      <w:r w:rsidRPr="00FE5D1C">
        <w:rPr>
          <w:rFonts w:ascii="Calibri" w:eastAsia="Times New Roman" w:hAnsi="Calibri" w:cs="Calibri"/>
          <w:color w:val="000000"/>
          <w:kern w:val="0"/>
          <w:sz w:val="22"/>
          <w:szCs w:val="22"/>
          <w14:ligatures w14:val="none"/>
        </w:rPr>
        <w:t> used in the study was obtained from the Nigeria Institute for Trypanosomiasis Research (NITR), Kaduna State, Nigeria, via parasitized wistar rats. Two millilitre of blood from the parasitized rat was acquired via cardiac puncture and used to infect the animals intra-peritoneally. The probiotic was administered orally as a suspension in 1ml of distilled water using a 2 ml syringe. Physiological parameters such as temperature, weight, aspartate aminotransferase (AST), alkaline phosphatase (ALP), alanine aminotransferase (ALT), total bilirubin, total protein, creatinine, and urea concentrations were monitored post-infection and compared with the control groups. The study demonstrated significant weight loss in untreated animals compared to treated animals (0.5% weight loss vs 4.9% weight gain). Higher total protein was recorded in treated rats (70.00±1.00 g/dl) vs 52.00±1.00 g/dl) (p &lt; 0.05). Furthermore, untreated rats recorded significant high total bilirubin, creatinine, urea, ALP, ALT, and AST compared to the treated animals (p &lt; 0.05). Findings from this study suggest that oral administration of the probiotics (</w:t>
      </w:r>
      <w:r w:rsidRPr="00FE5D1C">
        <w:rPr>
          <w:rFonts w:ascii="Calibri" w:eastAsia="Times New Roman" w:hAnsi="Calibri" w:cs="Calibri"/>
          <w:i/>
          <w:iCs/>
          <w:color w:val="000000"/>
          <w:kern w:val="0"/>
          <w:sz w:val="22"/>
          <w:szCs w:val="22"/>
          <w14:ligatures w14:val="none"/>
        </w:rPr>
        <w:t>Lactobacillus acidophilus</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supplement reduced the negative effect of </w:t>
      </w:r>
      <w:r w:rsidRPr="00FE5D1C">
        <w:rPr>
          <w:rFonts w:ascii="Calibri" w:eastAsia="Times New Roman" w:hAnsi="Calibri" w:cs="Calibri"/>
          <w:i/>
          <w:iCs/>
          <w:color w:val="000000"/>
          <w:kern w:val="0"/>
          <w:sz w:val="22"/>
          <w:szCs w:val="22"/>
          <w14:ligatures w14:val="none"/>
        </w:rPr>
        <w:t>Trypanosoma brucei brucei</w:t>
      </w:r>
      <w:r w:rsidRPr="00FE5D1C">
        <w:rPr>
          <w:rFonts w:ascii="Calibri" w:eastAsia="Times New Roman" w:hAnsi="Calibri" w:cs="Calibri"/>
          <w:color w:val="000000"/>
          <w:kern w:val="0"/>
          <w:sz w:val="22"/>
          <w:szCs w:val="22"/>
          <w14:ligatures w14:val="none"/>
        </w:rPr>
        <w:t> infection in wistar rats. This promising outcome calls for further study targeted at the application of probiotics supplementation in the management of HAT amongst farmers and rural dwellers in Nigeria.</w:t>
      </w:r>
    </w:p>
    <w:p w14:paraId="6E37B46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25-A-2914-ASTMH</w:t>
      </w:r>
    </w:p>
    <w:p w14:paraId="6A0FD86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7CED1E3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Seroprevalence of Chikungunya in Belize and El Salvador, 2020-2024</w:t>
      </w:r>
    </w:p>
    <w:p w14:paraId="2FACEC1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Chikungunya virus (CHIKV) emerged in Central America in 2013 and continues to cause widespread outbreaks, with an estimated 3.7 million people infected in the Americas. CHIKV causes undifferentiated febrile illness in 85% of cases, often leading to chronic and debilitating joint pain. To understand past exposure to CHIKV in Central America, we used serum samples collected from 2020-2024 through the Acute Febrile Illness programs in Belize and El Salvador. During the study period, none of the enrolled participants had detectable acute CHIKV infections. Samples represented enrollment at healthcare locations: 13 in Belize spanning the country and 2 in El Salvador from the Santa Ana Department. We randomly selected samples from each country based on enrollment ratios by location. Commercially available ELISAs were used to detect the prevalence of IgG antibodies specific to CHIKV. Of the 394 samples tested from Belize, 16 (4.1%) were positive, including 9 males (56.3%). Positive participants from Belize ranges from 5.9-65.4 years of age and represented 10 of the 13 health facilities. In contrast, 132 (33%) of the 400 samples tested from El Salvador were positive, representing 56 males (42.4%). Positive cases from El Salvador ranged in age from &lt;1 to 97.4 years, indicating CHIKV circulation is an ongoing concern even if large outbreaks are not identified. Our results from this random sample suggest that El Salvador has a higher CHIKV seroprevalence than Belize. Future studies must identify risk factors leading to higher seroprevalence in these regions.</w:t>
      </w:r>
    </w:p>
    <w:p w14:paraId="17E8F1C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25-A-2915-ASTMH</w:t>
      </w:r>
    </w:p>
    <w:p w14:paraId="5E8F986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Vaccines and Immunotherapeutics</w:t>
      </w:r>
    </w:p>
    <w:p w14:paraId="45D6D46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Microneedle-Mediated Intradermal Vaccination Toward Self-Administrable and Thermostable Malaria Vaccines</w:t>
      </w:r>
    </w:p>
    <w:p w14:paraId="5DA0431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Transcutaneous vaccination using microneedle (MN) technology has gained significant attention due to its advantages, including painless administration, enhanced thermostability, dose sparing, and potential for self-administration. However, precise high-dose vaccine delivery, preservation of bioactive agent stability during MN fabrication, and cost-effective mass production remain critical challenges in the advancement of MN-based vaccination approaches. In this study, we report an intradermal malaria vaccine utilizing a transmission-blocking vaccine (TBV)-coated MN patch, fabricated using a low-temperature, multiple nanoliter-level coating system. The TBV antigens (Pfs230 or Pfs230 conjugate) were selectively coated onto MN tips, and the vaccine dosage was precisely controlled through a programmed, multiple-coating process, achieving high accuracy suitable for standard malaria vaccination doses. The TBV-coated MN patches demonstrated accurate intradermal vaccine delivery and elicited comparable immune responses in animal models relative to conventional intramuscular (IM) administration. Interestingly, unadjuvanted Pfs230 conjugate and Pfs230 monomer formulations induced antibody titers comparable to those achieved with potent adjuvants. Additionally, we evaluated the thermostability of MN vaccines under elevated temperature conditions, highlighting their potential as thermostable malaria vaccine delivery platforms.</w:t>
      </w:r>
    </w:p>
    <w:p w14:paraId="683AE6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25-A-2916-ASTMH</w:t>
      </w:r>
    </w:p>
    <w:p w14:paraId="36A312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291B372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Impaired JAK2 Signaling Contributes to Ineffective Erythropoiesis in Childhood Severe Malarial Anemia</w:t>
      </w:r>
    </w:p>
    <w:p w14:paraId="1420314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Human malaria remains one of the leading global causes of childhood morbidity and mortality, with 263 million cases and 597,000 deaths annually, primarily affecting children under 5 years. In western Kenya, a holoendemic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transmission region, severe malarial anemia (SMA, Hb&lt;6.0 g/dL) is the primary manifestation of severe childhood malaria. While hemolysis and splenic clearance of infected and uninfected erythrocytes are well-recognized drivers of SMA, mounting evidence indicates that ineffective erythropoiesis also plays a critical role in its pathogenesis. However, the proteomic networks governing erythropoiesis regulation in SMA remain unexplored. As such, aptamer-based technology (SomaScan) was employed to quantify circulating human proteins in plasma samples collected from children with SMA (n=20) and non-SMA (n=20, Hb&gt; 6.0 g/dL) at enrollment (pre-treatment: day 0). The top two significantly up-regulated proteins were EPO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FC=3.048,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=0.039) and FGF23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FC=2.664,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=0.045). Conversely, HAMP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FC=-1.480,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=0.035) and IGF2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FC=-1.162,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=0.037) were the two most down-regulated. Metacore</w:t>
      </w:r>
      <w:r w:rsidRPr="00FE5D1C">
        <w:rPr>
          <w:rFonts w:ascii="Calibri" w:eastAsia="Times New Roman" w:hAnsi="Calibri" w:cs="Calibri"/>
          <w:color w:val="000000"/>
          <w:kern w:val="0"/>
          <w:sz w:val="22"/>
          <w:szCs w:val="22"/>
          <w:vertAlign w:val="superscript"/>
          <w14:ligatures w14:val="none"/>
        </w:rPr>
        <w:t>TM</w:t>
      </w:r>
      <w:r w:rsidRPr="00FE5D1C">
        <w:rPr>
          <w:rFonts w:ascii="Calibri" w:eastAsia="Times New Roman" w:hAnsi="Calibri" w:cs="Calibri"/>
          <w:color w:val="000000"/>
          <w:kern w:val="0"/>
          <w:sz w:val="22"/>
          <w:szCs w:val="22"/>
          <w14:ligatures w14:val="none"/>
        </w:rPr>
        <w:t> identified Inflammation JAK-STAT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=6.770E-6) and Iron Transportation (FDR-adjusted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=1.185E-6) as the top two most dysregulated process networks. Additional analysis with STRING (V.12.0) revealed a protein-protein interaction network comprising 13 out of 19 interconnected nodes and 30 edges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=2.550E-10). JAK2, a key mediator of EPO signaling, emerged as the most connected node. Moreover, JAK2 showed down-regulation in SMA (Log</w:t>
      </w:r>
      <w:r w:rsidRPr="00FE5D1C">
        <w:rPr>
          <w:rFonts w:ascii="Calibri" w:eastAsia="Times New Roman" w:hAnsi="Calibri" w:cs="Calibri"/>
          <w:color w:val="000000"/>
          <w:kern w:val="0"/>
          <w:sz w:val="22"/>
          <w:szCs w:val="22"/>
          <w:vertAlign w:val="subscript"/>
          <w14:ligatures w14:val="none"/>
        </w:rPr>
        <w:t>2</w:t>
      </w:r>
      <w:r w:rsidRPr="00FE5D1C">
        <w:rPr>
          <w:rFonts w:ascii="Calibri" w:eastAsia="Times New Roman" w:hAnsi="Calibri" w:cs="Calibri"/>
          <w:color w:val="000000"/>
          <w:kern w:val="0"/>
          <w:sz w:val="22"/>
          <w:szCs w:val="22"/>
          <w14:ligatures w14:val="none"/>
        </w:rPr>
        <w:t>FC=-0.919, FDR-adjusted </w:t>
      </w:r>
      <w:r w:rsidRPr="00FE5D1C">
        <w:rPr>
          <w:rFonts w:ascii="Calibri" w:eastAsia="Times New Roman" w:hAnsi="Calibri" w:cs="Calibri"/>
          <w:i/>
          <w:iCs/>
          <w:color w:val="000000"/>
          <w:kern w:val="0"/>
          <w:sz w:val="22"/>
          <w:szCs w:val="22"/>
          <w14:ligatures w14:val="none"/>
        </w:rPr>
        <w:t>p=0.142</w:t>
      </w:r>
      <w:r w:rsidRPr="00FE5D1C">
        <w:rPr>
          <w:rFonts w:ascii="Calibri" w:eastAsia="Times New Roman" w:hAnsi="Calibri" w:cs="Calibri"/>
          <w:color w:val="000000"/>
          <w:kern w:val="0"/>
          <w:sz w:val="22"/>
          <w:szCs w:val="22"/>
          <w14:ligatures w14:val="none"/>
        </w:rPr>
        <w:t>). These findings indicate an alteration of erythropoiesis in children with SMA at the JAK2 signaling level, contributing to the inadequate production of erythrocytes despite elevated EPO levels. This study provides novel insights into the molecular underpinnings of ineffective erythropoiesis in the context of SMA. The results presented may aid in the development of targeted interventions to restore ineffective erythropoiesis in children with SMA.</w:t>
      </w:r>
    </w:p>
    <w:p w14:paraId="320E73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25-A-2918-ASTMH</w:t>
      </w:r>
    </w:p>
    <w:p w14:paraId="6F63EE7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Surveillance and Data Utilization</w:t>
      </w:r>
    </w:p>
    <w:p w14:paraId="67C0228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Good Correspondence Between RDT Positivity and Antigen Detection in 2021 Senegal School Surveys for Malaria</w:t>
      </w:r>
    </w:p>
    <w:p w14:paraId="50F939A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remains a major public health challenge, particularly in sub-Saharan Africa. In Senegal, where Seasonal Malaria Chemoprevention (SMC) is a key strategy, monitoring malaria transmission is crucial. Rapid Diagnostic Tests (RDTs) have limitations in sensitivity, especially in detecting low-density infections.This study evaluates the integration of high-throughput bead-based antigen detection with RDTs to enhance malaria surveillance in school-based surveys. A cross-sectional study was conducted in 2021 in three districts of Senegal (Diourbel, Kédougou, and Tambacounda) among 3,748 children aged 6-16 years. RDTs were used for initial screening, followed by bead-based HRP2 antigen analysis. Logistic regression was applied to assess the association between RDT positivity and HRP2 concentration.</w:t>
      </w:r>
      <w:r w:rsidRPr="00FE5D1C">
        <w:rPr>
          <w:rFonts w:ascii="Calibri" w:eastAsia="Times New Roman" w:hAnsi="Calibri" w:cs="Calibri"/>
          <w:color w:val="000000"/>
          <w:kern w:val="0"/>
          <w:sz w:val="22"/>
          <w:szCs w:val="22"/>
          <w14:ligatures w14:val="none"/>
        </w:rPr>
        <w:br/>
        <w:t>The overall RDT positivity rate was 7.2% (270/3,748), with significant geographic variation: Kedougou had the highest rates (up to 27% (53/196) at school-Lamigna), while Diourbel recorded the lowest (1-5%). In some schools, HRP2 positivity was lower than RDT positivity, notably in Kedougou's School-Samekouta (RDT 22.4% (92/410) vs HRP2 16.8% (69/410)) and in Tambacounda's School-Ndoga Babacar and School-Seoro. This discrepancy may be due to antigen persistence, false positives, or age-related differences in parasite density. Logistic regression revealed a strong correlation between HRP2 concentration and RDT positivity (aOR 14.2; 95% CI: 11.24-18.23). Also, when comparing age groups, individuals older than 10 years were less likely to test RDT positive compared to those aged 10 years or younger (aOR 0.6, 95% CI 0.41 - 0.88).Integrating bead-based antigen detection with RDTs provides a more comprehensive surveillance approach, particularly in regions with heterogeneous malaria transmission. These findings suggest that this combined approach could help National Malaria Control Programs optimize interventions and contribute to malaria elimination efforts in Senegal.</w:t>
      </w:r>
    </w:p>
    <w:p w14:paraId="0426C1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25-A-2920-ASTMH</w:t>
      </w:r>
    </w:p>
    <w:p w14:paraId="5DDDC7F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204C86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Bridging gaps between arbovirus field research in the Ecuadorian Amazon and molecular diagnostics with RNAES technology</w:t>
      </w:r>
    </w:p>
    <w:p w14:paraId="32BF733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Ecuador, the predominant cause of systemic febrile illness has shifted from malaria to DENV over the past two decades. Since 2023, this shift has been observed in the Amazon basin of the Putumayo region on the northeast border with Colombia. Monitoring an outbreak relies on molecular diagnostics; however, commercial RNA extraction kits are costly and complicated to obtain. Therefore, we propose evaluating RNA Extraction and Storage (RNAES) technology, developed by A2CARES/CREID, as an affordable and locally sustainable solution for RNA extraction, stabilization, storage, and transport between study sites. Methods: RNAES protocol will be compared to the Qiagen Viral RNA Mini Kit on 155 serum samples from febrile Putumayo patients collected during 2023-2024. Two different qPCR assays will be tested: a commercial DENV serotypes qPCR and an in-house developed ZCD assay for Zika, chikungunya, and dengue.Additionally, positive samples will be sequenced using the minION portable approach with the whole genome protocol. Results: It was observed that RNA samples isolated with Qiagen resulted in earlier Cq values compared to RNAES, with statistically significant differences for ZCD and Serotypes assays (unpaired t-test, </w:t>
      </w:r>
      <w:r w:rsidRPr="00FE5D1C">
        <w:rPr>
          <w:rFonts w:ascii="Calibri" w:eastAsia="Times New Roman" w:hAnsi="Calibri" w:cs="Calibri"/>
          <w:i/>
          <w:iCs/>
          <w:color w:val="000000"/>
          <w:kern w:val="0"/>
          <w:sz w:val="22"/>
          <w:szCs w:val="22"/>
          <w14:ligatures w14:val="none"/>
        </w:rPr>
        <w:t>p&lt;</w:t>
      </w:r>
      <w:r w:rsidRPr="00FE5D1C">
        <w:rPr>
          <w:rFonts w:ascii="Calibri" w:eastAsia="Times New Roman" w:hAnsi="Calibri" w:cs="Calibri"/>
          <w:color w:val="000000"/>
          <w:kern w:val="0"/>
          <w:sz w:val="22"/>
          <w:szCs w:val="22"/>
          <w14:ligatures w14:val="none"/>
        </w:rPr>
        <w:t>0.05). For each sample, Cq variation (Δ_Cq) was calculated by subtracting Cq values of Qiagen from Cq values of RNAES. In the ZCD assay, the median Δ_Cq was 4.905 (95% CI 4.09-6.21). In the Serotypes assay, the Δ_Cq values were higher, with a median of 6.530 (95% CI 5.28-7.5). However, Person´s correlation coefficient (r) of 0.8404 was obtained, while for the Serotypes assay, the coefficient was 0.8924, indicating a significant strong association between QIAGEN and RNAES. Conclusion: The RNAES approach is a robust and more cost-effective method for extraction; however, later Cq values should be taken into account to avoid generating false negatives.</w:t>
      </w:r>
    </w:p>
    <w:p w14:paraId="75B404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25-A-2922-ASTMH</w:t>
      </w:r>
    </w:p>
    <w:p w14:paraId="16238EA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6D246C9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It’s complicated: Modelling the immune evasion phenotypic impact of mAbs to RH5 in the context of mixed alleles in polyclonal infections.</w:t>
      </w:r>
    </w:p>
    <w:p w14:paraId="2967BB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Next-generation malaria vaccines are essential to achieve elimination goals, complementing current prevention tools. New strategies include structure-guided immunogen design and monoclonal antibody (mAbs)-based immunoprophylaxis with strain-transcending potential. We recently showed that vaccine-induced mAbs targeting the lead blood-stage vaccine candidate RH5 exhibit broad neutralizing activities in Senegalese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clinical isolates. Notably, the potent mAb R5.017 was evaded by the FVO laboratory line due to the presence of the S197Y mutation (RH5</w:t>
      </w:r>
      <w:r w:rsidRPr="00FE5D1C">
        <w:rPr>
          <w:rFonts w:ascii="Calibri" w:eastAsia="Times New Roman" w:hAnsi="Calibri" w:cs="Calibri"/>
          <w:color w:val="000000"/>
          <w:kern w:val="0"/>
          <w:sz w:val="22"/>
          <w:szCs w:val="22"/>
          <w:vertAlign w:val="superscript"/>
          <w14:ligatures w14:val="none"/>
        </w:rPr>
        <w:t>S197Y</w:t>
      </w:r>
      <w:r w:rsidRPr="00FE5D1C">
        <w:rPr>
          <w:rFonts w:ascii="Calibri" w:eastAsia="Times New Roman" w:hAnsi="Calibri" w:cs="Calibri"/>
          <w:color w:val="000000"/>
          <w:kern w:val="0"/>
          <w:sz w:val="22"/>
          <w:szCs w:val="22"/>
          <w14:ligatures w14:val="none"/>
        </w:rPr>
        <w:t>) within the antibody binding epitope. To understand resistance emergence in polyclonal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infections, we evaluated the threshold allelic frequency at which RH5 polymorphism confers a detectable escape phenotype. We used a flow cytometry-based growth inhibition activity (GIA) assay to test the susceptibility of the different </w:t>
      </w:r>
      <w:r w:rsidRPr="00FE5D1C">
        <w:rPr>
          <w:rFonts w:ascii="Calibri" w:eastAsia="Times New Roman" w:hAnsi="Calibri" w:cs="Calibri"/>
          <w:i/>
          <w:iCs/>
          <w:color w:val="000000"/>
          <w:kern w:val="0"/>
          <w:sz w:val="22"/>
          <w:szCs w:val="22"/>
          <w14:ligatures w14:val="none"/>
        </w:rPr>
        <w:t>P. falciparum </w:t>
      </w:r>
      <w:r w:rsidRPr="00FE5D1C">
        <w:rPr>
          <w:rFonts w:ascii="Calibri" w:eastAsia="Times New Roman" w:hAnsi="Calibri" w:cs="Calibri"/>
          <w:color w:val="000000"/>
          <w:kern w:val="0"/>
          <w:sz w:val="22"/>
          <w:szCs w:val="22"/>
          <w14:ligatures w14:val="none"/>
        </w:rPr>
        <w:t>mixes of the</w:t>
      </w:r>
      <w:r w:rsidRPr="00FE5D1C">
        <w:rPr>
          <w:rFonts w:ascii="Calibri" w:eastAsia="Times New Roman" w:hAnsi="Calibri" w:cs="Calibri"/>
          <w:i/>
          <w:iCs/>
          <w:color w:val="000000"/>
          <w:kern w:val="0"/>
          <w:sz w:val="22"/>
          <w:szCs w:val="22"/>
          <w14:ligatures w14:val="none"/>
        </w:rPr>
        <w:t> </w:t>
      </w:r>
      <w:r w:rsidRPr="00FE5D1C">
        <w:rPr>
          <w:rFonts w:ascii="Calibri" w:eastAsia="Times New Roman" w:hAnsi="Calibri" w:cs="Calibri"/>
          <w:color w:val="000000"/>
          <w:kern w:val="0"/>
          <w:sz w:val="22"/>
          <w:szCs w:val="22"/>
          <w14:ligatures w14:val="none"/>
        </w:rPr>
        <w:t>laboratory lines 3D7 and FVO to vaccine-induced monoclonal antibodies R5.016 and R5.017 relative to an isotype IgG control, as well as the synergistic activity of R5.011 mAb with R5.017 in the parasite mixes. We show a decreasing susceptibility of the parasites to R5.017 as we increase the proportion of FVO. This difference was only significant when the ratio 3D7:FVO was greater than 50:50 (</w:t>
      </w:r>
      <w:r w:rsidRPr="00FE5D1C">
        <w:rPr>
          <w:rFonts w:ascii="Calibri" w:eastAsia="Times New Roman" w:hAnsi="Calibri" w:cs="Calibri"/>
          <w:i/>
          <w:iCs/>
          <w:color w:val="000000"/>
          <w:kern w:val="0"/>
          <w:sz w:val="22"/>
          <w:szCs w:val="22"/>
          <w14:ligatures w14:val="none"/>
        </w:rPr>
        <w:t>p &lt; 0.0001)</w:t>
      </w:r>
      <w:r w:rsidRPr="00FE5D1C">
        <w:rPr>
          <w:rFonts w:ascii="Calibri" w:eastAsia="Times New Roman" w:hAnsi="Calibri" w:cs="Calibri"/>
          <w:color w:val="000000"/>
          <w:kern w:val="0"/>
          <w:sz w:val="22"/>
          <w:szCs w:val="22"/>
          <w14:ligatures w14:val="none"/>
        </w:rPr>
        <w:t>, while there was no impact on susceptibility to potent control mAb R5.016. This suggests that the FVO-related immune escaping phenotype to R5.017 mAb only manifests when the RH5</w:t>
      </w:r>
      <w:r w:rsidRPr="00FE5D1C">
        <w:rPr>
          <w:rFonts w:ascii="Calibri" w:eastAsia="Times New Roman" w:hAnsi="Calibri" w:cs="Calibri"/>
          <w:color w:val="000000"/>
          <w:kern w:val="0"/>
          <w:sz w:val="22"/>
          <w:szCs w:val="22"/>
          <w:vertAlign w:val="superscript"/>
          <w14:ligatures w14:val="none"/>
        </w:rPr>
        <w:t>S197Y</w:t>
      </w:r>
      <w:r w:rsidRPr="00FE5D1C">
        <w:rPr>
          <w:rFonts w:ascii="Calibri" w:eastAsia="Times New Roman" w:hAnsi="Calibri" w:cs="Calibri"/>
          <w:color w:val="000000"/>
          <w:kern w:val="0"/>
          <w:sz w:val="22"/>
          <w:szCs w:val="22"/>
          <w14:ligatures w14:val="none"/>
        </w:rPr>
        <w:t> allele dominates the mixed infection. These findings have implications for variant allelic frequencies in genomic surveillance that would result in a phenotypic shift, and also have parallel applications for evaluating the impact of mixed allelic mixtures in complex infections on other phenotypes, such as drug resistance mutations. Additional data on the parasite fitness in long-term cultures with or without antibody pressure are being generated in addition to deep amplicon sequencing to determine the allele frequencies of the RH5</w:t>
      </w:r>
      <w:r w:rsidRPr="00FE5D1C">
        <w:rPr>
          <w:rFonts w:ascii="Calibri" w:eastAsia="Times New Roman" w:hAnsi="Calibri" w:cs="Calibri"/>
          <w:color w:val="000000"/>
          <w:kern w:val="0"/>
          <w:sz w:val="22"/>
          <w:szCs w:val="22"/>
          <w:vertAlign w:val="superscript"/>
          <w14:ligatures w14:val="none"/>
        </w:rPr>
        <w:t>S197Y </w:t>
      </w:r>
      <w:r w:rsidRPr="00FE5D1C">
        <w:rPr>
          <w:rFonts w:ascii="Calibri" w:eastAsia="Times New Roman" w:hAnsi="Calibri" w:cs="Calibri"/>
          <w:color w:val="000000"/>
          <w:kern w:val="0"/>
          <w:sz w:val="22"/>
          <w:szCs w:val="22"/>
          <w14:ligatures w14:val="none"/>
        </w:rPr>
        <w:t>within the individual parasite mixes to confirm the genotype-phenotype relationship.</w:t>
      </w:r>
    </w:p>
    <w:p w14:paraId="0BA2F98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25-A-2923-ASTMH</w:t>
      </w:r>
    </w:p>
    <w:p w14:paraId="064B81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19A523E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Infecting serotype and Zika virus immunity influence neutrophil involvement in secondary dengue disease</w:t>
      </w:r>
    </w:p>
    <w:p w14:paraId="6F5F44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virus serotypes (DENV1-4) and Zika virus (ZIKV) are the most prevalent arboviral infections globally. Dengue disease ranges from milder (dengue fever, DF) to severe forms such as dengue hemorrhagic fever/dengue shock syndrome (DHF/DSS). We recently showed that anti-nonstructural protein 1 (NS1) IgA antibodies can drive neutrophil activation, underlying severe disease in post-ZIKV DENV2 infections. Here, we explored neutrophil involvement in dengue pathogenesis during acute DENV infections in DENV-immune individuals. To do this, we analyzed 2,648 acute febrile illnesses from the Pediatric Dengue Cohort Study (PDCS) and Pediatric Dengue Hospital-based Study in Nicaragua with complete blood cell counts. We first assessed whether elevated neutrophil levels were specific to DENV infection. On day 3 post-fever onset, DENV-infected children (matched by age and sex) had significantly higher relative neutrophil counts than those with chikungunya, Zika, or undifferentiated fever. Elevated neutrophils were specific to secondary DENV infections and were only observed in children who progressed to DHF/DSS. We next examined the impact of the infecting serotype. Secondary DHF/DSS cases due to DENV1 and DENV3 were associated with elevated neutrophils. In contrast, DENV2 was only associated with increased neutrophils when preceded by ZIKV immunity. Interestingly, when comparing DHF/DSS cases of DENV1 and DENV3 before and after the introduction of ZIKV to Nicaragua in 2016, post-ZIKV DENV3 DHF/DSS cases had higher neutrophil levels, whereas post-ZIKV DHF/DSS DENV1 cases showed no such difference, consistent with our prior findings that ZIKV immunity enhances risk of DENV3 disease, but not DENV1. Finally, we evaluated pre-existing antibody profiles in ZIKV-naïve DENV-immune children who subsequently developed DENV3 or DENV2 disease within the PDCS. IgA antibodies correlated with DHF/DSS risk in pre-ZIKV DENV3, but not pre-ZIKV DENV2, infections. Altogether, our findings suggest that neutrophils are involved in severe dengue, modulated by prior flavivirus exposure, infecting serotype, ZIKV immunity, and IgA antibodies.</w:t>
      </w:r>
    </w:p>
    <w:p w14:paraId="34C4D5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25-A-2924-ASTMH</w:t>
      </w:r>
    </w:p>
    <w:p w14:paraId="7E3760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D6EDF0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Typhoidsim: an open-source transmission model to evaluate typhoid conjugate vaccine schedules and differential waning</w:t>
      </w:r>
    </w:p>
    <w:p w14:paraId="116FB7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Typhoid conjugate vaccines (TCV) have been successfully introduced in many settings since WHO pre-qualification in 2018. However, impact has been heterogenous, and data indicating that protection wanes faster in some settings more than others have led to a need to revisit recommendations for TCV introduction. Modeling can provide crucial, quantitative evidence for optimal vaccination strategies across different contexts. To facilitate these context-specific evaluations of vaccination schedules and supplemental immunization campaign design, we developed Typhoidsim, an open-source, agent-based model of typhoid transmission and control. Typhoidsim includes both long-cycle, environmental transmission and short-cycle, direct transmission through human-to-human contact. The model contains highly flexible modules for population demography; disease natural history, including chronic carriage, diagnosis and treatment, and typhoid-associated mortality; environmental interventions and seasonality; and vaccination, including different target ages for routine and campaign vaccination, booster doses, and age-specific vaccine response and waning. Built-in optimization modules facilitate calibration to different settings. We modeled multiple strategies of TCV introduction in archetypal moderate, high, and very high burden settings. We demonstrated that typhoid incidence can be significantly reduced through vaccination (up to 50% over 10 years in highest-impact scenarios), though assumptions on age-specific rates of vaccine waning had substantial influence on the relative benefits of different vaccine schedules and additional booster doses. The impact of supplemental campaigns was greatest in moderate burden settings, where baseline incidence was highest in older children who were excluded from routine vaccination, and when vaccine waning was comparatively slower in older children than younger children. Our modeling demonstrates both the importance of context-specific estimates of vaccine impact and the need to continue refining estimates of TCV protection and durability to inform policymaking.</w:t>
      </w:r>
    </w:p>
    <w:p w14:paraId="05D742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25-A-2925-ASTMH</w:t>
      </w:r>
    </w:p>
    <w:p w14:paraId="2E2DD05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2E9F47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Effectiveness of Typhoid Conjugate Vaccine for Typhoid Fever Prevention in Malawi - MITIMA Study results</w:t>
      </w:r>
    </w:p>
    <w:p w14:paraId="2F8F1F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Typhi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Typhi) causes a significant burden of febrile illness in low- and middle-income countries. Typhoid conjugate vaccines (TCVs) have demonstrated high efficacy against culture-confirmed typhoid fever in children up to 16 years. A phase 3 trial in Malawi demonstrated that a single dose of Vi polysaccharide conjugated to tetanus toxoid vaccine had 83.4% and 80.0% efficacy against typhoid fever in children aged 9 months - 12 years at one-year and 4.6 years post-vaccination, respectively. Malawi introduced TCV in May 2023 with a campaign targeting approximately 9M children 9 months -&lt;15 years. We are conducting a test-negative design (TND) study to assess vaccine effectiveness using facility-based surveillance in Ndirande and Zingwangwa townships of Blantyre, Malawi. Eligible participants are children who: (1) were 9 months to &lt;15 years old during the campaign; (2) present to a participating facility between 22 June 2023 and 30 May 2025 with ≥72 hours of subjective fever, a recorded temperature ≥38°C, or hospitalization with any fever history; and (3) provide a blood culture specimen. To investigate and address the potential for multiple blood culture specimens per participant, three TND samples will be selected: 1) TND-A: cases include children with any </w:t>
      </w:r>
      <w:r w:rsidRPr="00FE5D1C">
        <w:rPr>
          <w:rFonts w:ascii="Calibri" w:eastAsia="Times New Roman" w:hAnsi="Calibri" w:cs="Calibri"/>
          <w:i/>
          <w:iCs/>
          <w:color w:val="000000"/>
          <w:kern w:val="0"/>
          <w:sz w:val="22"/>
          <w:szCs w:val="22"/>
          <w14:ligatures w14:val="none"/>
        </w:rPr>
        <w:t>S. </w:t>
      </w:r>
      <w:r w:rsidRPr="00FE5D1C">
        <w:rPr>
          <w:rFonts w:ascii="Calibri" w:eastAsia="Times New Roman" w:hAnsi="Calibri" w:cs="Calibri"/>
          <w:color w:val="000000"/>
          <w:kern w:val="0"/>
          <w:sz w:val="22"/>
          <w:szCs w:val="22"/>
          <w14:ligatures w14:val="none"/>
        </w:rPr>
        <w:t>Typhi-positive blood culture during surveillance, and controls include those with any </w:t>
      </w:r>
      <w:r w:rsidRPr="00FE5D1C">
        <w:rPr>
          <w:rFonts w:ascii="Calibri" w:eastAsia="Times New Roman" w:hAnsi="Calibri" w:cs="Calibri"/>
          <w:i/>
          <w:iCs/>
          <w:color w:val="000000"/>
          <w:kern w:val="0"/>
          <w:sz w:val="22"/>
          <w:szCs w:val="22"/>
          <w14:ligatures w14:val="none"/>
        </w:rPr>
        <w:t>S</w:t>
      </w:r>
      <w:r w:rsidRPr="00FE5D1C">
        <w:rPr>
          <w:rFonts w:ascii="Calibri" w:eastAsia="Times New Roman" w:hAnsi="Calibri" w:cs="Calibri"/>
          <w:color w:val="000000"/>
          <w:kern w:val="0"/>
          <w:sz w:val="22"/>
          <w:szCs w:val="22"/>
          <w14:ligatures w14:val="none"/>
        </w:rPr>
        <w:t>. Typhi negative blood culture; 2) TND-B: cases as in TND-A, but controls restricted to those with only </w:t>
      </w:r>
      <w:r w:rsidRPr="00FE5D1C">
        <w:rPr>
          <w:rFonts w:ascii="Calibri" w:eastAsia="Times New Roman" w:hAnsi="Calibri" w:cs="Calibri"/>
          <w:i/>
          <w:iCs/>
          <w:color w:val="000000"/>
          <w:kern w:val="0"/>
          <w:sz w:val="22"/>
          <w:szCs w:val="22"/>
          <w14:ligatures w14:val="none"/>
        </w:rPr>
        <w:t>S. </w:t>
      </w:r>
      <w:r w:rsidRPr="00FE5D1C">
        <w:rPr>
          <w:rFonts w:ascii="Calibri" w:eastAsia="Times New Roman" w:hAnsi="Calibri" w:cs="Calibri"/>
          <w:color w:val="000000"/>
          <w:kern w:val="0"/>
          <w:sz w:val="22"/>
          <w:szCs w:val="22"/>
          <w14:ligatures w14:val="none"/>
        </w:rPr>
        <w:t>Typhi-negative culture results; and 3) TND-C: specimen-based, with cases defined by </w:t>
      </w:r>
      <w:r w:rsidRPr="00FE5D1C">
        <w:rPr>
          <w:rFonts w:ascii="Calibri" w:eastAsia="Times New Roman" w:hAnsi="Calibri" w:cs="Calibri"/>
          <w:i/>
          <w:iCs/>
          <w:color w:val="000000"/>
          <w:kern w:val="0"/>
          <w:sz w:val="22"/>
          <w:szCs w:val="22"/>
          <w14:ligatures w14:val="none"/>
        </w:rPr>
        <w:t>S. </w:t>
      </w:r>
      <w:r w:rsidRPr="00FE5D1C">
        <w:rPr>
          <w:rFonts w:ascii="Calibri" w:eastAsia="Times New Roman" w:hAnsi="Calibri" w:cs="Calibri"/>
          <w:color w:val="000000"/>
          <w:kern w:val="0"/>
          <w:sz w:val="22"/>
          <w:szCs w:val="22"/>
          <w14:ligatures w14:val="none"/>
        </w:rPr>
        <w:t>Typhi positive specimens and controls by </w:t>
      </w:r>
      <w:r w:rsidRPr="00FE5D1C">
        <w:rPr>
          <w:rFonts w:ascii="Calibri" w:eastAsia="Times New Roman" w:hAnsi="Calibri" w:cs="Calibri"/>
          <w:i/>
          <w:iCs/>
          <w:color w:val="000000"/>
          <w:kern w:val="0"/>
          <w:sz w:val="22"/>
          <w:szCs w:val="22"/>
          <w14:ligatures w14:val="none"/>
        </w:rPr>
        <w:t>S. </w:t>
      </w:r>
      <w:r w:rsidRPr="00FE5D1C">
        <w:rPr>
          <w:rFonts w:ascii="Calibri" w:eastAsia="Times New Roman" w:hAnsi="Calibri" w:cs="Calibri"/>
          <w:color w:val="000000"/>
          <w:kern w:val="0"/>
          <w:sz w:val="22"/>
          <w:szCs w:val="22"/>
          <w14:ligatures w14:val="none"/>
        </w:rPr>
        <w:t xml:space="preserve">Typhi negative specimens. TCV vaccination is defined by documentation on a vaccine record, or parent/guardian report of vaccination. Vaccine effectiveness will be calculated as: (1 -OR) × 100%, where OR is the relative odds of TCV vaccination in cases compared with controls. As of March 6, 2025, 3,903 children have met the </w:t>
      </w:r>
      <w:r w:rsidRPr="00FE5D1C">
        <w:rPr>
          <w:rFonts w:ascii="Calibri" w:eastAsia="Times New Roman" w:hAnsi="Calibri" w:cs="Calibri"/>
          <w:color w:val="000000"/>
          <w:kern w:val="0"/>
          <w:sz w:val="22"/>
          <w:szCs w:val="22"/>
          <w14:ligatures w14:val="none"/>
        </w:rPr>
        <w:lastRenderedPageBreak/>
        <w:t>inclusion criteria and provided 4,019 blood culture specimens. The TND analyses will be completed in June 2025 and will be presented, providing key evidence on post-introduction TCV effectiveness in an African setting.</w:t>
      </w:r>
    </w:p>
    <w:p w14:paraId="20C02FA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25-A-2926-ASTMH</w:t>
      </w:r>
    </w:p>
    <w:p w14:paraId="07F01B4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Antimalarial Resistance and Chemotherapy</w:t>
      </w:r>
    </w:p>
    <w:p w14:paraId="2152C92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Evaluation of pharmacokinetics and cardiac safety of sulfadoxine-pyrimethamine plus dihydroartemisinin-piperaquine for intermittent preventive treatment in pregnancy in Papua New Guinean women.</w:t>
      </w:r>
    </w:p>
    <w:p w14:paraId="7FFAF77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Papua New Guinea (PNG), pregnant women face a high risk of infection with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P. vivax</w:t>
      </w:r>
      <w:r w:rsidRPr="00FE5D1C">
        <w:rPr>
          <w:rFonts w:ascii="Calibri" w:eastAsia="Times New Roman" w:hAnsi="Calibri" w:cs="Calibri"/>
          <w:color w:val="000000"/>
          <w:kern w:val="0"/>
          <w:sz w:val="22"/>
          <w:szCs w:val="22"/>
          <w14:ligatures w14:val="none"/>
        </w:rPr>
        <w:t>, posing severe risks to both mother and unborn child. PNG National Treatment Guidelines recommends monthly intermittent preventive treatment in pregnancy (IPTp) with sulfadoxine-pyrimethamine (SP) from the second trimester until birth. However, whilst SP retains efficacy against low birth weight, the emergence of high-grade SP resistance necessitates more effective antimalarials for IPTp in PNG. Dihydroartemisinin-piperaquine (DP) is considered a potential alternative due to its strong protective efficacy and long plasma half-life of piperaquine (PPQ; ~3 weeks), although concerns of potential QTc prolongation have been raised. Previous pharmacokinetic (PK) studies in PNG have shown that SP-PPQ and DP are safe in pregnancy, with SP not substantially altering PPQ disposition. A recent intensive PK study of IPTp-SP+DP in Ugandan women confirmed PPQ cardiac safety, but reported reduced SP exposure. A Phase III double-blind randomized placebo-controlled superiority trial was conducted in Madang Province, PNG, to compare the risk of malaria and adverse pregnancy outcomes between women receiving either monthly IPTp-SP+DP (single dose 1500/75 mg SP combined with 120mg/960mg DP daily, for three days) or monthly IPTp-SP plus placebo. Within this trial, a subset of women also participated in a nested PK and cardiac safety study to determine whether coadministration of IPTp-SP+DP affected the PK disposition of either drug or resulted in cardiac disturbances. Between February and August 2024, 50 women aged 18-40 years with singleton pregnancies (average gestation at enrolment, 21 weeks; range, 16-26 weeks) were recruited at their first antenatal visit. Blood samples (3-5mL) were collected by venepuncture for drug level assessment, hemoglobin, and hepatorenal function immediately before the first dose, 4-6 hours after the third dose, and on days 4 and 7 of each of three consecutive monthly treatment courses. Electrocardiograms were taken immediately before each blood collection. The full results will be presented.</w:t>
      </w:r>
    </w:p>
    <w:p w14:paraId="59F563F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25-A-2927-ASTMH</w:t>
      </w:r>
    </w:p>
    <w:p w14:paraId="360877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7DCC58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Serotype-Dependent Variation in Fusion Loop Antibody Responses in Dengue Virus Infections Reveals Asymmetry and Association with Disease Outcome.</w:t>
      </w:r>
    </w:p>
    <w:p w14:paraId="235D05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four serotypes of dengue virus (DENV1-4) are the leading cause of arboviral diseases globally. Antibodies (Abs) generated after infection with one serotype can protect against or enhance subsequent heterotypic infection depending on the magnitude and quality of the cross-reactive (XR) Ab response. Within the envelope (E) protein, which forms the virion surface, the fusion loop (FL) is a highly conserved immunodominant XR epitope. FL Abs mediate antibody-dependent enhancement (ADE) of DENV infection in vitro and in mouse models, yet studies evaluating their contribution to the human polyclonal XR response have been limited. We used samples from our Nicaraguan Pediatric Dengue Cohort Study and developed a high-throughput bead-based assay with E plus or minus FL mutations to 1) define how primary (1°) infection with each DENV serotype impacts the FL Ab response against E of other serotypes and Zika virus, and 2) investigate the correlation of the proportion of FL Abs in pre-infection sera with DENV2 infection outcome. We found that the FL epitope is consistently targeted after 1° DENV infection; however, the proportion of FL Abs in the E XR response varies substantially based on the 1° infecting serotype and the serotype of the E protein used for detection. For example, after DENV3 infection, a median of 97% of the DENV4 E response targets the FL, compared to 66% after </w:t>
      </w:r>
      <w:r w:rsidRPr="00FE5D1C">
        <w:rPr>
          <w:rFonts w:ascii="Calibri" w:eastAsia="Times New Roman" w:hAnsi="Calibri" w:cs="Calibri"/>
          <w:color w:val="000000"/>
          <w:kern w:val="0"/>
          <w:sz w:val="22"/>
          <w:szCs w:val="22"/>
          <w14:ligatures w14:val="none"/>
        </w:rPr>
        <w:lastRenderedPageBreak/>
        <w:t>DENV2 infection. We also observed asymmetry between DENV2 and DENV3 responses: 94% of DENV3 E Ab responses target the FL after DENV2 infection, whereas only 52% of the DENV2 E Ab response targets the FL after DENV3 infection. Analysis of samples collected prior to DENV2 infections from DENV-immune participants showed that 66% of pre-severe infections have a FL proportion corresponding to 40-60% of the E Ab response (reminiscent of the typical ADE curve), compared to 35% and 18% in pre-non-severe dengue and pre-inapparent infection, respectively. These findings provide critical insights into the epitope specificity of XR Abs after 1° DENV infection and underscore the importance of characterizing FL-directed responses to understand dengue immunopathogenesis and improve vaccine design.</w:t>
      </w:r>
    </w:p>
    <w:p w14:paraId="42BA757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25-A-2928-ASTMH</w:t>
      </w:r>
    </w:p>
    <w:p w14:paraId="06398B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68A036D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Complement and Fcγ-receptor mediated antibody effector functions targeting merozoites are associated with protection from severe malaria in children</w:t>
      </w:r>
    </w:p>
    <w:p w14:paraId="6563F9F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Severe malaria causes over 570 000 deaths annually, largely caused by Plasmodium falciparum, and most deaths occur in young children. Mechanisms and targets of immunity to severe malaria remain poorly understood and current licensed vaccines have only modest efficacy against severe malaria in children. Antibodies play a key role in malaria immunity and can clear infection by directly targeting blood-stage parasites, including merozoites. Antibody interactions with complement proteins that can lead to merozoite lysis and with Fcγ-receptors that can promote phagocytic clearance by neutrophils and monocytes are important immune effector mechanisms, but their role in immunity to severe malaria is currently unknown. Therefore, we investigated the role of antibodies that promote complement and/or Fcγ-receptor-mediated effector functions against merozoites in a case-control study of severe malaria in young children in Papua New Guinea (PNG; n=383). Antibodies with complement fixation and Fcγ-receptor binding activity, and cytophilic (IgG1 and IgG3) antibody responses, to whole merozoites were associated with significantly lower risk of severe malaria compared to non-severe malaria. Protective associations were strongest for complement fixation and FcγRI-binding activity. Antibodies promoted merozoite phagocytosis by neutrophils, with phagocytosis being significantly lower in children with severe compared to non-severe malaria. Increasing functional antibody levels also correlated with lower parasitemia, consistent with a role for these antibodies in clearing or preventing blood-stage parasitemia. Overall, our data suggests that cytophilic antibodies protect against severe disease through complement fixation and engaging Fcγ-receptor to promote phagocytosis. These findings reveal potential mechanisms and targets for immunity that can be harnessed to increase the efficacy of vaccines against severe malaria in children.</w:t>
      </w:r>
    </w:p>
    <w:p w14:paraId="477882B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25-A-2929-ASTMH</w:t>
      </w:r>
    </w:p>
    <w:p w14:paraId="753BA3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Ectoparasite-Borne Disease - Babesiosis and Lyme Disease</w:t>
      </w:r>
    </w:p>
    <w:p w14:paraId="0BFABED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Impact of a Reservoir-Targeted </w:t>
      </w:r>
      <w:r w:rsidRPr="00FE5D1C">
        <w:rPr>
          <w:rFonts w:ascii="Calibri" w:eastAsia="Times New Roman" w:hAnsi="Calibri" w:cs="Calibri"/>
          <w:i/>
          <w:iCs/>
          <w:color w:val="000000"/>
          <w:kern w:val="0"/>
          <w:sz w:val="22"/>
          <w:szCs w:val="22"/>
          <w14:ligatures w14:val="none"/>
        </w:rPr>
        <w:t>Borrelia burgdorferi</w:t>
      </w:r>
      <w:r w:rsidRPr="00FE5D1C">
        <w:rPr>
          <w:rFonts w:ascii="Calibri" w:eastAsia="Times New Roman" w:hAnsi="Calibri" w:cs="Calibri"/>
          <w:color w:val="000000"/>
          <w:kern w:val="0"/>
          <w:sz w:val="22"/>
          <w:szCs w:val="22"/>
          <w14:ligatures w14:val="none"/>
        </w:rPr>
        <w:t> Oral Vaccine on Infection Prevalence and Lyme Disease Incidence</w:t>
      </w:r>
    </w:p>
    <w:p w14:paraId="2D76D6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Ticks frequently act as vectors for multiple pathogens that significantly impact human and animal health, including </w:t>
      </w:r>
      <w:r w:rsidRPr="00FE5D1C">
        <w:rPr>
          <w:rFonts w:ascii="Calibri" w:eastAsia="Times New Roman" w:hAnsi="Calibri" w:cs="Calibri"/>
          <w:i/>
          <w:iCs/>
          <w:color w:val="000000"/>
          <w:kern w:val="0"/>
          <w:sz w:val="22"/>
          <w:szCs w:val="22"/>
          <w14:ligatures w14:val="none"/>
        </w:rPr>
        <w:t>Anaplasma, Borrelia, Ehrlichia, Babesia, Rickettsia</w:t>
      </w:r>
      <w:r w:rsidRPr="00FE5D1C">
        <w:rPr>
          <w:rFonts w:ascii="Calibri" w:eastAsia="Times New Roman" w:hAnsi="Calibri" w:cs="Calibri"/>
          <w:color w:val="000000"/>
          <w:kern w:val="0"/>
          <w:sz w:val="22"/>
          <w:szCs w:val="22"/>
          <w14:ligatures w14:val="none"/>
        </w:rPr>
        <w:t>, and Crimean-Congo hemorrhagic fever virus. As climate change shifts the ranges of tick species, their public health importance as disease vectors will only increase. However, the ticks’ long life cycle and complex sylvatic transmission cycles for many tick-borne pathogens can make effective preventative interventions challenging. Therefore, identifying innovative prevention strategies to complement established interventions is essential for protecting human and animal health going forward. Our lab, in collaboration with colleagues at multiple institutions, recently completed a five-year, randomized, double-blind field trial of a reservoir-targeted oral vaccine for </w:t>
      </w:r>
      <w:r w:rsidRPr="00FE5D1C">
        <w:rPr>
          <w:rFonts w:ascii="Calibri" w:eastAsia="Times New Roman" w:hAnsi="Calibri" w:cs="Calibri"/>
          <w:i/>
          <w:iCs/>
          <w:color w:val="000000"/>
          <w:kern w:val="0"/>
          <w:sz w:val="22"/>
          <w:szCs w:val="22"/>
          <w14:ligatures w14:val="none"/>
        </w:rPr>
        <w:t>Borrelia burgdorferi</w:t>
      </w:r>
      <w:r w:rsidRPr="00FE5D1C">
        <w:rPr>
          <w:rFonts w:ascii="Calibri" w:eastAsia="Times New Roman" w:hAnsi="Calibri" w:cs="Calibri"/>
          <w:color w:val="000000"/>
          <w:kern w:val="0"/>
          <w:sz w:val="22"/>
          <w:szCs w:val="22"/>
          <w14:ligatures w14:val="none"/>
        </w:rPr>
        <w:t> in a Lyme disease-endemic area. Pellets coated in either the </w:t>
      </w:r>
      <w:r w:rsidRPr="00FE5D1C">
        <w:rPr>
          <w:rFonts w:ascii="Calibri" w:eastAsia="Times New Roman" w:hAnsi="Calibri" w:cs="Calibri"/>
          <w:i/>
          <w:iCs/>
          <w:color w:val="000000"/>
          <w:kern w:val="0"/>
          <w:sz w:val="22"/>
          <w:szCs w:val="22"/>
          <w14:ligatures w14:val="none"/>
        </w:rPr>
        <w:t>B. burgdorferi</w:t>
      </w:r>
      <w:r w:rsidRPr="00FE5D1C">
        <w:rPr>
          <w:rFonts w:ascii="Calibri" w:eastAsia="Times New Roman" w:hAnsi="Calibri" w:cs="Calibri"/>
          <w:color w:val="000000"/>
          <w:kern w:val="0"/>
          <w:sz w:val="22"/>
          <w:szCs w:val="22"/>
          <w14:ligatures w14:val="none"/>
        </w:rPr>
        <w:t> OspA vaccine or placebo were placed continuously in habitat of the white-footed mouse (</w:t>
      </w:r>
      <w:r w:rsidRPr="00FE5D1C">
        <w:rPr>
          <w:rFonts w:ascii="Calibri" w:eastAsia="Times New Roman" w:hAnsi="Calibri" w:cs="Calibri"/>
          <w:i/>
          <w:iCs/>
          <w:color w:val="000000"/>
          <w:kern w:val="0"/>
          <w:sz w:val="22"/>
          <w:szCs w:val="22"/>
          <w14:ligatures w14:val="none"/>
        </w:rPr>
        <w:t>Peromyscus leucopus</w:t>
      </w:r>
      <w:r w:rsidRPr="00FE5D1C">
        <w:rPr>
          <w:rFonts w:ascii="Calibri" w:eastAsia="Times New Roman" w:hAnsi="Calibri" w:cs="Calibri"/>
          <w:color w:val="000000"/>
          <w:kern w:val="0"/>
          <w:sz w:val="22"/>
          <w:szCs w:val="22"/>
          <w14:ligatures w14:val="none"/>
        </w:rPr>
        <w:t>), the reservoir for </w:t>
      </w:r>
      <w:r w:rsidRPr="00FE5D1C">
        <w:rPr>
          <w:rFonts w:ascii="Calibri" w:eastAsia="Times New Roman" w:hAnsi="Calibri" w:cs="Calibri"/>
          <w:i/>
          <w:iCs/>
          <w:color w:val="000000"/>
          <w:kern w:val="0"/>
          <w:sz w:val="22"/>
          <w:szCs w:val="22"/>
          <w14:ligatures w14:val="none"/>
        </w:rPr>
        <w:t>B. burgdorferi. </w:t>
      </w:r>
      <w:r w:rsidRPr="00FE5D1C">
        <w:rPr>
          <w:rFonts w:ascii="Calibri" w:eastAsia="Times New Roman" w:hAnsi="Calibri" w:cs="Calibri"/>
          <w:color w:val="000000"/>
          <w:kern w:val="0"/>
          <w:sz w:val="22"/>
          <w:szCs w:val="22"/>
          <w14:ligatures w14:val="none"/>
        </w:rPr>
        <w:t xml:space="preserve">Hunting dogs are frequently in these areas and </w:t>
      </w:r>
      <w:r w:rsidRPr="00FE5D1C">
        <w:rPr>
          <w:rFonts w:ascii="Calibri" w:eastAsia="Times New Roman" w:hAnsi="Calibri" w:cs="Calibri"/>
          <w:color w:val="000000"/>
          <w:kern w:val="0"/>
          <w:sz w:val="22"/>
          <w:szCs w:val="22"/>
          <w14:ligatures w14:val="none"/>
        </w:rPr>
        <w:lastRenderedPageBreak/>
        <w:t>exposed to ticks that are known to carry </w:t>
      </w:r>
      <w:r w:rsidRPr="00FE5D1C">
        <w:rPr>
          <w:rFonts w:ascii="Calibri" w:eastAsia="Times New Roman" w:hAnsi="Calibri" w:cs="Calibri"/>
          <w:i/>
          <w:iCs/>
          <w:color w:val="000000"/>
          <w:kern w:val="0"/>
          <w:sz w:val="22"/>
          <w:szCs w:val="22"/>
          <w14:ligatures w14:val="none"/>
        </w:rPr>
        <w:t>B. burgdorferi</w:t>
      </w:r>
      <w:r w:rsidRPr="00FE5D1C">
        <w:rPr>
          <w:rFonts w:ascii="Calibri" w:eastAsia="Times New Roman" w:hAnsi="Calibri" w:cs="Calibri"/>
          <w:color w:val="000000"/>
          <w:kern w:val="0"/>
          <w:sz w:val="22"/>
          <w:szCs w:val="22"/>
          <w14:ligatures w14:val="none"/>
        </w:rPr>
        <w:t>. During the summer, ticks were collected off </w:t>
      </w:r>
      <w:r w:rsidRPr="00FE5D1C">
        <w:rPr>
          <w:rFonts w:ascii="Calibri" w:eastAsia="Times New Roman" w:hAnsi="Calibri" w:cs="Calibri"/>
          <w:i/>
          <w:iCs/>
          <w:color w:val="000000"/>
          <w:kern w:val="0"/>
          <w:sz w:val="22"/>
          <w:szCs w:val="22"/>
          <w14:ligatures w14:val="none"/>
        </w:rPr>
        <w:t>P. leucopus</w:t>
      </w:r>
      <w:r w:rsidRPr="00FE5D1C">
        <w:rPr>
          <w:rFonts w:ascii="Calibri" w:eastAsia="Times New Roman" w:hAnsi="Calibri" w:cs="Calibri"/>
          <w:color w:val="000000"/>
          <w:kern w:val="0"/>
          <w:sz w:val="22"/>
          <w:szCs w:val="22"/>
          <w14:ligatures w14:val="none"/>
        </w:rPr>
        <w:t> and from the field to evaluate </w:t>
      </w:r>
      <w:r w:rsidRPr="00FE5D1C">
        <w:rPr>
          <w:rFonts w:ascii="Calibri" w:eastAsia="Times New Roman" w:hAnsi="Calibri" w:cs="Calibri"/>
          <w:i/>
          <w:iCs/>
          <w:color w:val="000000"/>
          <w:kern w:val="0"/>
          <w:sz w:val="22"/>
          <w:szCs w:val="22"/>
          <w14:ligatures w14:val="none"/>
        </w:rPr>
        <w:t>B. burgdorferi</w:t>
      </w:r>
      <w:r w:rsidRPr="00FE5D1C">
        <w:rPr>
          <w:rFonts w:ascii="Calibri" w:eastAsia="Times New Roman" w:hAnsi="Calibri" w:cs="Calibri"/>
          <w:color w:val="000000"/>
          <w:kern w:val="0"/>
          <w:sz w:val="22"/>
          <w:szCs w:val="22"/>
          <w14:ligatures w14:val="none"/>
        </w:rPr>
        <w:t> infection prevalence. PepVF ELISA seroconversion of hunting dogs between late summer and early winter was used to approximate the rate of human Lyme disease around the intervention sites. The vaccine sites indicated a trend of decreased nymphal infection prevalence of </w:t>
      </w:r>
      <w:r w:rsidRPr="00FE5D1C">
        <w:rPr>
          <w:rFonts w:ascii="Calibri" w:eastAsia="Times New Roman" w:hAnsi="Calibri" w:cs="Calibri"/>
          <w:i/>
          <w:iCs/>
          <w:color w:val="000000"/>
          <w:kern w:val="0"/>
          <w:sz w:val="22"/>
          <w:szCs w:val="22"/>
          <w14:ligatures w14:val="none"/>
        </w:rPr>
        <w:t>B. burgdorferi</w:t>
      </w:r>
      <w:r w:rsidRPr="00FE5D1C">
        <w:rPr>
          <w:rFonts w:ascii="Calibri" w:eastAsia="Times New Roman" w:hAnsi="Calibri" w:cs="Calibri"/>
          <w:color w:val="000000"/>
          <w:kern w:val="0"/>
          <w:sz w:val="22"/>
          <w:szCs w:val="22"/>
          <w14:ligatures w14:val="none"/>
        </w:rPr>
        <w:t> across the five years of the study. PepVF ELISA seroconversion varied between sites and years, although the proportion of seroconversion at vaccine and control sites during the study was not significantly different. While additional research is needed to further characterize the relationship between tick infection and dog seroconversion, these initial results indicate that a reservoir-targeted oral vaccine can potentially alter the local transmission dynamics of </w:t>
      </w:r>
      <w:r w:rsidRPr="00FE5D1C">
        <w:rPr>
          <w:rFonts w:ascii="Calibri" w:eastAsia="Times New Roman" w:hAnsi="Calibri" w:cs="Calibri"/>
          <w:i/>
          <w:iCs/>
          <w:color w:val="000000"/>
          <w:kern w:val="0"/>
          <w:sz w:val="22"/>
          <w:szCs w:val="22"/>
          <w14:ligatures w14:val="none"/>
        </w:rPr>
        <w:t>B. burgdorferi</w:t>
      </w:r>
      <w:r w:rsidRPr="00FE5D1C">
        <w:rPr>
          <w:rFonts w:ascii="Calibri" w:eastAsia="Times New Roman" w:hAnsi="Calibri" w:cs="Calibri"/>
          <w:color w:val="000000"/>
          <w:kern w:val="0"/>
          <w:sz w:val="22"/>
          <w:szCs w:val="22"/>
          <w14:ligatures w14:val="none"/>
        </w:rPr>
        <w:t> between reservoirs and vectors.</w:t>
      </w:r>
    </w:p>
    <w:p w14:paraId="42FE9C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25-A-2930-ASTMH</w:t>
      </w:r>
    </w:p>
    <w:p w14:paraId="3CBA099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Immunology</w:t>
      </w:r>
    </w:p>
    <w:p w14:paraId="480EDC3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Obesity increases the rate of symptomatic outcome and accentuates host responses to orthoflaviviral infection</w:t>
      </w:r>
    </w:p>
    <w:p w14:paraId="7D24100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Orthoflaviviruses, as exemplified by the prototypic yellow fever virus (YFV), have been recently identified by the World Health Organisation as major pandemic threats. Although factors such as globalisation and climate change have been identified to increase the prevalence of orthoflaviviral diseases, the ongoing obesity pandemic is a neglected but important contributory factor to exacerbating the risk of severe orthoflaviviral diseases. Indeed, how obesity affects the outcome of orthoflaviviral infection remains undefined. Herein, we used the live attenuated yellow fever vaccine (YF17D-204 strain and hereon referred to as YF17D) to simulate an acute orthoflaviviral infection. We enrolled 34 non-obese and 35 obese participants to receive YF17D subcutaneously and found increased prevalence of systemic symptoms; myalgia and axillary soreness fromlymphadenopathy were more common in obese compared to non-obese participants despite comparable YF17D RNAemia. Moreover, transcriptomic and cytokine profiling revealed BMI-dependent differences in pro-inflammatory states at both pre- and post-infection. Our findings thus reveal obesity as a susceptibility factor of symptomatic orthoflaviviral infection and suggest anti-inflammatory approaches to mitigate BMI-associated risks of severe orthoflaviviral diseases.</w:t>
      </w:r>
    </w:p>
    <w:p w14:paraId="6B8911F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25-A-2932-ASTMH</w:t>
      </w:r>
    </w:p>
    <w:p w14:paraId="0483677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4025B46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Predicting Dengue Cases and Risk Using Hybrid Deep Learning Models and Climate Data</w:t>
      </w:r>
    </w:p>
    <w:p w14:paraId="01876B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Due to changes in climate and habitat shifts, cases of vector-borne diseases such as malaria and dengue are predicted to increase as mosquito vectors expand or change their zones of activity. However, the extent of vulnerable regions remain uncertain based on present disease distributions. Recent success in applying deep learning models for predicting these diseases highlights the value of using such models to map probable future global distributions. Case incidence data and climate parameters, from Vietnam, South Africa and Paraguay, were used to train the models. Hybrid deep learning models were applied, with temporal fusion transformers for modeling the temporal component of disease and climate data and convolutional and graph neural networks for modeling spatial relationships and interactions. Future climate scenarios were derived from CMIP6 (future climate projections up to 2100) to simulate future climate conditions. This data was used to predict disease incidence and distribution, demonstrating the models' present applicability and identifying regions likely to be at risk in the future. The temporal prediction performance was 81-98%, and the models were generalizable to all countries. With the model’s ability to provide explainability, max/min temperature, rainfall, and long-term signals such as the Indian Ocean Dipole and ENSO demonstrate substantial influence over case incidence. For spatial modeling, preliminary results indicate that regions with increasing temperatures and altered precipitation patterns (wetter conditions) are likely to see a rise in malaria and dengue incidence. Central and South America, Sub-Saharan Africa, and South and Southeast Asia show the highest malaria </w:t>
      </w:r>
      <w:r w:rsidRPr="00FE5D1C">
        <w:rPr>
          <w:rFonts w:ascii="Calibri" w:eastAsia="Times New Roman" w:hAnsi="Calibri" w:cs="Calibri"/>
          <w:color w:val="000000"/>
          <w:kern w:val="0"/>
          <w:sz w:val="22"/>
          <w:szCs w:val="22"/>
          <w14:ligatures w14:val="none"/>
        </w:rPr>
        <w:lastRenderedPageBreak/>
        <w:t>and dengue risk, aligning with historical prevalence in these areas. Regions with similar climate profiles to malaria-endemic countries, such as parts of southern South America and East Asia, exhibit moderate to high risk despite lower historical malaria cases. Additionally, dengue risk is noted outside typical endemic regions, such as East Asia and southern Africa, due to similar climatic profiles supporting transmission.</w:t>
      </w:r>
    </w:p>
    <w:p w14:paraId="433F65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25-A-2933-ASTMH</w:t>
      </w:r>
    </w:p>
    <w:p w14:paraId="72302F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3DA0ECF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Development of an educational tool to promote the household dengue larval control activities among secondary school students in dengue hot spot in Thailand</w:t>
      </w:r>
    </w:p>
    <w:p w14:paraId="61B07F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remains a major vector borne disease in Thailand. Thus, health promotion in schools is considered a key approach to increase students’ knowledge and can facilitate behavior in relation to dengue larval control practices in their own home. Curriculum in schools, however, has provided insufficient knowledge of dengue control methods to be able to properly conduct dengue larval control in their communities. Therefore, novel health educational tools are required for more sustained integrated larval control at home. We describe the development of a set of educational tools targeting larval control activities to schoolchildren and its pilot testing in the dengue hot spot in Thailand. We applied mixed methods approach involving input from secondary schoolchildren and key informants, such as teachers and village health volunteers. The KAP questionnaire surveys for schoolchildren were carried out to formulate key messages for the educational tools. The workshops with teachers were carried out to identify potential approaches to improve the larval control in the study areas. The development of educational tools was carried out and tested in five schools in Ban Pong district, Rachaburee province, in October 2024 to February 2025. The result showed 90% of schoolchildren were aware of dengue infection, but knowledge of effective larval control at home was poor. The perception about larval control at home was quite passive as not their entire responsibility. Observations in the study area showed that larval breeding sites in and around the houses were present without awareness or urgency to manage by the household members, the use of temephos was improper resulting the ineffective control and wasteful. The educational tools based on the curriculum for training consists of the biology of dengue mosquito, larval survey, control measures, and key container identification and the use of a mobile application (ArcGIS Survey 123) program for larval survey. In conclusion, it is crucial to assess the background of the target population prior to educational tool production to integrate the key messages of the tool into everyday situations.</w:t>
      </w:r>
    </w:p>
    <w:p w14:paraId="4B0ABB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25-A-2934-ASTMH</w:t>
      </w:r>
    </w:p>
    <w:p w14:paraId="75C64B7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534B38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IgM is prominent and activates complement in acquired transmission-blocking immunity against malaria</w:t>
      </w:r>
    </w:p>
    <w:p w14:paraId="07CC1F8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Transmission-blocking vaccines against Plasmodium falciparum malaria could reduce the high malaria burden and facilitate malaria elimination globally. Limited knowledge of human immune responses against transmission stage P. falciparum gametocytes is a critical roadblock to vaccine development. We evaluated acquired human antibodies to whole gametocytes and recombinant transmission-stage antigens, including transmission-blocking vaccine candidates Pfs230 and Pfs48/45 and additional less-studied related antigens Pf38, Pf12 and Pf41. Among adults and children in Kenya and Papua New Guinea, we found high antibody responses (IgG and IgM) to whole gametocytes and all recombinant transmission-stage antigens. Complement fixation by antibodies is critical for effective transmission-blocking activity and acquired IgM correlated with complement activity against gametocytes. We purified human IgM from donors and expressed novel recombinant IgM monoclonal antibodies and found they were substantially more potent than IgG in mediating complement fixation and activation against gametocytes. IgM was a prominent feature in adults and children, and data suggest that long-term IgM becomes established in older children and persists in adults. Findings suggest IgM has evolved as a prominent feature of immunity to gametocytes, activates complement for potential transmission-</w:t>
      </w:r>
      <w:r w:rsidRPr="00FE5D1C">
        <w:rPr>
          <w:rFonts w:ascii="Calibri" w:eastAsia="Times New Roman" w:hAnsi="Calibri" w:cs="Calibri"/>
          <w:color w:val="000000"/>
          <w:kern w:val="0"/>
          <w:sz w:val="22"/>
          <w:szCs w:val="22"/>
          <w14:ligatures w14:val="none"/>
        </w:rPr>
        <w:lastRenderedPageBreak/>
        <w:t>blocking activity and targets multiple gametocyte antigens. Vaccine strategies that induce functional IgM, as well as IgG, could be important for achieving highly potent transmission-blocking immunity.</w:t>
      </w:r>
    </w:p>
    <w:p w14:paraId="3CE122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25-A-2935-ASTMH</w:t>
      </w:r>
    </w:p>
    <w:p w14:paraId="23F580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Measures for Control and Elimination of Neglected Tropical Diseases (NTDs)</w:t>
      </w:r>
    </w:p>
    <w:p w14:paraId="1C5980C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Integrating mass deworming with process monitoring: A data- driven approach to strengthening program delivery</w:t>
      </w:r>
    </w:p>
    <w:p w14:paraId="30ADED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Kenya National school-based deworming program (NSBDP) has targeted control of soil transmitted helminths (STH) and schistosomiasis (SCH) since 2012 among school aged children (SAC) reaching 6 million SAC annually. After nine years an overall STH prevalence rate reduction of 82.7% has been achieved among other successes. Consistent high coverage, equity, and prevalence reductions have required timely data, feedback loops and immediate strategic response mechanisms. This study describes how the NSBDP integrated deworming with key process monitoring activities to achieve its current success. Since inception, the NSBDP has implemented two complimentary monitoring systems integrated into normal service delivery; real time process monitoring during Mass drug administration (MDA) to be able to track adherence to the program standard operating procedures, monitor logistical efficiency, and identify teacher performance; and independent coverage validation post-MDA to validate government reported coverage, as well as identify underserved populations and asses equity. Data from both processes were analyzed across counties and triangulated with routine reports to inform program adjustments in the next round of MDAs. Process monitoring allowed for immediate resolutions of operational issues and ensured standard operating procedure adherence during MDA. Coverage evaluation surveys confirmed reported coverage and exposed disparities in remote and hard to reach areas leading to intentional and targeted increased investment across the MDA cascade (training, social mobilization, finances etc.). These feedback mechanisms solidified and strengthened accountability, improving equity in program delivery and intentionally ensuring no one left behind. The embedding of process monitoring and coverage evaluation has transformed the Kenyans national school-based deworming program into a data driven, responsive adaptive and equitable intervention. The approach illustrates the value of real time independent monitoring in achieving sustained impact and offers lessons that cold be applied for NTD programming globally.</w:t>
      </w:r>
    </w:p>
    <w:p w14:paraId="1B8851A0"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25-A-2936-ASTMH</w:t>
      </w:r>
    </w:p>
    <w:p w14:paraId="57B0288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Epidemiology and Control</w:t>
      </w:r>
    </w:p>
    <w:p w14:paraId="1C0FFF9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Leveraging Satellite and Drone Imagery for Environmental Mapping of Schistosomiasis Risk Zones: A Pilot Study in Ogun State, Nigeria</w:t>
      </w:r>
    </w:p>
    <w:p w14:paraId="2CCC117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remains a significant public health burden in Nigeria, where Schistosoma haematobium infections persist despite widespread praziquantel mass drug administration (MDA). In Ogun State, the Oyan Reservoir region is a known transmission hotspot, where daily reliance on freshwater puts communities at ongoing risk. Transmission of </w:t>
      </w:r>
      <w:r w:rsidRPr="00FE5D1C">
        <w:rPr>
          <w:rFonts w:ascii="Calibri" w:eastAsia="Times New Roman" w:hAnsi="Calibri" w:cs="Calibri"/>
          <w:i/>
          <w:iCs/>
          <w:color w:val="000000"/>
          <w:kern w:val="0"/>
          <w:sz w:val="22"/>
          <w:szCs w:val="22"/>
          <w14:ligatures w14:val="none"/>
        </w:rPr>
        <w:t>S. haematobium</w:t>
      </w:r>
      <w:r w:rsidRPr="00FE5D1C">
        <w:rPr>
          <w:rFonts w:ascii="Calibri" w:eastAsia="Times New Roman" w:hAnsi="Calibri" w:cs="Calibri"/>
          <w:color w:val="000000"/>
          <w:kern w:val="0"/>
          <w:sz w:val="22"/>
          <w:szCs w:val="22"/>
          <w14:ligatures w14:val="none"/>
        </w:rPr>
        <w:t> occurs in freshwater through </w:t>
      </w:r>
      <w:r w:rsidRPr="00FE5D1C">
        <w:rPr>
          <w:rFonts w:ascii="Calibri" w:eastAsia="Times New Roman" w:hAnsi="Calibri" w:cs="Calibri"/>
          <w:i/>
          <w:iCs/>
          <w:color w:val="000000"/>
          <w:kern w:val="0"/>
          <w:sz w:val="22"/>
          <w:szCs w:val="22"/>
          <w14:ligatures w14:val="none"/>
        </w:rPr>
        <w:t>Bulinus spp.</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B. truncatus/globosus</w:t>
      </w:r>
      <w:r w:rsidRPr="00FE5D1C">
        <w:rPr>
          <w:rFonts w:ascii="Calibri" w:eastAsia="Times New Roman" w:hAnsi="Calibri" w:cs="Calibri"/>
          <w:color w:val="000000"/>
          <w:kern w:val="0"/>
          <w:sz w:val="22"/>
          <w:szCs w:val="22"/>
          <w14:ligatures w14:val="none"/>
        </w:rPr>
        <w:t xml:space="preserve"> intermediate snail hosts. Traditional surveillance methods—such as snail mapping and environmental surveys—are labor-intensive, require direct freshwater contact, and often lack the spatial resolution needed to guide targeted interventions. While diagnostics remain essential, environmental risk mapping offers a complementary approach to identifying hotspots before clinical cases arise. Inspired by Wood et al. (2019), who used satellite imagery and machine learning to predict transmission risk in Senegal, our team aims to adapt and validate this method in Nigeria. This project investigates whether remote sensing—specifically satellite vegetation data and drone imagery—can identify schistosomiasis risk zones by mapping non-emergent vegetation snail habitats in Ogun State. By June 2025, we will apply a vegetation-based risk model, adapted from Wood et al. (2019), to high-resolution satellite imagery to digitally identify 5-10 potential hotspots near the Oyan Reservoir. In July, we will conduct drone-based aerial surveys of these zones to validate the model. Model performance will be assessed through ground-truthing of vegetation and hydrological features, alongside local </w:t>
      </w:r>
      <w:r w:rsidRPr="00FE5D1C">
        <w:rPr>
          <w:rFonts w:ascii="Calibri" w:eastAsia="Times New Roman" w:hAnsi="Calibri" w:cs="Calibri"/>
          <w:color w:val="000000"/>
          <w:kern w:val="0"/>
          <w:sz w:val="22"/>
          <w:szCs w:val="22"/>
          <w14:ligatures w14:val="none"/>
        </w:rPr>
        <w:lastRenderedPageBreak/>
        <w:t>schistosomiasis prevalence data provided by Nigerian collaborators. This study will evaluate whether environmental indicators—such as vegetation density, shoreline access, and proximity to human activity—can predict schistosomiasis prevalence. Findings may inform broader efforts to utilize satellite imagery and machine learning to guide public health interventions and mitigate this neglected tropical disease globally.</w:t>
      </w:r>
    </w:p>
    <w:p w14:paraId="2BC656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25-A-2937-ASTMH</w:t>
      </w:r>
    </w:p>
    <w:p w14:paraId="72EA77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Water, Sanitation, Hygiene and Environmental Health</w:t>
      </w:r>
    </w:p>
    <w:p w14:paraId="27E64A2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Inter-rater agreement of methods to evaluate hand cleanliness to study Trachoma risk in rural communities of the Peruvian Amazon Basin</w:t>
      </w:r>
    </w:p>
    <w:p w14:paraId="48B85E0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Trachoma is associated with poor personal hygiene. Current methods for measuring hand cleanliness are subjective, and most studies have been conducted in sub-Saharan Africa. In this study we assessed the reliability of a novel quantitative hand hygiene measuring system. Four trained fieldworkers assessed hand cleanliness by two methods: first, by direct observation of the presence of short nails, dirt on nails, back of hands, finger pads, and palm (i.e., traditional method), and second, by using sterile gauze pads to wipe the hand (i.e., novel method). The wipes were subsequently graded by up to 4 independent masked non-specialized graders in the field by comparing to an 11-point reference color scale, with each point representing a 10% increase in color saturation (10 for unused gauze pad to 0 for the darkest decile). A sample of 210 children was enrolled from 7 indigenous villages in the Peruvian Amazon. The prevalence of short nails, dirt on nails, back of hands, finger pads, and palm was 73%, 76%, 5%, 66%, and 74%, respectively. A total of 1606 face wipe grades (mean 3.8 per child) were performed, with a mean score of 5.8 (SD 1.2). Inter-rater reliability was high for direct observation of nail length (ICC 0.74), dirt on nails (ICC 0.79), and wipe grades (ICC 0.79). In contrast, inter-rater reliability was lower for dirt on hands (ICC 0.40, 0.55 and 0.49 for back, finger pads and palm, respectively). These results showed that a novel quantitative method for assessing hand cleanliness had similar inter-rater reliability to direct observation of dirt on nails, and better reliability than several other indicators of hand hygiene. This quantitative scale also has the additional benefit of a potential increase in precision, since the hand wipes can be analyzed by multiple graders, either via in-person graders in the field or remote graders assessing photographs.</w:t>
      </w:r>
    </w:p>
    <w:p w14:paraId="63FB85B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25-A-2939-ASTMH</w:t>
      </w:r>
    </w:p>
    <w:p w14:paraId="434665A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(Epidemiology)</w:t>
      </w:r>
    </w:p>
    <w:p w14:paraId="7EB7524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Enhancing Case Detection of Filarial Lymphedema Through Snowball Approach in the Post-Elimination Phase</w:t>
      </w:r>
    </w:p>
    <w:p w14:paraId="59DD0D2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Identifying filarial lymphedema (FL), a chronic manifestation of lymphatic filariasis (LF), is challenging in low-resource settings. The stigma associated with FL often hinders self-reporting and access to care, leading to underreporting in the affected populations. As traditional surveillance methods often underrepresent the true disease burden, we aimed to identify unreported FL cases during post-validation surveillance (PVS) in Bangladesh to improve access to care. We conducted an assessment nested within a Morbidity Management and Disability Prevention (MMDP) care training program for people with FL in Gangachara, Rangpur District (October 2024 ─ March 2025). Initially, 1101 known lymphedema patients from the national registry joined structured training sessions and were encouraged to refer acquaintances with suspected FL to local community clinics via snowball sampling. They referred 250 individuals, and 95 of them were excluded due to the absence of relevant etiology or the presence of other comorbidities. The remaining 155 underwent clinical evaluation per World Health Organization (WHO) protocols, eventually confirming 140 patients having FL. These newly confirmed FL patients were trained, and the referral process continued until a total of 189 previously unregistered FL cases were identified, of which only 10 developed FL after the last surveillance in 2021. These cases (n = 189) had a mean age of 59.7 (Standard Deviation (SD) 12.5) years and a mean duration of 20.5 (SD 12.2) years, were predominantly female 148 (78.3%), with primarily unilateral lymphoedema (167, 88.4%), </w:t>
      </w:r>
      <w:r w:rsidRPr="00FE5D1C">
        <w:rPr>
          <w:rFonts w:ascii="Calibri" w:eastAsia="Times New Roman" w:hAnsi="Calibri" w:cs="Calibri"/>
          <w:color w:val="000000"/>
          <w:kern w:val="0"/>
          <w:sz w:val="22"/>
          <w:szCs w:val="22"/>
          <w14:ligatures w14:val="none"/>
        </w:rPr>
        <w:lastRenderedPageBreak/>
        <w:t>and the majority within the first two lymphoedema stages (145, 76.7%) on the standard WHO grading scale. In this assessment, the snowball technique effectively identified missed FL cases, especially early-stage ones. This community-driven approach may foster trust and improve reporting, particularly in stigmatized or resource-limited settings, enabling timely interventions. Integrating snowball sampling into PVS frameworks may strengthen long-term MMDP by promoting accurate patient registries and improving access to care.</w:t>
      </w:r>
    </w:p>
    <w:p w14:paraId="104E0E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25-A-2940-ASTMH</w:t>
      </w:r>
    </w:p>
    <w:p w14:paraId="1D969C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36077226" w14:textId="2CDEA6BF"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Evaluating the Risk Factors and Seroprevalence of </w:t>
      </w:r>
      <w:r w:rsidRPr="00FE5D1C">
        <w:rPr>
          <w:rFonts w:ascii="Calibri" w:eastAsia="Times New Roman" w:hAnsi="Calibri" w:cs="Calibri"/>
          <w:i/>
          <w:iCs/>
          <w:color w:val="000000"/>
          <w:kern w:val="0"/>
          <w:sz w:val="22"/>
          <w:szCs w:val="22"/>
          <w14:ligatures w14:val="none"/>
        </w:rPr>
        <w:t>Toxoplasma gondii</w:t>
      </w:r>
      <w:r w:rsidRPr="00FE5D1C">
        <w:rPr>
          <w:rFonts w:ascii="Calibri" w:eastAsia="Times New Roman" w:hAnsi="Calibri" w:cs="Calibri"/>
          <w:color w:val="000000"/>
          <w:kern w:val="0"/>
          <w:sz w:val="22"/>
          <w:szCs w:val="22"/>
          <w14:ligatures w14:val="none"/>
        </w:rPr>
        <w:t> in People Living in Hawaiʻi</w:t>
      </w:r>
    </w:p>
    <w:p w14:paraId="56B2E8D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Toxoplasma gondii is a zoonotic protozoan parasite that affects approximately a third of the world’s human population. The parasite infects virtually all warm-blooded animals, including humans. People infected with T. gondii can present a variety of clinical manifestations, which range from asymptomatic infection or mild, flu-like symptoms in immunocompetent individuals to severe, debilitating neurologic and ocular disease in immunocompromised people and children from infected pregnant women. In Hawaii, toxoplasmosis causes high morbidity and mortality in marine wildlife. Based on the unique, isolated geographical location of Hawaii and the increase of animal cases, human populations may also be affected by toxoplasmosis. However, there is no current data on the status of human toxoplasmosis in Hawaii. Hence, the present study addresses this gap in knowledge by determining the seroprevalence of human toxoplasmosis and screening for major risk factors associated with the disease in the state. The evaluation of risk factors and seroprevalence is achieved through questionnaire administration and serological testing of anti-T. gondii antibodies in study participants between 18 to 65 years old, are free of severe comorbidities, and have lived in Hawaii for at least six months or more at the time of recruitment. The preliminary data reveals a slight association with feral cat interactions and seropositivity of anti-T. gondii antibodies in a study population of 136 eligible participants. While study recruitment is still ongoing, these data findings provide initial insights of human toxoplasmosis in Hawaii. Overall, the present study aims to provide a better understanding of human toxoplasmosis to inform health professionals and stakeholders how to prevent and control the disease in Hawaii.</w:t>
      </w:r>
    </w:p>
    <w:p w14:paraId="289B02B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25-A-2941-ASTMH</w:t>
      </w:r>
    </w:p>
    <w:p w14:paraId="5DC481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569A5D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Global Burden of Dengue on Healthcare Systems: A Meta-Analysis of Hospital Resource Utilization</w:t>
      </w:r>
    </w:p>
    <w:p w14:paraId="7AF461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Dengue is a growing global health challenge, placing an increasing burden on healthcare systems. However, estimation of the global burden on hospitals remains limited and heterogeneous. Following PRISMA guidelines, this study (PROSPERO#CRD42023480948) comprises a systematic review of data published from 2013 – 2024 and a meta-analysis to estimate the global hospitalization rate (HR) and length of stay (LOS) due to dengue. The analysis utilized R's </w:t>
      </w:r>
      <w:r w:rsidRPr="00FE5D1C">
        <w:rPr>
          <w:rFonts w:ascii="Calibri" w:eastAsia="Times New Roman" w:hAnsi="Calibri" w:cs="Calibri"/>
          <w:i/>
          <w:iCs/>
          <w:color w:val="000000"/>
          <w:kern w:val="0"/>
          <w:sz w:val="22"/>
          <w:szCs w:val="22"/>
          <w14:ligatures w14:val="none"/>
        </w:rPr>
        <w:t>metaprop</w:t>
      </w:r>
      <w:r w:rsidRPr="00FE5D1C">
        <w:rPr>
          <w:rFonts w:ascii="Calibri" w:eastAsia="Times New Roman" w:hAnsi="Calibri" w:cs="Calibri"/>
          <w:color w:val="000000"/>
          <w:kern w:val="0"/>
          <w:sz w:val="22"/>
          <w:szCs w:val="22"/>
          <w14:ligatures w14:val="none"/>
        </w:rPr>
        <w:t> (for HR, from 30 studies) and </w:t>
      </w:r>
      <w:r w:rsidRPr="00FE5D1C">
        <w:rPr>
          <w:rFonts w:ascii="Calibri" w:eastAsia="Times New Roman" w:hAnsi="Calibri" w:cs="Calibri"/>
          <w:i/>
          <w:iCs/>
          <w:color w:val="000000"/>
          <w:kern w:val="0"/>
          <w:sz w:val="22"/>
          <w:szCs w:val="22"/>
          <w14:ligatures w14:val="none"/>
        </w:rPr>
        <w:t>metamean</w:t>
      </w:r>
      <w:r w:rsidRPr="00FE5D1C">
        <w:rPr>
          <w:rFonts w:ascii="Calibri" w:eastAsia="Times New Roman" w:hAnsi="Calibri" w:cs="Calibri"/>
          <w:color w:val="000000"/>
          <w:kern w:val="0"/>
          <w:sz w:val="22"/>
          <w:szCs w:val="22"/>
          <w14:ligatures w14:val="none"/>
        </w:rPr>
        <w:t> (for LOS, from 95 studies) functions from the </w:t>
      </w:r>
      <w:r w:rsidRPr="00FE5D1C">
        <w:rPr>
          <w:rFonts w:ascii="Calibri" w:eastAsia="Times New Roman" w:hAnsi="Calibri" w:cs="Calibri"/>
          <w:i/>
          <w:iCs/>
          <w:color w:val="000000"/>
          <w:kern w:val="0"/>
          <w:sz w:val="22"/>
          <w:szCs w:val="22"/>
          <w14:ligatures w14:val="none"/>
        </w:rPr>
        <w:t>meta</w:t>
      </w:r>
      <w:r w:rsidRPr="00FE5D1C">
        <w:rPr>
          <w:rFonts w:ascii="Calibri" w:eastAsia="Times New Roman" w:hAnsi="Calibri" w:cs="Calibri"/>
          <w:color w:val="000000"/>
          <w:kern w:val="0"/>
          <w:sz w:val="22"/>
          <w:szCs w:val="22"/>
          <w14:ligatures w14:val="none"/>
        </w:rPr>
        <w:t xml:space="preserve"> package to estimate means with 95% confidence intervals (CI). A random-effects model was selected due to the high heterogeneity observed with a wide range of baseline characteristics in the selected studies. The mean HR was 29.1% [95% CI; 20.1 – 38.2] for dengue ± warning signs (WS), and 64.7% (95% CI; 38.6 – 90.8) for severe dengue (SD). The HR was higher for children (&lt;18 years) compared to adults (≥18 years) [24.9% (95% CI; 5.1 – 44.4) versus 20.6% (95% CI; 12.0 – 28.4)]. The studies with a high percentage of non-severe cases had lower HRs, whereas those including more patients with WS and SD had higher HRs. The sensitivity analysis showed that the estimated HR remained unchanged when excluding studies with sample sizes &lt;100. The mean LOS was 4.6 days (95% CI; 4.3 – 4.9) for dengue ± WS, 5.2 days (95% CI; 4.1 – 6.4) for dengue hemorrhagic fever, and 7.3 days (95% CI; 5.7 – 8.9) for SD with longer LOS in patients with comorbidities or complications. The LOS was comparable between children (&lt;18 years) and adults (≥18 years) [4.9 (95% CI; 3.9 – 5.8) versus 4.8 (95% CI; 4.3 – 5.2) days]. The heterogeneity was driven mainly by the </w:t>
      </w:r>
      <w:r w:rsidRPr="00FE5D1C">
        <w:rPr>
          <w:rFonts w:ascii="Calibri" w:eastAsia="Times New Roman" w:hAnsi="Calibri" w:cs="Calibri"/>
          <w:color w:val="000000"/>
          <w:kern w:val="0"/>
          <w:sz w:val="22"/>
          <w:szCs w:val="22"/>
          <w14:ligatures w14:val="none"/>
        </w:rPr>
        <w:lastRenderedPageBreak/>
        <w:t>inclusion of patients with varying severity levels (I² for HR = 99.5% and LOS = 99.6%). In conclusion, the estimated mean HR and LOS for patients with dengue represents a substantial healthcare burden. Hospitalizations due to dengue are likely driven by patients with WS, with HRs varying by severity. While heterogeneity is high, these findings offer valuable insights into the healthcare resource use burden of dengue infection and can potentially inform clinical trial design and endpoint selection.</w:t>
      </w:r>
    </w:p>
    <w:p w14:paraId="0C45D9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25-A-2942-ASTMH</w:t>
      </w:r>
    </w:p>
    <w:p w14:paraId="6EBFBB0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Viruses - Epidemiology</w:t>
      </w:r>
    </w:p>
    <w:p w14:paraId="4C769C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Increasing number of Sapovirus outbreaks in Beijing (2014-2021): Dominance of Genotypes GII.3 and GI.2</w:t>
      </w:r>
    </w:p>
    <w:p w14:paraId="7D7063C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Sapovirus, a re-emerging calicivirus, is increasingly recognized as an under-characterized cause of acute gastroenteritis globally. Frequently underrecognized, sapovirus has driven several outbreaks across South Asia, Europe, and North America. This growing burden highlights critical gaps in our understanding of the epidemiological dynamics and genetic diversity of sapovirus, hindering timely public health response and the development of effective control strategies. We examined temporal, regional, and demographic patterns, clinical features, genotypes, and recombination events of sapovirus outbreaks in Beijing (2014–2021). Detection used real-time RT-PCR, with genotyping and phylogenetic analysis based on VP1 and RdRp regions via BEAST and jModelTest (HKY model), alongside whole genome sequencing. From 2014 to 2021, 216 sapovirus-related outbreaks were identified (95 sapovirus only and 21 mixed). Peaks occurred in 2017, 2019, and 2021; 78% were in transitional months between seasons. Most occurred in kindergartens (76.4%) and primary schools (19.0%), with person-to-person the dominant mode of transmission (97.7%). Outbreaks in suburbs had longer median durations (8 days, IQR:6-10). Higher attack rates were seen in comprehensive schools (21.6%, IQR:10-35) and kindergartens (18.12%, IQR:13.5-22.7). More cases were associated with foodborne outbreaks (8 cases, IQR:14-20). Vomiting was more common in ≤5-year-olds, and diarrhea in &gt;5-year-olds. 8 genotypes were identified (GI.1–3, 5–6; GII.1, 3, 5) with no recombination. A shift from GII.3 (2016–2019) to GI.2 (2020–2021) occurred, with novel clades showing significant nucleotide and amino acid changes. In Beijing, sapovirus is an emerging cause of gastroenteritis outbreaks, particularly foodborne outbreaks in kindergartens. Targeted interventions such as hand hygiene, food safety, and outbreak monitoring in childcare settings are essential. Given the rise of new genotypes, ongoing surveillance, genotyping, and whole-genome sequencing are critical for timely response and global public health preparedness.</w:t>
      </w:r>
    </w:p>
    <w:p w14:paraId="5BB1B8E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25-A-2943-ASTMH</w:t>
      </w:r>
    </w:p>
    <w:p w14:paraId="4C0EE1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71F7D4F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Case Series of Autochthonous Ascariasis in Manitoba, Canada</w:t>
      </w:r>
    </w:p>
    <w:p w14:paraId="4BB32EB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i/>
          <w:iCs/>
          <w:color w:val="000000"/>
          <w:kern w:val="0"/>
          <w:sz w:val="22"/>
          <w:szCs w:val="22"/>
          <w14:ligatures w14:val="none"/>
        </w:rPr>
        <w:t>Ascaris </w:t>
      </w:r>
      <w:r w:rsidRPr="00FE5D1C">
        <w:rPr>
          <w:rFonts w:ascii="Calibri" w:eastAsia="Times New Roman" w:hAnsi="Calibri" w:cs="Calibri"/>
          <w:color w:val="000000"/>
          <w:kern w:val="0"/>
          <w:sz w:val="22"/>
          <w:szCs w:val="22"/>
          <w14:ligatures w14:val="none"/>
        </w:rPr>
        <w:t>is a genus of parasitic nematodes known to cause infections in humans and pigs. From January to December 2024, we identified four cases of autochthonous ascariasis in Manitoba, Canada as far as the 50th parallel north. All cases were asymptomatic except for an 18-month-old infant who had been failing to gain weight in the prior 6 months. Three of the four cases had contact with pigs on small-scale hobby farms. Given that </w:t>
      </w:r>
      <w:r w:rsidRPr="00FE5D1C">
        <w:rPr>
          <w:rFonts w:ascii="Calibri" w:eastAsia="Times New Roman" w:hAnsi="Calibri" w:cs="Calibri"/>
          <w:i/>
          <w:iCs/>
          <w:color w:val="000000"/>
          <w:kern w:val="0"/>
          <w:sz w:val="22"/>
          <w:szCs w:val="22"/>
          <w14:ligatures w14:val="none"/>
        </w:rPr>
        <w:t>Ascaris lumbricoides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Ascaris suum </w:t>
      </w:r>
      <w:r w:rsidRPr="00FE5D1C">
        <w:rPr>
          <w:rFonts w:ascii="Calibri" w:eastAsia="Times New Roman" w:hAnsi="Calibri" w:cs="Calibri"/>
          <w:color w:val="000000"/>
          <w:kern w:val="0"/>
          <w:sz w:val="22"/>
          <w:szCs w:val="22"/>
          <w14:ligatures w14:val="none"/>
        </w:rPr>
        <w:t>are morphologically identically, we pursued sequencing of the mitochondrial DNA. Phylogenetic analysis using the whole mitochondrial sequence and the </w:t>
      </w:r>
      <w:r w:rsidRPr="00FE5D1C">
        <w:rPr>
          <w:rFonts w:ascii="Calibri" w:eastAsia="Times New Roman" w:hAnsi="Calibri" w:cs="Calibri"/>
          <w:i/>
          <w:iCs/>
          <w:color w:val="000000"/>
          <w:kern w:val="0"/>
          <w:sz w:val="22"/>
          <w:szCs w:val="22"/>
          <w14:ligatures w14:val="none"/>
        </w:rPr>
        <w:t>cox1</w:t>
      </w:r>
      <w:r w:rsidRPr="00FE5D1C">
        <w:rPr>
          <w:rFonts w:ascii="Calibri" w:eastAsia="Times New Roman" w:hAnsi="Calibri" w:cs="Calibri"/>
          <w:color w:val="000000"/>
          <w:kern w:val="0"/>
          <w:sz w:val="22"/>
          <w:szCs w:val="22"/>
          <w14:ligatures w14:val="none"/>
        </w:rPr>
        <w:t> gene matched </w:t>
      </w:r>
      <w:r w:rsidRPr="00FE5D1C">
        <w:rPr>
          <w:rFonts w:ascii="Calibri" w:eastAsia="Times New Roman" w:hAnsi="Calibri" w:cs="Calibri"/>
          <w:i/>
          <w:iCs/>
          <w:color w:val="000000"/>
          <w:kern w:val="0"/>
          <w:sz w:val="22"/>
          <w:szCs w:val="22"/>
          <w14:ligatures w14:val="none"/>
        </w:rPr>
        <w:t>Ascaris suum</w:t>
      </w:r>
      <w:r w:rsidRPr="00FE5D1C">
        <w:rPr>
          <w:rFonts w:ascii="Calibri" w:eastAsia="Times New Roman" w:hAnsi="Calibri" w:cs="Calibri"/>
          <w:color w:val="000000"/>
          <w:kern w:val="0"/>
          <w:sz w:val="22"/>
          <w:szCs w:val="22"/>
          <w14:ligatures w14:val="none"/>
        </w:rPr>
        <w:t>. All cases were treated with mebendazole with good result. To our knowledge, this is the first report of Ascaris suum as a zoonotic pathogen in Canada. There are increasing reports of ascariasis in the USA with epidemiologic links to organic pig farms, however we are the first to provide genomic analysis. Our case highlights the need for Canadian medical practitioners to be aware of ascariasis especially with any pig exposure. From a One Health perspective, future prevention and control measures should not only focus on humans, but also in infected pigs.</w:t>
      </w:r>
    </w:p>
    <w:p w14:paraId="341370C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25-A-2944-ASTMH</w:t>
      </w:r>
    </w:p>
    <w:p w14:paraId="68DB58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Bacteriology - Enteric Infections</w:t>
      </w:r>
    </w:p>
    <w:p w14:paraId="41D602D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Correlation between naturally occurring IgG anti-Vi antibody titers and typhoid fever incidence in Dhaka, Bangladesh</w:t>
      </w:r>
    </w:p>
    <w:p w14:paraId="4A37DFA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Vaccination with the Vi-polysaccharide antigen of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enterica serotype Typhi induces IgG anti-Vi antibodies, protects against typhoid fever. The study aims to investigate whether naturally acquired antibodies are associated with a reduced incidence of typhoid fever in regions where the disease is endemic. We carried out an analysis of data from a cohort study on typhoid fever in Dhaka, Bangladesh. Plasma IgG anti-Vi antibodies were quantified using a standard enzyme-linked immunosorbent assay in serosurveys of randomly selected unvaccinated population. Participants were followed up for up to 20 months for blood culture-confirmed typhoid fever. The associations between antibody levels and typhoid risk were evaluated using receiver operating characteristic (ROC) curves and Cox proportional hazard models. The ROC analysis revealed that IgG anti-Vi antibody titers were predictive of typhoid risk among the 8,261 serosurvey participants (area under the curve: 0·63; 95% confidence interval (CI): 0·58─0·67). Detection of any antibodies was associated with a lower risk of typhoid in crude analyses (hazard ratio (HR): 0·13; 95% CI: 0·03─0·52), though this association declined after adjustment (HR: 0·32; 95% CI: 0·07─1·40). A positive correlation was observed between IgG anti-Vi titers and age (correlation coefficient 0·35; p &lt; 0·001), with a stepwise increase in detectable antibodies by age, ranging from 12·0% (280/2,333) in children under 5 years to 54·2% (463/854) in individuals 50 years and older (p &lt; 0·001). In typhoid-endemic populations, IgG anti-Vi antibodies may indicate natural immunity to typhoid. The rising seroprevalence with age implies that these antibodies could act as indicators of cumulative past typhoid infections. Future studies should investigate these potential correlations.</w:t>
      </w:r>
    </w:p>
    <w:p w14:paraId="5C8BD29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25-A-2945-ASTMH</w:t>
      </w:r>
    </w:p>
    <w:p w14:paraId="7B1A211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Bacteriology - Enteric Infections</w:t>
      </w:r>
    </w:p>
    <w:p w14:paraId="3475ACA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Metagenomic profiling of gut microbiota in enteric fever patients from an antibiotic treatment trial</w:t>
      </w:r>
    </w:p>
    <w:p w14:paraId="216D6F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This study investigates the complex relationship between the human gut microbiome, enteric fever, and antimicrobial resistance. Antibiotic treatment for enteric fever can disrupt gut microbial communities and contribute to resistance. Shotgun metagenomic sequencing was used to analyze gut microbiota composition and function in participants enrolled in the ongoing clinical trial “Azithromycin and cefixime combination versus azithromycin alone for the out-patient treatment of uncomplicated typhoid fever in South Asia” (</w:t>
      </w:r>
      <w:r w:rsidRPr="00FE5D1C">
        <w:rPr>
          <w:rFonts w:ascii="Calibri" w:eastAsia="Times New Roman" w:hAnsi="Calibri" w:cs="Calibri"/>
          <w:color w:val="000000"/>
          <w:kern w:val="0"/>
          <w:sz w:val="22"/>
          <w:szCs w:val="22"/>
          <w:u w:val="single"/>
          <w14:ligatures w14:val="none"/>
        </w:rPr>
        <w:t>https://clinicaltrials.gov/study/NCT04349826</w:t>
      </w:r>
      <w:r w:rsidRPr="00FE5D1C">
        <w:rPr>
          <w:rFonts w:ascii="Calibri" w:eastAsia="Times New Roman" w:hAnsi="Calibri" w:cs="Calibri"/>
          <w:color w:val="000000"/>
          <w:kern w:val="0"/>
          <w:sz w:val="22"/>
          <w:szCs w:val="22"/>
          <w14:ligatures w14:val="none"/>
        </w:rPr>
        <w:t>). We examined how different antibiotic regimens influence longitudinal changes in antimicrobial-resistant bacteria, the gut microbiome, and the presence of 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Stool samples were collected from 59 participants across five time points (Days 0, 7, 14, 28, and 90). DNA was extracted and sequenced on the Illumina Novaseq platform, generating 10 million 150 bp paired-end reads per sample. Taxonomic profiling was conducted using YACHT/Sourmash, validated against Kraken2/Bracken. Detection of 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was confirmed by mapping reads (BWA/FreeBayes) to </w:t>
      </w:r>
      <w:r w:rsidRPr="00FE5D1C">
        <w:rPr>
          <w:rFonts w:ascii="Calibri" w:eastAsia="Times New Roman" w:hAnsi="Calibri" w:cs="Calibri"/>
          <w:i/>
          <w:iCs/>
          <w:color w:val="000000"/>
          <w:kern w:val="0"/>
          <w:sz w:val="22"/>
          <w:szCs w:val="22"/>
          <w14:ligatures w14:val="none"/>
        </w:rPr>
        <w:t>S. </w:t>
      </w:r>
      <w:r w:rsidRPr="00FE5D1C">
        <w:rPr>
          <w:rFonts w:ascii="Calibri" w:eastAsia="Times New Roman" w:hAnsi="Calibri" w:cs="Calibri"/>
          <w:color w:val="000000"/>
          <w:kern w:val="0"/>
          <w:sz w:val="22"/>
          <w:szCs w:val="22"/>
          <w14:ligatures w14:val="none"/>
        </w:rPr>
        <w:t>Typhi and </w:t>
      </w:r>
      <w:r w:rsidRPr="00FE5D1C">
        <w:rPr>
          <w:rFonts w:ascii="Calibri" w:eastAsia="Times New Roman" w:hAnsi="Calibri" w:cs="Calibri"/>
          <w:i/>
          <w:iCs/>
          <w:color w:val="000000"/>
          <w:kern w:val="0"/>
          <w:sz w:val="22"/>
          <w:szCs w:val="22"/>
          <w14:ligatures w14:val="none"/>
        </w:rPr>
        <w:t>S. </w:t>
      </w:r>
      <w:r w:rsidRPr="00FE5D1C">
        <w:rPr>
          <w:rFonts w:ascii="Calibri" w:eastAsia="Times New Roman" w:hAnsi="Calibri" w:cs="Calibri"/>
          <w:color w:val="000000"/>
          <w:kern w:val="0"/>
          <w:sz w:val="22"/>
          <w:szCs w:val="22"/>
          <w14:ligatures w14:val="none"/>
        </w:rPr>
        <w:t>Paratyphi A reference genomes (AL513382.1/FM200053.1) and compared with blood culture results. The resistome was characterized using RGI v6.0.2 and CARD v4.0.0, with drug class annotations refined by NCBI RefGene v2024-12-18.1. Only antimicrobial resistance gene (ARG) hits with ≥90% average coverage were included. Typhoidal </w:t>
      </w:r>
      <w:r w:rsidRPr="00FE5D1C">
        <w:rPr>
          <w:rFonts w:ascii="Calibri" w:eastAsia="Times New Roman" w:hAnsi="Calibri" w:cs="Calibri"/>
          <w:i/>
          <w:iCs/>
          <w:color w:val="000000"/>
          <w:kern w:val="0"/>
          <w:sz w:val="22"/>
          <w:szCs w:val="22"/>
          <w14:ligatures w14:val="none"/>
        </w:rPr>
        <w:t>Salmonella</w:t>
      </w:r>
      <w:r w:rsidRPr="00FE5D1C">
        <w:rPr>
          <w:rFonts w:ascii="Calibri" w:eastAsia="Times New Roman" w:hAnsi="Calibri" w:cs="Calibri"/>
          <w:color w:val="000000"/>
          <w:kern w:val="0"/>
          <w:sz w:val="22"/>
          <w:szCs w:val="22"/>
          <w14:ligatures w14:val="none"/>
        </w:rPr>
        <w:t> was detected in stool from five blood culture-positive cases. Antibiotic treatment caused transient microbiota disruptions, especially on Day 7, with variable recovery. Key genera (</w:t>
      </w:r>
      <w:r w:rsidRPr="00FE5D1C">
        <w:rPr>
          <w:rFonts w:ascii="Calibri" w:eastAsia="Times New Roman" w:hAnsi="Calibri" w:cs="Calibri"/>
          <w:i/>
          <w:iCs/>
          <w:color w:val="000000"/>
          <w:kern w:val="0"/>
          <w:sz w:val="22"/>
          <w:szCs w:val="22"/>
          <w14:ligatures w14:val="none"/>
        </w:rPr>
        <w:t>Prevotella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Bacteroides</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Bifidobacterium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Enterococcus</w:t>
      </w:r>
      <w:r w:rsidRPr="00FE5D1C">
        <w:rPr>
          <w:rFonts w:ascii="Calibri" w:eastAsia="Times New Roman" w:hAnsi="Calibri" w:cs="Calibri"/>
          <w:color w:val="000000"/>
          <w:kern w:val="0"/>
          <w:sz w:val="22"/>
          <w:szCs w:val="22"/>
          <w14:ligatures w14:val="none"/>
        </w:rPr>
        <w:t>) increased temporarily. Alpha diversity decreased on Day 7 but recovered by Day 28. Beta diversity analysis showed distinct clustering on Day 7. ARG abundance increased transiently in children but remained stable in adults. Resistance genes (</w:t>
      </w:r>
      <w:r w:rsidRPr="00FE5D1C">
        <w:rPr>
          <w:rFonts w:ascii="Calibri" w:eastAsia="Times New Roman" w:hAnsi="Calibri" w:cs="Calibri"/>
          <w:i/>
          <w:iCs/>
          <w:color w:val="000000"/>
          <w:kern w:val="0"/>
          <w:sz w:val="22"/>
          <w:szCs w:val="22"/>
          <w14:ligatures w14:val="none"/>
        </w:rPr>
        <w:t>erm</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bla</w:t>
      </w:r>
      <w:r w:rsidRPr="00FE5D1C">
        <w:rPr>
          <w:rFonts w:ascii="Calibri" w:eastAsia="Times New Roman" w:hAnsi="Calibri" w:cs="Calibri"/>
          <w:color w:val="000000"/>
          <w:kern w:val="0"/>
          <w:sz w:val="22"/>
          <w:szCs w:val="22"/>
          <w:vertAlign w:val="subscript"/>
          <w14:ligatures w14:val="none"/>
        </w:rPr>
        <w:t>OXA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bla</w:t>
      </w:r>
      <w:r w:rsidRPr="00FE5D1C">
        <w:rPr>
          <w:rFonts w:ascii="Calibri" w:eastAsia="Times New Roman" w:hAnsi="Calibri" w:cs="Calibri"/>
          <w:color w:val="000000"/>
          <w:kern w:val="0"/>
          <w:sz w:val="22"/>
          <w:szCs w:val="22"/>
          <w:vertAlign w:val="subscript"/>
          <w14:ligatures w14:val="none"/>
        </w:rPr>
        <w:t>CTX-M</w:t>
      </w:r>
      <w:r w:rsidRPr="00FE5D1C">
        <w:rPr>
          <w:rFonts w:ascii="Calibri" w:eastAsia="Times New Roman" w:hAnsi="Calibri" w:cs="Calibri"/>
          <w:i/>
          <w:iCs/>
          <w:color w:val="000000"/>
          <w:kern w:val="0"/>
          <w:sz w:val="22"/>
          <w:szCs w:val="22"/>
          <w14:ligatures w14:val="none"/>
        </w:rPr>
        <w:t>, bla</w:t>
      </w:r>
      <w:r w:rsidRPr="00FE5D1C">
        <w:rPr>
          <w:rFonts w:ascii="Calibri" w:eastAsia="Times New Roman" w:hAnsi="Calibri" w:cs="Calibri"/>
          <w:i/>
          <w:iCs/>
          <w:color w:val="000000"/>
          <w:kern w:val="0"/>
          <w:sz w:val="22"/>
          <w:szCs w:val="22"/>
          <w:vertAlign w:val="subscript"/>
          <w14:ligatures w14:val="none"/>
        </w:rPr>
        <w:t>NDM</w:t>
      </w:r>
      <w:r w:rsidRPr="00FE5D1C">
        <w:rPr>
          <w:rFonts w:ascii="Calibri" w:eastAsia="Times New Roman" w:hAnsi="Calibri" w:cs="Calibri"/>
          <w:color w:val="000000"/>
          <w:kern w:val="0"/>
          <w:sz w:val="22"/>
          <w:szCs w:val="22"/>
          <w14:ligatures w14:val="none"/>
        </w:rPr>
        <w:t>) emerged from Day 14. Final results stratified by treatment will be available post-unblinding.</w:t>
      </w:r>
    </w:p>
    <w:p w14:paraId="7E57184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25-A-2946-ASTMH</w:t>
      </w:r>
    </w:p>
    <w:p w14:paraId="6E4C65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03DA8D5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CXCR6 recruits Th2 cells and promotes liver fibrosis in schistosomiasis japonica</w:t>
      </w:r>
    </w:p>
    <w:p w14:paraId="726C03C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is a parasitic disease, which seriously endangers human health and social development. The deposition of eggs in the liver can lead to the formation of granulomas and liver fibrosis. Effectively halting the development of schistosomiasis-associated liver fibrosis might mitigate the harmful impact of schistosomiasis. However, the mechanisms of schistosomiasis-associated liver fibrosis remain unclear. Further exploration of the immune mechanisms involved in schistosomiasis-associated liver fibrosis could potentially provide new therapeutic targets for schistosomiasis. Liver cells from both schistosome-infected mice with fibrotic livers and normal mice were collected for single-cell sequencing. We explored the heterogeneity of immune cells in fibrotic liver of schistosomiasis by bioinformatics analysis. Meanwhile, we used ligand-receptor analysis to understand the communication and interaction between cells, and explored the important signaling pathways in schistosome-associated liver fibrosis. Single-cell sequencing and ligand-receptor analysis revealed that CXCL16-CXCR6 was significantly upregulated in fibrotic livers of schistosomiasis. Macrophages were the primary source of CXCL16, and CXCR6 was mainly expressed on T cells. CD4</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T cells and CD8</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T cells were significantly increased in fibrotic livers of schistosomiasis, as well as CXCR6 in CD4</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T cells and CD8</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T cells. Among different T cell subsets, Th2 cells primarily expressed the chemokine receptor CXCR6.In CXCR6</w:t>
      </w:r>
      <w:r w:rsidRPr="00FE5D1C">
        <w:rPr>
          <w:rFonts w:ascii="Calibri" w:eastAsia="Times New Roman" w:hAnsi="Calibri" w:cs="Calibri"/>
          <w:color w:val="000000"/>
          <w:kern w:val="0"/>
          <w:sz w:val="22"/>
          <w:szCs w:val="22"/>
          <w:vertAlign w:val="superscript"/>
          <w14:ligatures w14:val="none"/>
        </w:rPr>
        <w:t>KO</w:t>
      </w:r>
      <w:r w:rsidRPr="00FE5D1C">
        <w:rPr>
          <w:rFonts w:ascii="Calibri" w:eastAsia="Times New Roman" w:hAnsi="Calibri" w:cs="Calibri"/>
          <w:color w:val="000000"/>
          <w:kern w:val="0"/>
          <w:sz w:val="22"/>
          <w:szCs w:val="22"/>
          <w14:ligatures w14:val="none"/>
        </w:rPr>
        <w:t> mice, the liver showed reduced granuloma area and diminished liver fibrosis. CD4</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T cells in CXCR6</w:t>
      </w:r>
      <w:r w:rsidRPr="00FE5D1C">
        <w:rPr>
          <w:rFonts w:ascii="Calibri" w:eastAsia="Times New Roman" w:hAnsi="Calibri" w:cs="Calibri"/>
          <w:color w:val="000000"/>
          <w:kern w:val="0"/>
          <w:sz w:val="22"/>
          <w:szCs w:val="22"/>
          <w:vertAlign w:val="superscript"/>
          <w14:ligatures w14:val="none"/>
        </w:rPr>
        <w:t>KO</w:t>
      </w:r>
      <w:r w:rsidRPr="00FE5D1C">
        <w:rPr>
          <w:rFonts w:ascii="Calibri" w:eastAsia="Times New Roman" w:hAnsi="Calibri" w:cs="Calibri"/>
          <w:color w:val="000000"/>
          <w:kern w:val="0"/>
          <w:sz w:val="22"/>
          <w:szCs w:val="22"/>
          <w14:ligatures w14:val="none"/>
        </w:rPr>
        <w:t> mice livers were notably lower than in wild-type mice, while there were no significant differences of CD8</w:t>
      </w:r>
      <w:r w:rsidRPr="00FE5D1C">
        <w:rPr>
          <w:rFonts w:ascii="Calibri" w:eastAsia="Times New Roman" w:hAnsi="Calibri" w:cs="Calibri"/>
          <w:color w:val="000000"/>
          <w:kern w:val="0"/>
          <w:sz w:val="22"/>
          <w:szCs w:val="22"/>
          <w:vertAlign w:val="superscript"/>
          <w14:ligatures w14:val="none"/>
        </w:rPr>
        <w:t>+</w:t>
      </w:r>
      <w:r w:rsidRPr="00FE5D1C">
        <w:rPr>
          <w:rFonts w:ascii="Calibri" w:eastAsia="Times New Roman" w:hAnsi="Calibri" w:cs="Calibri"/>
          <w:color w:val="000000"/>
          <w:kern w:val="0"/>
          <w:sz w:val="22"/>
          <w:szCs w:val="22"/>
          <w14:ligatures w14:val="none"/>
        </w:rPr>
        <w:t>T cells and NKT cells. Additionally, Th2 cells in livers of CXCR6</w:t>
      </w:r>
      <w:r w:rsidRPr="00FE5D1C">
        <w:rPr>
          <w:rFonts w:ascii="Calibri" w:eastAsia="Times New Roman" w:hAnsi="Calibri" w:cs="Calibri"/>
          <w:color w:val="000000"/>
          <w:kern w:val="0"/>
          <w:sz w:val="22"/>
          <w:szCs w:val="22"/>
          <w:vertAlign w:val="superscript"/>
          <w14:ligatures w14:val="none"/>
        </w:rPr>
        <w:t>KO</w:t>
      </w:r>
      <w:r w:rsidRPr="00FE5D1C">
        <w:rPr>
          <w:rFonts w:ascii="Calibri" w:eastAsia="Times New Roman" w:hAnsi="Calibri" w:cs="Calibri"/>
          <w:color w:val="000000"/>
          <w:kern w:val="0"/>
          <w:sz w:val="22"/>
          <w:szCs w:val="22"/>
          <w14:ligatures w14:val="none"/>
        </w:rPr>
        <w:t> mice livers were markedly lower than that in wild-type mice, accompanied by significantly reduced of IL-13, IL-5, and IL-4. Th2 cells recruits to liver through CXCL16-CXCR6 axis to promote the formation of granuloma and liver fibrosis in schistosomiasis. CXCR6 is expected to be a potential target for the treatment of schistosome-associated liver fibrosis.</w:t>
      </w:r>
    </w:p>
    <w:p w14:paraId="34D9378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25-A-2948-ASTMH</w:t>
      </w:r>
    </w:p>
    <w:p w14:paraId="0C3491F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Arthropods/Entomology - Other</w:t>
      </w:r>
    </w:p>
    <w:p w14:paraId="57D0424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First Detection of </w:t>
      </w:r>
      <w:r w:rsidRPr="00FE5D1C">
        <w:rPr>
          <w:rFonts w:ascii="Calibri" w:eastAsia="Times New Roman" w:hAnsi="Calibri" w:cs="Calibri"/>
          <w:b/>
          <w:bCs/>
          <w:i/>
          <w:iCs/>
          <w:color w:val="000000"/>
          <w:kern w:val="0"/>
          <w:sz w:val="22"/>
          <w:szCs w:val="22"/>
          <w14:ligatures w14:val="none"/>
        </w:rPr>
        <w:t>Borrelia garinii </w:t>
      </w:r>
      <w:r w:rsidRPr="00FE5D1C">
        <w:rPr>
          <w:rFonts w:ascii="Calibri" w:eastAsia="Times New Roman" w:hAnsi="Calibri" w:cs="Calibri"/>
          <w:b/>
          <w:bCs/>
          <w:color w:val="000000"/>
          <w:kern w:val="0"/>
          <w:sz w:val="22"/>
          <w:szCs w:val="22"/>
          <w14:ligatures w14:val="none"/>
        </w:rPr>
        <w:t>and </w:t>
      </w:r>
      <w:r w:rsidRPr="00FE5D1C">
        <w:rPr>
          <w:rFonts w:ascii="Calibri" w:eastAsia="Times New Roman" w:hAnsi="Calibri" w:cs="Calibri"/>
          <w:b/>
          <w:bCs/>
          <w:i/>
          <w:iCs/>
          <w:color w:val="000000"/>
          <w:kern w:val="0"/>
          <w:sz w:val="22"/>
          <w:szCs w:val="22"/>
          <w14:ligatures w14:val="none"/>
        </w:rPr>
        <w:t>Trypanosoma noyesi </w:t>
      </w:r>
      <w:r w:rsidRPr="00FE5D1C">
        <w:rPr>
          <w:rFonts w:ascii="Calibri" w:eastAsia="Times New Roman" w:hAnsi="Calibri" w:cs="Calibri"/>
          <w:b/>
          <w:bCs/>
          <w:color w:val="000000"/>
          <w:kern w:val="0"/>
          <w:sz w:val="22"/>
          <w:szCs w:val="22"/>
          <w14:ligatures w14:val="none"/>
        </w:rPr>
        <w:t>in Ticks and Sandflies from Malaysia A Multiregional Vector Borne Pathogen Survey</w:t>
      </w:r>
    </w:p>
    <w:p w14:paraId="6B8AF1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Vector-borne diseases such as Borreliosis, Rickettsioses, and Trypanosomiasis—transmitted by ticks, fleas, and sandflies—pose increasing public health threats across tropical regions. From 2022 to 2023, we conducted a cross-sectional molecular survey targeting </w:t>
      </w:r>
      <w:r w:rsidRPr="00FE5D1C">
        <w:rPr>
          <w:rFonts w:ascii="Calibri" w:eastAsia="Times New Roman" w:hAnsi="Calibri" w:cs="Calibri"/>
          <w:i/>
          <w:iCs/>
          <w:color w:val="000000"/>
          <w:kern w:val="0"/>
          <w:sz w:val="22"/>
          <w:szCs w:val="22"/>
          <w14:ligatures w14:val="none"/>
        </w:rPr>
        <w:t>Borrelia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Rickettsia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Bartonella</w:t>
      </w:r>
      <w:r w:rsidRPr="00FE5D1C">
        <w:rPr>
          <w:rFonts w:ascii="Calibri" w:eastAsia="Times New Roman" w:hAnsi="Calibri" w:cs="Calibri"/>
          <w:color w:val="000000"/>
          <w:kern w:val="0"/>
          <w:sz w:val="22"/>
          <w:szCs w:val="22"/>
          <w14:ligatures w14:val="none"/>
        </w:rPr>
        <w:t>, </w:t>
      </w:r>
      <w:r w:rsidRPr="00FE5D1C">
        <w:rPr>
          <w:rFonts w:ascii="Calibri" w:eastAsia="Times New Roman" w:hAnsi="Calibri" w:cs="Calibri"/>
          <w:i/>
          <w:iCs/>
          <w:color w:val="000000"/>
          <w:kern w:val="0"/>
          <w:sz w:val="22"/>
          <w:szCs w:val="22"/>
          <w14:ligatures w14:val="none"/>
        </w:rPr>
        <w:t>Trypanosoma</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in ticks, fleas, and sandflies collected across Peninsular Malaysia, Sabah, and Sarawak. Ectoparasites were sampled from domestic and wild animal hosts and environmental habitats during both wet and dry seasons. Specimens were morphologically identified and barcoded, then pooled (n=50 per vector group) for PCR detection of target pathogens. A total of 2,023 ectoparasites were collected: 777 fleas, 599 ticks, and 647 sandflies. PCR screening revealed </w:t>
      </w:r>
      <w:r w:rsidRPr="00FE5D1C">
        <w:rPr>
          <w:rFonts w:ascii="Calibri" w:eastAsia="Times New Roman" w:hAnsi="Calibri" w:cs="Calibri"/>
          <w:i/>
          <w:iCs/>
          <w:color w:val="000000"/>
          <w:kern w:val="0"/>
          <w:sz w:val="22"/>
          <w:szCs w:val="22"/>
          <w14:ligatures w14:val="none"/>
        </w:rPr>
        <w:t>Bartonella</w:t>
      </w:r>
      <w:r w:rsidRPr="00FE5D1C">
        <w:rPr>
          <w:rFonts w:ascii="Calibri" w:eastAsia="Times New Roman" w:hAnsi="Calibri" w:cs="Calibri"/>
          <w:color w:val="000000"/>
          <w:kern w:val="0"/>
          <w:sz w:val="22"/>
          <w:szCs w:val="22"/>
          <w14:ligatures w14:val="none"/>
        </w:rPr>
        <w:t> DNA in 64% (32/50) of flea pools, identified as </w:t>
      </w:r>
      <w:r w:rsidRPr="00FE5D1C">
        <w:rPr>
          <w:rFonts w:ascii="Calibri" w:eastAsia="Times New Roman" w:hAnsi="Calibri" w:cs="Calibri"/>
          <w:i/>
          <w:iCs/>
          <w:color w:val="000000"/>
          <w:kern w:val="0"/>
          <w:sz w:val="22"/>
          <w:szCs w:val="22"/>
          <w14:ligatures w14:val="none"/>
        </w:rPr>
        <w:t>Ctenocephalides felis</w:t>
      </w:r>
      <w:r w:rsidRPr="00FE5D1C">
        <w:rPr>
          <w:rFonts w:ascii="Calibri" w:eastAsia="Times New Roman" w:hAnsi="Calibri" w:cs="Calibri"/>
          <w:color w:val="000000"/>
          <w:kern w:val="0"/>
          <w:sz w:val="22"/>
          <w:szCs w:val="22"/>
          <w14:ligatures w14:val="none"/>
        </w:rPr>
        <w:t> from domestic cats. </w:t>
      </w:r>
      <w:r w:rsidRPr="00FE5D1C">
        <w:rPr>
          <w:rFonts w:ascii="Calibri" w:eastAsia="Times New Roman" w:hAnsi="Calibri" w:cs="Calibri"/>
          <w:i/>
          <w:iCs/>
          <w:color w:val="000000"/>
          <w:kern w:val="0"/>
          <w:sz w:val="22"/>
          <w:szCs w:val="22"/>
          <w14:ligatures w14:val="none"/>
        </w:rPr>
        <w:t>Trypanosoma</w:t>
      </w:r>
      <w:r w:rsidRPr="00FE5D1C">
        <w:rPr>
          <w:rFonts w:ascii="Calibri" w:eastAsia="Times New Roman" w:hAnsi="Calibri" w:cs="Calibri"/>
          <w:color w:val="000000"/>
          <w:kern w:val="0"/>
          <w:sz w:val="22"/>
          <w:szCs w:val="22"/>
          <w14:ligatures w14:val="none"/>
        </w:rPr>
        <w:t> DNA was detected in 18% (9/50) of sandfly pools, identified as </w:t>
      </w:r>
      <w:r w:rsidRPr="00FE5D1C">
        <w:rPr>
          <w:rFonts w:ascii="Calibri" w:eastAsia="Times New Roman" w:hAnsi="Calibri" w:cs="Calibri"/>
          <w:i/>
          <w:iCs/>
          <w:color w:val="000000"/>
          <w:kern w:val="0"/>
          <w:sz w:val="22"/>
          <w:szCs w:val="22"/>
          <w14:ligatures w14:val="none"/>
        </w:rPr>
        <w:t>Phlebotomus</w:t>
      </w:r>
      <w:r w:rsidRPr="00FE5D1C">
        <w:rPr>
          <w:rFonts w:ascii="Calibri" w:eastAsia="Times New Roman" w:hAnsi="Calibri" w:cs="Calibri"/>
          <w:color w:val="000000"/>
          <w:kern w:val="0"/>
          <w:sz w:val="22"/>
          <w:szCs w:val="22"/>
          <w14:ligatures w14:val="none"/>
        </w:rPr>
        <w:t> sp. collected from Wind Cave, Sarawak. </w:t>
      </w:r>
      <w:r w:rsidRPr="00FE5D1C">
        <w:rPr>
          <w:rFonts w:ascii="Calibri" w:eastAsia="Times New Roman" w:hAnsi="Calibri" w:cs="Calibri"/>
          <w:i/>
          <w:iCs/>
          <w:color w:val="000000"/>
          <w:kern w:val="0"/>
          <w:sz w:val="22"/>
          <w:szCs w:val="22"/>
          <w14:ligatures w14:val="none"/>
        </w:rPr>
        <w:t>Borrelia</w:t>
      </w:r>
      <w:r w:rsidRPr="00FE5D1C">
        <w:rPr>
          <w:rFonts w:ascii="Calibri" w:eastAsia="Times New Roman" w:hAnsi="Calibri" w:cs="Calibri"/>
          <w:color w:val="000000"/>
          <w:kern w:val="0"/>
          <w:sz w:val="22"/>
          <w:szCs w:val="22"/>
          <w14:ligatures w14:val="none"/>
        </w:rPr>
        <w:t> DNA was detected in 2% (1/50) of tick pools, from </w:t>
      </w:r>
      <w:r w:rsidRPr="00FE5D1C">
        <w:rPr>
          <w:rFonts w:ascii="Calibri" w:eastAsia="Times New Roman" w:hAnsi="Calibri" w:cs="Calibri"/>
          <w:i/>
          <w:iCs/>
          <w:color w:val="000000"/>
          <w:kern w:val="0"/>
          <w:sz w:val="22"/>
          <w:szCs w:val="22"/>
          <w14:ligatures w14:val="none"/>
        </w:rPr>
        <w:t>Ixodes granulatus</w:t>
      </w:r>
      <w:r w:rsidRPr="00FE5D1C">
        <w:rPr>
          <w:rFonts w:ascii="Calibri" w:eastAsia="Times New Roman" w:hAnsi="Calibri" w:cs="Calibri"/>
          <w:color w:val="000000"/>
          <w:kern w:val="0"/>
          <w:sz w:val="22"/>
          <w:szCs w:val="22"/>
          <w14:ligatures w14:val="none"/>
        </w:rPr>
        <w:t> parasitizing </w:t>
      </w:r>
      <w:r w:rsidRPr="00FE5D1C">
        <w:rPr>
          <w:rFonts w:ascii="Calibri" w:eastAsia="Times New Roman" w:hAnsi="Calibri" w:cs="Calibri"/>
          <w:i/>
          <w:iCs/>
          <w:color w:val="000000"/>
          <w:kern w:val="0"/>
          <w:sz w:val="22"/>
          <w:szCs w:val="22"/>
          <w14:ligatures w14:val="none"/>
        </w:rPr>
        <w:t>Sundamys muelleri</w:t>
      </w:r>
      <w:r w:rsidRPr="00FE5D1C">
        <w:rPr>
          <w:rFonts w:ascii="Calibri" w:eastAsia="Times New Roman" w:hAnsi="Calibri" w:cs="Calibri"/>
          <w:color w:val="000000"/>
          <w:kern w:val="0"/>
          <w:sz w:val="22"/>
          <w:szCs w:val="22"/>
          <w14:ligatures w14:val="none"/>
        </w:rPr>
        <w:t> in Ulu Gombak, Selangor. No </w:t>
      </w:r>
      <w:r w:rsidRPr="00FE5D1C">
        <w:rPr>
          <w:rFonts w:ascii="Calibri" w:eastAsia="Times New Roman" w:hAnsi="Calibri" w:cs="Calibri"/>
          <w:i/>
          <w:iCs/>
          <w:color w:val="000000"/>
          <w:kern w:val="0"/>
          <w:sz w:val="22"/>
          <w:szCs w:val="22"/>
          <w14:ligatures w14:val="none"/>
        </w:rPr>
        <w:t>Rickettsia</w:t>
      </w:r>
      <w:r w:rsidRPr="00FE5D1C">
        <w:rPr>
          <w:rFonts w:ascii="Calibri" w:eastAsia="Times New Roman" w:hAnsi="Calibri" w:cs="Calibri"/>
          <w:color w:val="000000"/>
          <w:kern w:val="0"/>
          <w:sz w:val="22"/>
          <w:szCs w:val="22"/>
          <w14:ligatures w14:val="none"/>
        </w:rPr>
        <w:t> or </w:t>
      </w:r>
      <w:r w:rsidRPr="00FE5D1C">
        <w:rPr>
          <w:rFonts w:ascii="Calibri" w:eastAsia="Times New Roman" w:hAnsi="Calibri" w:cs="Calibri"/>
          <w:i/>
          <w:iCs/>
          <w:color w:val="000000"/>
          <w:kern w:val="0"/>
          <w:sz w:val="22"/>
          <w:szCs w:val="22"/>
          <w14:ligatures w14:val="none"/>
        </w:rPr>
        <w:t>Leishmania</w:t>
      </w:r>
      <w:r w:rsidRPr="00FE5D1C">
        <w:rPr>
          <w:rFonts w:ascii="Calibri" w:eastAsia="Times New Roman" w:hAnsi="Calibri" w:cs="Calibri"/>
          <w:color w:val="000000"/>
          <w:kern w:val="0"/>
          <w:sz w:val="22"/>
          <w:szCs w:val="22"/>
          <w14:ligatures w14:val="none"/>
        </w:rPr>
        <w:t> DNA was detected. Phylogenetic analyses revealed the </w:t>
      </w:r>
      <w:r w:rsidRPr="00FE5D1C">
        <w:rPr>
          <w:rFonts w:ascii="Calibri" w:eastAsia="Times New Roman" w:hAnsi="Calibri" w:cs="Calibri"/>
          <w:i/>
          <w:iCs/>
          <w:color w:val="000000"/>
          <w:kern w:val="0"/>
          <w:sz w:val="22"/>
          <w:szCs w:val="22"/>
          <w14:ligatures w14:val="none"/>
        </w:rPr>
        <w:t>Borrelia</w:t>
      </w:r>
      <w:r w:rsidRPr="00FE5D1C">
        <w:rPr>
          <w:rFonts w:ascii="Calibri" w:eastAsia="Times New Roman" w:hAnsi="Calibri" w:cs="Calibri"/>
          <w:color w:val="000000"/>
          <w:kern w:val="0"/>
          <w:sz w:val="22"/>
          <w:szCs w:val="22"/>
          <w14:ligatures w14:val="none"/>
        </w:rPr>
        <w:t> sp. detected was closely related to the Lyme disease group, specifically </w:t>
      </w:r>
      <w:r w:rsidRPr="00FE5D1C">
        <w:rPr>
          <w:rFonts w:ascii="Calibri" w:eastAsia="Times New Roman" w:hAnsi="Calibri" w:cs="Calibri"/>
          <w:i/>
          <w:iCs/>
          <w:color w:val="000000"/>
          <w:kern w:val="0"/>
          <w:sz w:val="22"/>
          <w:szCs w:val="22"/>
          <w14:ligatures w14:val="none"/>
        </w:rPr>
        <w:t>Borrelia garinii</w:t>
      </w:r>
      <w:r w:rsidRPr="00FE5D1C">
        <w:rPr>
          <w:rFonts w:ascii="Calibri" w:eastAsia="Times New Roman" w:hAnsi="Calibri" w:cs="Calibri"/>
          <w:color w:val="000000"/>
          <w:kern w:val="0"/>
          <w:sz w:val="22"/>
          <w:szCs w:val="22"/>
          <w14:ligatures w14:val="none"/>
        </w:rPr>
        <w:t> (99.1% similarity), marking the first report of this spirochete in Malaysia and Southeast Asia. Similarly, the </w:t>
      </w:r>
      <w:r w:rsidRPr="00FE5D1C">
        <w:rPr>
          <w:rFonts w:ascii="Calibri" w:eastAsia="Times New Roman" w:hAnsi="Calibri" w:cs="Calibri"/>
          <w:i/>
          <w:iCs/>
          <w:color w:val="000000"/>
          <w:kern w:val="0"/>
          <w:sz w:val="22"/>
          <w:szCs w:val="22"/>
          <w14:ligatures w14:val="none"/>
        </w:rPr>
        <w:t>Trypanosoma</w:t>
      </w:r>
      <w:r w:rsidRPr="00FE5D1C">
        <w:rPr>
          <w:rFonts w:ascii="Calibri" w:eastAsia="Times New Roman" w:hAnsi="Calibri" w:cs="Calibri"/>
          <w:color w:val="000000"/>
          <w:kern w:val="0"/>
          <w:sz w:val="22"/>
          <w:szCs w:val="22"/>
          <w14:ligatures w14:val="none"/>
        </w:rPr>
        <w:t> sp. showed 99.3% similarity to </w:t>
      </w:r>
      <w:r w:rsidRPr="00FE5D1C">
        <w:rPr>
          <w:rFonts w:ascii="Calibri" w:eastAsia="Times New Roman" w:hAnsi="Calibri" w:cs="Calibri"/>
          <w:i/>
          <w:iCs/>
          <w:color w:val="000000"/>
          <w:kern w:val="0"/>
          <w:sz w:val="22"/>
          <w:szCs w:val="22"/>
          <w14:ligatures w14:val="none"/>
        </w:rPr>
        <w:t>Trypanosoma noyesi</w:t>
      </w:r>
      <w:r w:rsidRPr="00FE5D1C">
        <w:rPr>
          <w:rFonts w:ascii="Calibri" w:eastAsia="Times New Roman" w:hAnsi="Calibri" w:cs="Calibri"/>
          <w:color w:val="000000"/>
          <w:kern w:val="0"/>
          <w:sz w:val="22"/>
          <w:szCs w:val="22"/>
          <w14:ligatures w14:val="none"/>
        </w:rPr>
        <w:t>, previously isolated from the Australian woylie and belonging to the </w:t>
      </w:r>
      <w:r w:rsidRPr="00FE5D1C">
        <w:rPr>
          <w:rFonts w:ascii="Calibri" w:eastAsia="Times New Roman" w:hAnsi="Calibri" w:cs="Calibri"/>
          <w:i/>
          <w:iCs/>
          <w:color w:val="000000"/>
          <w:kern w:val="0"/>
          <w:sz w:val="22"/>
          <w:szCs w:val="22"/>
          <w14:ligatures w14:val="none"/>
        </w:rPr>
        <w:t>T. cruzi</w:t>
      </w:r>
      <w:r w:rsidRPr="00FE5D1C">
        <w:rPr>
          <w:rFonts w:ascii="Calibri" w:eastAsia="Times New Roman" w:hAnsi="Calibri" w:cs="Calibri"/>
          <w:color w:val="000000"/>
          <w:kern w:val="0"/>
          <w:sz w:val="22"/>
          <w:szCs w:val="22"/>
          <w14:ligatures w14:val="none"/>
        </w:rPr>
        <w:t> clade. This is the first record of </w:t>
      </w:r>
      <w:r w:rsidRPr="00FE5D1C">
        <w:rPr>
          <w:rFonts w:ascii="Calibri" w:eastAsia="Times New Roman" w:hAnsi="Calibri" w:cs="Calibri"/>
          <w:i/>
          <w:iCs/>
          <w:color w:val="000000"/>
          <w:kern w:val="0"/>
          <w:sz w:val="22"/>
          <w:szCs w:val="22"/>
          <w14:ligatures w14:val="none"/>
        </w:rPr>
        <w:t>T. noyesi</w:t>
      </w:r>
      <w:r w:rsidRPr="00FE5D1C">
        <w:rPr>
          <w:rFonts w:ascii="Calibri" w:eastAsia="Times New Roman" w:hAnsi="Calibri" w:cs="Calibri"/>
          <w:color w:val="000000"/>
          <w:kern w:val="0"/>
          <w:sz w:val="22"/>
          <w:szCs w:val="22"/>
          <w14:ligatures w14:val="none"/>
        </w:rPr>
        <w:t> in Malaysian sandflies. These findings highlight underrecognized vector-pathogen-host dynamics in Southeast Asia and support the need for expanded molecular biosurveillance. Given prior evidence of </w:t>
      </w:r>
      <w:r w:rsidRPr="00FE5D1C">
        <w:rPr>
          <w:rFonts w:ascii="Calibri" w:eastAsia="Times New Roman" w:hAnsi="Calibri" w:cs="Calibri"/>
          <w:i/>
          <w:iCs/>
          <w:color w:val="000000"/>
          <w:kern w:val="0"/>
          <w:sz w:val="22"/>
          <w:szCs w:val="22"/>
          <w14:ligatures w14:val="none"/>
        </w:rPr>
        <w:t>Borrelia burgdorferi</w:t>
      </w:r>
      <w:r w:rsidRPr="00FE5D1C">
        <w:rPr>
          <w:rFonts w:ascii="Calibri" w:eastAsia="Times New Roman" w:hAnsi="Calibri" w:cs="Calibri"/>
          <w:color w:val="000000"/>
          <w:kern w:val="0"/>
          <w:sz w:val="22"/>
          <w:szCs w:val="22"/>
          <w14:ligatures w14:val="none"/>
        </w:rPr>
        <w:t> seroprevalence in humans in Malaysia (8.1%, Khor et al. 2019), further investigations into tick-borne </w:t>
      </w:r>
      <w:r w:rsidRPr="00FE5D1C">
        <w:rPr>
          <w:rFonts w:ascii="Calibri" w:eastAsia="Times New Roman" w:hAnsi="Calibri" w:cs="Calibri"/>
          <w:i/>
          <w:iCs/>
          <w:color w:val="000000"/>
          <w:kern w:val="0"/>
          <w:sz w:val="22"/>
          <w:szCs w:val="22"/>
          <w14:ligatures w14:val="none"/>
        </w:rPr>
        <w:t>Borrelia</w:t>
      </w:r>
      <w:r w:rsidRPr="00FE5D1C">
        <w:rPr>
          <w:rFonts w:ascii="Calibri" w:eastAsia="Times New Roman" w:hAnsi="Calibri" w:cs="Calibri"/>
          <w:color w:val="000000"/>
          <w:kern w:val="0"/>
          <w:sz w:val="22"/>
          <w:szCs w:val="22"/>
          <w14:ligatures w14:val="none"/>
        </w:rPr>
        <w:t> species and their zoonotic potential are urgently warranted.</w:t>
      </w:r>
    </w:p>
    <w:p w14:paraId="4C5FFB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25-A-2949-ASTMH</w:t>
      </w:r>
    </w:p>
    <w:p w14:paraId="192DACC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084A56D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lastRenderedPageBreak/>
        <w:t>Cerebral Malaria and Severe Malarial Anemia, but not Other Forms of Severe Malaria, are Associated with Long-term Cognitive Impairment</w:t>
      </w:r>
    </w:p>
    <w:p w14:paraId="26F141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Cerebral malaria (CM) and severe malarial anemia (SMA) are associated with long-term cognitive impairment in children, but little is known about cognitive impairment in children with other forms of severe malaria. Four hundred and ninety nine Ugandan children aged 6 months to 4 years with one or more of the five most common forms of severe malaria; CM (n=48), respiratory distress (n=92), malaria with complicated seizures (n=149), SMA (n=143), or prostration (n=67) were assessed for overall cognitive ability, attention, and associative memory 12 months after hospital discharge. Age-adjusted z-scores for each domain were calculated from the scores of community children (CC, n=110) with no acute illness. Groups were compared using linear regression models adjusted for potential confounding factors. Impairment for each domain was defined as a z-score &lt;-2. Children with CM or SMA had significantly lower overall cognition scores than CC (mean difference [95% CI]: CM -0.66 [-1.12, -0.21], p=0.001, SMA (-0.71 [-1.05, -0.37], p&lt;0.001), and a greater proportion of children with CM (5/47, 10.6%) or SMA (17/140, 12.1%) had overall cognitive impairment than CC (2/104, 1.9%, both p&lt;0.05). Cognition scores did not differ significantly between children with respiratory distress, complicated seizures, or prostration and CC. Attention and associative memory scores did not differ significantly between children with any form of severe malaria and CC. CM and SMA, but not other forms of severe malaria, are associated with long-term cognitive impairment in children under 5 years old.</w:t>
      </w:r>
    </w:p>
    <w:p w14:paraId="1068DB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25-A-2950-ASTMH</w:t>
      </w:r>
    </w:p>
    <w:p w14:paraId="21B7C2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Genetics, Genomics and Evolution</w:t>
      </w:r>
    </w:p>
    <w:p w14:paraId="21B0DF5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Evaluating Genetic Structure in Malaria Infections with Flexible Bayesian Clustering and Population Assignment</w:t>
      </w:r>
    </w:p>
    <w:p w14:paraId="1974E73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Analyses of malaria genomic data frequently assume panmixia, that the population of parasites under consideration mate uniformly at random. In practice, this assumption may be violated, leading to faulty inference relating to metrics of diversity. One example would be treating locally acquired and imported cases as a single population. Population substructure that violates panmixia will often lead to higher estimates of diversity than any of the sub-populations on their own. We demonstrate by simulating a structured population consisting of 5 somewhat related subpopulations how estimates of identity by descent (IBD) are biased upwards, leading to 19% of all pairs of measurements within subpopulations to be falsely statistically significant when measured at the alpha = .05 significance level. To address these issues, we developed a general Bayesian clustering approach to simultaneously infer effective complexity of infection, allele frequencies, and latent population structure from polyallelic loci, leading to more accurate estimates of diversity and potentially facilitating insights into malaria transmission and epidemiology. Our approach resolved the 5 subpopulations into 4 clusters, merging two of the subpopulations. These clusters were used to group observations and calculate pairwise IBD, resulting in 5.8% of IBD measurement pairs within subpopulations to be falsely statistically significant at the alpha = .05 level, demonstrating a substantial gain in specificity to detect true IBD. We also compared our results to common ad hoc clustering approaches based on IBD, which failed to accurately resolve observations into true subpopulations even when the correct number of clusters was prespecified. We then applied our method to previously collected data from northeastern Namibia containing 2585 samples from 29 clinics across 4 health districts genotyped at 26 microsatellite loci. Our method reveals the presence of a single macro population making up approximately 94% of all cases across all clinics. The remaining 6% compose multiple spatially isolated subpopulations.</w:t>
      </w:r>
    </w:p>
    <w:p w14:paraId="34D633C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25-A-2951-ASTMH</w:t>
      </w:r>
    </w:p>
    <w:p w14:paraId="188DC9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Schistosomiasis and Other Trematodes – Immunology, Pathology, Cellular and Molecular Biology</w:t>
      </w:r>
    </w:p>
    <w:p w14:paraId="126FEDD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Uric acid contributes to liver fibrosis of schistosomiasis japonica via hepatic stellate cell activation</w:t>
      </w:r>
    </w:p>
    <w:p w14:paraId="6B04B9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Uric acid contributes to liver fibrosis of schistosomiasis japonica via hepatic stellate cell activation.Liver fibrosis is one of the most severe pathological changes caused by schistosomiasis, significantly impacting human health and socioeconomic development. However, the mechanism of liver fibrosis in schistosomiasis remain incompletely understood, and there are no effective therapeutic drugs available. Therefore, in-depth research into the mechanisms of schistosomiasis-induced hepatic fibrosis and the exploration of potential therapeutic targets hold significant scientific and clinical value. Our results demonstrate that uric acid accumulated in the fibrotic liver of schistosomiasis japonica, primarily localized in granulomatous regions. Intervention in uric acid production could alleviate liver fibrosis of schistosomiasis japonica, and uric acid could directly activate hepatic stellate cells. Therefore, uric acid could serve as a potential therapeutic target for liver fibrosis of schistosomiasis.</w:t>
      </w:r>
    </w:p>
    <w:p w14:paraId="2F4BA19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25-A-2953-ASTMH</w:t>
      </w:r>
    </w:p>
    <w:p w14:paraId="0383AAE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6D4103F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Perceptions of shorter course radical cure treatment among vivax malaria stakeholders in Arba Minch, Ethiopia</w:t>
      </w:r>
    </w:p>
    <w:p w14:paraId="7242DC1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Improving adherence to </w:t>
      </w:r>
      <w:r w:rsidRPr="00FE5D1C">
        <w:rPr>
          <w:rFonts w:ascii="Calibri" w:eastAsia="Times New Roman" w:hAnsi="Calibri" w:cs="Calibri"/>
          <w:i/>
          <w:iCs/>
          <w:color w:val="000000"/>
          <w:kern w:val="0"/>
          <w:sz w:val="22"/>
          <w:szCs w:val="22"/>
          <w14:ligatures w14:val="none"/>
        </w:rPr>
        <w:t>Plasmodium vivax</w:t>
      </w:r>
      <w:r w:rsidRPr="00FE5D1C">
        <w:rPr>
          <w:rFonts w:ascii="Calibri" w:eastAsia="Times New Roman" w:hAnsi="Calibri" w:cs="Calibri"/>
          <w:color w:val="000000"/>
          <w:kern w:val="0"/>
          <w:sz w:val="22"/>
          <w:szCs w:val="22"/>
          <w14:ligatures w14:val="none"/>
        </w:rPr>
        <w:t> radical cure remains a key challenge for malaria control programmes. Shortening the standard 14-day primaquine regimen to 7 days or less may improve adherence but requires prescribing a higher daily dose. The acceptability and uptake of short course primaquine and single dose tafenoquine is shaped by stakeholder risk perceptions. To support effective policy design and implementation of novel radical cure strategies it's critical to understand these perceptions since they influence how individuals and systems respond to risks. Our qualitative study was embedded in Ethiopian site of a clinical trial (NCT04411836) assessing the effectiveness of novel radical cure options. Using purposive and snowball sampling, we recruited 76 participants from the clinical trial site at Arba Minch University Hospital and three health facilities in Arba Minch Zuria Woreda, SNNP region, Ethiopia—an area with high</w:t>
      </w:r>
      <w:r w:rsidRPr="00FE5D1C">
        <w:rPr>
          <w:rFonts w:ascii="Calibri" w:eastAsia="Times New Roman" w:hAnsi="Calibri" w:cs="Calibri"/>
          <w:i/>
          <w:iCs/>
          <w:color w:val="000000"/>
          <w:kern w:val="0"/>
          <w:sz w:val="22"/>
          <w:szCs w:val="22"/>
          <w14:ligatures w14:val="none"/>
        </w:rPr>
        <w:t> P. vivax</w:t>
      </w:r>
      <w:r w:rsidRPr="00FE5D1C">
        <w:rPr>
          <w:rFonts w:ascii="Calibri" w:eastAsia="Times New Roman" w:hAnsi="Calibri" w:cs="Calibri"/>
          <w:color w:val="000000"/>
          <w:kern w:val="0"/>
          <w:sz w:val="22"/>
          <w:szCs w:val="22"/>
          <w14:ligatures w14:val="none"/>
        </w:rPr>
        <w:t> prevalence. Participants included clinical trial patients and staff, health facility workers, health extension workers, and vivax patients. Data collection comprised 58 semi-structured interviews and six focus group discussions (FGDs), conducted in Amharic between February and September 2023. Interviews and FGDs were guided by a risk perception framework, audio-recorded, transcribed, translated. Preliminary analyses using an inductive-deductive thematic approach suggest that shorter course primaquine regimens and tafenoquine are viewed as promising strategies to improve adherence. However, higher daily doses of primaquine was often described as an “overdose,” with safety concerns and fears of harm, potentially undermining community trust in the health system. Risk perceptions were influenced by visible pill characteristics—such as quantity and colour. These insights highlight the need to integrate local understandings of risk into the design and communication of radical cure strategies. Stakeholder risk perceptions are central to the acceptability and uptake of shortened radical cure regimens and have key implications for policy and implementation in vivax-endemic settings.</w:t>
      </w:r>
    </w:p>
    <w:p w14:paraId="0A02872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25-A-2954-ASTMH</w:t>
      </w:r>
    </w:p>
    <w:p w14:paraId="1E085F9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42486EC3" w14:textId="74AFA881"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From Antenatal Clinics to Action: Real-Time Inference for Malaria Control Using Machine Learning and Mechanistic Models</w:t>
      </w:r>
    </w:p>
    <w:p w14:paraId="6FCE04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Timely, granular estimates of malaria transmission dynamics are critical for targeted interventions, yet standard methods for inferring key epidemiological parameters - such as entomological inoculation rate (EIR), incidence, and clinical cases - are often computationally intensive and slow. We present a novel machine learning approach that enables real-time inference of malaria transmission metrics using time-series prevalence data, particularly from antenatal care (ANC) surveillance. Our approach simulates tens of thousands of realizations from a mechanistic malaria model, parameterized by ANC-derived inputs, using probabilistic sampling and random walks to capture a wide range of transmission scenarios. These simulations train a sequence-to-sequence recurrent neural network (RNN) that learns the temporal </w:t>
      </w:r>
      <w:r w:rsidRPr="00FE5D1C">
        <w:rPr>
          <w:rFonts w:ascii="Calibri" w:eastAsia="Times New Roman" w:hAnsi="Calibri" w:cs="Calibri"/>
          <w:color w:val="000000"/>
          <w:kern w:val="0"/>
          <w:sz w:val="22"/>
          <w:szCs w:val="22"/>
          <w14:ligatures w14:val="none"/>
        </w:rPr>
        <w:lastRenderedPageBreak/>
        <w:t>mapping from prevalence trends to underlying epidemiological states. Unlike traditional Bayesian inference methods, our model delivers near-instantaneous predictions with comparable accuracy. Results from both synthetic and real-world datasets demonstrate that the trained RNN can reliably infer EIR and case incidence trends across varying endemicity levels, making it a powerful tool for rapid situational awareness and operational decision-making in malaria control. By harnessing the growing availability of ANC-based surveillance and the speed of deep learning, this work bridges the gap between data collection and actionable insights. Future work will focus on estimating predictive uncertainty using ensemble modelling approaches and expanding the framework to incorporate intervention data for broader generalizability.</w:t>
      </w:r>
    </w:p>
    <w:p w14:paraId="4D8354A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25-A-2955-ASTMH</w:t>
      </w:r>
    </w:p>
    <w:p w14:paraId="4253023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Pathogenesis</w:t>
      </w:r>
    </w:p>
    <w:p w14:paraId="05884A9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Dysregulated Cytoskeletal, Immune and Autophagy-Related Networks in Children with Sickle Cell Anemia who Develop Severe Malaria Anemia</w:t>
      </w:r>
    </w:p>
    <w:p w14:paraId="58A1C06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Sickle cell anemia (SCA) and severe malarial anemia (SMA) remain significant health challenges among children &lt;5 years of age in western Kenya, a holoendemic </w:t>
      </w:r>
      <w:r w:rsidRPr="00FE5D1C">
        <w:rPr>
          <w:rFonts w:ascii="Calibri" w:eastAsia="Times New Roman" w:hAnsi="Calibri" w:cs="Calibri"/>
          <w:i/>
          <w:iCs/>
          <w:color w:val="000000"/>
          <w:kern w:val="0"/>
          <w:sz w:val="22"/>
          <w:szCs w:val="22"/>
          <w14:ligatures w14:val="none"/>
        </w:rPr>
        <w:t>Plasmodium falciparum </w:t>
      </w:r>
      <w:r w:rsidRPr="00FE5D1C">
        <w:rPr>
          <w:rFonts w:ascii="Calibri" w:eastAsia="Times New Roman" w:hAnsi="Calibri" w:cs="Calibri"/>
          <w:color w:val="000000"/>
          <w:kern w:val="0"/>
          <w:sz w:val="22"/>
          <w:szCs w:val="22"/>
          <w14:ligatures w14:val="none"/>
        </w:rPr>
        <w:t>region. While the heightened clinical severity in children with SCA who develop SMA is well-documented, the underlying molecular mechanisms are largely uncharacterized. To gain insight into the transcriptomic landscape of SMA in children with SCA, we utilized whole blood RNAseq data from children (3-48 months) with SMA (Hb&lt;6.0 g/dL, n=25) stratified into SCA (HbSS, n=7) and non-SCA (HbAA and HbAS, n=18) groups. There were 2,820 differentially expressed genes (DEGs, FDR&lt;0.05): 2,110 upregulated and 710 downregulated in SCA. Gene ontology enrichment analysis using the clusterProfiler R package revealed significant enrichment in macroautophagy (BP,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adj=5.76E-15), tertiary granule (CC,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adj=1.27E-16), and cadherin binding (MF,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adj=6.17E-05), indicating a strong activation of immune responses, autophagy, and changes in cellular adhesion. Reactome pathway analysis highlighted neutrophil degranulation (</w:t>
      </w:r>
      <w:r w:rsidRPr="00FE5D1C">
        <w:rPr>
          <w:rFonts w:ascii="Calibri" w:eastAsia="Times New Roman" w:hAnsi="Calibri" w:cs="Calibri"/>
          <w:i/>
          <w:iCs/>
          <w:color w:val="000000"/>
          <w:kern w:val="0"/>
          <w:sz w:val="22"/>
          <w:szCs w:val="22"/>
          <w14:ligatures w14:val="none"/>
        </w:rPr>
        <w:t>p</w:t>
      </w:r>
      <w:r w:rsidRPr="00FE5D1C">
        <w:rPr>
          <w:rFonts w:ascii="Calibri" w:eastAsia="Times New Roman" w:hAnsi="Calibri" w:cs="Calibri"/>
          <w:color w:val="000000"/>
          <w:kern w:val="0"/>
          <w:sz w:val="22"/>
          <w:szCs w:val="22"/>
          <w14:ligatures w14:val="none"/>
        </w:rPr>
        <w:t>adj=3.58E-25) as the top dysregulated pathway in children with SCA who develop SMA. Network analysis using STRING identified a central network (nodes=28, edges=51) with linked pathways of immune activation (TNF, MYD88, SPI1, NFAT5, NOD2), hemolysis and erythrophagocytosis (TGM2, S100A4, LGALS1), autophagy (PRDX1, TGM2, PYCARD), and cytoskeletal remodeling (CORO1C, ADD1, S100A4, FLOT1, TGM2). These findings provide transcriptomic evidence of enhanced immune activation, autophagy, and cytoskeletal remodeling in children with SCA who develop SMA, suggesting that these processes may contribute to disease severity. These results improve our molecular understanding of SMA in the context of SCA and offer a foundation for future research focused on pathogenesis and therapeutic intervention.</w:t>
      </w:r>
    </w:p>
    <w:p w14:paraId="505EB81C"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25-A-2957-ASTMH</w:t>
      </w:r>
    </w:p>
    <w:p w14:paraId="5CC9E6B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Intestinal Nematodes</w:t>
      </w:r>
    </w:p>
    <w:p w14:paraId="48A4941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Assessing the burden of hookworm species and </w:t>
      </w:r>
      <w:r w:rsidRPr="00FE5D1C">
        <w:rPr>
          <w:rFonts w:ascii="Calibri" w:eastAsia="Times New Roman" w:hAnsi="Calibri" w:cs="Calibri"/>
          <w:i/>
          <w:iCs/>
          <w:color w:val="000000"/>
          <w:kern w:val="0"/>
          <w:sz w:val="22"/>
          <w:szCs w:val="22"/>
          <w14:ligatures w14:val="none"/>
        </w:rPr>
        <w:t>Strongyloides stercoralis</w:t>
      </w:r>
      <w:r w:rsidRPr="00FE5D1C">
        <w:rPr>
          <w:rFonts w:ascii="Calibri" w:eastAsia="Times New Roman" w:hAnsi="Calibri" w:cs="Calibri"/>
          <w:color w:val="000000"/>
          <w:kern w:val="0"/>
          <w:sz w:val="22"/>
          <w:szCs w:val="22"/>
          <w14:ligatures w14:val="none"/>
        </w:rPr>
        <w:t> in Vanuatu: the role of molecular diagnostics</w:t>
      </w:r>
    </w:p>
    <w:p w14:paraId="6CD2AE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Vanuatu Ministry of Health, supported by the Pacific Integrated Neglected Tropical Diseases Elimination (PINE) project, aimed to deliver two rounds of mass drug administration (MDA) to accelerate control of multiple NTDs, including soil-transmitted helminths (STHs). Surveys were integrated with each round of MDA to assess the prevalence of STHs pre- and post- the first MDA round. We included molecular techniques to investigate the burden of the different hookworm species and the presence of strongyloidiasis.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Cluster surveys were conducted in a random selection of approximately 30 villages per province in Tafea (November 2021, December 2023), Sanma (August 2022) and Shefa (April 2023, May 2024). A stool sample was collected from 137-932 participants in each survey and analysed by quantitative polymerase chain reaction (qPCR). Cluster adjusted prevalence estimates were calculated.</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 xml:space="preserve">Tafea had the highest hookworm prevalence of 33.6% (range 19.8-50.8%) pre-MDA and 35.5% (range 25.4-47.1%) post-MDA. In Shefa, the pre-MDA hookworm prevalence was 22.8% (range </w:t>
      </w:r>
      <w:r w:rsidRPr="00FE5D1C">
        <w:rPr>
          <w:rFonts w:ascii="Calibri" w:eastAsia="Times New Roman" w:hAnsi="Calibri" w:cs="Calibri"/>
          <w:color w:val="000000"/>
          <w:kern w:val="0"/>
          <w:sz w:val="22"/>
          <w:szCs w:val="22"/>
          <w14:ligatures w14:val="none"/>
        </w:rPr>
        <w:lastRenderedPageBreak/>
        <w:t>14.2-34.6%), and 11.5% post-MDA (range 7.2-17.8%). In Sanma, the pre-MDA hookworm prevalence was 19.1% (range 12.8-27.4%). </w:t>
      </w:r>
      <w:r w:rsidRPr="00FE5D1C">
        <w:rPr>
          <w:rFonts w:ascii="Calibri" w:eastAsia="Times New Roman" w:hAnsi="Calibri" w:cs="Calibri"/>
          <w:i/>
          <w:iCs/>
          <w:color w:val="000000"/>
          <w:kern w:val="0"/>
          <w:sz w:val="22"/>
          <w:szCs w:val="22"/>
          <w14:ligatures w14:val="none"/>
        </w:rPr>
        <w:t>Necator americanus</w:t>
      </w:r>
      <w:r w:rsidRPr="00FE5D1C">
        <w:rPr>
          <w:rFonts w:ascii="Calibri" w:eastAsia="Times New Roman" w:hAnsi="Calibri" w:cs="Calibri"/>
          <w:color w:val="000000"/>
          <w:kern w:val="0"/>
          <w:sz w:val="22"/>
          <w:szCs w:val="22"/>
          <w14:ligatures w14:val="none"/>
        </w:rPr>
        <w:t> was the most prevalent hookworm species in Tafea (pre-MDA: prevalence 31.4%, range 17.8-49.2%; post-MDA: prevalence 34.9%, range 24.6-46.8%). Of note is the high prevalence of the zoonotic hookworm </w:t>
      </w:r>
      <w:r w:rsidRPr="00FE5D1C">
        <w:rPr>
          <w:rFonts w:ascii="Calibri" w:eastAsia="Times New Roman" w:hAnsi="Calibri" w:cs="Calibri"/>
          <w:i/>
          <w:iCs/>
          <w:color w:val="000000"/>
          <w:kern w:val="0"/>
          <w:sz w:val="22"/>
          <w:szCs w:val="22"/>
          <w14:ligatures w14:val="none"/>
        </w:rPr>
        <w:t>Ancylostoma ceylanicum</w:t>
      </w:r>
      <w:r w:rsidRPr="00FE5D1C">
        <w:rPr>
          <w:rFonts w:ascii="Calibri" w:eastAsia="Times New Roman" w:hAnsi="Calibri" w:cs="Calibri"/>
          <w:color w:val="000000"/>
          <w:kern w:val="0"/>
          <w:sz w:val="22"/>
          <w:szCs w:val="22"/>
          <w14:ligatures w14:val="none"/>
        </w:rPr>
        <w:t> in Sanma (12.1%, range 2.8-24.4% pre-MDA) being the most prevalent hookworm; and Shefa (11.9%, range 0-21.1% pre-MDA; 6.3%, range 0-14.3% post-MDA), similar to the prevalence of </w:t>
      </w:r>
      <w:r w:rsidRPr="00FE5D1C">
        <w:rPr>
          <w:rFonts w:ascii="Calibri" w:eastAsia="Times New Roman" w:hAnsi="Calibri" w:cs="Calibri"/>
          <w:i/>
          <w:iCs/>
          <w:color w:val="000000"/>
          <w:kern w:val="0"/>
          <w:sz w:val="22"/>
          <w:szCs w:val="22"/>
          <w14:ligatures w14:val="none"/>
        </w:rPr>
        <w:t>N. americanus</w:t>
      </w:r>
      <w:r w:rsidRPr="00FE5D1C">
        <w:rPr>
          <w:rFonts w:ascii="Calibri" w:eastAsia="Times New Roman" w:hAnsi="Calibri" w:cs="Calibri"/>
          <w:color w:val="000000"/>
          <w:kern w:val="0"/>
          <w:sz w:val="22"/>
          <w:szCs w:val="22"/>
          <w14:ligatures w14:val="none"/>
        </w:rPr>
        <w:t>. Most area councils had a </w:t>
      </w:r>
      <w:r w:rsidRPr="00FE5D1C">
        <w:rPr>
          <w:rFonts w:ascii="Calibri" w:eastAsia="Times New Roman" w:hAnsi="Calibri" w:cs="Calibri"/>
          <w:i/>
          <w:iCs/>
          <w:color w:val="000000"/>
          <w:kern w:val="0"/>
          <w:sz w:val="22"/>
          <w:szCs w:val="22"/>
          <w14:ligatures w14:val="none"/>
        </w:rPr>
        <w:t>Strongyloides stercoralis </w:t>
      </w:r>
      <w:r w:rsidRPr="00FE5D1C">
        <w:rPr>
          <w:rFonts w:ascii="Calibri" w:eastAsia="Times New Roman" w:hAnsi="Calibri" w:cs="Calibri"/>
          <w:color w:val="000000"/>
          <w:kern w:val="0"/>
          <w:sz w:val="22"/>
          <w:szCs w:val="22"/>
          <w14:ligatures w14:val="none"/>
        </w:rPr>
        <w:t>prevalence &lt;5%, though a prevalence of &gt;10% was found in several area councils in Shefa.</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Many area councils in Tafea, Sanma and Shefa provinces remain at high risk of hookworm infection, including the zoonotic hookworm, requiring control efforts. The use of qPCR identified areas that would benefit from interventions for zoonotic reservoirs and the use of ivermectin for strongyloidiasis.</w:t>
      </w:r>
    </w:p>
    <w:p w14:paraId="69754E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25-A-2958-ASTMH</w:t>
      </w:r>
    </w:p>
    <w:p w14:paraId="5462F3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Clinical Tropical Medicine</w:t>
      </w:r>
    </w:p>
    <w:p w14:paraId="7321A869" w14:textId="11E042C5"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Effectiveness Of Clinical Algorithms Combined With Point Of Care Testing To Improve Antibiotic Prescribing Practices Of Physicians In Outpatient Setting Of Low Middle Income Country</w:t>
      </w:r>
    </w:p>
    <w:p w14:paraId="6D46C21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Antimicrobial resistance (AMR) is a global threat, driven by the misuse of antimicrobials across human, animal, and environmental sectors, leading to increased morbidity, mortality, and healthcare costs. This study assessed the effectiveness of clinical algorithms and POC-CRP test in reducing antibiotic prescriptions for acute watery diarrhea (AWD), upper respiratory tract infections (URTI) and acute undifferentiated fever (AUF) among children and adults in outpatient setting of Aga Khan University Hospital (AKUH), Pakistan, pre and post intervention. A pre post interventional study was conducted at AKUH, and two affiliated sites in Karachi, Pakistan from January 2022 to September 2024. Children (≥6 months) and adults of all ages presented with AWD, URTI, and AUF were included. Disease specific algorithms were developed incorporating POC CRP as intervention. The primary outcome was the difference in proportion of specific antibiotics (azithromycin, cefixime, ciprofloxacin, amoxicillin and amoxicillin-clavulanic acid) pre and post intervention. We enrolled 457 (pre) and 460 patients (post). Mean ± SD age (years) was ( pre intervention) 15.5 ± 18.0 and (post intervention) 16.5 ± 18.1. Two-thirds were children {pre (64.8%), post (58.5%)}, mostly male {pre intervention: 275/457 (60.2%); post, 248/460 (53.9%)}. Antibiotic prescriptions increased from 28.9% to 38.5%. post intervention, with an 11.9% rise in appropriate antibiotic use in all age groups. Azithromycin use declined significantly in children with URTI (Proportion point difference (%): -11.4; 95% CI: -33.1, 10.3), as did cefixime (-18.7; 95% CI: -34.7, -2.6). Clinic re-visits decreased by 7.8% on day 7 follow-up. Physicians' compliance with intervention was 72%. The intervention improved appropriate antibiotic use for common infections, emphasizing the value of clinical algorithms and POC CRP testing in resource-limited settings. Larger studies are needed to evaluate their impact in routine outpatient care across diverse healthcare sectors including rural areas.</w:t>
      </w:r>
    </w:p>
    <w:p w14:paraId="4E911FF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25-A-2959-ASTMH</w:t>
      </w:r>
    </w:p>
    <w:p w14:paraId="3083E2F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Epidemiology and Vector Control</w:t>
      </w:r>
    </w:p>
    <w:p w14:paraId="4EA77D0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Evaluation of dual-active ingredient long-lasting insecticidal nets against wild resistant malaria vectors in Tanzania: a series of experimental hut trials</w:t>
      </w:r>
    </w:p>
    <w:p w14:paraId="0A73E76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The fight against malaria vectors is threatened by widespread insecticide resistance, particularly to pyrethroids. To address this, WHO recommends dual active ingredient Long-Lasting Insecticidal Nets (LLINs) in regions with high resistance. This study assessed the efficacy of various dual-A.I. LLINs in experimental huts in Tanzania to guide vector control strategies. Five LLIN types were evaluated: 1/ Olyset Plus: Contains piperonyl butoxide (PBO) and permethrin. 2/ VEERALIN: Combines PBO and alpha-cypermethrin. 3/ PermaNet 3.0: Deltamethrin on side panels; deltamethrin and PBO on the top. 4/ Interceptor G2: Features chlorfenapyr and alpha-cypermethrin. 5/ MAGNet: Contains alpha-cypermethrin only. The study, conducted in North-west Tanzania, used a 6x6 Latin square design to </w:t>
      </w:r>
      <w:r w:rsidRPr="00FE5D1C">
        <w:rPr>
          <w:rFonts w:ascii="Calibri" w:eastAsia="Times New Roman" w:hAnsi="Calibri" w:cs="Calibri"/>
          <w:color w:val="000000"/>
          <w:kern w:val="0"/>
          <w:sz w:val="22"/>
          <w:szCs w:val="22"/>
          <w14:ligatures w14:val="none"/>
        </w:rPr>
        <w:lastRenderedPageBreak/>
        <w:t>rotate nets weekly among huts and sleepers. Mosquitoes were collected, identified, and monitored for mortality over 72 hours. Cone and tunnel tests employed the susceptible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Kisumu strain. Resistance intensity was assessed using mosquitoes from nearby houses. All nets met WHO bio-efficacy standards. Higher mosquito collections were observed in Mwagagala (77%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s.l.) than Magu (4%), dominated by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In Magu, Interceptor G2 (53%, p=0.003) and VEERALIN (45%, p&lt;0.034) induced significantly higher mortality than MAGNet (24%). In Mwagagala, mortality with Interceptor G2 was lower (28%, p=0.003), and no significant differences were seen for Olyset Plus, PermaNet 3.0, or VEERALIN compared to MAGNet. Blood-feeding rates exceeded 50% for all nets, with high resistance intensity noted in </w:t>
      </w:r>
      <w:r w:rsidRPr="00FE5D1C">
        <w:rPr>
          <w:rFonts w:ascii="Calibri" w:eastAsia="Times New Roman" w:hAnsi="Calibri" w:cs="Calibri"/>
          <w:i/>
          <w:iCs/>
          <w:color w:val="000000"/>
          <w:kern w:val="0"/>
          <w:sz w:val="22"/>
          <w:szCs w:val="22"/>
          <w14:ligatures w14:val="none"/>
        </w:rPr>
        <w:t>An. gambiae</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An. funestus.</w:t>
      </w:r>
      <w:r w:rsidRPr="00FE5D1C">
        <w:rPr>
          <w:rFonts w:ascii="Calibri" w:eastAsia="Times New Roman" w:hAnsi="Calibri" w:cs="Calibri"/>
          <w:color w:val="000000"/>
          <w:kern w:val="0"/>
          <w:sz w:val="22"/>
          <w:szCs w:val="22"/>
          <w14:ligatures w14:val="none"/>
        </w:rPr>
        <w:t> A total of 4,186 genes (2,281 upregulated and 1,905 downregulated) were significantly differentially expressed following exposure to Olyset Plus, while 4,501 genes (2,504 upregulated and 1,997 downregulated), compared to the susceptible strain. Interceptor G2 and VEERALIN outperformed MAGNet, against resistance mosquitoes. These differences likely reflect species composition, highlighting the need for species-specific LLIN evaluation.</w:t>
      </w:r>
    </w:p>
    <w:p w14:paraId="1B8067C8"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25-A-2960-ASTMH</w:t>
      </w:r>
    </w:p>
    <w:p w14:paraId="281A1A9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Helminths – Nematodes – Filariasis (Other)</w:t>
      </w:r>
    </w:p>
    <w:p w14:paraId="0C7A7F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Development of a new rapid diagnostic test to support onchocerciasis elimination</w:t>
      </w:r>
    </w:p>
    <w:p w14:paraId="5269D78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Onchocerciasis, commonly known as river blindness, is a parasitic disease caused by </w:t>
      </w:r>
      <w:r w:rsidRPr="00FE5D1C">
        <w:rPr>
          <w:rFonts w:ascii="Calibri" w:eastAsia="Times New Roman" w:hAnsi="Calibri" w:cs="Calibri"/>
          <w:i/>
          <w:iCs/>
          <w:color w:val="000000"/>
          <w:kern w:val="0"/>
          <w:sz w:val="22"/>
          <w:szCs w:val="22"/>
          <w14:ligatures w14:val="none"/>
        </w:rPr>
        <w:t>Onchocerca volvulus</w:t>
      </w:r>
      <w:r w:rsidRPr="00FE5D1C">
        <w:rPr>
          <w:rFonts w:ascii="Calibri" w:eastAsia="Times New Roman" w:hAnsi="Calibri" w:cs="Calibri"/>
          <w:color w:val="000000"/>
          <w:kern w:val="0"/>
          <w:sz w:val="22"/>
          <w:szCs w:val="22"/>
          <w14:ligatures w14:val="none"/>
        </w:rPr>
        <w:t> (Ov), transmitted through the bite of infected blackflies, and leads to skin disease and blindness. With over 20 million people at risk globally, early detection and timely treatment are crucial to control the disease and prevent its debilitating consequences. WHO’s 2021-2030 road map for onchocerciasis highlighted the need for development of improved diagnostics. Indeed, ivermectin treatment decision and risk of severe adverse events where loiasis is co-endemic require a high specificity whereas current serological tests detect only one antigen-specific antibody, limiting their specificity and sensitivity. One hypothesis is that the targeted specificity performance (&gt;99.8%) can be achieved by multiplexing immunogenic Ov antigens. Here, we report the performance of a biplex lateral flow immunoassay (LFA) test in development for point-of-care detection of IgG4 antibodies against two antigens, Ov16 and OVOC3261. Results were considered positive when both test lines were visible with naked eye. First, a limited panel of onchocerciasis patients (n=96) and control plasma (oncho-free other helminth-infected individuals including n=20 </w:t>
      </w:r>
      <w:r w:rsidRPr="00FE5D1C">
        <w:rPr>
          <w:rFonts w:ascii="Calibri" w:eastAsia="Times New Roman" w:hAnsi="Calibri" w:cs="Calibri"/>
          <w:i/>
          <w:iCs/>
          <w:color w:val="000000"/>
          <w:kern w:val="0"/>
          <w:sz w:val="22"/>
          <w:szCs w:val="22"/>
          <w14:ligatures w14:val="none"/>
        </w:rPr>
        <w:t>L. loa</w:t>
      </w:r>
      <w:r w:rsidRPr="00FE5D1C">
        <w:rPr>
          <w:rFonts w:ascii="Calibri" w:eastAsia="Times New Roman" w:hAnsi="Calibri" w:cs="Calibri"/>
          <w:color w:val="000000"/>
          <w:kern w:val="0"/>
          <w:sz w:val="22"/>
          <w:szCs w:val="22"/>
          <w14:ligatures w14:val="none"/>
        </w:rPr>
        <w:t>, n=23 </w:t>
      </w:r>
      <w:r w:rsidRPr="00FE5D1C">
        <w:rPr>
          <w:rFonts w:ascii="Calibri" w:eastAsia="Times New Roman" w:hAnsi="Calibri" w:cs="Calibri"/>
          <w:i/>
          <w:iCs/>
          <w:color w:val="000000"/>
          <w:kern w:val="0"/>
          <w:sz w:val="22"/>
          <w:szCs w:val="22"/>
          <w14:ligatures w14:val="none"/>
        </w:rPr>
        <w:t>M. perstans</w:t>
      </w:r>
      <w:r w:rsidRPr="00FE5D1C">
        <w:rPr>
          <w:rFonts w:ascii="Calibri" w:eastAsia="Times New Roman" w:hAnsi="Calibri" w:cs="Calibri"/>
          <w:color w:val="000000"/>
          <w:kern w:val="0"/>
          <w:sz w:val="22"/>
          <w:szCs w:val="22"/>
          <w14:ligatures w14:val="none"/>
        </w:rPr>
        <w:t>, n=21 </w:t>
      </w:r>
      <w:r w:rsidRPr="00FE5D1C">
        <w:rPr>
          <w:rFonts w:ascii="Calibri" w:eastAsia="Times New Roman" w:hAnsi="Calibri" w:cs="Calibri"/>
          <w:i/>
          <w:iCs/>
          <w:color w:val="000000"/>
          <w:kern w:val="0"/>
          <w:sz w:val="22"/>
          <w:szCs w:val="22"/>
          <w14:ligatures w14:val="none"/>
        </w:rPr>
        <w:t>W. bancrofti</w:t>
      </w:r>
      <w:r w:rsidRPr="00FE5D1C">
        <w:rPr>
          <w:rFonts w:ascii="Calibri" w:eastAsia="Times New Roman" w:hAnsi="Calibri" w:cs="Calibri"/>
          <w:color w:val="000000"/>
          <w:kern w:val="0"/>
          <w:sz w:val="22"/>
          <w:szCs w:val="22"/>
          <w14:ligatures w14:val="none"/>
        </w:rPr>
        <w:t>, and n=75 endemic non-infected individuals) was measured for IgG4 against Ov16 and OVOC3261. These findings were cross-referenced against alternative diagnostics. The test yielded 81.4% sensitivity and 100% specificity at a 10-minute read time, thus meeting the target product profile requirements for mapping. Then, accelerated studies showed that biplex LFA devices were stable at least for 22 days at 55°C, and 30 days at 45°C and at 40°C, 70% humidity. Next, reliable positive controls were implemented as quality assurance reagents for LFA control from manufacturer to end user, and to support training programs. This prototype is now undergoing optimization to extend the result stability time, and more extensive laboratory-based performance evaluation with the aim of being later assessed in the field to support WHO’s goal of eliminating onchocerciasis.</w:t>
      </w:r>
    </w:p>
    <w:p w14:paraId="417EA89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25-A-2962-ASTMH</w:t>
      </w:r>
    </w:p>
    <w:p w14:paraId="3316926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Global Health - Other</w:t>
      </w:r>
    </w:p>
    <w:p w14:paraId="03FC5D2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The Effect of Haemoglobin Variants and ABO Blood Groups on Cardiovascular Disease Risk: A Cross-Sectional Study Among Northern Ghanaians.</w:t>
      </w:r>
    </w:p>
    <w:p w14:paraId="038F71A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 xml:space="preserve">Cardiovascular diseases (CVDs) are a growing public health concern in Ghana, driven by the epidemiological shift from communicable diseases to non-communicable diseases including high prevalence of uncontrolled hypertension. Despite this trend, limited research explored how haemoglobin (Hb) variants and ABO blood groups impact CVD risk and its biomarkers within this African population. Understanding these genetic associations may improve risk stratification and enhance our ability to tailor public health interventions aimed at reducing the burden of CVDs in African populations. </w:t>
      </w:r>
      <w:r w:rsidRPr="00FE5D1C">
        <w:rPr>
          <w:rFonts w:ascii="Calibri" w:eastAsia="Times New Roman" w:hAnsi="Calibri" w:cs="Calibri"/>
          <w:color w:val="000000"/>
          <w:kern w:val="0"/>
          <w:sz w:val="22"/>
          <w:szCs w:val="22"/>
          <w14:ligatures w14:val="none"/>
        </w:rPr>
        <w:lastRenderedPageBreak/>
        <w:t>We sought to investigate the relationship between ABO blood groups, Hb variants, and CVD risk markers in the Kassena-Nankana districts of Northern Ghana. We conducted a cross-sectional study among individuals 18 years and above in the rural Kassena-Nankana Districts of northern Ghana. Blood samples were collected and analysed for Hb variants, ABO blood groups and lipid profiles. We also collected demographic and anthropometric data, and measured blood pressure. Multivariable linear and logistic regression models were used to assess association between Hb variants, ABO blood groups and CVD risk markers. After adjustment, individuals with Hb α/β thalassemia trait, exhibited significantly lower high-density lipoprotein cholesterol (HDL-C) (β = -0.49; 95% CI: -0.90 - -0.09). Participants with HbAS had elevated total cholesterol (TC) (β = 0.61; 95% CI: 0.15 - 1.07) and low-density lipoprotein (LDL-C) (β = 0.33; 95% CI: 0.11 - 0.55) compared to those with HbAA group. Additionally, participants with blood group B had 1.73 (95% CI: 0.97-3.17) times odds of hypertension compared to participants in blood group O and 0.14mmol/L (95% CI: 0.002 - 0.275) increased LDL-C levels than those with blood group O. Our findings suggest</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color w:val="000000"/>
          <w:kern w:val="0"/>
          <w:sz w:val="22"/>
          <w:szCs w:val="22"/>
          <w14:ligatures w14:val="none"/>
        </w:rPr>
        <w:t>that genetic factors, particularly Hb variants and ABO blood groups, may play a crucial role in CVD risk in northern Ghanaians. These findings may inform tailored public health strategies aimed at reducing CVD burden in African populations.</w:t>
      </w:r>
    </w:p>
    <w:p w14:paraId="3108A3A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25-A-2963-ASTMH</w:t>
      </w:r>
    </w:p>
    <w:p w14:paraId="337B4B8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1C0C8E26"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Genomic characterization of oral-rectal ESKAPE pathogens, isolated from bats species</w:t>
      </w:r>
      <w:r w:rsidRPr="00FE5D1C">
        <w:rPr>
          <w:rFonts w:ascii="Calibri" w:eastAsia="Times New Roman" w:hAnsi="Calibri" w:cs="Calibri"/>
          <w:b/>
          <w:bCs/>
          <w:i/>
          <w:iCs/>
          <w:color w:val="000000"/>
          <w:kern w:val="0"/>
          <w:sz w:val="22"/>
          <w:szCs w:val="22"/>
          <w14:ligatures w14:val="none"/>
        </w:rPr>
        <w:t>s</w:t>
      </w:r>
      <w:r w:rsidRPr="00FE5D1C">
        <w:rPr>
          <w:rFonts w:ascii="Calibri" w:eastAsia="Times New Roman" w:hAnsi="Calibri" w:cs="Calibri"/>
          <w:b/>
          <w:bCs/>
          <w:color w:val="000000"/>
          <w:kern w:val="0"/>
          <w:sz w:val="22"/>
          <w:szCs w:val="22"/>
          <w14:ligatures w14:val="none"/>
        </w:rPr>
        <w:t>ampled from coastal Kenya</w:t>
      </w:r>
    </w:p>
    <w:p w14:paraId="28B60C1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Bats are proven reservoirs of bacterial pathogens. ESKAPE (</w:t>
      </w:r>
      <w:r w:rsidRPr="00FE5D1C">
        <w:rPr>
          <w:rFonts w:ascii="Calibri" w:eastAsia="Times New Roman" w:hAnsi="Calibri" w:cs="Calibri"/>
          <w:i/>
          <w:iCs/>
          <w:color w:val="000000"/>
          <w:kern w:val="0"/>
          <w:sz w:val="22"/>
          <w:szCs w:val="22"/>
          <w14:ligatures w14:val="none"/>
        </w:rPr>
        <w:t>E. faecium, Staph. aureus, K. pneumoniae, A. baumannii, P. aeruginosa, and Enterobacter spp</w:t>
      </w:r>
      <w:r w:rsidRPr="00FE5D1C">
        <w:rPr>
          <w:rFonts w:ascii="Calibri" w:eastAsia="Times New Roman" w:hAnsi="Calibri" w:cs="Calibri"/>
          <w:color w:val="000000"/>
          <w:kern w:val="0"/>
          <w:sz w:val="22"/>
          <w:szCs w:val="22"/>
          <w14:ligatures w14:val="none"/>
        </w:rPr>
        <w:t>.) pathogens cause a significant burden on public health due to antimicrobial resistance (AMR). This study focused on identifying ESKAPE bacteria isolated from three bat species, including their AMR and virulence genes. Oral and rectal swabs from 124 bats sampled in Mombasa and Kilifi, Kenya were obtained, and transported in AMIES media. They were cultured on 5% Sheep Blood Agar as well as MacConkey Agar, with pure isolates were identified on both media. DNA was extracted using the Zymo Quick-DNA Fungal/Bacterial Miniprep Kit (Orange, California). Libraries were prepared using Illumina DNA Prep (M) Tagmentation Kit (San Diego, California), and sequenced on the NextSeq 1000 platform. Bioinformatics analysis included taxonomy identification via Kraken2, sequence typing using MLST, detection of AMR and virulence genes using the ABRicate tool, and comparative genomic analysis using MUMmer and Galaxy tools. Genomic analysis on the 69 identified ESKAPE isolates revealed the presence of AMR genes for β-lactamase (e.g., </w:t>
      </w:r>
      <w:r w:rsidRPr="00FE5D1C">
        <w:rPr>
          <w:rFonts w:ascii="Calibri" w:eastAsia="Times New Roman" w:hAnsi="Calibri" w:cs="Calibri"/>
          <w:i/>
          <w:iCs/>
          <w:color w:val="000000"/>
          <w:kern w:val="0"/>
          <w:sz w:val="22"/>
          <w:szCs w:val="22"/>
          <w14:ligatures w14:val="none"/>
        </w:rPr>
        <w:t>ADC-4</w:t>
      </w:r>
      <w:r w:rsidRPr="00FE5D1C">
        <w:rPr>
          <w:rFonts w:ascii="Calibri" w:eastAsia="Times New Roman" w:hAnsi="Calibri" w:cs="Calibri"/>
          <w:color w:val="000000"/>
          <w:kern w:val="0"/>
          <w:sz w:val="22"/>
          <w:szCs w:val="22"/>
          <w14:ligatures w14:val="none"/>
        </w:rPr>
        <w:t>)</w:t>
      </w:r>
      <w:r w:rsidRPr="00FE5D1C">
        <w:rPr>
          <w:rFonts w:ascii="Calibri" w:eastAsia="Times New Roman" w:hAnsi="Calibri" w:cs="Calibri"/>
          <w:i/>
          <w:iCs/>
          <w:color w:val="000000"/>
          <w:kern w:val="0"/>
          <w:sz w:val="22"/>
          <w:szCs w:val="22"/>
          <w14:ligatures w14:val="none"/>
        </w:rPr>
        <w:t>,</w:t>
      </w:r>
      <w:r w:rsidRPr="00FE5D1C">
        <w:rPr>
          <w:rFonts w:ascii="Calibri" w:eastAsia="Times New Roman" w:hAnsi="Calibri" w:cs="Calibri"/>
          <w:color w:val="000000"/>
          <w:kern w:val="0"/>
          <w:sz w:val="22"/>
          <w:szCs w:val="22"/>
          <w14:ligatures w14:val="none"/>
        </w:rPr>
        <w:t> extended-spectrum β-lactamase and carbapenemases, genes against other antibiotics e.g., </w:t>
      </w:r>
      <w:r w:rsidRPr="00FE5D1C">
        <w:rPr>
          <w:rFonts w:ascii="Calibri" w:eastAsia="Times New Roman" w:hAnsi="Calibri" w:cs="Calibri"/>
          <w:i/>
          <w:iCs/>
          <w:color w:val="000000"/>
          <w:kern w:val="0"/>
          <w:sz w:val="22"/>
          <w:szCs w:val="22"/>
          <w14:ligatures w14:val="none"/>
        </w:rPr>
        <w:t>acrD</w:t>
      </w:r>
      <w:r w:rsidRPr="00FE5D1C">
        <w:rPr>
          <w:rFonts w:ascii="Calibri" w:eastAsia="Times New Roman" w:hAnsi="Calibri" w:cs="Calibri"/>
          <w:color w:val="000000"/>
          <w:kern w:val="0"/>
          <w:sz w:val="22"/>
          <w:szCs w:val="22"/>
          <w14:ligatures w14:val="none"/>
        </w:rPr>
        <w:t> (aminoglycosides), </w:t>
      </w:r>
      <w:r w:rsidRPr="00FE5D1C">
        <w:rPr>
          <w:rFonts w:ascii="Calibri" w:eastAsia="Times New Roman" w:hAnsi="Calibri" w:cs="Calibri"/>
          <w:i/>
          <w:iCs/>
          <w:color w:val="000000"/>
          <w:kern w:val="0"/>
          <w:sz w:val="22"/>
          <w:szCs w:val="22"/>
          <w14:ligatures w14:val="none"/>
        </w:rPr>
        <w:t>oqxA</w:t>
      </w:r>
      <w:r w:rsidRPr="00FE5D1C">
        <w:rPr>
          <w:rFonts w:ascii="Calibri" w:eastAsia="Times New Roman" w:hAnsi="Calibri" w:cs="Calibri"/>
          <w:color w:val="000000"/>
          <w:kern w:val="0"/>
          <w:sz w:val="22"/>
          <w:szCs w:val="22"/>
          <w14:ligatures w14:val="none"/>
        </w:rPr>
        <w:t> (fluoroquinolones) etc. Also determined were toxin-associated virulence genes, and those associated with biofilm formation and host immune evasion. Mobile genetic elements including plasmids (e.g., IncFIB(K)_1_Kpn3) and integrative conjugative elements were identified. Phylogenetic analysis showed association of the bat-derived bacteria with clinical strains, also highlighting inter-species gene exchange, particularly among the </w:t>
      </w:r>
      <w:r w:rsidRPr="00FE5D1C">
        <w:rPr>
          <w:rFonts w:ascii="Calibri" w:eastAsia="Times New Roman" w:hAnsi="Calibri" w:cs="Calibri"/>
          <w:i/>
          <w:iCs/>
          <w:color w:val="000000"/>
          <w:kern w:val="0"/>
          <w:sz w:val="22"/>
          <w:szCs w:val="22"/>
          <w14:ligatures w14:val="none"/>
        </w:rPr>
        <w:t>Enterobacteriaceae</w:t>
      </w:r>
      <w:r w:rsidRPr="00FE5D1C">
        <w:rPr>
          <w:rFonts w:ascii="Calibri" w:eastAsia="Times New Roman" w:hAnsi="Calibri" w:cs="Calibri"/>
          <w:color w:val="000000"/>
          <w:kern w:val="0"/>
          <w:sz w:val="22"/>
          <w:szCs w:val="22"/>
          <w14:ligatures w14:val="none"/>
        </w:rPr>
        <w:t>. Taken together, these results highlight the importance of bats as a potential reservoir for multidrug-resistant, and virulent ESKAPE pathogens.</w:t>
      </w:r>
    </w:p>
    <w:p w14:paraId="6AF9ADD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25-A-2964-ASTMH</w:t>
      </w:r>
    </w:p>
    <w:p w14:paraId="078FA7E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One Health: The Interface of Humans, Ecosystems, and Animal Health</w:t>
      </w:r>
    </w:p>
    <w:p w14:paraId="2D299181"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Implementation of a Community Based Surveillance (CBS) model integrated in the Syndromic Sentinel Surveillance in Senegal (4S) Network, Pilot Study</w:t>
      </w:r>
    </w:p>
    <w:p w14:paraId="2EBFBF02"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Background</w:t>
      </w:r>
      <w:r w:rsidRPr="00FE5D1C">
        <w:rPr>
          <w:rFonts w:ascii="Calibri" w:eastAsia="Times New Roman" w:hAnsi="Calibri" w:cs="Calibri"/>
          <w:color w:val="000000"/>
          <w:kern w:val="0"/>
          <w:sz w:val="22"/>
          <w:szCs w:val="22"/>
          <w14:ligatures w14:val="none"/>
        </w:rPr>
        <w:t> Community-based surveillance is a organized and rapid collection of informationfrom the community, usually symptoms of diseases. It has been shown that CBS can effectively complete the national surveillance system for the early detection. A new model of CBS implementedat 3 pilote sites.</w:t>
      </w:r>
      <w:r w:rsidRPr="00FE5D1C">
        <w:rPr>
          <w:rFonts w:ascii="Calibri" w:eastAsia="Times New Roman" w:hAnsi="Calibri" w:cs="Calibri"/>
          <w:b/>
          <w:bCs/>
          <w:color w:val="000000"/>
          <w:kern w:val="0"/>
          <w:sz w:val="22"/>
          <w:szCs w:val="22"/>
          <w14:ligatures w14:val="none"/>
        </w:rPr>
        <w:t>Methods</w:t>
      </w:r>
      <w:r w:rsidRPr="00FE5D1C">
        <w:rPr>
          <w:rFonts w:ascii="Calibri" w:eastAsia="Times New Roman" w:hAnsi="Calibri" w:cs="Calibri"/>
          <w:color w:val="000000"/>
          <w:kern w:val="0"/>
          <w:sz w:val="22"/>
          <w:szCs w:val="22"/>
          <w14:ligatures w14:val="none"/>
        </w:rPr>
        <w:t xml:space="preserve">. Community health worker identify a case in the community and send a signal,trought REDCAP, to the Head Nurse, the Head Veterinary Officer and the Head of the Environmental. They visit </w:t>
      </w:r>
      <w:r w:rsidRPr="00FE5D1C">
        <w:rPr>
          <w:rFonts w:ascii="Calibri" w:eastAsia="Times New Roman" w:hAnsi="Calibri" w:cs="Calibri"/>
          <w:color w:val="000000"/>
          <w:kern w:val="0"/>
          <w:sz w:val="22"/>
          <w:szCs w:val="22"/>
          <w14:ligatures w14:val="none"/>
        </w:rPr>
        <w:lastRenderedPageBreak/>
        <w:t>the community or receive the referred patient, check the signal for early warning systemcompliance and determine whether it corresponds to the suspected disease. The District Management Team and the Departmental Veterinary Service carry out a joint investigation. Ifnecessary, biological samples are taken and sent to the reference laboratories and the NationalVeterinary Research Laboratory. If the case is confirmed in the laboratory, information is sharedwithstakeholders from the central level, following the pyramid structure and decisions are takenby the authorities.</w:t>
      </w:r>
      <w:r w:rsidRPr="00FE5D1C">
        <w:rPr>
          <w:rFonts w:ascii="Calibri" w:eastAsia="Times New Roman" w:hAnsi="Calibri" w:cs="Calibri"/>
          <w:b/>
          <w:bCs/>
          <w:color w:val="000000"/>
          <w:kern w:val="0"/>
          <w:sz w:val="22"/>
          <w:szCs w:val="22"/>
          <w14:ligatures w14:val="none"/>
        </w:rPr>
        <w:t>Results </w:t>
      </w:r>
      <w:r w:rsidRPr="00FE5D1C">
        <w:rPr>
          <w:rFonts w:ascii="Calibri" w:eastAsia="Times New Roman" w:hAnsi="Calibri" w:cs="Calibri"/>
          <w:color w:val="000000"/>
          <w:kern w:val="0"/>
          <w:sz w:val="22"/>
          <w:szCs w:val="22"/>
          <w14:ligatures w14:val="none"/>
        </w:rPr>
        <w:t>A monitoring plan was put in place to track the various project performance indicators. Since theimplementation of the sites in december 24, there have been weekly notifications. Suspected casesof diarrhea and measles are the most frequently reported. As for zoonoses, suspected cases of avianflu and rabies are the most reported, including one confirmed case of canine rabies. An evaluationof the pilot phase of community-based surveillance will be set up on April 25 to determine thefeasibility, acceptability and impact of CBS. A quantitative analysis of the project will be carried outusing the defined monitoring indicators. Qualitative data in the form of focus groups will reinforce quantitative findings and provide detailed information on the prerequisites, barriers and good practice for community involvement in surveillance. </w:t>
      </w:r>
      <w:r w:rsidRPr="00FE5D1C">
        <w:rPr>
          <w:rFonts w:ascii="Calibri" w:eastAsia="Times New Roman" w:hAnsi="Calibri" w:cs="Calibri"/>
          <w:b/>
          <w:bCs/>
          <w:color w:val="000000"/>
          <w:kern w:val="0"/>
          <w:sz w:val="22"/>
          <w:szCs w:val="22"/>
          <w14:ligatures w14:val="none"/>
        </w:rPr>
        <w:t>Conclusion :</w:t>
      </w:r>
      <w:r w:rsidRPr="00FE5D1C">
        <w:rPr>
          <w:rFonts w:ascii="Calibri" w:eastAsia="Times New Roman" w:hAnsi="Calibri" w:cs="Calibri"/>
          <w:color w:val="000000"/>
          <w:kern w:val="0"/>
          <w:sz w:val="22"/>
          <w:szCs w:val="22"/>
          <w14:ligatures w14:val="none"/>
        </w:rPr>
        <w:t> This new CBS model is an opportunity to build on a decade of community-based surveillance strategies in Senegal to strengthen the Syndromic Sentinel Surveillance in Senegal,which is limited to disease detection at health facility level.</w:t>
      </w:r>
    </w:p>
    <w:p w14:paraId="0D0F6B99"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25-A-2965-ASTMH</w:t>
      </w:r>
    </w:p>
    <w:p w14:paraId="239F851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Immunology</w:t>
      </w:r>
    </w:p>
    <w:p w14:paraId="39C1287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Immunity and within-host clonal dynamics shape asymptomatic dry-season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reservoir</w:t>
      </w:r>
    </w:p>
    <w:p w14:paraId="4239E253"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In seasonal malaria regions, </w:t>
      </w:r>
      <w:r w:rsidRPr="00FE5D1C">
        <w:rPr>
          <w:rFonts w:ascii="Calibri" w:eastAsia="Times New Roman" w:hAnsi="Calibri" w:cs="Calibri"/>
          <w:i/>
          <w:iCs/>
          <w:color w:val="000000"/>
          <w:kern w:val="0"/>
          <w:sz w:val="22"/>
          <w:szCs w:val="22"/>
          <w14:ligatures w14:val="none"/>
        </w:rPr>
        <w:t>Plasmodium falciparum</w:t>
      </w:r>
      <w:r w:rsidRPr="00FE5D1C">
        <w:rPr>
          <w:rFonts w:ascii="Calibri" w:eastAsia="Times New Roman" w:hAnsi="Calibri" w:cs="Calibri"/>
          <w:color w:val="000000"/>
          <w:kern w:val="0"/>
          <w:sz w:val="22"/>
          <w:szCs w:val="22"/>
          <w14:ligatures w14:val="none"/>
        </w:rPr>
        <w:t> can persist asymptomatically through the dry season in up to 30% of children, forming a reservoir that renews yearly transmission. In a longitudinal cohort in Kalifabougou, Mali, we investigated host and parasite factors of children with dry-season persistent (n=92) or cleared (n=36; treatment=22; natural clearance=14) infections.We monitored parasite clonal dynamics fortnightly at 12 timepoints during the wet season through amplicon sequencing of </w:t>
      </w:r>
      <w:r w:rsidRPr="00FE5D1C">
        <w:rPr>
          <w:rFonts w:ascii="Calibri" w:eastAsia="Times New Roman" w:hAnsi="Calibri" w:cs="Calibri"/>
          <w:i/>
          <w:iCs/>
          <w:color w:val="000000"/>
          <w:kern w:val="0"/>
          <w:sz w:val="22"/>
          <w:szCs w:val="22"/>
          <w14:ligatures w14:val="none"/>
        </w:rPr>
        <w:t>ama1</w:t>
      </w:r>
      <w:r w:rsidRPr="00FE5D1C">
        <w:rPr>
          <w:rFonts w:ascii="Calibri" w:eastAsia="Times New Roman" w:hAnsi="Calibri" w:cs="Calibri"/>
          <w:color w:val="000000"/>
          <w:kern w:val="0"/>
          <w:sz w:val="22"/>
          <w:szCs w:val="22"/>
          <w14:ligatures w14:val="none"/>
        </w:rPr>
        <w:t>, and used a previously reported microarray of 862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proteins to assess plasma antibody levels at the start of transmission (persistent: n=68; cleared: n=16).Throughout the wet season, persistent infections had more PCR-positive timepoints (Median = 8 [4-11]) than the cleared group (Median=4 [2-6]), and encountered more unique clones (persistent: Median=6.0 [5.5-8.0]; cleared: Median=4.0 [3.0-6.0]). Cleared infections had a significantly higher rate of new clone appearances than the persistent group. Maximum parasitaemia was similar for both groups, and new clone appearance often associated with parasitaemia peaks. Within the clearing group, parasitaemias at treatment were higher than those cleared naturally. Persistent infections had both significantly higher maximum complexity of infection (COI) and within-host clonal diversity and evenness (Shannon evenness), independently of COI or parasitaemia. In contrast, cleared infections showed more frequent clonal turnover and lower evenness, often dominated by overgrowth of individual clones.Persistent infections associated with broader antibody responses to </w:t>
      </w:r>
      <w:r w:rsidRPr="00FE5D1C">
        <w:rPr>
          <w:rFonts w:ascii="Calibri" w:eastAsia="Times New Roman" w:hAnsi="Calibri" w:cs="Calibri"/>
          <w:i/>
          <w:iCs/>
          <w:color w:val="000000"/>
          <w:kern w:val="0"/>
          <w:sz w:val="22"/>
          <w:szCs w:val="22"/>
          <w14:ligatures w14:val="none"/>
        </w:rPr>
        <w:t>P. falciparum</w:t>
      </w:r>
      <w:r w:rsidRPr="00FE5D1C">
        <w:rPr>
          <w:rFonts w:ascii="Calibri" w:eastAsia="Times New Roman" w:hAnsi="Calibri" w:cs="Calibri"/>
          <w:color w:val="000000"/>
          <w:kern w:val="0"/>
          <w:sz w:val="22"/>
          <w:szCs w:val="22"/>
          <w14:ligatures w14:val="none"/>
        </w:rPr>
        <w:t> proteins, including to </w:t>
      </w:r>
      <w:r w:rsidRPr="00FE5D1C">
        <w:rPr>
          <w:rFonts w:ascii="Calibri" w:eastAsia="Times New Roman" w:hAnsi="Calibri" w:cs="Calibri"/>
          <w:i/>
          <w:iCs/>
          <w:color w:val="000000"/>
          <w:kern w:val="0"/>
          <w:sz w:val="22"/>
          <w:szCs w:val="22"/>
          <w14:ligatures w14:val="none"/>
        </w:rPr>
        <w:t>var</w:t>
      </w:r>
      <w:r w:rsidRPr="00FE5D1C">
        <w:rPr>
          <w:rFonts w:ascii="Calibri" w:eastAsia="Times New Roman" w:hAnsi="Calibri" w:cs="Calibri"/>
          <w:color w:val="000000"/>
          <w:kern w:val="0"/>
          <w:sz w:val="22"/>
          <w:szCs w:val="22"/>
          <w14:ligatures w14:val="none"/>
        </w:rPr>
        <w:t> gene peptides encoding PfEMP1, possibly suppressing overgrowth of individual clones while allowing low-density infections to persist without symptoms. In contrast, narrower immune responses may favor clonal expansion often leading to treatment and clearance.We implemented within-host deterministic and stochastic mathematical models to clarify the role of exposure, immunity and inter-clonal dynamics in shaping the dry season reservoir.</w:t>
      </w:r>
    </w:p>
    <w:p w14:paraId="41AC717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25-A-2967-ASTMH</w:t>
      </w:r>
    </w:p>
    <w:p w14:paraId="0F8A41AB"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Drug Development and Clinical Trials</w:t>
      </w:r>
    </w:p>
    <w:p w14:paraId="4606099F"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First-in-human, single centre, open-label, dose-escalation phase 1 study in healthy adults to evaluate the safety and pharmacokinetic parameters of intranasal spraying of artesunate</w:t>
      </w:r>
    </w:p>
    <w:p w14:paraId="70AC040E"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lastRenderedPageBreak/>
        <w:t>Parenteral artesunate is currently the first-line therapy for severe malaria but is difficult to implement in the peripheral health facilities, and even more so in small children. The IV/IM route is invasive, requires aseptic technique, and trained medical staff to ensure its safety and its implementation. In this context, IV/IM administration of artesunate may be delayed or sub optimally implemented, and this may impact the prognosis of patients. Rectal administration of artesunate is recommended as pre-referral treatment. Although the rectal route allows for systemic absorption, this varies substantially between individuals, and some experience delayed diffusion. To decrease the case-fatality rate, effective treatment should be administered as soon as symptoms of severe malaria manifest. Nasal drug administration offers a noninvasive, simple, and safe route for artesunate that could provide a rapid drug absorption and diffusion. The high degree of vascularization of the nasal mucosae and its high permeability enables systemic drug concentration. A Phase I trial was conducted in Mali in 2024, testing the safety, tolerability and PK/PD of increasing doses of intranasal artesunate powder (PACTR202408719575384). Three dosing regimens (0.5, 1.0 and 2.4 mg/kg artesunate powder per dose) were assessed in 3 groups of 4 adults, males or non-pregnant and non-lactating females, aged 18-25 years (mean 21.8±2.2 yrs). The treatment was safe and well tolerated, with mild adverse events such as transient bitter taste and nasal stinging or burning sensation. No severe adverse events were noted either clinically or biologically. Pharmacokinetic study confirmed the rapid absorption of artesunate into the systemic circulation. The next step is to escalate the dose of intranasal artesunate to obtain the optimal safety and efficacy profile and evaluate this regimen in patients with malaria.</w:t>
      </w:r>
    </w:p>
    <w:p w14:paraId="1224917D"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25-A-2968-ASTMH</w:t>
      </w:r>
    </w:p>
    <w:p w14:paraId="1FEE1A6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Mosquitoes - Molecular Biology, Population Genetics and Genomics</w:t>
      </w:r>
    </w:p>
    <w:p w14:paraId="0C7727B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b/>
          <w:bCs/>
          <w:color w:val="000000"/>
          <w:kern w:val="0"/>
          <w:sz w:val="22"/>
          <w:szCs w:val="22"/>
          <w14:ligatures w14:val="none"/>
        </w:rPr>
        <w:t>Combined population diversity of </w:t>
      </w:r>
      <w:r w:rsidRPr="00FE5D1C">
        <w:rPr>
          <w:rFonts w:ascii="Calibri" w:eastAsia="Times New Roman" w:hAnsi="Calibri" w:cs="Calibri"/>
          <w:b/>
          <w:bCs/>
          <w:i/>
          <w:iCs/>
          <w:color w:val="000000"/>
          <w:kern w:val="0"/>
          <w:sz w:val="22"/>
          <w:szCs w:val="22"/>
          <w14:ligatures w14:val="none"/>
        </w:rPr>
        <w:t>Wolbachia</w:t>
      </w:r>
      <w:r w:rsidRPr="00FE5D1C">
        <w:rPr>
          <w:rFonts w:ascii="Calibri" w:eastAsia="Times New Roman" w:hAnsi="Calibri" w:cs="Calibri"/>
          <w:b/>
          <w:bCs/>
          <w:color w:val="000000"/>
          <w:kern w:val="0"/>
          <w:sz w:val="22"/>
          <w:szCs w:val="22"/>
          <w14:ligatures w14:val="none"/>
        </w:rPr>
        <w:t> strains and their host, </w:t>
      </w:r>
      <w:r w:rsidRPr="00FE5D1C">
        <w:rPr>
          <w:rFonts w:ascii="Calibri" w:eastAsia="Times New Roman" w:hAnsi="Calibri" w:cs="Calibri"/>
          <w:b/>
          <w:bCs/>
          <w:i/>
          <w:iCs/>
          <w:color w:val="000000"/>
          <w:kern w:val="0"/>
          <w:sz w:val="22"/>
          <w:szCs w:val="22"/>
          <w14:ligatures w14:val="none"/>
        </w:rPr>
        <w:t>Anopheles</w:t>
      </w:r>
      <w:r w:rsidRPr="00FE5D1C">
        <w:rPr>
          <w:rFonts w:ascii="Calibri" w:eastAsia="Times New Roman" w:hAnsi="Calibri" w:cs="Calibri"/>
          <w:b/>
          <w:bCs/>
          <w:color w:val="000000"/>
          <w:kern w:val="0"/>
          <w:sz w:val="22"/>
          <w:szCs w:val="22"/>
          <w14:ligatures w14:val="none"/>
        </w:rPr>
        <w:t> </w:t>
      </w:r>
      <w:r w:rsidRPr="00FE5D1C">
        <w:rPr>
          <w:rFonts w:ascii="Calibri" w:eastAsia="Times New Roman" w:hAnsi="Calibri" w:cs="Calibri"/>
          <w:b/>
          <w:bCs/>
          <w:i/>
          <w:iCs/>
          <w:color w:val="000000"/>
          <w:kern w:val="0"/>
          <w:sz w:val="22"/>
          <w:szCs w:val="22"/>
          <w14:ligatures w14:val="none"/>
        </w:rPr>
        <w:t>demeilloni</w:t>
      </w:r>
    </w:p>
    <w:p w14:paraId="523BC34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Recent definitive evidence for two distinct, high-density strains of supergroup B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within </w:t>
      </w:r>
      <w:r w:rsidRPr="00FE5D1C">
        <w:rPr>
          <w:rFonts w:ascii="Calibri" w:eastAsia="Times New Roman" w:hAnsi="Calibri" w:cs="Calibri"/>
          <w:i/>
          <w:iCs/>
          <w:color w:val="000000"/>
          <w:kern w:val="0"/>
          <w:sz w:val="22"/>
          <w:szCs w:val="22"/>
          <w14:ligatures w14:val="none"/>
        </w:rPr>
        <w:t>Anopheles demeilloni </w:t>
      </w:r>
      <w:r w:rsidRPr="00FE5D1C">
        <w:rPr>
          <w:rFonts w:ascii="Calibri" w:eastAsia="Times New Roman" w:hAnsi="Calibri" w:cs="Calibri"/>
          <w:color w:val="000000"/>
          <w:kern w:val="0"/>
          <w:sz w:val="22"/>
          <w:szCs w:val="22"/>
          <w14:ligatures w14:val="none"/>
        </w:rPr>
        <w:t>and </w:t>
      </w:r>
      <w:r w:rsidRPr="00FE5D1C">
        <w:rPr>
          <w:rFonts w:ascii="Calibri" w:eastAsia="Times New Roman" w:hAnsi="Calibri" w:cs="Calibri"/>
          <w:i/>
          <w:iCs/>
          <w:color w:val="000000"/>
          <w:kern w:val="0"/>
          <w:sz w:val="22"/>
          <w:szCs w:val="22"/>
          <w14:ligatures w14:val="none"/>
        </w:rPr>
        <w:t>Anopheles moucheti </w:t>
      </w:r>
      <w:r w:rsidRPr="00FE5D1C">
        <w:rPr>
          <w:rFonts w:ascii="Calibri" w:eastAsia="Times New Roman" w:hAnsi="Calibri" w:cs="Calibri"/>
          <w:color w:val="000000"/>
          <w:kern w:val="0"/>
          <w:sz w:val="22"/>
          <w:szCs w:val="22"/>
          <w14:ligatures w14:val="none"/>
        </w:rPr>
        <w:t>has opened exciting possibilities to understand naturally occurring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endosymbionts in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and why so few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species are stably infected by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Our genomic analyses showed that both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strains retained all key metabolic and transport pathways despite a smaller genome size than closely related isolates, with this reduction potentially attributable to degenerated prophage regions. Despite this reduction, we confirmed the presence of cytoplasmic incompatibility (CI) factor genes within both strains, although not positioned within the prophages as usually found in mosquito-associated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Whilst </w:t>
      </w:r>
      <w:r w:rsidRPr="00FE5D1C">
        <w:rPr>
          <w:rFonts w:ascii="Calibri" w:eastAsia="Times New Roman" w:hAnsi="Calibri" w:cs="Calibri"/>
          <w:i/>
          <w:iCs/>
          <w:color w:val="000000"/>
          <w:kern w:val="0"/>
          <w:sz w:val="22"/>
          <w:szCs w:val="22"/>
          <w14:ligatures w14:val="none"/>
        </w:rPr>
        <w:t>wAnD</w:t>
      </w:r>
      <w:r w:rsidRPr="00FE5D1C">
        <w:rPr>
          <w:rFonts w:ascii="Calibri" w:eastAsia="Times New Roman" w:hAnsi="Calibri" w:cs="Calibri"/>
          <w:color w:val="000000"/>
          <w:kern w:val="0"/>
          <w:sz w:val="22"/>
          <w:szCs w:val="22"/>
          <w14:ligatures w14:val="none"/>
        </w:rPr>
        <w:t> encodes intact copies of these genes, the </w:t>
      </w:r>
      <w:r w:rsidRPr="00FE5D1C">
        <w:rPr>
          <w:rFonts w:ascii="Calibri" w:eastAsia="Times New Roman" w:hAnsi="Calibri" w:cs="Calibri"/>
          <w:i/>
          <w:iCs/>
          <w:color w:val="000000"/>
          <w:kern w:val="0"/>
          <w:sz w:val="22"/>
          <w:szCs w:val="22"/>
          <w14:ligatures w14:val="none"/>
        </w:rPr>
        <w:t>cifB</w:t>
      </w:r>
      <w:r w:rsidRPr="00FE5D1C">
        <w:rPr>
          <w:rFonts w:ascii="Calibri" w:eastAsia="Times New Roman" w:hAnsi="Calibri" w:cs="Calibri"/>
          <w:color w:val="000000"/>
          <w:kern w:val="0"/>
          <w:sz w:val="22"/>
          <w:szCs w:val="22"/>
          <w14:ligatures w14:val="none"/>
        </w:rPr>
        <w:t> gene were interrupted in the first </w:t>
      </w:r>
      <w:r w:rsidRPr="00FE5D1C">
        <w:rPr>
          <w:rFonts w:ascii="Calibri" w:eastAsia="Times New Roman" w:hAnsi="Calibri" w:cs="Calibri"/>
          <w:i/>
          <w:iCs/>
          <w:color w:val="000000"/>
          <w:kern w:val="0"/>
          <w:sz w:val="22"/>
          <w:szCs w:val="22"/>
          <w14:ligatures w14:val="none"/>
        </w:rPr>
        <w:t>wAnM</w:t>
      </w:r>
      <w:r w:rsidRPr="00FE5D1C">
        <w:rPr>
          <w:rFonts w:ascii="Calibri" w:eastAsia="Times New Roman" w:hAnsi="Calibri" w:cs="Calibri"/>
          <w:color w:val="000000"/>
          <w:kern w:val="0"/>
          <w:sz w:val="22"/>
          <w:szCs w:val="22"/>
          <w14:ligatures w14:val="none"/>
        </w:rPr>
        <w:t> genome analysed. Additionally, phylogenetic analysis indicates that these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strains may have been introduced into these two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species via horizontal transmission events, rather than by ancestral acquisition and subsequent loss events in other </w:t>
      </w:r>
      <w:r w:rsidRPr="00FE5D1C">
        <w:rPr>
          <w:rFonts w:ascii="Calibri" w:eastAsia="Times New Roman" w:hAnsi="Calibri" w:cs="Calibri"/>
          <w:i/>
          <w:iCs/>
          <w:color w:val="000000"/>
          <w:kern w:val="0"/>
          <w:sz w:val="22"/>
          <w:szCs w:val="22"/>
          <w14:ligatures w14:val="none"/>
        </w:rPr>
        <w:t>Anopheles</w:t>
      </w:r>
      <w:r w:rsidRPr="00FE5D1C">
        <w:rPr>
          <w:rFonts w:ascii="Calibri" w:eastAsia="Times New Roman" w:hAnsi="Calibri" w:cs="Calibri"/>
          <w:color w:val="000000"/>
          <w:kern w:val="0"/>
          <w:sz w:val="22"/>
          <w:szCs w:val="22"/>
          <w14:ligatures w14:val="none"/>
        </w:rPr>
        <w:t> species known to be without stable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 infection. We have now followed this initial analysis on a larger number of sequenced genomes assessing in particular (remnant) phage and </w:t>
      </w:r>
      <w:r w:rsidRPr="00FE5D1C">
        <w:rPr>
          <w:rFonts w:ascii="Calibri" w:eastAsia="Times New Roman" w:hAnsi="Calibri" w:cs="Calibri"/>
          <w:i/>
          <w:iCs/>
          <w:color w:val="000000"/>
          <w:kern w:val="0"/>
          <w:sz w:val="22"/>
          <w:szCs w:val="22"/>
          <w14:ligatures w14:val="none"/>
        </w:rPr>
        <w:t>cif</w:t>
      </w:r>
      <w:r w:rsidRPr="00FE5D1C">
        <w:rPr>
          <w:rFonts w:ascii="Calibri" w:eastAsia="Times New Roman" w:hAnsi="Calibri" w:cs="Calibri"/>
          <w:color w:val="000000"/>
          <w:kern w:val="0"/>
          <w:sz w:val="22"/>
          <w:szCs w:val="22"/>
          <w14:ligatures w14:val="none"/>
        </w:rPr>
        <w:t> gene diversity, linked to the population structure of </w:t>
      </w:r>
      <w:r w:rsidRPr="00FE5D1C">
        <w:rPr>
          <w:rFonts w:ascii="Calibri" w:eastAsia="Times New Roman" w:hAnsi="Calibri" w:cs="Calibri"/>
          <w:i/>
          <w:iCs/>
          <w:color w:val="000000"/>
          <w:kern w:val="0"/>
          <w:sz w:val="22"/>
          <w:szCs w:val="22"/>
          <w14:ligatures w14:val="none"/>
        </w:rPr>
        <w:t>A. demeilloni</w:t>
      </w:r>
      <w:r w:rsidRPr="00FE5D1C">
        <w:rPr>
          <w:rFonts w:ascii="Calibri" w:eastAsia="Times New Roman" w:hAnsi="Calibri" w:cs="Calibri"/>
          <w:color w:val="000000"/>
          <w:kern w:val="0"/>
          <w:sz w:val="22"/>
          <w:szCs w:val="22"/>
          <w14:ligatures w14:val="none"/>
        </w:rPr>
        <w:t> itself, which will provide important insights into the natural diversity of </w:t>
      </w:r>
      <w:r w:rsidRPr="00FE5D1C">
        <w:rPr>
          <w:rFonts w:ascii="Calibri" w:eastAsia="Times New Roman" w:hAnsi="Calibri" w:cs="Calibri"/>
          <w:i/>
          <w:iCs/>
          <w:color w:val="000000"/>
          <w:kern w:val="0"/>
          <w:sz w:val="22"/>
          <w:szCs w:val="22"/>
          <w14:ligatures w14:val="none"/>
        </w:rPr>
        <w:t>Wolbachia</w:t>
      </w:r>
      <w:r w:rsidRPr="00FE5D1C">
        <w:rPr>
          <w:rFonts w:ascii="Calibri" w:eastAsia="Times New Roman" w:hAnsi="Calibri" w:cs="Calibri"/>
          <w:color w:val="000000"/>
          <w:kern w:val="0"/>
          <w:sz w:val="22"/>
          <w:szCs w:val="22"/>
          <w14:ligatures w14:val="none"/>
        </w:rPr>
        <w:t>-host combinations and conservation of traditionally dynamic regions like integrated phages.</w:t>
      </w:r>
    </w:p>
    <w:p w14:paraId="59BFDAFA"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25-A-2969-ASTMH</w:t>
      </w:r>
    </w:p>
    <w:p w14:paraId="304094A5"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Malaria - Prevention</w:t>
      </w:r>
    </w:p>
    <w:p w14:paraId="38934007"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Estimating the spatial and temporal variation in the epidemiological impact of insecticide-treated nets in malaria-endemic Africa</w:t>
      </w:r>
    </w:p>
    <w:p w14:paraId="040C2E54" w14:textId="77777777" w:rsidR="00FE5D1C" w:rsidRPr="00FE5D1C" w:rsidRDefault="00FE5D1C" w:rsidP="00FE5D1C">
      <w:pPr>
        <w:spacing w:before="100" w:beforeAutospacing="1" w:after="100" w:afterAutospacing="1" w:line="200" w:lineRule="atLeast"/>
        <w:rPr>
          <w:rFonts w:ascii="Calibri" w:eastAsia="Times New Roman" w:hAnsi="Calibri" w:cs="Calibri"/>
          <w:color w:val="000000"/>
          <w:kern w:val="0"/>
          <w:sz w:val="22"/>
          <w:szCs w:val="22"/>
          <w14:ligatures w14:val="none"/>
        </w:rPr>
      </w:pPr>
      <w:r w:rsidRPr="00FE5D1C">
        <w:rPr>
          <w:rFonts w:ascii="Calibri" w:eastAsia="Times New Roman" w:hAnsi="Calibri" w:cs="Calibri"/>
          <w:color w:val="000000"/>
          <w:kern w:val="0"/>
          <w:sz w:val="22"/>
          <w:szCs w:val="22"/>
          <w14:ligatures w14:val="none"/>
        </w:rPr>
        <w:t>The scale-up of insecticide-treated bed nets (ITNs) has been one of the major public health achievements of the 21st century to date, leading to substantial reductions in malaria burden. Whilst it is broadly accepted that ITNs work, there is growing urgency to understand </w:t>
      </w:r>
      <w:r w:rsidRPr="00FE5D1C">
        <w:rPr>
          <w:rFonts w:ascii="Calibri" w:eastAsia="Times New Roman" w:hAnsi="Calibri" w:cs="Calibri"/>
          <w:i/>
          <w:iCs/>
          <w:color w:val="000000"/>
          <w:kern w:val="0"/>
          <w:sz w:val="22"/>
          <w:szCs w:val="22"/>
          <w14:ligatures w14:val="none"/>
        </w:rPr>
        <w:t>when</w:t>
      </w:r>
      <w:r w:rsidRPr="00FE5D1C">
        <w:rPr>
          <w:rFonts w:ascii="Calibri" w:eastAsia="Times New Roman" w:hAnsi="Calibri" w:cs="Calibri"/>
          <w:color w:val="000000"/>
          <w:kern w:val="0"/>
          <w:sz w:val="22"/>
          <w:szCs w:val="22"/>
          <w14:ligatures w14:val="none"/>
        </w:rPr>
        <w:t> and </w:t>
      </w:r>
      <w:r w:rsidRPr="00FE5D1C">
        <w:rPr>
          <w:rFonts w:ascii="Calibri" w:eastAsia="Times New Roman" w:hAnsi="Calibri" w:cs="Calibri"/>
          <w:i/>
          <w:iCs/>
          <w:color w:val="000000"/>
          <w:kern w:val="0"/>
          <w:sz w:val="22"/>
          <w:szCs w:val="22"/>
          <w14:ligatures w14:val="none"/>
        </w:rPr>
        <w:t>where</w:t>
      </w:r>
      <w:r w:rsidRPr="00FE5D1C">
        <w:rPr>
          <w:rFonts w:ascii="Calibri" w:eastAsia="Times New Roman" w:hAnsi="Calibri" w:cs="Calibri"/>
          <w:color w:val="000000"/>
          <w:kern w:val="0"/>
          <w:sz w:val="22"/>
          <w:szCs w:val="22"/>
          <w14:ligatures w14:val="none"/>
        </w:rPr>
        <w:t xml:space="preserve"> they can be deployed most effectively in order to maximise their impact within fixed funding envelopes. The epidemiological impacts of ITN distributions are known to be spatio-temporally heterogeneous – shaped </w:t>
      </w:r>
      <w:r w:rsidRPr="00FE5D1C">
        <w:rPr>
          <w:rFonts w:ascii="Calibri" w:eastAsia="Times New Roman" w:hAnsi="Calibri" w:cs="Calibri"/>
          <w:color w:val="000000"/>
          <w:kern w:val="0"/>
          <w:sz w:val="22"/>
          <w:szCs w:val="22"/>
          <w14:ligatures w14:val="none"/>
        </w:rPr>
        <w:lastRenderedPageBreak/>
        <w:t>by local transmission intensity, vector ecology, and patterns of use and coverage – but, until now, there has been no comprehensive quantitative analysis of this heterogeneity.Here we combine a semi-mechanistic model of ITN coverage with a Bayesian geostatistical framework and a natural-history-based conversion to clinical incidence to estimate malaria cases averted by ITN distributions since 2000. Our model accounts for spatio-temporal variation in: (i) malaria control coverage; (ii) intrinsic transmission potential driven by environmental and socioeconomic factors; and (iii) vector susceptibility to pyrethroids. The effectiveness of ITNs (and other model components) is learned empirically as a function of (i) and (ii). The impact of long-lasting insecticidal nets (LLINs) is further moderated by (iii), with the magnitude of differential impact again learned empirically during model fitting.We estimate that ITNs have averted approximately 650 million clinical malaria cases since 2000, and that this impact has been heavily skewed: last year, the most effective quintile of ITNs averted more than four times as many cases as the least effective quintile. These findings demonstrate that ITNs remain a highly impactful form of malaria control, but that their public health benefit varies by setting in increasingly complex ways. Allocation strategies systematically informed by these underlying risk patterns have the potential to enhance health gains within fixed resource envelopes.</w:t>
      </w:r>
    </w:p>
    <w:p w14:paraId="19C8362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25-A-2970-ASTMH</w:t>
      </w:r>
    </w:p>
    <w:p w14:paraId="30D21F3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Ectoparasite-Borne Disease - Other</w:t>
      </w:r>
    </w:p>
    <w:p w14:paraId="0804E29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Surveillance of Arthropods and Associated Infectious Disease Pathogens in the Lao People’s Democratic Republic</w:t>
      </w:r>
    </w:p>
    <w:p w14:paraId="3E75919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Laos is a landlocked country, bordering nations with a high risk of novel infectious pathogen emergence. Biosurveillance in Laos is critical to reducing regional pathogen risk, but information on bacterial and viral pathogens transmitted by endemic arthropods is scarce. The U.S. Naval Medical Research Unit INDO-PACIFIC, in collaboration with the Institut Pasteur du Laos, and the Institut Pasteur conducted surveillance and pathogen trace analysis of arthropod vectors surveyed at four provinces of Laos from 2021 to 2024 in order to establish baseline knowledge of endemic pathogens, improve regional capabilities, and enhance preventive measures aligned with U.S. Department of Defense (DoD) Force Health Protection efforts.A total of 369 pools of 3,733 ticks collected from four provinces were screened for pan-phleboviruses and pan-flaviviruses by RT-PCR, all was negative. A subset of the pools was selected for </w:t>
      </w:r>
      <w:r w:rsidRPr="008B2783">
        <w:rPr>
          <w:rFonts w:ascii="Calibri" w:eastAsia="Times New Roman" w:hAnsi="Calibri" w:cs="Calibri"/>
          <w:i/>
          <w:iCs/>
          <w:color w:val="000000"/>
          <w:kern w:val="0"/>
          <w:sz w:val="22"/>
          <w:szCs w:val="22"/>
          <w14:ligatures w14:val="none"/>
        </w:rPr>
        <w:t>Rickettsia</w:t>
      </w:r>
      <w:r w:rsidRPr="008B2783">
        <w:rPr>
          <w:rFonts w:ascii="Calibri" w:eastAsia="Times New Roman" w:hAnsi="Calibri" w:cs="Calibri"/>
          <w:color w:val="000000"/>
          <w:kern w:val="0"/>
          <w:sz w:val="22"/>
          <w:szCs w:val="22"/>
          <w14:ligatures w14:val="none"/>
        </w:rPr>
        <w:t> spp. detection, with 124 out of 267 (46%) pools tested positive. Twenty-four out of 200 tick samples (12%) tested positive for </w:t>
      </w:r>
      <w:r w:rsidRPr="008B2783">
        <w:rPr>
          <w:rFonts w:ascii="Calibri" w:eastAsia="Times New Roman" w:hAnsi="Calibri" w:cs="Calibri"/>
          <w:i/>
          <w:iCs/>
          <w:color w:val="000000"/>
          <w:kern w:val="0"/>
          <w:sz w:val="22"/>
          <w:szCs w:val="22"/>
          <w14:ligatures w14:val="none"/>
        </w:rPr>
        <w:t>Ehrlichia</w:t>
      </w:r>
      <w:r w:rsidRPr="008B2783">
        <w:rPr>
          <w:rFonts w:ascii="Calibri" w:eastAsia="Times New Roman" w:hAnsi="Calibri" w:cs="Calibri"/>
          <w:color w:val="000000"/>
          <w:kern w:val="0"/>
          <w:sz w:val="22"/>
          <w:szCs w:val="22"/>
          <w14:ligatures w14:val="none"/>
        </w:rPr>
        <w:t> spp. bacteria. Preliminary meta-transcriptome analysis of the tick virome (58 tick pools) revealed at least five viruses of interest, including Mivirus</w:t>
      </w:r>
      <w:r w:rsidRPr="008B2783">
        <w:rPr>
          <w:rFonts w:ascii="Calibri" w:eastAsia="Times New Roman" w:hAnsi="Calibri" w:cs="Calibri"/>
          <w:i/>
          <w:iCs/>
          <w:color w:val="000000"/>
          <w:kern w:val="0"/>
          <w:sz w:val="22"/>
          <w:szCs w:val="22"/>
          <w14:ligatures w14:val="none"/>
        </w:rPr>
        <w:t> </w:t>
      </w:r>
      <w:r w:rsidRPr="008B2783">
        <w:rPr>
          <w:rFonts w:ascii="Calibri" w:eastAsia="Times New Roman" w:hAnsi="Calibri" w:cs="Calibri"/>
          <w:color w:val="000000"/>
          <w:kern w:val="0"/>
          <w:sz w:val="22"/>
          <w:szCs w:val="22"/>
          <w14:ligatures w14:val="none"/>
        </w:rPr>
        <w:t>sp. (family </w:t>
      </w:r>
      <w:r w:rsidRPr="008B2783">
        <w:rPr>
          <w:rFonts w:ascii="Calibri" w:eastAsia="Times New Roman" w:hAnsi="Calibri" w:cs="Calibri"/>
          <w:i/>
          <w:iCs/>
          <w:color w:val="000000"/>
          <w:kern w:val="0"/>
          <w:sz w:val="22"/>
          <w:szCs w:val="22"/>
          <w14:ligatures w14:val="none"/>
        </w:rPr>
        <w:t>Chuviridae</w:t>
      </w:r>
      <w:r w:rsidRPr="008B2783">
        <w:rPr>
          <w:rFonts w:ascii="Calibri" w:eastAsia="Times New Roman" w:hAnsi="Calibri" w:cs="Calibri"/>
          <w:color w:val="000000"/>
          <w:kern w:val="0"/>
          <w:sz w:val="22"/>
          <w:szCs w:val="22"/>
          <w14:ligatures w14:val="none"/>
        </w:rPr>
        <w:t>), Lihan tick virus (family </w:t>
      </w:r>
      <w:r w:rsidRPr="008B2783">
        <w:rPr>
          <w:rFonts w:ascii="Calibri" w:eastAsia="Times New Roman" w:hAnsi="Calibri" w:cs="Calibri"/>
          <w:i/>
          <w:iCs/>
          <w:color w:val="000000"/>
          <w:kern w:val="0"/>
          <w:sz w:val="22"/>
          <w:szCs w:val="22"/>
          <w14:ligatures w14:val="none"/>
        </w:rPr>
        <w:t>Phenuiviridae</w:t>
      </w:r>
      <w:r w:rsidRPr="008B2783">
        <w:rPr>
          <w:rFonts w:ascii="Calibri" w:eastAsia="Times New Roman" w:hAnsi="Calibri" w:cs="Calibri"/>
          <w:color w:val="000000"/>
          <w:kern w:val="0"/>
          <w:sz w:val="22"/>
          <w:szCs w:val="22"/>
          <w14:ligatures w14:val="none"/>
        </w:rPr>
        <w:t>), Wuhan tick virus 1 (family </w:t>
      </w:r>
      <w:r w:rsidRPr="008B2783">
        <w:rPr>
          <w:rFonts w:ascii="Calibri" w:eastAsia="Times New Roman" w:hAnsi="Calibri" w:cs="Calibri"/>
          <w:i/>
          <w:iCs/>
          <w:color w:val="000000"/>
          <w:kern w:val="0"/>
          <w:sz w:val="22"/>
          <w:szCs w:val="22"/>
          <w14:ligatures w14:val="none"/>
        </w:rPr>
        <w:t>Rhabdoviridae</w:t>
      </w:r>
      <w:r w:rsidRPr="008B2783">
        <w:rPr>
          <w:rFonts w:ascii="Calibri" w:eastAsia="Times New Roman" w:hAnsi="Calibri" w:cs="Calibri"/>
          <w:color w:val="000000"/>
          <w:kern w:val="0"/>
          <w:sz w:val="22"/>
          <w:szCs w:val="22"/>
          <w14:ligatures w14:val="none"/>
        </w:rPr>
        <w:t>), Jingmen tick virus (family </w:t>
      </w:r>
      <w:r w:rsidRPr="008B2783">
        <w:rPr>
          <w:rFonts w:ascii="Calibri" w:eastAsia="Times New Roman" w:hAnsi="Calibri" w:cs="Calibri"/>
          <w:i/>
          <w:iCs/>
          <w:color w:val="000000"/>
          <w:kern w:val="0"/>
          <w:sz w:val="22"/>
          <w:szCs w:val="22"/>
          <w14:ligatures w14:val="none"/>
        </w:rPr>
        <w:t>Flaviviridae</w:t>
      </w:r>
      <w:r w:rsidRPr="008B2783">
        <w:rPr>
          <w:rFonts w:ascii="Calibri" w:eastAsia="Times New Roman" w:hAnsi="Calibri" w:cs="Calibri"/>
          <w:color w:val="000000"/>
          <w:kern w:val="0"/>
          <w:sz w:val="22"/>
          <w:szCs w:val="22"/>
          <w14:ligatures w14:val="none"/>
        </w:rPr>
        <w:t>), and a virus related to Yanbian Ortho tick virus 1 (family </w:t>
      </w:r>
      <w:r w:rsidRPr="008B2783">
        <w:rPr>
          <w:rFonts w:ascii="Calibri" w:eastAsia="Times New Roman" w:hAnsi="Calibri" w:cs="Calibri"/>
          <w:i/>
          <w:iCs/>
          <w:color w:val="000000"/>
          <w:kern w:val="0"/>
          <w:sz w:val="22"/>
          <w:szCs w:val="22"/>
          <w14:ligatures w14:val="none"/>
        </w:rPr>
        <w:t>Orthomyxoviridae</w:t>
      </w:r>
      <w:r w:rsidRPr="008B2783">
        <w:rPr>
          <w:rFonts w:ascii="Calibri" w:eastAsia="Times New Roman" w:hAnsi="Calibri" w:cs="Calibri"/>
          <w:color w:val="000000"/>
          <w:kern w:val="0"/>
          <w:sz w:val="22"/>
          <w:szCs w:val="22"/>
          <w14:ligatures w14:val="none"/>
        </w:rPr>
        <w:t>). Finally, fifteen sandfly pools corresponding to 2,524 sandfly samples collected between 2021 and 2023 revealed a low prevalence of </w:t>
      </w:r>
      <w:r w:rsidRPr="008B2783">
        <w:rPr>
          <w:rFonts w:ascii="Calibri" w:eastAsia="Times New Roman" w:hAnsi="Calibri" w:cs="Calibri"/>
          <w:i/>
          <w:iCs/>
          <w:color w:val="000000"/>
          <w:kern w:val="0"/>
          <w:sz w:val="22"/>
          <w:szCs w:val="22"/>
          <w14:ligatures w14:val="none"/>
        </w:rPr>
        <w:t>Phlebovirus</w:t>
      </w:r>
      <w:r w:rsidRPr="008B2783">
        <w:rPr>
          <w:rFonts w:ascii="Calibri" w:eastAsia="Times New Roman" w:hAnsi="Calibri" w:cs="Calibri"/>
          <w:color w:val="000000"/>
          <w:kern w:val="0"/>
          <w:sz w:val="22"/>
          <w:szCs w:val="22"/>
          <w14:ligatures w14:val="none"/>
        </w:rPr>
        <w:t> spp.The preliminary data suggest a continued circulation of putative pathogens within endemic arthropod populations underscores the need for ongoing monitoring and a broader regional surveillance approach. Furthermore, carrying out more in-depth epidemiological studies related to tick/arthropod-borne pathogens in Laos and PCR testing for these pathogens in flu-like symptoms in patients exposed to tick/arthropod bites would provide valuable information as well as the pathogenicity of these pathogens to livestock and humans.</w:t>
      </w:r>
    </w:p>
    <w:p w14:paraId="3F6067A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25-A-2971-ASTMH</w:t>
      </w:r>
    </w:p>
    <w:p w14:paraId="7074C11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4A215AC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Cascades of effectiveness of new-generation insecticide-treated nets against malaria, from entomological trials to real-life conditions</w:t>
      </w:r>
    </w:p>
    <w:p w14:paraId="7CA3D3F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As insecticide resistance spreads in Africa, new-generation insecticide-treated nets (ITNs) are increasingly being deployed to protect populations against malaria. While these nets provide greater entomological efficacy against resistant mosquitoes, their effectiveness against malaria transmission </w:t>
      </w:r>
      <w:r w:rsidRPr="008B2783">
        <w:rPr>
          <w:rFonts w:ascii="Calibri" w:eastAsia="Times New Roman" w:hAnsi="Calibri" w:cs="Calibri"/>
          <w:color w:val="000000"/>
          <w:kern w:val="0"/>
          <w:sz w:val="22"/>
          <w:szCs w:val="22"/>
          <w14:ligatures w14:val="none"/>
        </w:rPr>
        <w:lastRenderedPageBreak/>
        <w:t>also depends on other factors, such as durability, access, usage, and activity patterns of human hosts and vectors. Here, we quantify the impact of two new-generation ITNs, namely Interceptor®G2 (chlorfenapyr-pyrethroid) and Olyset®Plus (piperonyl butoxide-pyrethroid), in a cascade from entomological efficacy to population-level effectiveness. We parameterize a pre-existing individual-based mathematical model of malaria transmission with entomological data from five experimental hut trials. Model predictions at the population level are then validated against results from two randomized controlled trials conducted in Tanzania. Finally, the model is used to derive effectiveness cascades for both ITN types. We found that, beyond entomological factors, operational factors including functional survival, ITN use and in-bed exposure critically impact ITN effectiveness overall and per ITN types. Our results obtained for Tanzania can be extended to other contexts in a dashboard (https://swisstph.shinyapps.io/ITNcascadesdashboard) allowing users to explore product selection based on setting-specific factors that influence ITN effectiveness.</w:t>
      </w:r>
    </w:p>
    <w:p w14:paraId="34077E8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25-A-2972-ASTMH</w:t>
      </w:r>
    </w:p>
    <w:p w14:paraId="1E8CD15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1B47AC1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Building an evidence base to inform the optimisation of insecticide-treated net distribution in three African settings</w:t>
      </w:r>
    </w:p>
    <w:p w14:paraId="27A255D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 the context of resource limitations, optimising the planning and delivery of ITN distribution represents a growing priority. This qualitative study explored ITN decision-making at national and subnational levels in three African settings—Cameroon, Côte d'Ivoire, and Tanzania—to better understand and compare the practical delivery of ITNs in these contexts. Using purposive sampling, we interviewed individuals involved in ITN planning and delivery, conducting semi-structured interviews at national and regional levels, and focus group discussions at district and delivery-point levels. A hybrid approach to thematic analysis was used to compare data across administrative levels and countries. Results are presented across key themes drawn from the World Health Organization health system building blocks, including leadership and governance, financing, commodities (ITN selection), the supply chain, stock management, service delivery, workforce, and monitoring and evaluation. Country findings commonly highlighted varying degrees of misalignment between the different strategic and administrative levels involved in ITN distribution. The study found that descriptions of national plans and directives differed from delivery experiences and practices at sub-national level. Areas where these differences were observed included training, data entry and utilisation, budget availability, and harmonisation between distribution mechanisms. Notable in the cross-country comparison was the varying definition of ITNs as a medical versus a non-medical commodity and its implications for ITN management within the supply chain. These findings highlight the many opportunities to learn and adapt practices based on real-world ITN distribution experiences, offering a roadmap for optimisation in an increasingly resource-limited environment.</w:t>
      </w:r>
    </w:p>
    <w:p w14:paraId="19C2C36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25-A-2973-ASTMH</w:t>
      </w:r>
    </w:p>
    <w:p w14:paraId="5FCF6B7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Maternal, Newborn and Child Health and Nutrition</w:t>
      </w:r>
    </w:p>
    <w:p w14:paraId="335B53C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Breaking Seasonal Norms: How Unusual Weather Shapes Stunting and Wasting of Children in Bangladesh</w:t>
      </w:r>
    </w:p>
    <w:p w14:paraId="51AAE4E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Bangladesh, highly vulnerable to climate change, faces frequent extreme weather events, including heat waves, erratic monsoons, and cyclones, which disrupt lives and livelihoods. This study explores the dynamics of these events and their impacts on child nutrition, analyzing both country-level patterns and district-level variations. Climate data from 2007 to 2020 and child nutrition data from the 2012 and 2019 Multiple Indicator Cluster Surveys were used. Multilevel mixed-effects models reveal significant associations between nutritional outcomes and climatic variables, such as pre and post-monsoon temperatures, extreme rainfall, and heat waves, with a 2-year lag. Stunting is significantly influenced by these climatic factors, alongside socio-demographic determinants like maternal education, wealth, access to safe water and sanitation, child age, and mother’s age. Wasting shows weaker but notable </w:t>
      </w:r>
      <w:r w:rsidRPr="008B2783">
        <w:rPr>
          <w:rFonts w:ascii="Calibri" w:eastAsia="Times New Roman" w:hAnsi="Calibri" w:cs="Calibri"/>
          <w:color w:val="000000"/>
          <w:kern w:val="0"/>
          <w:sz w:val="22"/>
          <w:szCs w:val="22"/>
          <w14:ligatures w14:val="none"/>
        </w:rPr>
        <w:lastRenderedPageBreak/>
        <w:t>associations with pre-monsoon rainfall and socio-economic factors such as handwashing and wealth as significant predictors. District-level variations highlight localized influences on malnutrition prevalence. Contrary to prior research, no significant urban-rural disparities were observed. Significant temporal and spatial climate trends were observed, including prolonged hotter seasons that affect child nutrition. The findings of this study call for a comprehensive approach to address malnutrition taking into consideration the seasonal changes including the recent revealing of unusual pre and post-monsoon high temperatures.</w:t>
      </w:r>
    </w:p>
    <w:p w14:paraId="241CF87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25-A-2974-ASTMH</w:t>
      </w:r>
    </w:p>
    <w:p w14:paraId="0674D90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Biology, Physiology and Immunity</w:t>
      </w:r>
    </w:p>
    <w:p w14:paraId="4BB7B02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Impact of humidity and temperature fluctuations on the expression of </w:t>
      </w:r>
      <w:r w:rsidRPr="008B2783">
        <w:rPr>
          <w:rFonts w:ascii="Calibri" w:eastAsia="Times New Roman" w:hAnsi="Calibri" w:cs="Calibri"/>
          <w:i/>
          <w:iCs/>
          <w:color w:val="000000"/>
          <w:kern w:val="0"/>
          <w:sz w:val="22"/>
          <w:szCs w:val="22"/>
          <w14:ligatures w14:val="none"/>
        </w:rPr>
        <w:t>Anopheles </w:t>
      </w:r>
      <w:r w:rsidRPr="008B2783">
        <w:rPr>
          <w:rFonts w:ascii="Calibri" w:eastAsia="Times New Roman" w:hAnsi="Calibri" w:cs="Calibri"/>
          <w:color w:val="000000"/>
          <w:kern w:val="0"/>
          <w:sz w:val="22"/>
          <w:szCs w:val="22"/>
          <w14:ligatures w14:val="none"/>
        </w:rPr>
        <w:t>genetic target candidates for malaria control</w:t>
      </w:r>
    </w:p>
    <w:p w14:paraId="60EE69C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malaria mosquito innate immune system is a major regulator of vector competence and malaria transmission. Mosquitoes in nature are influenced by environmental factors that shape their biology. However, the extent to which climatic factors affect the mosquito immunity with repercussions to malaria transmission remains mostly unexplored. A limited number of studies focused on the role of temperature on mosquito immunity. However, most of these studies used static temperature settings that do not reflect the environmental variability mosquitoes and pathogens encounter in nature. Moreover, the role of humidity on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immune responses has been ignored. In this study, we aim at understanding how realistic fluctuations in temperature and humidity affect mosquito immune responses to bacterial infection with consequences for </w:t>
      </w:r>
      <w:r w:rsidRPr="008B2783">
        <w:rPr>
          <w:rFonts w:ascii="Calibri" w:eastAsia="Times New Roman" w:hAnsi="Calibri" w:cs="Calibri"/>
          <w:i/>
          <w:iCs/>
          <w:color w:val="000000"/>
          <w:kern w:val="0"/>
          <w:sz w:val="22"/>
          <w:szCs w:val="22"/>
          <w14:ligatures w14:val="none"/>
        </w:rPr>
        <w:t>Plasmodium</w:t>
      </w:r>
      <w:r w:rsidRPr="008B2783">
        <w:rPr>
          <w:rFonts w:ascii="Calibri" w:eastAsia="Times New Roman" w:hAnsi="Calibri" w:cs="Calibri"/>
          <w:color w:val="000000"/>
          <w:kern w:val="0"/>
          <w:sz w:val="22"/>
          <w:szCs w:val="22"/>
          <w14:ligatures w14:val="none"/>
        </w:rPr>
        <w:t> transmission. The experimental approach we employ challenges standard methods relying on fixed optimal temperature and humidity parameters. Instead, we incorporate ecological realism (i.e. variable temperature/humidity) into our study by mimicking current and potential future climate change scenarios in nature. Using qRT-PCR analyses and infection assays, we discovered </w:t>
      </w:r>
      <w:r w:rsidRPr="008B2783">
        <w:rPr>
          <w:rFonts w:ascii="Calibri" w:eastAsia="Times New Roman" w:hAnsi="Calibri" w:cs="Calibri"/>
          <w:i/>
          <w:iCs/>
          <w:color w:val="000000"/>
          <w:kern w:val="0"/>
          <w:sz w:val="22"/>
          <w:szCs w:val="22"/>
          <w14:ligatures w14:val="none"/>
        </w:rPr>
        <w:t>Anopheles </w:t>
      </w:r>
      <w:r w:rsidRPr="008B2783">
        <w:rPr>
          <w:rFonts w:ascii="Calibri" w:eastAsia="Times New Roman" w:hAnsi="Calibri" w:cs="Calibri"/>
          <w:color w:val="000000"/>
          <w:kern w:val="0"/>
          <w:sz w:val="22"/>
          <w:szCs w:val="22"/>
          <w14:ligatures w14:val="none"/>
        </w:rPr>
        <w:t>genes with immunity and/or </w:t>
      </w:r>
      <w:r w:rsidRPr="008B2783">
        <w:rPr>
          <w:rFonts w:ascii="Calibri" w:eastAsia="Times New Roman" w:hAnsi="Calibri" w:cs="Calibri"/>
          <w:i/>
          <w:iCs/>
          <w:color w:val="000000"/>
          <w:kern w:val="0"/>
          <w:sz w:val="22"/>
          <w:szCs w:val="22"/>
          <w14:ligatures w14:val="none"/>
        </w:rPr>
        <w:t>Plasmodium</w:t>
      </w:r>
      <w:r w:rsidRPr="008B2783">
        <w:rPr>
          <w:rFonts w:ascii="Calibri" w:eastAsia="Times New Roman" w:hAnsi="Calibri" w:cs="Calibri"/>
          <w:color w:val="000000"/>
          <w:kern w:val="0"/>
          <w:sz w:val="22"/>
          <w:szCs w:val="22"/>
          <w14:ligatures w14:val="none"/>
        </w:rPr>
        <w:t> infection modulating functions that are differentially expressed in mosquitoes exposed to current climate or future climate according to climate change projections. In addition, we observed that humidity and temperature variations selectively affect the fitness of </w:t>
      </w:r>
      <w:r w:rsidRPr="008B2783">
        <w:rPr>
          <w:rFonts w:ascii="Calibri" w:eastAsia="Times New Roman" w:hAnsi="Calibri" w:cs="Calibri"/>
          <w:i/>
          <w:iCs/>
          <w:color w:val="000000"/>
          <w:kern w:val="0"/>
          <w:sz w:val="22"/>
          <w:szCs w:val="22"/>
          <w14:ligatures w14:val="none"/>
        </w:rPr>
        <w:t>Anopheles stephensi</w:t>
      </w:r>
      <w:r w:rsidRPr="008B2783">
        <w:rPr>
          <w:rFonts w:ascii="Calibri" w:eastAsia="Times New Roman" w:hAnsi="Calibri" w:cs="Calibri"/>
          <w:color w:val="000000"/>
          <w:kern w:val="0"/>
          <w:sz w:val="22"/>
          <w:szCs w:val="22"/>
          <w14:ligatures w14:val="none"/>
        </w:rPr>
        <w:t> mosquitoes at different developmental stages, impacting vector competence. Using CRISPR/Cas9-mediated gene knockout, or knockin, of </w:t>
      </w:r>
      <w:r w:rsidRPr="008B2783">
        <w:rPr>
          <w:rFonts w:ascii="Calibri" w:eastAsia="Times New Roman" w:hAnsi="Calibri" w:cs="Calibri"/>
          <w:i/>
          <w:iCs/>
          <w:color w:val="000000"/>
          <w:kern w:val="0"/>
          <w:sz w:val="22"/>
          <w:szCs w:val="22"/>
          <w14:ligatures w14:val="none"/>
        </w:rPr>
        <w:t>Plasmodium</w:t>
      </w:r>
      <w:r w:rsidRPr="008B2783">
        <w:rPr>
          <w:rFonts w:ascii="Calibri" w:eastAsia="Times New Roman" w:hAnsi="Calibri" w:cs="Calibri"/>
          <w:color w:val="000000"/>
          <w:kern w:val="0"/>
          <w:sz w:val="22"/>
          <w:szCs w:val="22"/>
          <w14:ligatures w14:val="none"/>
        </w:rPr>
        <w:t> host/restriction factors (that facilitate/block </w:t>
      </w:r>
      <w:r w:rsidRPr="008B2783">
        <w:rPr>
          <w:rFonts w:ascii="Calibri" w:eastAsia="Times New Roman" w:hAnsi="Calibri" w:cs="Calibri"/>
          <w:i/>
          <w:iCs/>
          <w:color w:val="000000"/>
          <w:kern w:val="0"/>
          <w:sz w:val="22"/>
          <w:szCs w:val="22"/>
          <w14:ligatures w14:val="none"/>
        </w:rPr>
        <w:t>Plasmodium</w:t>
      </w:r>
      <w:r w:rsidRPr="008B2783">
        <w:rPr>
          <w:rFonts w:ascii="Calibri" w:eastAsia="Times New Roman" w:hAnsi="Calibri" w:cs="Calibri"/>
          <w:color w:val="000000"/>
          <w:kern w:val="0"/>
          <w:sz w:val="22"/>
          <w:szCs w:val="22"/>
          <w14:ligatures w14:val="none"/>
        </w:rPr>
        <w:t> replication in the mosquito, respectively) as in previous studies (Simões </w:t>
      </w:r>
      <w:r w:rsidRPr="008B2783">
        <w:rPr>
          <w:rFonts w:ascii="Calibri" w:eastAsia="Times New Roman" w:hAnsi="Calibri" w:cs="Calibri"/>
          <w:i/>
          <w:iCs/>
          <w:color w:val="000000"/>
          <w:kern w:val="0"/>
          <w:sz w:val="22"/>
          <w:szCs w:val="22"/>
          <w14:ligatures w14:val="none"/>
        </w:rPr>
        <w:t>et al.</w:t>
      </w:r>
      <w:r w:rsidRPr="008B2783">
        <w:rPr>
          <w:rFonts w:ascii="Calibri" w:eastAsia="Times New Roman" w:hAnsi="Calibri" w:cs="Calibri"/>
          <w:color w:val="000000"/>
          <w:kern w:val="0"/>
          <w:sz w:val="22"/>
          <w:szCs w:val="22"/>
          <w14:ligatures w14:val="none"/>
        </w:rPr>
        <w:t> 2017, 2022), the novel genetic targets identified here can be exploited for the engineering of fit-for-purpose transgenic vectors for malaria transmission reduction in climate change-affected regions.</w:t>
      </w:r>
    </w:p>
    <w:p w14:paraId="355C5F9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25-A-2975-ASTMH</w:t>
      </w:r>
    </w:p>
    <w:p w14:paraId="33CCFAF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Surveillance and Data Utilization</w:t>
      </w:r>
    </w:p>
    <w:p w14:paraId="59C4323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How are malaria allocations decided? Global Fund Grant Cycle 7 experiences in four African countries</w:t>
      </w:r>
    </w:p>
    <w:p w14:paraId="56C73E1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National malaria control programmes (NMCPs) face complex decisions around planning, budgeting, allocation, and prioritisation of resources. To understand the resource allocation process in action, this qualitative study documented the experiences of four NMCPs – Cameroon, Côte d'Ivoire, South Sudan, and Tanzania – when making funding requests to the Global Fund for Grant Cycle 7. This study focused on decisions around the allocation of malaria commodities and the selection of insecticide-treated nets (ITNs). Semi-structured interviews were conducted with key decision-makers and partners, identified through chain-referral sampling. Thematic analysis was employed to describe decision-making factors. Cross-country results showed contextual factors affecting the allocation process, including availability of reliable data, scientific evidence, and alternative funding sources. While insecticide resistance data was referenced as the main decision-making factor in ITN selection, the study found that other factors, including ITN specifications, logistics, and costing were considered to varying degrees. In some cases, decisions on ITN selection entailed mediation and compromise between stakeholders during the funding request process. Notably, ITN size and height emerged as discussion points for countries requesting dual </w:t>
      </w:r>
      <w:r w:rsidRPr="008B2783">
        <w:rPr>
          <w:rFonts w:ascii="Calibri" w:eastAsia="Times New Roman" w:hAnsi="Calibri" w:cs="Calibri"/>
          <w:color w:val="000000"/>
          <w:kern w:val="0"/>
          <w:sz w:val="22"/>
          <w:szCs w:val="22"/>
          <w14:ligatures w14:val="none"/>
        </w:rPr>
        <w:lastRenderedPageBreak/>
        <w:t>active ingredient nets, where participants reported that smaller size nets had to be allocated compared to what was requested. While these changes were attributed to cost limitations and lack of evidence to justify larger sizes, participants raised concerns about a potential reduction in population usage and thus effective coverage. These findings provide a snapshot of the malaria allocation processes that unfold in resource-constrained environments, offering insights into countries’ experiences and opportunities to learn from them.</w:t>
      </w:r>
    </w:p>
    <w:p w14:paraId="34A52D6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25-A-2976-ASTMH</w:t>
      </w:r>
    </w:p>
    <w:p w14:paraId="3FCC963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Vaccines and Immunotherapeutics</w:t>
      </w:r>
    </w:p>
    <w:p w14:paraId="26ABEA9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Preclinical Trial of a Viral-Vectored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Multistage Vaccine: Toward Enhanced Protective and Transmission-Blocking Immunity</w:t>
      </w:r>
    </w:p>
    <w:p w14:paraId="2C5278B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We have developed an innovative and effective malaria vaccine platform, m8∆/AAV1, which consists of two viral vectors. This platform builds on a proven viral-vectored vaccine approach, utilizing a highly attenuated vaccinia strain LC16m8Δ (m8∆) and adeno-associated virus type 1 (AAV1) expressing a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Pfs25-PfCSP fusion protein. The vaccine, m8∆/AAV1-Pf(s25-CSP), is designed to integrate with the WHO Expanded Program on Immunization (EPI) for infants.A heterologous m8Δ-prime/AAV1-boost regimen has demonstrated high efficacy in both protection and transmission-blocking in a murine model. Its immunity is notably long-lasting compared to that of other malaria vaccines tested in the same assays.This study evaluated the safety and efficacy of m8∆/AAV1-Pf(s25-CSP) in a non-human primate model. Four Rhesus macaques and six Macaca fascicularis were immunized with the m8Δ-prime/AAV1-boost regimen, inducing strong PfCSP- and Pfs25-specific IgG responses in all monkeys. Impressively, vaccine-induced immunity lasted over six months and neutralized PfCSP/Pb sporozoites </w:t>
      </w:r>
      <w:r w:rsidRPr="008B2783">
        <w:rPr>
          <w:rFonts w:ascii="Calibri" w:eastAsia="Times New Roman" w:hAnsi="Calibri" w:cs="Calibri"/>
          <w:i/>
          <w:iCs/>
          <w:color w:val="000000"/>
          <w:kern w:val="0"/>
          <w:sz w:val="22"/>
          <w:szCs w:val="22"/>
          <w14:ligatures w14:val="none"/>
        </w:rPr>
        <w:t>in vitro</w:t>
      </w:r>
      <w:r w:rsidRPr="008B2783">
        <w:rPr>
          <w:rFonts w:ascii="Calibri" w:eastAsia="Times New Roman" w:hAnsi="Calibri" w:cs="Calibri"/>
          <w:color w:val="000000"/>
          <w:kern w:val="0"/>
          <w:sz w:val="22"/>
          <w:szCs w:val="22"/>
          <w14:ligatures w14:val="none"/>
        </w:rPr>
        <w:t> and blocked transmission against Pfs25/Pb. Interestingly, all monkeys that received m8∆ in the prime immunization generated high titers of neutralizing antibodies against the currently circulating Mpox viruses.These findings confirm that our vaccine shows extensive high-quality preclinical data, a robust antibody response, Mpox neutralizing activity, resulting in substantial efficacy against malaria’s pre-erythrocytic and sexual stages in non-human primates. Given its promising profile, m8∆/AAV1-Pf(s25-CSP) warrants further development as a novel alternative to protein-in-adjuvant vaccines such as RTS,S and R21, with potential clinical translation.</w:t>
      </w:r>
    </w:p>
    <w:p w14:paraId="72ED0B1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25-A-2977-ASTMH</w:t>
      </w:r>
    </w:p>
    <w:p w14:paraId="0ACF8E0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Maternal, Newborn and Child Health and Nutrition</w:t>
      </w:r>
    </w:p>
    <w:p w14:paraId="57889B8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Histopathological Findings in Placentas from Stillbirths: Insights from Child Health and Mortality Prevention Surveillance (CHAMPS) Bangladesh</w:t>
      </w:r>
    </w:p>
    <w:p w14:paraId="2EC4577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Placental histopathology provides essential insights into the factors contributing to stillbirth. However, in low-resource settings, placental examination is infrequently used in stillbirth evaluations. CHAMPS is a multi-country program that aims to understand and track preventable causes of stillbirths and childhood deaths across ten countries through postmortem, minimally invasive tissue sampling (MITS), and other data sources. The CHAMPS program integrates placental histopathology with MITS to assign causes of death in stillbirths. This analysis aims to understand the common placental pathological findings associated with stillbirth and examine how frequently they were incorporated into cause-of-death assignments in CHAMPS Bangladesh. A panel of clinical and laboratory experts reviewed 528 stillbirths between March 2018 and 2025 and assigned underlying maternal or fetal causes based on histopathology, molecular and microbiological diagnostics, clinical abstraction, and verbal autopsies. Among these, placental tissue was available in 353 cases (67%). The most common histopathological abnormalities included maternal vascular malperfusion in 42% (150/353), infarction in 22% (78/353), and inflammatory lesions such as chorioamnionitis, chorionitis, or subchorionitis in 26% (92/353). Additional findings included immature placenta in 10% (36/353), fetal vascular malperfusion in 6% (20/353), minimal non-specific or unremarkable changes in 19% (68/353), and other abnormalities in 7% (24/353). Despite the high frequency of placental lesions, only 11% (39/353) were incorporated into the </w:t>
      </w:r>
      <w:r w:rsidRPr="008B2783">
        <w:rPr>
          <w:rFonts w:ascii="Calibri" w:eastAsia="Times New Roman" w:hAnsi="Calibri" w:cs="Calibri"/>
          <w:color w:val="000000"/>
          <w:kern w:val="0"/>
          <w:sz w:val="22"/>
          <w:szCs w:val="22"/>
          <w14:ligatures w14:val="none"/>
        </w:rPr>
        <w:lastRenderedPageBreak/>
        <w:t>causal chain. Of these, 36% were attributed to chorioamnionitis, 41% to idiopathic placental insufficiency, 10% to abruptio placentae, 5% to cord-related conditions, and 8% to other causes. This highlights the need to strengthen the understanding of the relationship between placental lesions and stillbirths to support their integration into the causal chain, ultimately improving cause-of-death attribution and guiding targeted prevention strategies in resource-limited settings.</w:t>
      </w:r>
    </w:p>
    <w:p w14:paraId="3D5CA25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25-A-2978-ASTMH</w:t>
      </w:r>
    </w:p>
    <w:p w14:paraId="25CC8DD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Clinical Tropical Medicine</w:t>
      </w:r>
    </w:p>
    <w:p w14:paraId="336B423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“Call, Photo, Treat”: an on-demand home treatment algorithm mitigates benznidazole-related rash in patients with Chagas disease</w:t>
      </w:r>
    </w:p>
    <w:p w14:paraId="34D7CCD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Benznidazole is a first-line antiparasitic medication for </w:t>
      </w:r>
      <w:r w:rsidRPr="008B2783">
        <w:rPr>
          <w:rFonts w:ascii="Calibri" w:eastAsia="Times New Roman" w:hAnsi="Calibri" w:cs="Calibri"/>
          <w:i/>
          <w:iCs/>
          <w:color w:val="000000"/>
          <w:kern w:val="0"/>
          <w:sz w:val="22"/>
          <w:szCs w:val="22"/>
          <w14:ligatures w14:val="none"/>
        </w:rPr>
        <w:t>Trypanosoma cruzi </w:t>
      </w:r>
      <w:r w:rsidRPr="008B2783">
        <w:rPr>
          <w:rFonts w:ascii="Calibri" w:eastAsia="Times New Roman" w:hAnsi="Calibri" w:cs="Calibri"/>
          <w:color w:val="000000"/>
          <w:kern w:val="0"/>
          <w:sz w:val="22"/>
          <w:szCs w:val="22"/>
          <w14:ligatures w14:val="none"/>
        </w:rPr>
        <w:t>(Chagas disease), a protozoan infection endemic to Latin America. Rash occurs in 25-50% of adults receiving benznidazole and is the leading cause of treatment discontinuation. Cutaneous symptoms may cause significant discomfort, pruritus, and stigma due to visible skin changes. Patients require close monitoring to mitigate side effects and prevent progression to severe or life-threatening reactions. We developed a “Call, Photo, Treat” algorithm using a home self-treatment pack to enable rapid and safe management of benznidazole-related cutaneous adverse events. We included 18 patients treated with benznidazole as part of a prospective natural history study for Chagas disease at the US National Institutes of Health from 2020-2025. All patients received a home self-treatment pack containing cetirizine, topical steroids, oral prednisone, and a written or pictorial action plan for side effects. For rash or swelling, patients were instructed to take cetirizine, apply topical steroids as needed, take a photo of the rash, contact a study physician, and stop benznidazole until receiving further guidance. Twelve patients (67%) treated with benznidazole developed a rash, at a median of 12 days (range 9 - 49). All 12 used the self-treatment pack within 48 hours of symptom onset, and 9 (75%) within 24 hours. Eleven (92%) took cetirizine, 7 (58%) applied topical steroids and 9 (75%) took oral prednisone. Of those with rash, 6 (50%) received benznidazole dose reduction, 7 (58%) interrupted treatment and 5 (42%) permanently discontinued benznidazole after &lt;=14 days of antiparasitics. Six patients (50%) with rash ultimately completed at least 75% of the target benznidazole dose. Adverse events were mild to moderate in severity, and no patient was hospitalized. An on-demand home treatment pack with physician telephone support enabled patients with benznidazole-related rash to rapidly mitigate symptoms and provided a framework for safe monitoring. There were no serious adverse events, and half of patients experiencing rash completed the majority of the benznidazole course.</w:t>
      </w:r>
    </w:p>
    <w:p w14:paraId="55D90E1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25-A-2979-ASTMH</w:t>
      </w:r>
    </w:p>
    <w:p w14:paraId="02FD9F7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Antimalarial Resistance and Chemotherapy</w:t>
      </w:r>
    </w:p>
    <w:p w14:paraId="56DB19F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Therapeutic efficacy of Artemether-Lumefantrine for uncomplicated</w:t>
      </w:r>
      <w:r w:rsidRPr="008B2783">
        <w:rPr>
          <w:rFonts w:ascii="Calibri" w:eastAsia="Times New Roman" w:hAnsi="Calibri" w:cs="Calibri"/>
          <w:i/>
          <w:iCs/>
          <w:color w:val="000000"/>
          <w:kern w:val="0"/>
          <w:sz w:val="22"/>
          <w:szCs w:val="22"/>
          <w14:ligatures w14:val="none"/>
        </w:rPr>
        <w:t>Plasmodium falciparum </w:t>
      </w:r>
      <w:r w:rsidRPr="008B2783">
        <w:rPr>
          <w:rFonts w:ascii="Calibri" w:eastAsia="Times New Roman" w:hAnsi="Calibri" w:cs="Calibri"/>
          <w:color w:val="000000"/>
          <w:kern w:val="0"/>
          <w:sz w:val="22"/>
          <w:szCs w:val="22"/>
          <w14:ligatures w14:val="none"/>
        </w:rPr>
        <w:t>malaria in children: A multi-site study in Mozambique, 2024</w:t>
      </w:r>
    </w:p>
    <w:p w14:paraId="2E7F864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Mozambique remains among the top ten countries with the highest malaria burden globally. As recommended by the World Health Organization (WHO), routine monitoring of artemisinin-based combination therapies is critical to guide effective treatment policies and detect emerging resistance. This study evaluated the therapeutic efficacy and safety of artemether-lumefantrine (AL) for treating uncomplicated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malaria in children at four sentinel sites across Mozambique. A similar study in 2022 showed day 28 corrected efficacy for AL ranged from 98 to 100% . In 2024, children aged 6 months to 11 years with confirmed uncomplicated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xml:space="preserve"> malaria (1,000-200,000 parasites/µL) were enrolled in the Massinga (South), Dondo and Mopeia (Central), and Cuamba (North) districts. All participants received directly observed AL treatment and were followed for 28 days to assess adequate clinical and parasitological response. PCR correction is ongoing. A total of 379 children were enrolled: Massinga (n=95), Dondo (n=96), Mopeia (n=93), and Cuamba (n=95). Overall, 2.9% (11/379) of participants were lost to follow-up or withdrew. The PCR-uncorrected efficacies were: Massinga 98.9% (95% CI: 94.0-100), Dondo 96.8% (95% CI: 90.9-99.3), Mopeia 98.9% (95% CI: 94.0-100), </w:t>
      </w:r>
      <w:r w:rsidRPr="008B2783">
        <w:rPr>
          <w:rFonts w:ascii="Calibri" w:eastAsia="Times New Roman" w:hAnsi="Calibri" w:cs="Calibri"/>
          <w:color w:val="000000"/>
          <w:kern w:val="0"/>
          <w:sz w:val="22"/>
          <w:szCs w:val="22"/>
          <w14:ligatures w14:val="none"/>
        </w:rPr>
        <w:lastRenderedPageBreak/>
        <w:t>and Cuamba 97.9% (95% CI: 92.5-99.7). AL was well tolerated, with only minor adverse events reported. These findings confirm the high efficacy and favorable safety profile of AL in Mozambique and support its continued use as first-line treatment. Ongoing surveillance remains essential to ensure treatment effectiveness and detect early resistance signals.</w:t>
      </w:r>
    </w:p>
    <w:p w14:paraId="6D500E9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25-A-2980-ASTMH</w:t>
      </w:r>
    </w:p>
    <w:p w14:paraId="334C8FC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Bacteriology - Antimicrobial Resistance</w:t>
      </w:r>
    </w:p>
    <w:p w14:paraId="1B354FF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Antibiotic resistant coagulase-negative staphylococci isolated from stillbirths and postmortem neonatal samples: are these ignorable?</w:t>
      </w:r>
    </w:p>
    <w:p w14:paraId="67497BD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Coagulase-negative staphylococci (CoNS), common commensals of human skin, have gained increasing attention as potential pathogens, particularly in vulnerable populations such as neonates or immunocompromised patients. Furthermore, some CoNS isolates are resistant to antibiotics, with methicillin resistance in some cases. This study reports findings from the Child Health and Mortality Prevention Surveillance (CHAMPS) study in Bangladesh on the detection of CoNS in postmortem blood and cerebrospinal fluid (CSF) samples collected from stillbirths and neonatal deaths in Bangladesh. Between September 2017 and February 2024, we detected CoNS in 213 deaths among 876 minimally invasive tissue sampling (MITS) procedures performed. Among these, 179 (20.4%) CoNS isolates were detected from both blood or CSF within 48 hours of incubation. Among these 179 cases, 53% (95/179) were stillbirths and 46% (82/179) neonatal deaths. Alarmingly, 79% (141/179) of the detected isolates were multidrug-resistant (MDR), while 1.1% (2/179) were extensively drug-resistant (XDR). An expert panel reviewed laboratory, pathology, clinical, verbal autopsy, and demographic data to determine if infectious agents caused the deaths. Infectious agents were assigned as the cause of death in 20% (35/179) of these cases, and CoNS was considered in the causal chain in only 9% (3/35) of the infection attributed deaths; two were neonates, and one was a stillbirth. Our findings suggest that antibiotic-resistant CoNS can be pathogenic and could lead to death, at least among vulnerable populations. Genomic investigations to compare pathogenic and nonpathogenic CoNS strains could characterize the disease-causing mechanism.</w:t>
      </w:r>
    </w:p>
    <w:p w14:paraId="091FC68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25-A-2981-ASTMH</w:t>
      </w:r>
    </w:p>
    <w:p w14:paraId="231045C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4252564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Cencurut virus (CENV): A shrew-borne </w:t>
      </w:r>
      <w:r w:rsidRPr="008B2783">
        <w:rPr>
          <w:rFonts w:ascii="Calibri" w:eastAsia="Times New Roman" w:hAnsi="Calibri" w:cs="Calibri"/>
          <w:b/>
          <w:bCs/>
          <w:i/>
          <w:iCs/>
          <w:color w:val="000000"/>
          <w:kern w:val="0"/>
          <w:sz w:val="22"/>
          <w:szCs w:val="22"/>
          <w14:ligatures w14:val="none"/>
        </w:rPr>
        <w:t>Orthonairo virus </w:t>
      </w:r>
      <w:r w:rsidRPr="008B2783">
        <w:rPr>
          <w:rFonts w:ascii="Calibri" w:eastAsia="Times New Roman" w:hAnsi="Calibri" w:cs="Calibri"/>
          <w:b/>
          <w:bCs/>
          <w:color w:val="000000"/>
          <w:kern w:val="0"/>
          <w:sz w:val="22"/>
          <w:szCs w:val="22"/>
          <w14:ligatures w14:val="none"/>
        </w:rPr>
        <w:t>with an expanded host range in urban rodents.</w:t>
      </w:r>
    </w:p>
    <w:p w14:paraId="6BC50AA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Cencurut virus (CENV) is a shrew-borne </w:t>
      </w:r>
      <w:r w:rsidRPr="008B2783">
        <w:rPr>
          <w:rFonts w:ascii="Calibri" w:eastAsia="Times New Roman" w:hAnsi="Calibri" w:cs="Calibri"/>
          <w:i/>
          <w:iCs/>
          <w:color w:val="000000"/>
          <w:kern w:val="0"/>
          <w:sz w:val="22"/>
          <w:szCs w:val="22"/>
          <w14:ligatures w14:val="none"/>
        </w:rPr>
        <w:t>Orthonairovirus,</w:t>
      </w:r>
      <w:r w:rsidRPr="008B2783">
        <w:rPr>
          <w:rFonts w:ascii="Calibri" w:eastAsia="Times New Roman" w:hAnsi="Calibri" w:cs="Calibri"/>
          <w:color w:val="000000"/>
          <w:kern w:val="0"/>
          <w:sz w:val="22"/>
          <w:szCs w:val="22"/>
          <w14:ligatures w14:val="none"/>
        </w:rPr>
        <w:t> phylogenetically classified as a member of the </w:t>
      </w:r>
      <w:r w:rsidRPr="008B2783">
        <w:rPr>
          <w:rFonts w:ascii="Calibri" w:eastAsia="Times New Roman" w:hAnsi="Calibri" w:cs="Calibri"/>
          <w:i/>
          <w:iCs/>
          <w:color w:val="000000"/>
          <w:kern w:val="0"/>
          <w:sz w:val="22"/>
          <w:szCs w:val="22"/>
          <w14:ligatures w14:val="none"/>
        </w:rPr>
        <w:t>Thiafora Orthonairovirus</w:t>
      </w:r>
      <w:r w:rsidRPr="008B2783">
        <w:rPr>
          <w:rFonts w:ascii="Calibri" w:eastAsia="Times New Roman" w:hAnsi="Calibri" w:cs="Calibri"/>
          <w:color w:val="000000"/>
          <w:kern w:val="0"/>
          <w:sz w:val="22"/>
          <w:szCs w:val="22"/>
          <w14:ligatures w14:val="none"/>
        </w:rPr>
        <w:t> genogroup. It was discovered in Asian house shrews (</w:t>
      </w:r>
      <w:r w:rsidRPr="008B2783">
        <w:rPr>
          <w:rFonts w:ascii="Calibri" w:eastAsia="Times New Roman" w:hAnsi="Calibri" w:cs="Calibri"/>
          <w:i/>
          <w:iCs/>
          <w:color w:val="000000"/>
          <w:kern w:val="0"/>
          <w:sz w:val="22"/>
          <w:szCs w:val="22"/>
          <w14:ligatures w14:val="none"/>
        </w:rPr>
        <w:t>Suncus murinus</w:t>
      </w:r>
      <w:r w:rsidRPr="008B2783">
        <w:rPr>
          <w:rFonts w:ascii="Calibri" w:eastAsia="Times New Roman" w:hAnsi="Calibri" w:cs="Calibri"/>
          <w:color w:val="000000"/>
          <w:kern w:val="0"/>
          <w:sz w:val="22"/>
          <w:szCs w:val="22"/>
          <w14:ligatures w14:val="none"/>
        </w:rPr>
        <w:t>) in Singapore in 2023, at a high detection rate of 91.9% (n=34/37) and notable genetic variation among genomes (nucleotide identity: 95.0 to 98.6%). </w:t>
      </w:r>
      <w:r w:rsidRPr="008B2783">
        <w:rPr>
          <w:rFonts w:ascii="Calibri" w:eastAsia="Times New Roman" w:hAnsi="Calibri" w:cs="Calibri"/>
          <w:i/>
          <w:iCs/>
          <w:color w:val="000000"/>
          <w:kern w:val="0"/>
          <w:sz w:val="22"/>
          <w:szCs w:val="22"/>
          <w14:ligatures w14:val="none"/>
        </w:rPr>
        <w:t>Orthonairoviruses</w:t>
      </w:r>
      <w:r w:rsidRPr="008B2783">
        <w:rPr>
          <w:rFonts w:ascii="Calibri" w:eastAsia="Times New Roman" w:hAnsi="Calibri" w:cs="Calibri"/>
          <w:color w:val="000000"/>
          <w:kern w:val="0"/>
          <w:sz w:val="22"/>
          <w:szCs w:val="22"/>
          <w14:ligatures w14:val="none"/>
        </w:rPr>
        <w:t> are typically classified as tick-borne viruses that infect a wide range of birds and mammalian hosts, including humans. However, no arthropod hosts have been described for the </w:t>
      </w:r>
      <w:r w:rsidRPr="008B2783">
        <w:rPr>
          <w:rFonts w:ascii="Calibri" w:eastAsia="Times New Roman" w:hAnsi="Calibri" w:cs="Calibri"/>
          <w:i/>
          <w:iCs/>
          <w:color w:val="000000"/>
          <w:kern w:val="0"/>
          <w:sz w:val="22"/>
          <w:szCs w:val="22"/>
          <w14:ligatures w14:val="none"/>
        </w:rPr>
        <w:t>Thiafora Orthonairovirus</w:t>
      </w:r>
      <w:r w:rsidRPr="008B2783">
        <w:rPr>
          <w:rFonts w:ascii="Calibri" w:eastAsia="Times New Roman" w:hAnsi="Calibri" w:cs="Calibri"/>
          <w:color w:val="000000"/>
          <w:kern w:val="0"/>
          <w:sz w:val="22"/>
          <w:szCs w:val="22"/>
          <w14:ligatures w14:val="none"/>
        </w:rPr>
        <w:t> genogroup. Since the discovery of CENV, further investigations have been initiated to study its tissue tropism and host specificity, which are reported in this study. We suspect that CENV causes a systemic viral infection in its host, as high viral loads were detected across all examined organs. The highest viral load was observed in the kidney, ranging from 2.8x10</w:t>
      </w:r>
      <w:r w:rsidRPr="008B2783">
        <w:rPr>
          <w:rFonts w:ascii="Calibri" w:eastAsia="Times New Roman" w:hAnsi="Calibri" w:cs="Calibri"/>
          <w:color w:val="000000"/>
          <w:kern w:val="0"/>
          <w:sz w:val="22"/>
          <w:szCs w:val="22"/>
          <w:vertAlign w:val="superscript"/>
          <w14:ligatures w14:val="none"/>
        </w:rPr>
        <w:t>2</w:t>
      </w:r>
      <w:r w:rsidRPr="008B2783">
        <w:rPr>
          <w:rFonts w:ascii="Calibri" w:eastAsia="Times New Roman" w:hAnsi="Calibri" w:cs="Calibri"/>
          <w:color w:val="000000"/>
          <w:kern w:val="0"/>
          <w:sz w:val="22"/>
          <w:szCs w:val="22"/>
          <w14:ligatures w14:val="none"/>
        </w:rPr>
        <w:t> to 1.6x10</w:t>
      </w:r>
      <w:r w:rsidRPr="008B2783">
        <w:rPr>
          <w:rFonts w:ascii="Calibri" w:eastAsia="Times New Roman" w:hAnsi="Calibri" w:cs="Calibri"/>
          <w:color w:val="000000"/>
          <w:kern w:val="0"/>
          <w:sz w:val="22"/>
          <w:szCs w:val="22"/>
          <w:vertAlign w:val="superscript"/>
          <w14:ligatures w14:val="none"/>
        </w:rPr>
        <w:t>9</w:t>
      </w:r>
      <w:r w:rsidRPr="008B2783">
        <w:rPr>
          <w:rFonts w:ascii="Calibri" w:eastAsia="Times New Roman" w:hAnsi="Calibri" w:cs="Calibri"/>
          <w:color w:val="000000"/>
          <w:kern w:val="0"/>
          <w:sz w:val="22"/>
          <w:szCs w:val="22"/>
          <w14:ligatures w14:val="none"/>
        </w:rPr>
        <w:t> viral copies per mg of tissue (average=2.0x10</w:t>
      </w:r>
      <w:r w:rsidRPr="008B2783">
        <w:rPr>
          <w:rFonts w:ascii="Calibri" w:eastAsia="Times New Roman" w:hAnsi="Calibri" w:cs="Calibri"/>
          <w:color w:val="000000"/>
          <w:kern w:val="0"/>
          <w:sz w:val="22"/>
          <w:szCs w:val="22"/>
          <w:vertAlign w:val="superscript"/>
          <w14:ligatures w14:val="none"/>
        </w:rPr>
        <w:t>8</w:t>
      </w:r>
      <w:r w:rsidRPr="008B2783">
        <w:rPr>
          <w:rFonts w:ascii="Calibri" w:eastAsia="Times New Roman" w:hAnsi="Calibri" w:cs="Calibri"/>
          <w:color w:val="000000"/>
          <w:kern w:val="0"/>
          <w:sz w:val="22"/>
          <w:szCs w:val="22"/>
          <w14:ligatures w14:val="none"/>
        </w:rPr>
        <w:t>), followed by spleen, lung, liver, intestines, brain and muscle. This study also reports the first detection of CENV in rodents, specifically in urban species including </w:t>
      </w:r>
      <w:r w:rsidRPr="008B2783">
        <w:rPr>
          <w:rFonts w:ascii="Calibri" w:eastAsia="Times New Roman" w:hAnsi="Calibri" w:cs="Calibri"/>
          <w:i/>
          <w:iCs/>
          <w:color w:val="000000"/>
          <w:kern w:val="0"/>
          <w:sz w:val="22"/>
          <w:szCs w:val="22"/>
          <w14:ligatures w14:val="none"/>
        </w:rPr>
        <w:t>Rattus norvegicus</w:t>
      </w:r>
      <w:r w:rsidRPr="008B2783">
        <w:rPr>
          <w:rFonts w:ascii="Calibri" w:eastAsia="Times New Roman" w:hAnsi="Calibri" w:cs="Calibri"/>
          <w:color w:val="000000"/>
          <w:kern w:val="0"/>
          <w:sz w:val="22"/>
          <w:szCs w:val="22"/>
          <w14:ligatures w14:val="none"/>
        </w:rPr>
        <w:t> (n=2/21), </w:t>
      </w:r>
      <w:r w:rsidRPr="008B2783">
        <w:rPr>
          <w:rFonts w:ascii="Calibri" w:eastAsia="Times New Roman" w:hAnsi="Calibri" w:cs="Calibri"/>
          <w:i/>
          <w:iCs/>
          <w:color w:val="000000"/>
          <w:kern w:val="0"/>
          <w:sz w:val="22"/>
          <w:szCs w:val="22"/>
          <w14:ligatures w14:val="none"/>
        </w:rPr>
        <w:t>R. tanezumi</w:t>
      </w:r>
      <w:r w:rsidRPr="008B2783">
        <w:rPr>
          <w:rFonts w:ascii="Calibri" w:eastAsia="Times New Roman" w:hAnsi="Calibri" w:cs="Calibri"/>
          <w:color w:val="000000"/>
          <w:kern w:val="0"/>
          <w:sz w:val="22"/>
          <w:szCs w:val="22"/>
          <w14:ligatures w14:val="none"/>
        </w:rPr>
        <w:t> (n=2/32) and </w:t>
      </w:r>
      <w:r w:rsidRPr="008B2783">
        <w:rPr>
          <w:rFonts w:ascii="Calibri" w:eastAsia="Times New Roman" w:hAnsi="Calibri" w:cs="Calibri"/>
          <w:i/>
          <w:iCs/>
          <w:color w:val="000000"/>
          <w:kern w:val="0"/>
          <w:sz w:val="22"/>
          <w:szCs w:val="22"/>
          <w14:ligatures w14:val="none"/>
        </w:rPr>
        <w:t>Mus castaneus</w:t>
      </w:r>
      <w:r w:rsidRPr="008B2783">
        <w:rPr>
          <w:rFonts w:ascii="Calibri" w:eastAsia="Times New Roman" w:hAnsi="Calibri" w:cs="Calibri"/>
          <w:color w:val="000000"/>
          <w:kern w:val="0"/>
          <w:sz w:val="22"/>
          <w:szCs w:val="22"/>
          <w14:ligatures w14:val="none"/>
        </w:rPr>
        <w:t> (n=1/21). CENV was not detected in peri-urban species such as </w:t>
      </w:r>
      <w:r w:rsidRPr="008B2783">
        <w:rPr>
          <w:rFonts w:ascii="Calibri" w:eastAsia="Times New Roman" w:hAnsi="Calibri" w:cs="Calibri"/>
          <w:i/>
          <w:iCs/>
          <w:color w:val="000000"/>
          <w:kern w:val="0"/>
          <w:sz w:val="22"/>
          <w:szCs w:val="22"/>
          <w14:ligatures w14:val="none"/>
        </w:rPr>
        <w:t>Callosciurus notatus, R. exulans, R. tiomanicus, Sundamys annandalei, Sundasciurus tenuis </w:t>
      </w:r>
      <w:r w:rsidRPr="008B2783">
        <w:rPr>
          <w:rFonts w:ascii="Calibri" w:eastAsia="Times New Roman" w:hAnsi="Calibri" w:cs="Calibri"/>
          <w:color w:val="000000"/>
          <w:kern w:val="0"/>
          <w:sz w:val="22"/>
          <w:szCs w:val="22"/>
          <w14:ligatures w14:val="none"/>
        </w:rPr>
        <w:t>or </w:t>
      </w:r>
      <w:r w:rsidRPr="008B2783">
        <w:rPr>
          <w:rFonts w:ascii="Calibri" w:eastAsia="Times New Roman" w:hAnsi="Calibri" w:cs="Calibri"/>
          <w:i/>
          <w:iCs/>
          <w:color w:val="000000"/>
          <w:kern w:val="0"/>
          <w:sz w:val="22"/>
          <w:szCs w:val="22"/>
          <w14:ligatures w14:val="none"/>
        </w:rPr>
        <w:t>Tupaia glis</w:t>
      </w:r>
      <w:r w:rsidRPr="008B2783">
        <w:rPr>
          <w:rFonts w:ascii="Calibri" w:eastAsia="Times New Roman" w:hAnsi="Calibri" w:cs="Calibri"/>
          <w:color w:val="000000"/>
          <w:kern w:val="0"/>
          <w:sz w:val="22"/>
          <w:szCs w:val="22"/>
          <w14:ligatures w14:val="none"/>
        </w:rPr>
        <w:t>, though this may be due to small sample size. Future steps will include generating full genomes from rodent-derived CENV to investigate potential host switching mutations and explore CENV presence in small mammals from Cambodia.</w:t>
      </w:r>
    </w:p>
    <w:p w14:paraId="01379F1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25-A-2982-ASTMH</w:t>
      </w:r>
    </w:p>
    <w:p w14:paraId="4DDEDBC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Global Health - Diversity, Inclusion, Decolonization and Human Rights</w:t>
      </w:r>
    </w:p>
    <w:p w14:paraId="79A2DB8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Comparative Analysis of Social and Digital Vulnerability Indices in Ethiopia and Uganda: Gender Based Disparities and Context-Specific Patterns</w:t>
      </w:r>
    </w:p>
    <w:p w14:paraId="77CDAF9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Introduction</w:t>
      </w:r>
      <w:r w:rsidRPr="008B2783">
        <w:rPr>
          <w:rFonts w:ascii="Calibri" w:eastAsia="Times New Roman" w:hAnsi="Calibri" w:cs="Calibri"/>
          <w:color w:val="000000"/>
          <w:kern w:val="0"/>
          <w:sz w:val="22"/>
          <w:szCs w:val="22"/>
          <w14:ligatures w14:val="none"/>
        </w:rPr>
        <w:t>There is increasing demand to study the progress towards health equity in Africa. This study presents a comprehensive Social Vulnerability Index (SVI) comparing Ethiopia and Uganda using data from the Social and Digital Determinants of Health (SDDOH) studies.</w:t>
      </w:r>
      <w:r w:rsidRPr="008B2783">
        <w:rPr>
          <w:rFonts w:ascii="Calibri" w:eastAsia="Times New Roman" w:hAnsi="Calibri" w:cs="Calibri"/>
          <w:color w:val="000000"/>
          <w:kern w:val="0"/>
          <w:sz w:val="22"/>
          <w:szCs w:val="22"/>
          <w14:ligatures w14:val="none"/>
        </w:rPr>
        <w:br/>
      </w:r>
      <w:r w:rsidRPr="008B2783">
        <w:rPr>
          <w:rFonts w:ascii="Calibri" w:eastAsia="Times New Roman" w:hAnsi="Calibri" w:cs="Calibri"/>
          <w:b/>
          <w:bCs/>
          <w:color w:val="000000"/>
          <w:kern w:val="0"/>
          <w:sz w:val="22"/>
          <w:szCs w:val="22"/>
          <w14:ligatures w14:val="none"/>
        </w:rPr>
        <w:t>Methods</w:t>
      </w:r>
      <w:r w:rsidRPr="008B2783">
        <w:rPr>
          <w:rFonts w:ascii="Calibri" w:eastAsia="Times New Roman" w:hAnsi="Calibri" w:cs="Calibri"/>
          <w:color w:val="000000"/>
          <w:kern w:val="0"/>
          <w:sz w:val="22"/>
          <w:szCs w:val="22"/>
          <w14:ligatures w14:val="none"/>
        </w:rPr>
        <w:t>This cross-sectional study, conducted in 2024, used stratified sampling at the Hararghe Health and Demographic Surveillance Site (HDSS), Ethiopia and Iganga-Mayuge HDSS, Uganda. The SVI comprised four domains: Digital Exclusion (30%), Economic Vulnerability (30%), Healthcare Access (20%), and Social Support (20%). Each domain included multiple indicators, with higher scores reflecting greater vulnerability.</w:t>
      </w:r>
      <w:r w:rsidRPr="008B2783">
        <w:rPr>
          <w:rFonts w:ascii="Calibri" w:eastAsia="Times New Roman" w:hAnsi="Calibri" w:cs="Calibri"/>
          <w:color w:val="000000"/>
          <w:kern w:val="0"/>
          <w:sz w:val="22"/>
          <w:szCs w:val="22"/>
          <w14:ligatures w14:val="none"/>
        </w:rPr>
        <w:br/>
      </w:r>
      <w:r w:rsidRPr="008B2783">
        <w:rPr>
          <w:rFonts w:ascii="Calibri" w:eastAsia="Times New Roman" w:hAnsi="Calibri" w:cs="Calibri"/>
          <w:b/>
          <w:bCs/>
          <w:color w:val="000000"/>
          <w:kern w:val="0"/>
          <w:sz w:val="22"/>
          <w:szCs w:val="22"/>
          <w14:ligatures w14:val="none"/>
        </w:rPr>
        <w:t>Results</w:t>
      </w:r>
      <w:r w:rsidRPr="008B2783">
        <w:rPr>
          <w:rFonts w:ascii="Calibri" w:eastAsia="Times New Roman" w:hAnsi="Calibri" w:cs="Calibri"/>
          <w:color w:val="000000"/>
          <w:kern w:val="0"/>
          <w:sz w:val="22"/>
          <w:szCs w:val="22"/>
          <w14:ligatures w14:val="none"/>
        </w:rPr>
        <w:t>Data was collected from 1,851 participants (905- Ethiopia, 946 -Uganda). Figure 1 shows a multi-panel visualization of SVI patterns. Despite similar overall SVI scores (Ethiopia: 58.1, Uganda: 58.8), Ethiopia experienced greater digital exclusion (69.0 vs. 61.0) and Uganda showed higher economic vulnerability (64.3 vs. 56.8). Ethiopia exhibited a broader gender gap (22.0 vs 11.1 points) and significantly lower digital literacy (17.5% vs 44.4%). In both countries, elderly and adolescent females face substantially higher vulnerability than males, highlighting the importance of gender-responsive approaches that address the context-specific SDDOH. Despite similar overall vulnerability scores, Ethiopia faced more severe digital exclusion (69.0 vs 61.0) and wider gender disparities (22.0 vs 11.1), while Uganda showed greater economic vulnerability (64.3 vs 56.8). Elderly females were most vulnerable (Ethiopia: 72.3, Uganda: 68.9).</w:t>
      </w:r>
      <w:r w:rsidRPr="008B2783">
        <w:rPr>
          <w:rFonts w:ascii="Calibri" w:eastAsia="Times New Roman" w:hAnsi="Calibri" w:cs="Calibri"/>
          <w:color w:val="000000"/>
          <w:kern w:val="0"/>
          <w:sz w:val="22"/>
          <w:szCs w:val="22"/>
          <w14:ligatures w14:val="none"/>
        </w:rPr>
        <w:br/>
      </w:r>
      <w:r w:rsidRPr="008B2783">
        <w:rPr>
          <w:rFonts w:ascii="Calibri" w:eastAsia="Times New Roman" w:hAnsi="Calibri" w:cs="Calibri"/>
          <w:b/>
          <w:bCs/>
          <w:color w:val="000000"/>
          <w:kern w:val="0"/>
          <w:sz w:val="22"/>
          <w:szCs w:val="22"/>
          <w14:ligatures w14:val="none"/>
        </w:rPr>
        <w:t>Conclusion</w:t>
      </w:r>
      <w:r w:rsidRPr="008B2783">
        <w:rPr>
          <w:rFonts w:ascii="Calibri" w:eastAsia="Times New Roman" w:hAnsi="Calibri" w:cs="Calibri"/>
          <w:color w:val="000000"/>
          <w:kern w:val="0"/>
          <w:sz w:val="22"/>
          <w:szCs w:val="22"/>
          <w14:ligatures w14:val="none"/>
        </w:rPr>
        <w:t>This analysis underscores the necessity for tailored interventions, highlighting that while Ethiopia requires digital inclusion initiatives, Uganda would benefit more from economic support programs. Furthermore, the critical role of gender as a determinant of vulnerability calls for gender-responsive strategies in addressing these challenges in each country.</w:t>
      </w:r>
    </w:p>
    <w:p w14:paraId="28D678B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25-A-2983-ASTMH</w:t>
      </w:r>
    </w:p>
    <w:p w14:paraId="46E0FEB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Bacteriology - Antimicrobial Resistance</w:t>
      </w:r>
    </w:p>
    <w:p w14:paraId="4099435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Increased colonization with antibiotic resistant bacteria in the genitourinary tract of pregnant women following a hospital stay in Bangladesh</w:t>
      </w:r>
    </w:p>
    <w:p w14:paraId="52BA5B8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Antibiotic-resistant bacteria (ARB) colonizing the genitourinary tract of pregnant women during late pregnancy could pose a risk for stillbirth and early neonatal illness and death. Identifying where and how colonization occurs is crucial for maternal and neonatal health. This study examined maternal colonization by analyzing ARB in women admitted for delivery at a tertiary care hospital in Bangladesh and follow-up specimens collected after 24-72 hours of hospital stay.Maternal blood for culture, vaginal swabs (VS), and urine culture specimens (UCS) were collected at hospital admission and at least 24 hours after delivery (if discharged before 72 hours) or after 72 hours of hospital stay (VS and UCS). Between November 2024 and March 2025, baseline specimens were collected from 101 women, and follow-up specimens were collected from 82 (81%). If their neonates were hospitalized for illness, blood samples were also collected from these babies. ARB identification and antibiotic susceptibility test was performed using the Vitek-2 system. Bacteria were detected most frequently in VS (36.1%; 30/83 at admission, 66.7%; 52/78 at follow-up)</w:t>
      </w:r>
      <w:r w:rsidRPr="008B2783">
        <w:rPr>
          <w:rFonts w:ascii="Calibri" w:eastAsia="Times New Roman" w:hAnsi="Calibri" w:cs="Calibri"/>
          <w:color w:val="000000"/>
          <w:kern w:val="0"/>
          <w:sz w:val="22"/>
          <w:szCs w:val="22"/>
          <w14:ligatures w14:val="none"/>
        </w:rPr>
        <w:br/>
        <w:t>and UCS (5.2%; 5/97 at admission, 40.2%; 33/82 at follow-up). At admission, </w:t>
      </w:r>
      <w:r w:rsidRPr="008B2783">
        <w:rPr>
          <w:rFonts w:ascii="Calibri" w:eastAsia="Times New Roman" w:hAnsi="Calibri" w:cs="Calibri"/>
          <w:i/>
          <w:iCs/>
          <w:color w:val="000000"/>
          <w:kern w:val="0"/>
          <w:sz w:val="22"/>
          <w:szCs w:val="22"/>
          <w14:ligatures w14:val="none"/>
        </w:rPr>
        <w:t>Escherichia coli</w:t>
      </w:r>
      <w:r w:rsidRPr="008B2783">
        <w:rPr>
          <w:rFonts w:ascii="Calibri" w:eastAsia="Times New Roman" w:hAnsi="Calibri" w:cs="Calibri"/>
          <w:color w:val="000000"/>
          <w:kern w:val="0"/>
          <w:sz w:val="22"/>
          <w:szCs w:val="22"/>
          <w14:ligatures w14:val="none"/>
        </w:rPr>
        <w:t> (13.3%; 11/83), </w:t>
      </w:r>
      <w:r w:rsidRPr="008B2783">
        <w:rPr>
          <w:rFonts w:ascii="Calibri" w:eastAsia="Times New Roman" w:hAnsi="Calibri" w:cs="Calibri"/>
          <w:i/>
          <w:iCs/>
          <w:color w:val="000000"/>
          <w:kern w:val="0"/>
          <w:sz w:val="22"/>
          <w:szCs w:val="22"/>
          <w14:ligatures w14:val="none"/>
        </w:rPr>
        <w:t>Sphingomonas paucimobilis</w:t>
      </w:r>
      <w:r w:rsidRPr="008B2783">
        <w:rPr>
          <w:rFonts w:ascii="Calibri" w:eastAsia="Times New Roman" w:hAnsi="Calibri" w:cs="Calibri"/>
          <w:color w:val="000000"/>
          <w:kern w:val="0"/>
          <w:sz w:val="22"/>
          <w:szCs w:val="22"/>
          <w14:ligatures w14:val="none"/>
        </w:rPr>
        <w:t> (8.4%; 7/83), and </w:t>
      </w:r>
      <w:r w:rsidRPr="008B2783">
        <w:rPr>
          <w:rFonts w:ascii="Calibri" w:eastAsia="Times New Roman" w:hAnsi="Calibri" w:cs="Calibri"/>
          <w:i/>
          <w:iCs/>
          <w:color w:val="000000"/>
          <w:kern w:val="0"/>
          <w:sz w:val="22"/>
          <w:szCs w:val="22"/>
          <w14:ligatures w14:val="none"/>
        </w:rPr>
        <w:t>Klebsiella pneumoniae</w:t>
      </w:r>
      <w:r w:rsidRPr="008B2783">
        <w:rPr>
          <w:rFonts w:ascii="Calibri" w:eastAsia="Times New Roman" w:hAnsi="Calibri" w:cs="Calibri"/>
          <w:color w:val="000000"/>
          <w:kern w:val="0"/>
          <w:sz w:val="22"/>
          <w:szCs w:val="22"/>
          <w14:ligatures w14:val="none"/>
        </w:rPr>
        <w:t> (3.6%; 3/83) were the most frequently identified in VS. After discharge VS revealed a shift in dominant bacterial species, with </w:t>
      </w:r>
      <w:r w:rsidRPr="008B2783">
        <w:rPr>
          <w:rFonts w:ascii="Calibri" w:eastAsia="Times New Roman" w:hAnsi="Calibri" w:cs="Calibri"/>
          <w:i/>
          <w:iCs/>
          <w:color w:val="000000"/>
          <w:kern w:val="0"/>
          <w:sz w:val="22"/>
          <w:szCs w:val="22"/>
          <w14:ligatures w14:val="none"/>
        </w:rPr>
        <w:t>E. coli</w:t>
      </w:r>
      <w:r w:rsidRPr="008B2783">
        <w:rPr>
          <w:rFonts w:ascii="Calibri" w:eastAsia="Times New Roman" w:hAnsi="Calibri" w:cs="Calibri"/>
          <w:color w:val="000000"/>
          <w:kern w:val="0"/>
          <w:sz w:val="22"/>
          <w:szCs w:val="22"/>
          <w14:ligatures w14:val="none"/>
        </w:rPr>
        <w:t> (51.3%; 40/78), </w:t>
      </w:r>
      <w:r w:rsidRPr="008B2783">
        <w:rPr>
          <w:rFonts w:ascii="Calibri" w:eastAsia="Times New Roman" w:hAnsi="Calibri" w:cs="Calibri"/>
          <w:i/>
          <w:iCs/>
          <w:color w:val="000000"/>
          <w:kern w:val="0"/>
          <w:sz w:val="22"/>
          <w:szCs w:val="22"/>
          <w14:ligatures w14:val="none"/>
        </w:rPr>
        <w:t>Acinetobacter baumannii</w:t>
      </w:r>
      <w:r w:rsidRPr="008B2783">
        <w:rPr>
          <w:rFonts w:ascii="Calibri" w:eastAsia="Times New Roman" w:hAnsi="Calibri" w:cs="Calibri"/>
          <w:color w:val="000000"/>
          <w:kern w:val="0"/>
          <w:sz w:val="22"/>
          <w:szCs w:val="22"/>
          <w14:ligatures w14:val="none"/>
        </w:rPr>
        <w:t> (28.2%; 22/78), and </w:t>
      </w:r>
      <w:r w:rsidRPr="008B2783">
        <w:rPr>
          <w:rFonts w:ascii="Calibri" w:eastAsia="Times New Roman" w:hAnsi="Calibri" w:cs="Calibri"/>
          <w:i/>
          <w:iCs/>
          <w:color w:val="000000"/>
          <w:kern w:val="0"/>
          <w:sz w:val="22"/>
          <w:szCs w:val="22"/>
          <w14:ligatures w14:val="none"/>
        </w:rPr>
        <w:t>K. pneumoniae</w:t>
      </w:r>
      <w:r w:rsidRPr="008B2783">
        <w:rPr>
          <w:rFonts w:ascii="Calibri" w:eastAsia="Times New Roman" w:hAnsi="Calibri" w:cs="Calibri"/>
          <w:color w:val="000000"/>
          <w:kern w:val="0"/>
          <w:sz w:val="22"/>
          <w:szCs w:val="22"/>
          <w14:ligatures w14:val="none"/>
        </w:rPr>
        <w:t xml:space="preserve"> (12.8%; 10/78) the most frequently identified. Notably, the prevalence of multidrug-resistant bacteria increased from 15% at admission to 52% at follow-up, while extensively drug-resistant bacteria rose from 7% to 34% post-hospitalization.Our findings indicate, hospitalization during pregnancy significantly increases colonization by ARB in the genitourinary tract. Understanding community-acquired ARB colonization </w:t>
      </w:r>
      <w:r w:rsidRPr="008B2783">
        <w:rPr>
          <w:rFonts w:ascii="Calibri" w:eastAsia="Times New Roman" w:hAnsi="Calibri" w:cs="Calibri"/>
          <w:color w:val="000000"/>
          <w:kern w:val="0"/>
          <w:sz w:val="22"/>
          <w:szCs w:val="22"/>
          <w14:ligatures w14:val="none"/>
        </w:rPr>
        <w:lastRenderedPageBreak/>
        <w:t>during pregnancy and preventing hospital-acquired colonization in pregnant women are crucial for protecting maternal and neonatal health.</w:t>
      </w:r>
    </w:p>
    <w:p w14:paraId="5255C62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25-A-2984-ASTMH</w:t>
      </w:r>
    </w:p>
    <w:p w14:paraId="3F9F688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Vaccines and Immunotherapeutics</w:t>
      </w:r>
    </w:p>
    <w:p w14:paraId="617B1E1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Novel Malaria Vaccine Liver Targeting AAV8 Booster Vaccine Following Vaccinia Virus Vaccine Priming Elicits Sterile Protection against Malaria Sporozoite Infection in C57BL/6 Mice</w:t>
      </w:r>
    </w:p>
    <w:p w14:paraId="4B3E915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It is well established that C57BL/6 mice, which show a Th1-biased phenotype, die of severe malaria in the early phase of infection, while BALB/c mice that show a Th2-biased phenotype survive this period and then eventually die of anemia and prostration infection. In addition, no vaccine has induced sterile protection against sporozoite challenge in C57BL/6 mice. In this study, we have focused on developing a novel malaria vaccine that is capable to induce liver-resident memory T cells (T</w:t>
      </w:r>
      <w:r w:rsidRPr="008B2783">
        <w:rPr>
          <w:rFonts w:ascii="Calibri" w:eastAsia="Times New Roman" w:hAnsi="Calibri" w:cs="Calibri"/>
          <w:color w:val="000000"/>
          <w:kern w:val="0"/>
          <w:sz w:val="22"/>
          <w:szCs w:val="22"/>
          <w:vertAlign w:val="subscript"/>
          <w14:ligatures w14:val="none"/>
        </w:rPr>
        <w:t>RM</w:t>
      </w:r>
      <w:r w:rsidRPr="008B2783">
        <w:rPr>
          <w:rFonts w:ascii="Calibri" w:eastAsia="Times New Roman" w:hAnsi="Calibri" w:cs="Calibri"/>
          <w:color w:val="000000"/>
          <w:kern w:val="0"/>
          <w:sz w:val="22"/>
          <w:szCs w:val="22"/>
          <w14:ligatures w14:val="none"/>
        </w:rPr>
        <w:t>) in the C57BL/6 mice. Our vaccine is based on the m8Δ/AAV platform, combining attenuated vaccinia virus LC16m8Δ (m8Δ) and adeno-associated virus (AAV), encoding a fusion antigen of PfCSP and Pfs25. The vaccine conferred 100% protection in BALB/c mice, but its efficacy reduced significantly in Th1-prone C57BL/6 mice, a trend also seen with the RTS,S vaccine. This may be due to the absence of a dominant CD8</w:t>
      </w:r>
      <w:r w:rsidRPr="008B2783">
        <w:rPr>
          <w:rFonts w:ascii="Calibri" w:eastAsia="Times New Roman" w:hAnsi="Calibri" w:cs="Calibri"/>
          <w:color w:val="000000"/>
          <w:kern w:val="0"/>
          <w:sz w:val="22"/>
          <w:szCs w:val="22"/>
          <w:vertAlign w:val="superscript"/>
          <w14:ligatures w14:val="none"/>
        </w:rPr>
        <w:t>+</w:t>
      </w:r>
      <w:r w:rsidRPr="008B2783">
        <w:rPr>
          <w:rFonts w:ascii="Calibri" w:eastAsia="Times New Roman" w:hAnsi="Calibri" w:cs="Calibri"/>
          <w:color w:val="000000"/>
          <w:kern w:val="0"/>
          <w:sz w:val="22"/>
          <w:szCs w:val="22"/>
          <w14:ligatures w14:val="none"/>
        </w:rPr>
        <w:t> T cell epitope for PfCSP in C57BL/6, leading to insufficient cellular immunity. To assess whether enhancing cellular responses might improve protection, we introduced the gene cassette encoding Pf(s25-CSP) and OVA CD8</w:t>
      </w:r>
      <w:r w:rsidRPr="008B2783">
        <w:rPr>
          <w:rFonts w:ascii="Calibri" w:eastAsia="Times New Roman" w:hAnsi="Calibri" w:cs="Calibri"/>
          <w:color w:val="000000"/>
          <w:kern w:val="0"/>
          <w:sz w:val="22"/>
          <w:szCs w:val="22"/>
          <w:vertAlign w:val="superscript"/>
          <w14:ligatures w14:val="none"/>
        </w:rPr>
        <w:t>+</w:t>
      </w:r>
      <w:r w:rsidRPr="008B2783">
        <w:rPr>
          <w:rFonts w:ascii="Calibri" w:eastAsia="Times New Roman" w:hAnsi="Calibri" w:cs="Calibri"/>
          <w:color w:val="000000"/>
          <w:kern w:val="0"/>
          <w:sz w:val="22"/>
          <w:szCs w:val="22"/>
          <w14:ligatures w14:val="none"/>
        </w:rPr>
        <w:t> epitope (SIINFEKL) into m8Δ and AAV8. Liver-tropic AAV8 was adopted to enhance T</w:t>
      </w:r>
      <w:r w:rsidRPr="008B2783">
        <w:rPr>
          <w:rFonts w:ascii="Calibri" w:eastAsia="Times New Roman" w:hAnsi="Calibri" w:cs="Calibri"/>
          <w:color w:val="000000"/>
          <w:kern w:val="0"/>
          <w:sz w:val="22"/>
          <w:szCs w:val="22"/>
          <w:vertAlign w:val="subscript"/>
          <w14:ligatures w14:val="none"/>
        </w:rPr>
        <w:t>RM</w:t>
      </w:r>
      <w:r w:rsidRPr="008B2783">
        <w:rPr>
          <w:rFonts w:ascii="Calibri" w:eastAsia="Times New Roman" w:hAnsi="Calibri" w:cs="Calibri"/>
          <w:color w:val="000000"/>
          <w:kern w:val="0"/>
          <w:sz w:val="22"/>
          <w:szCs w:val="22"/>
          <w14:ligatures w14:val="none"/>
        </w:rPr>
        <w:t> induction. C57BL/6 mice were primed via skin scarification with m8Δ-OVA-Pf(s25-CSP) and boosted with AAV8 via intravenous injection. As expected, this vaccination regimen induced high levels of T</w:t>
      </w:r>
      <w:r w:rsidRPr="008B2783">
        <w:rPr>
          <w:rFonts w:ascii="Calibri" w:eastAsia="Times New Roman" w:hAnsi="Calibri" w:cs="Calibri"/>
          <w:color w:val="000000"/>
          <w:kern w:val="0"/>
          <w:sz w:val="22"/>
          <w:szCs w:val="22"/>
          <w:vertAlign w:val="subscript"/>
          <w14:ligatures w14:val="none"/>
        </w:rPr>
        <w:t>RM</w:t>
      </w:r>
      <w:r w:rsidRPr="008B2783">
        <w:rPr>
          <w:rFonts w:ascii="Calibri" w:eastAsia="Times New Roman" w:hAnsi="Calibri" w:cs="Calibri"/>
          <w:color w:val="000000"/>
          <w:kern w:val="0"/>
          <w:sz w:val="22"/>
          <w:szCs w:val="22"/>
          <w14:ligatures w14:val="none"/>
        </w:rPr>
        <w:t> in the liver and provided sterile protection against transgenic GFP-OVA-expressing </w:t>
      </w:r>
      <w:r w:rsidRPr="008B2783">
        <w:rPr>
          <w:rFonts w:ascii="Calibri" w:eastAsia="Times New Roman" w:hAnsi="Calibri" w:cs="Calibri"/>
          <w:i/>
          <w:iCs/>
          <w:color w:val="000000"/>
          <w:kern w:val="0"/>
          <w:sz w:val="22"/>
          <w:szCs w:val="22"/>
          <w14:ligatures w14:val="none"/>
        </w:rPr>
        <w:t>Plasmodium berghei </w:t>
      </w:r>
      <w:r w:rsidRPr="008B2783">
        <w:rPr>
          <w:rFonts w:ascii="Calibri" w:eastAsia="Times New Roman" w:hAnsi="Calibri" w:cs="Calibri"/>
          <w:color w:val="000000"/>
          <w:kern w:val="0"/>
          <w:sz w:val="22"/>
          <w:szCs w:val="22"/>
          <w14:ligatures w14:val="none"/>
        </w:rPr>
        <w:t>sporozoites. Further studies are required to evaluate the roles of the vaccine-induced liver-specific T</w:t>
      </w:r>
      <w:r w:rsidRPr="008B2783">
        <w:rPr>
          <w:rFonts w:ascii="Calibri" w:eastAsia="Times New Roman" w:hAnsi="Calibri" w:cs="Calibri"/>
          <w:color w:val="000000"/>
          <w:kern w:val="0"/>
          <w:sz w:val="22"/>
          <w:szCs w:val="22"/>
          <w:vertAlign w:val="subscript"/>
          <w14:ligatures w14:val="none"/>
        </w:rPr>
        <w:t>RM</w:t>
      </w:r>
      <w:r w:rsidRPr="008B2783">
        <w:rPr>
          <w:rFonts w:ascii="Calibri" w:eastAsia="Times New Roman" w:hAnsi="Calibri" w:cs="Calibri"/>
          <w:color w:val="000000"/>
          <w:kern w:val="0"/>
          <w:sz w:val="22"/>
          <w:szCs w:val="22"/>
          <w14:ligatures w14:val="none"/>
        </w:rPr>
        <w:t> for killing liver-stage parasites.</w:t>
      </w:r>
    </w:p>
    <w:p w14:paraId="3A5B159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25-A-2985-ASTMH</w:t>
      </w:r>
    </w:p>
    <w:p w14:paraId="5358314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Vaccines and Immunotherapeutics</w:t>
      </w:r>
    </w:p>
    <w:p w14:paraId="7967281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Safety of and innate immune responses to the novel RH5.1/Matrix-M malaria vaccine in UK healthy adults</w:t>
      </w:r>
    </w:p>
    <w:p w14:paraId="0579D62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reticulocyte-binding protein homolog 5 (PfRH5) is a leading blood-stage malaria vaccine antigen, and RH5.1/Matrix-M™ vaccine the first RH5-based candidate to demonstrate partial efficacy against clinical malaria in a Phase 2b trial in Burkina Faso. Combining blood-stage vaccines with existing pre-erythrocytic vaccines is a promising strategy for improving efficacy. This Phase 1b study (BIO-002) assessed the safety and immunogenicity of the RH5.1/Matrix-M™ vaccine in malaria-naïve UK adults (n=24) using two schedules: three 10µg doses ('10D') or two 50µg followed by one 10µg dose ('DFx'), all administered with 50µg Matrix-M™ and given at 0, 1, and 6 months. Both schedules were well-tolerated, with transient reactogenicity after boosting and no serious adverse events. At day 14 post-third vaccination, the '10D' group showed a median anti-RH5 IgG of 152.9 µg/ml [IQR 70.96-238.5], and the 'DFx' group 72.36 µg/ml [IQR 57.95-148.5]. These preliminary data indicate that both dose schedules elicit comparable antibody responses, suggesting the lower '10D' schedule could simplify delivery and optimise supply. Comparison of monthly and delayed third dosing regimens in previous RH5.1 vaccine trials also suggests a delayed third dose can increase the peak and longevity of the antibody response. By analysing the kinetics and nature of the innate immune activation, including the production of key cytokines and chemokines, we aim to identify potential correlates of both reactogenicity and the subsequent development of robust and durable antibody responses. Final immunogenicity data and exploratory analyses of cytokines and chemokines for associations with reactogenicity and antibody levels will be presented.</w:t>
      </w:r>
    </w:p>
    <w:p w14:paraId="2E19108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25-A-2986-ASTMH</w:t>
      </w:r>
    </w:p>
    <w:p w14:paraId="129CB32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Malaria - Antimalarial Resistance and Chemotherapy</w:t>
      </w:r>
    </w:p>
    <w:p w14:paraId="2091FFB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Molecular surveillance of drug resistance and vaccine target genes (</w:t>
      </w:r>
      <w:r w:rsidRPr="008B2783">
        <w:rPr>
          <w:rFonts w:ascii="Calibri" w:eastAsia="Times New Roman" w:hAnsi="Calibri" w:cs="Calibri"/>
          <w:b/>
          <w:bCs/>
          <w:i/>
          <w:iCs/>
          <w:color w:val="000000"/>
          <w:kern w:val="0"/>
          <w:sz w:val="22"/>
          <w:szCs w:val="22"/>
          <w14:ligatures w14:val="none"/>
        </w:rPr>
        <w:t>Pfcrt, Pfmdr1, dhfr, dhps, K13 and csp</w:t>
      </w:r>
      <w:r w:rsidRPr="008B2783">
        <w:rPr>
          <w:rFonts w:ascii="Calibri" w:eastAsia="Times New Roman" w:hAnsi="Calibri" w:cs="Calibri"/>
          <w:b/>
          <w:bCs/>
          <w:color w:val="000000"/>
          <w:kern w:val="0"/>
          <w:sz w:val="22"/>
          <w:szCs w:val="22"/>
          <w14:ligatures w14:val="none"/>
        </w:rPr>
        <w:t>) in </w:t>
      </w:r>
      <w:r w:rsidRPr="008B2783">
        <w:rPr>
          <w:rFonts w:ascii="Calibri" w:eastAsia="Times New Roman" w:hAnsi="Calibri" w:cs="Calibri"/>
          <w:b/>
          <w:bCs/>
          <w:i/>
          <w:iCs/>
          <w:color w:val="000000"/>
          <w:kern w:val="0"/>
          <w:sz w:val="22"/>
          <w:szCs w:val="22"/>
          <w14:ligatures w14:val="none"/>
        </w:rPr>
        <w:t>Plasmodium falciparum</w:t>
      </w:r>
      <w:r w:rsidRPr="008B2783">
        <w:rPr>
          <w:rFonts w:ascii="Calibri" w:eastAsia="Times New Roman" w:hAnsi="Calibri" w:cs="Calibri"/>
          <w:b/>
          <w:bCs/>
          <w:color w:val="000000"/>
          <w:kern w:val="0"/>
          <w:sz w:val="22"/>
          <w:szCs w:val="22"/>
          <w14:ligatures w14:val="none"/>
        </w:rPr>
        <w:t> among children aged 1.5 to 12 years in Banfora, Burkina Faso</w:t>
      </w:r>
    </w:p>
    <w:p w14:paraId="1C0CD95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emergence and spread of drug-resistant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strains along with the introduction of malaria vaccines targeting the circumsporozoite protein (</w:t>
      </w:r>
      <w:r w:rsidRPr="008B2783">
        <w:rPr>
          <w:rFonts w:ascii="Calibri" w:eastAsia="Times New Roman" w:hAnsi="Calibri" w:cs="Calibri"/>
          <w:i/>
          <w:iCs/>
          <w:color w:val="000000"/>
          <w:kern w:val="0"/>
          <w:sz w:val="22"/>
          <w:szCs w:val="22"/>
          <w14:ligatures w14:val="none"/>
        </w:rPr>
        <w:t>csp</w:t>
      </w:r>
      <w:r w:rsidRPr="008B2783">
        <w:rPr>
          <w:rFonts w:ascii="Calibri" w:eastAsia="Times New Roman" w:hAnsi="Calibri" w:cs="Calibri"/>
          <w:color w:val="000000"/>
          <w:kern w:val="0"/>
          <w:sz w:val="22"/>
          <w:szCs w:val="22"/>
          <w14:ligatures w14:val="none"/>
        </w:rPr>
        <w:t>) highlight the importance of integrating molecular surveillance into malaria control strategies. This study assessed the prevalence of molecular markers in six key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genes (</w:t>
      </w:r>
      <w:r w:rsidRPr="008B2783">
        <w:rPr>
          <w:rFonts w:ascii="Calibri" w:eastAsia="Times New Roman" w:hAnsi="Calibri" w:cs="Calibri"/>
          <w:i/>
          <w:iCs/>
          <w:color w:val="000000"/>
          <w:kern w:val="0"/>
          <w:sz w:val="22"/>
          <w:szCs w:val="22"/>
          <w14:ligatures w14:val="none"/>
        </w:rPr>
        <w:t>Pfcrt, Pfmdr1, dhfr, dhps, K13 </w:t>
      </w:r>
      <w:r w:rsidRPr="008B2783">
        <w:rPr>
          <w:rFonts w:ascii="Calibri" w:eastAsia="Times New Roman" w:hAnsi="Calibri" w:cs="Calibri"/>
          <w:color w:val="000000"/>
          <w:kern w:val="0"/>
          <w:sz w:val="22"/>
          <w:szCs w:val="22"/>
          <w14:ligatures w14:val="none"/>
        </w:rPr>
        <w:t>and</w:t>
      </w:r>
      <w:r w:rsidRPr="008B2783">
        <w:rPr>
          <w:rFonts w:ascii="Calibri" w:eastAsia="Times New Roman" w:hAnsi="Calibri" w:cs="Calibri"/>
          <w:i/>
          <w:iCs/>
          <w:color w:val="000000"/>
          <w:kern w:val="0"/>
          <w:sz w:val="22"/>
          <w:szCs w:val="22"/>
          <w14:ligatures w14:val="none"/>
        </w:rPr>
        <w:t> csp</w:t>
      </w:r>
      <w:r w:rsidRPr="008B2783">
        <w:rPr>
          <w:rFonts w:ascii="Calibri" w:eastAsia="Times New Roman" w:hAnsi="Calibri" w:cs="Calibri"/>
          <w:color w:val="000000"/>
          <w:kern w:val="0"/>
          <w:sz w:val="22"/>
          <w:szCs w:val="22"/>
          <w14:ligatures w14:val="none"/>
        </w:rPr>
        <w:t>) in isolates from children aged 1.5 to 12 years living in Banfora. Dried blood spot (DBS) samples were collected between September 2020 and March 2021. Genomic DNA was extracted and subjected to multiplex PCR. Amplicons were sequenced using Oxford Nanopore Technologies. Allele frequencies, haplotypes, and multi-locus combinations were determined and analyzed in relation to known profiles. The </w:t>
      </w:r>
      <w:r w:rsidRPr="008B2783">
        <w:rPr>
          <w:rFonts w:ascii="Calibri" w:eastAsia="Times New Roman" w:hAnsi="Calibri" w:cs="Calibri"/>
          <w:i/>
          <w:iCs/>
          <w:color w:val="000000"/>
          <w:kern w:val="0"/>
          <w:sz w:val="22"/>
          <w:szCs w:val="22"/>
          <w14:ligatures w14:val="none"/>
        </w:rPr>
        <w:t>Pfcrt</w:t>
      </w:r>
      <w:r w:rsidRPr="008B2783">
        <w:rPr>
          <w:rFonts w:ascii="Calibri" w:eastAsia="Times New Roman" w:hAnsi="Calibri" w:cs="Calibri"/>
          <w:color w:val="000000"/>
          <w:kern w:val="0"/>
          <w:sz w:val="22"/>
          <w:szCs w:val="22"/>
          <w14:ligatures w14:val="none"/>
        </w:rPr>
        <w:t> K76T and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N86Y mutations were identified in 5.20% (9/173) and 2.31% (4/173)</w:t>
      </w:r>
      <w:r w:rsidRPr="008B2783">
        <w:rPr>
          <w:rFonts w:ascii="Calibri" w:eastAsia="Times New Roman" w:hAnsi="Calibri" w:cs="Calibri"/>
          <w:i/>
          <w:iCs/>
          <w:color w:val="000000"/>
          <w:kern w:val="0"/>
          <w:sz w:val="22"/>
          <w:szCs w:val="22"/>
          <w14:ligatures w14:val="none"/>
        </w:rPr>
        <w:t>. Dhfr</w:t>
      </w:r>
      <w:r w:rsidRPr="008B2783">
        <w:rPr>
          <w:rFonts w:ascii="Calibri" w:eastAsia="Times New Roman" w:hAnsi="Calibri" w:cs="Calibri"/>
          <w:color w:val="000000"/>
          <w:kern w:val="0"/>
          <w:sz w:val="22"/>
          <w:szCs w:val="22"/>
          <w14:ligatures w14:val="none"/>
        </w:rPr>
        <w:t> point mutations N51I, C59R, and S108N were detected at moderate frequencies (39.88%, 41.04%, and 41.04%). Six </w:t>
      </w:r>
      <w:r w:rsidRPr="008B2783">
        <w:rPr>
          <w:rFonts w:ascii="Calibri" w:eastAsia="Times New Roman" w:hAnsi="Calibri" w:cs="Calibri"/>
          <w:i/>
          <w:iCs/>
          <w:color w:val="000000"/>
          <w:kern w:val="0"/>
          <w:sz w:val="22"/>
          <w:szCs w:val="22"/>
          <w14:ligatures w14:val="none"/>
        </w:rPr>
        <w:t>dhfr</w:t>
      </w:r>
      <w:r w:rsidRPr="008B2783">
        <w:rPr>
          <w:rFonts w:ascii="Calibri" w:eastAsia="Times New Roman" w:hAnsi="Calibri" w:cs="Calibri"/>
          <w:color w:val="000000"/>
          <w:kern w:val="0"/>
          <w:sz w:val="22"/>
          <w:szCs w:val="22"/>
          <w14:ligatures w14:val="none"/>
        </w:rPr>
        <w:t> haplotypes were identified, with INRI being the most common mutant (38.15%). No </w:t>
      </w:r>
      <w:r w:rsidRPr="008B2783">
        <w:rPr>
          <w:rFonts w:ascii="Calibri" w:eastAsia="Times New Roman" w:hAnsi="Calibri" w:cs="Calibri"/>
          <w:i/>
          <w:iCs/>
          <w:color w:val="000000"/>
          <w:kern w:val="0"/>
          <w:sz w:val="22"/>
          <w:szCs w:val="22"/>
          <w14:ligatures w14:val="none"/>
        </w:rPr>
        <w:t>dhps</w:t>
      </w:r>
      <w:r w:rsidRPr="008B2783">
        <w:rPr>
          <w:rFonts w:ascii="Calibri" w:eastAsia="Times New Roman" w:hAnsi="Calibri" w:cs="Calibri"/>
          <w:color w:val="000000"/>
          <w:kern w:val="0"/>
          <w:sz w:val="22"/>
          <w:szCs w:val="22"/>
          <w14:ligatures w14:val="none"/>
        </w:rPr>
        <w:t> mutation K540E was found, while A437G was present in 8.67% (15/173) of samples, suggesting incomplete resistance to sulfadoxine. Multiple combinations were observed, with the most concerning was the quadruple mutant INRI/SGKAA. No validated artemisinin resistance mutations were detected. However, four synonymous mutations were identified (Y493Y, Q468Q, C469C and N664N) suggesting genetic variability without functional resistance. Analysis of the </w:t>
      </w:r>
      <w:r w:rsidRPr="008B2783">
        <w:rPr>
          <w:rFonts w:ascii="Calibri" w:eastAsia="Times New Roman" w:hAnsi="Calibri" w:cs="Calibri"/>
          <w:i/>
          <w:iCs/>
          <w:color w:val="000000"/>
          <w:kern w:val="0"/>
          <w:sz w:val="22"/>
          <w:szCs w:val="22"/>
          <w14:ligatures w14:val="none"/>
        </w:rPr>
        <w:t>csp</w:t>
      </w:r>
      <w:r w:rsidRPr="008B2783">
        <w:rPr>
          <w:rFonts w:ascii="Calibri" w:eastAsia="Times New Roman" w:hAnsi="Calibri" w:cs="Calibri"/>
          <w:color w:val="000000"/>
          <w:kern w:val="0"/>
          <w:sz w:val="22"/>
          <w:szCs w:val="22"/>
          <w14:ligatures w14:val="none"/>
        </w:rPr>
        <w:t> gene revealed a high genetic variability that could potentially influence the vaccine efficacy and parasite transmission dynamics. The presence of mutations supports continued Sulfadoxine Pyrimethamine pressure, although full resistance profiles remain infrequent. The diversity of csp gene underlines the need to monitor vaccine-targeted regions alongside drug resistance markers to better inform therapeutic and vaccine strategies.</w:t>
      </w:r>
    </w:p>
    <w:p w14:paraId="33F9C23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25-A-2987-ASTMH</w:t>
      </w:r>
    </w:p>
    <w:p w14:paraId="0F9D280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Arthropods/Entomology - Other</w:t>
      </w:r>
    </w:p>
    <w:p w14:paraId="1B1653A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NA on the go: a rapid, field-deployable DNA/RNA extraction workflow for disease vectors</w:t>
      </w:r>
    </w:p>
    <w:p w14:paraId="42946B8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climate change is expanding the endemicity of arthropod vector populations causing frequent disease outbreaks. In addition, vector control measures as well as use of therapeutic drugs impose a constant selection pressure leading to resistances and other genetic changes in both vectors and pathogens. This demands a need for Xeno-monitoring across different regions to constantly screen for rising vector populations or infectious viruses and microorganisms. Molecular techniques aid in accurate estimation and identification of vector populations and the regional prevalence of infectious agents. This is crucial to raise awareness and implement transmission control measures. Contemporary protocols for nucleic acid extraction from different vector tissues exhibit multiple disadvantages: they are time-consuming, labor-intensive, and the yield of nucleic acids is inconsistent, which prevents their routine use in field conditions. Therefore, we aimed to develop a simplified, rapid protocol that can accommodate the extraction of DNA as well as RNA from different vectors (ticks, mosquitoes, snails, etc.) and can be applied outside of established laboratory infrastructures. The working principle is user-friendly and includes a highly efficient sample homogenization followed by cell and virus lysis. The last step of the protocol employs a single-step sample clean-up by a novel reverse purification chemistry engineered for the removal of a broad spectrum of inhibitors such as pigments, proteins, and low-molecular weight organic molecules. This process consistently co-extracts both vector and pathogen RNA and DNA without the need for complicated or expensive machinery. These nucleic acids are compatible with various downstream analytical methods such as RT-qPCR, RAA, LAMP, and NGS techniques.</w:t>
      </w:r>
    </w:p>
    <w:p w14:paraId="52EE4B3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25-A-2990-ASTMH</w:t>
      </w:r>
    </w:p>
    <w:p w14:paraId="1AC99FF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Surveillance and Data Utilization</w:t>
      </w:r>
    </w:p>
    <w:p w14:paraId="440B2FD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Modeling Recent Infection with Plasmodium vivax Using Serological Data</w:t>
      </w:r>
    </w:p>
    <w:p w14:paraId="7C36DB7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As malaria transmission declines globally, there is renewed interest in serological surveillance as a tool for monitoring exposure and guiding elimination strategies. This study evaluates the utility of machine learning approaches in classifying recent </w:t>
      </w:r>
      <w:r w:rsidRPr="008B2783">
        <w:rPr>
          <w:rFonts w:ascii="Calibri" w:eastAsia="Times New Roman" w:hAnsi="Calibri" w:cs="Calibri"/>
          <w:i/>
          <w:iCs/>
          <w:color w:val="000000"/>
          <w:kern w:val="0"/>
          <w:sz w:val="22"/>
          <w:szCs w:val="22"/>
          <w14:ligatures w14:val="none"/>
        </w:rPr>
        <w:t>Plasmodium vivax</w:t>
      </w:r>
      <w:r w:rsidRPr="008B2783">
        <w:rPr>
          <w:rFonts w:ascii="Calibri" w:eastAsia="Times New Roman" w:hAnsi="Calibri" w:cs="Calibri"/>
          <w:color w:val="000000"/>
          <w:kern w:val="0"/>
          <w:sz w:val="22"/>
          <w:szCs w:val="22"/>
          <w14:ligatures w14:val="none"/>
        </w:rPr>
        <w:t> infection using antibody concentration data from three geographically distinct regions: Brazil, Thailand, and the Solomon Islands. Antibody profiles were log-transformed and used as inputs for four classification models: Support Vector Machines, Random Forest, Elastic Net Regression, and Extreme Gradient Boosting. An ensemble Super Learner model was also developed to assess whether combining predictions improves performance. To address class imbalance in infection categories, synthetic oversampling using SMOTE was applied. Model performance was evaluated using accuracy, sensitivity, specificity, F1-score, and balanced accuracy. Across countries, the ensemble model consistently outperformed individual classifiers, with notable gains in sensitivity and F1-score. Antibody-only models performed better than those that included demographic covariates such as age and sex. Although predictive accuracy varied slightly across geographic locations, all models showed good generalizability. The use of SMOTE improved model performance in datasets with marked class imbalance. These findings suggest that supervised learning algorithms, particularly ensemble methods, can robustly classify recent malaria infection based on single time-point antibody measurements. This supports the potential of serology-based machine learning models as complementary tools for surveillance, especially in low-transmission or pre-elimination settings where conventional parasitological methods have limited sensitivity.</w:t>
      </w:r>
    </w:p>
    <w:p w14:paraId="5F8D487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25-A-2991-ASTMH</w:t>
      </w:r>
    </w:p>
    <w:p w14:paraId="4A21723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00278D4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An interactive user-editable web-based app to inform context-adapted, cost-effective policy choices in heterogeneous settings: The perennial malaria chemoprevention decision support tool.</w:t>
      </w:r>
    </w:p>
    <w:p w14:paraId="0863F32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 a volatile and constrained funding landscape, policy-makers require context-specific evidence in real-time about the expected costs, health impact, and cost-effectiveness of alternative intervention choices available. Complex evolving malaria epidemiology pose challenges complicating the planning of interventions. Development and use of effective decision-support apps, built with mathematical and economic models, could mitigate these challenges by providing quick, adaptable, context-specific estimates of health impacts and costs of interventions. One intervention, perennial malaria chemoprevention (PMC) is recommended by WHO to avert disease and mortality in areas of moderate-high transmission and is shown to be cost-effective. Through an iterative stakeholder engagement process we developed a user-editable app, available free online, to support PMC decision-making. This app utilises an existing age-based stochastic model of Plasmodium falciparum transmission and a genotype-specific model of SP resistance and protective efficacy. The tool estimates health impact, costs, and cost-effectiveness of PMC interventions relative to alternative scenarios, including scenarios without PMC. The app can run without user-input and generates estimates based on available data. The app also incorporates a range of user-editable parameters, including spatial variability in PMC coverage, efficacy and implementation costs to generate new estimates based on user-inputs. We outline the framework used to develop the PMC decision-support app and the key insights gained through stakeholder engagement, which can inform the development of similar tools. We will demonstrate the app's user-interface, functionality and how to edit inputs to support decision-making and optimise resource allocation, tailored to specific contexts. Our framework shows that user-friendly and editable, web-based apps provide an accessible format for everyone to work with mathematical and economic models, that interest in decision-making support apps is growing and app development in conjunction with a diverse range of stakeholders is important.</w:t>
      </w:r>
    </w:p>
    <w:p w14:paraId="7D74CE0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25-A-2992-ASTMH</w:t>
      </w:r>
    </w:p>
    <w:p w14:paraId="0510D21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Epidemiology</w:t>
      </w:r>
    </w:p>
    <w:p w14:paraId="71590BD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Evidence of Changing Malaria Map in Kenya; prevalence, transmission and treatment efficacy in the previously characterized as malaria-free Central highlands</w:t>
      </w:r>
    </w:p>
    <w:p w14:paraId="0027C2C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There has been suspicion of malaria emergence in certain areas in Kenya. The current study sought to re-evaluate malaria prevalence, susceptibility to ACTs, transmission patterns and the presence of malaria vectors in the Kikuyu area of the Kenyan Central highlands, a non-traditional/low risk malaria zone where there have been anecdotal reports of infections. Sampling of adult mosquitoes was done indoors, while larvae were sampled outdoors. Also an open label non-randomized clinical trial where the efficacy of one ACT drug, was evaluated in two facilities. Microscopy, nested 18s rRNA subunit gene PCR amplification and </w:t>
      </w:r>
      <w:r w:rsidRPr="008B2783">
        <w:rPr>
          <w:rFonts w:ascii="Calibri" w:eastAsia="Times New Roman" w:hAnsi="Calibri" w:cs="Calibri"/>
          <w:i/>
          <w:iCs/>
          <w:color w:val="000000"/>
          <w:kern w:val="0"/>
          <w:sz w:val="22"/>
          <w:szCs w:val="22"/>
          <w14:ligatures w14:val="none"/>
        </w:rPr>
        <w:t>MSP </w:t>
      </w:r>
      <w:r w:rsidRPr="008B2783">
        <w:rPr>
          <w:rFonts w:ascii="Calibri" w:eastAsia="Times New Roman" w:hAnsi="Calibri" w:cs="Calibri"/>
          <w:color w:val="000000"/>
          <w:kern w:val="0"/>
          <w:sz w:val="22"/>
          <w:szCs w:val="22"/>
          <w14:ligatures w14:val="none"/>
        </w:rPr>
        <w:t>family alleles genotyping was done. Anti-malarial resistance gene markers </w:t>
      </w:r>
      <w:r w:rsidRPr="008B2783">
        <w:rPr>
          <w:rFonts w:ascii="Calibri" w:eastAsia="Times New Roman" w:hAnsi="Calibri" w:cs="Calibri"/>
          <w:i/>
          <w:iCs/>
          <w:color w:val="000000"/>
          <w:kern w:val="0"/>
          <w:sz w:val="22"/>
          <w:szCs w:val="22"/>
          <w14:ligatures w14:val="none"/>
        </w:rPr>
        <w:t>Pfk13</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were profiled. </w:t>
      </w:r>
      <w:r w:rsidRPr="008B2783">
        <w:rPr>
          <w:rFonts w:ascii="Calibri" w:eastAsia="Times New Roman" w:hAnsi="Calibri" w:cs="Calibri"/>
          <w:i/>
          <w:iCs/>
          <w:color w:val="000000"/>
          <w:kern w:val="0"/>
          <w:sz w:val="22"/>
          <w:szCs w:val="22"/>
          <w14:ligatures w14:val="none"/>
        </w:rPr>
        <w:t>Anopheles funestus</w:t>
      </w:r>
      <w:r w:rsidRPr="008B2783">
        <w:rPr>
          <w:rFonts w:ascii="Calibri" w:eastAsia="Times New Roman" w:hAnsi="Calibri" w:cs="Calibri"/>
          <w:color w:val="000000"/>
          <w:kern w:val="0"/>
          <w:sz w:val="22"/>
          <w:szCs w:val="22"/>
          <w14:ligatures w14:val="none"/>
        </w:rPr>
        <w:t> mosquitoes were the predominant vectors at 76.35% of all larvae collections (N=148). Only two non-blood fed, parasites negative adult mosquitoes were collected from houses sampled. Analysis of the 838 patients screened resulted in 41 positives whose treatment outcome was 100% Adequate Clinical and Parasitological Response (ACPR). From the 35 positive samples genotyped, 29 (82.9%) were polyclonal. The overall mean MOI was 2.8 (95% CI 2.36-3.35). The MOI for </w:t>
      </w:r>
      <w:r w:rsidRPr="008B2783">
        <w:rPr>
          <w:rFonts w:ascii="Calibri" w:eastAsia="Times New Roman" w:hAnsi="Calibri" w:cs="Calibri"/>
          <w:i/>
          <w:iCs/>
          <w:color w:val="000000"/>
          <w:kern w:val="0"/>
          <w:sz w:val="22"/>
          <w:szCs w:val="22"/>
          <w14:ligatures w14:val="none"/>
        </w:rPr>
        <w:t>msp-1</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msp-2</w:t>
      </w:r>
      <w:r w:rsidRPr="008B2783">
        <w:rPr>
          <w:rFonts w:ascii="Calibri" w:eastAsia="Times New Roman" w:hAnsi="Calibri" w:cs="Calibri"/>
          <w:color w:val="000000"/>
          <w:kern w:val="0"/>
          <w:sz w:val="22"/>
          <w:szCs w:val="22"/>
          <w14:ligatures w14:val="none"/>
        </w:rPr>
        <w:t> genes, was 2.02 (95% CI 0.72-2.27) and 2.9 (95% CI 2.22-3.55), and parasite strains range of 1-3 and 1-7, respectively. Polyclonal variation in the two genes was at 76.4 % and 70.3%, respectively. The </w:t>
      </w:r>
      <w:r w:rsidRPr="008B2783">
        <w:rPr>
          <w:rFonts w:ascii="Calibri" w:eastAsia="Times New Roman" w:hAnsi="Calibri" w:cs="Calibri"/>
          <w:i/>
          <w:iCs/>
          <w:color w:val="000000"/>
          <w:kern w:val="0"/>
          <w:sz w:val="22"/>
          <w:szCs w:val="22"/>
          <w14:ligatures w14:val="none"/>
        </w:rPr>
        <w:t>Pfk13</w:t>
      </w:r>
      <w:r w:rsidRPr="008B2783">
        <w:rPr>
          <w:rFonts w:ascii="Calibri" w:eastAsia="Times New Roman" w:hAnsi="Calibri" w:cs="Calibri"/>
          <w:color w:val="000000"/>
          <w:kern w:val="0"/>
          <w:sz w:val="22"/>
          <w:szCs w:val="22"/>
          <w14:ligatures w14:val="none"/>
        </w:rPr>
        <w:t> gene revealed no single nucleotide polymorphisms (SNP) associated with suspected artemisinin resistance nor was there any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N86 mutant allele seen. The </w:t>
      </w:r>
      <w:r w:rsidRPr="008B2783">
        <w:rPr>
          <w:rFonts w:ascii="Calibri" w:eastAsia="Times New Roman" w:hAnsi="Calibri" w:cs="Calibri"/>
          <w:i/>
          <w:iCs/>
          <w:color w:val="000000"/>
          <w:kern w:val="0"/>
          <w:sz w:val="22"/>
          <w:szCs w:val="22"/>
          <w14:ligatures w14:val="none"/>
        </w:rPr>
        <w:t>Plasmodium </w:t>
      </w:r>
      <w:r w:rsidRPr="008B2783">
        <w:rPr>
          <w:rFonts w:ascii="Calibri" w:eastAsia="Times New Roman" w:hAnsi="Calibri" w:cs="Calibri"/>
          <w:color w:val="000000"/>
          <w:kern w:val="0"/>
          <w:sz w:val="22"/>
          <w:szCs w:val="22"/>
          <w14:ligatures w14:val="none"/>
        </w:rPr>
        <w:t>infections positivity rate observed in the study site was very low but significant. A proportion of participants who tested positive did not report recent history of travel. This together with the finding of competent vectors can probably suggest that the cases could have been acquired and transmitted locally. The observed genetic diversity and polyclonal variations was on the contrary and suggest that these are imported cases. This however does not rule out a likely changing malaria transmission scenario in this zone, thus the need for further investigations.</w:t>
      </w:r>
    </w:p>
    <w:p w14:paraId="1068CC7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25-A-2994-ASTMH</w:t>
      </w:r>
    </w:p>
    <w:p w14:paraId="1F7918E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Security/Emerging Infection Preparedness, Surveillance and Response(s)</w:t>
      </w:r>
    </w:p>
    <w:p w14:paraId="03BDEB36" w14:textId="636E343D"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Epidemiological characteristics of Mpox patients and factors associated with positivity in Liberia, 2022 -2024: a call to strengthen Mpox preparedness and response</w:t>
      </w:r>
    </w:p>
    <w:p w14:paraId="27F53BA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Mpox is a zoonotic viral disease with the recent rise in cases across Africa, prompting the Africa Centers for Disease Control and the World Health Organization to declare it a public health emergency. In Liberia, Mpox is immediately reportable, and one confirmed case constitutes an outbreak. This study described the epidemiological characteristics of Mpox patients and factors associated with positivity in Liberia from 2022 to 2024. We conducted an analytical cross-sectional study utilizing 428 case-based records of Mpox surveillance data obtained from the National Public Health Institute of Liberia, January 1, 2022, to September 30, 2024. All suspected Mpox cases were tested using Real-time Polymerase Chain Reaction at the National Public Health Reference Laboratory. We used descriptive statistics to summarize the data and examined factors associated with Mpox positivity at a 95% confidence interval. At the bivariate level, p-values &lt; 0.17 were entered into multiple logistic models. At the multivariate level, p-values &lt;0.05 were considered statistically significant. Of the 428 suspected cases, 250 (58%) were tested, and 40 (16%) confirmed Mpox positive. The median age of the confirmed cases was 20 (IQR: 7-30) years. Age 0-19 years (50%), female (53%), and students (70%) were mostly affected. Nimba (33%) and Grand Kru (13%) counties reported the most cases. Fever (28%), rash (28%), and headache (20%) were symptoms reported. The median duration from symptom onset to patient’s admission was 5 (IQR: 3-6) days. The years 2023 (53%) and 2024 (33%) accounted for a majority of confirmed cases, with no deaths recorded. Residing in Nimba (aOR = 6.7, 95% CI: 3.070-15.038, p&lt;0.01) and Rivercess (aOR = 4.2, 95% CI: 1.063-16.851, p = 0.041) were significantly associated with Mpox positivity. The Mpox outbreak in Liberia affected the younger age group and females. Further study is recommended to determine why living in Nimba and Rivercess were at risk of Mpox positivity in Liberia. We presented these findings at the Mpox Incident Management System meeting for action.</w:t>
      </w:r>
    </w:p>
    <w:p w14:paraId="05FD4E2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25-A-2995-ASTMH</w:t>
      </w:r>
    </w:p>
    <w:p w14:paraId="61AB1C2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Kinetoplastida and Other Protozoa - Diagnosis and New Detection Tools (Including Leishmania and Trypanosomes)</w:t>
      </w:r>
    </w:p>
    <w:p w14:paraId="7C631D8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Development of an Improved Protocol for detection of tropical parasites found in blood</w:t>
      </w:r>
    </w:p>
    <w:p w14:paraId="017030A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Blood parasites are microorganisms that live and multiply within the blood of their host. Accurate and timely detection of these parasites is critical for effective treatment, disease control, and prevention of transmission. Conventional diagnostic methods such as microscopy or rapid diagnostic tests (RDTs) have limitations in sensitivity, species specificity, or lengthy procedures. Molecular approaches such as PCR and isothermal amplification offer higher accuracy but rely on fast and sufficiently sensitive nucleic acid extraction. Thus, technologies allowing molecular testing at the point-of-care (POCT) are considered useful enablers for effective disease control and elimination in endemic and remote regions. The feasibility and usefulness of a nucleic acid extraction conducted at the point of care depends on two core factors: usability and performance. Therefore, we aimed at developing a simplified extraction protocol while achieving a sensitivity equivalent to a conventional DNA/RNA extraction product. Based on our cell capturing and reverse purification technology, we developed a refined protocol for detection of DNA and RNA of parasites in the blood stream. The improvements comprise the following key steps: (a) modification of the cell capturing buffer for simultaneous hemolysis and capture of parasite</w:t>
      </w:r>
      <w:r w:rsidRPr="008B2783">
        <w:rPr>
          <w:rFonts w:ascii="Calibri" w:eastAsia="Times New Roman" w:hAnsi="Calibri" w:cs="Calibri"/>
          <w:i/>
          <w:iCs/>
          <w:color w:val="000000"/>
          <w:kern w:val="0"/>
          <w:sz w:val="22"/>
          <w:szCs w:val="22"/>
          <w14:ligatures w14:val="none"/>
        </w:rPr>
        <w:t> </w:t>
      </w:r>
      <w:r w:rsidRPr="008B2783">
        <w:rPr>
          <w:rFonts w:ascii="Calibri" w:eastAsia="Times New Roman" w:hAnsi="Calibri" w:cs="Calibri"/>
          <w:color w:val="000000"/>
          <w:kern w:val="0"/>
          <w:sz w:val="22"/>
          <w:szCs w:val="22"/>
          <w14:ligatures w14:val="none"/>
        </w:rPr>
        <w:t>cells, (b) rapid lysis in a single step, and (c) active inhibitor removal by Reverse Purification rendering the extracted nucleic acids applicable to various molecular methods. The optimized workflow allows for total nucleic acid extraction in as short as 20 minutes with a minimum of processing steps. At the same time, it enables detection assays to be highly specific and sensitive. This work presents an optimized protocol for extraction of DNA and RNA, which can be performed manually (to minimize operational costs) or using POCT extraction instruments (to standardize and automate the process). The protocol enables high sensitivity of molecular tests while reducing processing time and improving the cost-effectiveness of those test - all being prerequisites particularly for elimination programs of tropical diseases.</w:t>
      </w:r>
    </w:p>
    <w:p w14:paraId="4806B56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25-A-2996-ASTMH</w:t>
      </w:r>
    </w:p>
    <w:p w14:paraId="446A289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Vaccines and Immunotherapeutics</w:t>
      </w:r>
    </w:p>
    <w:p w14:paraId="37A48EB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Impacts of pre-existing immunity of live-attenuated vaccines on m8Δ/AAV1-based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vaccine</w:t>
      </w:r>
    </w:p>
    <w:p w14:paraId="3F04A6A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Live attenuated viral vectors (LAVVs) are powerful technologies for delivering pathogen antigens. For malaria vaccine development, we have recently demonstrated that a heterologous prime-boost immunization regimen using an attenuated replication-competent vaccinia virus LC16m8Δ(m8Δ) and non-pathogenic adeno-associated virus type 1 (AAV1) provides sterile protection against challenge infection of sporozoite in a murine model and a high level of in vitro neutralizing activity in a macaque model. Toward clinical application, there is a critical need to consider how the presence of pre-existing anti vector antibodies affects vaccine efficacy. In this study, we established murine models with pre-existing anti-m8Δ/AAV1 neutralizing antibodies (Nab) and examined impacts of the Nabs on its vaccine efficacy to plasmodium challenge. To determine threshold of anti-m8Δneutralizing antibody titers, we surveyed the prevalence of anti-vaccinia virus Nabs in a cohort of 163 Japanese adults aged from 35 to 87. The surveys for the seroprevalence of anti-vaccinia virus Nab titers showed all positive in people aged over 50 who had received smallpox vaccination before 1975, broadly varying results ranging from 1:8 to 1:250. Since 92% people had less than 1:100 Nab titer, we determined to set up mice that have the value of pre-existing antibody. For malaria vaccines that are administered to neonates, there is a possibility that the presence of passively acquired maternal anti-AAV1 antibodies within the first six months may interfere with vaccination. We will show immunological and protection data on mice vaccinated with m8Δ/AAV1 vaccine following pre-administrated either with wild-type m8Δ or AAV1-luc. A better understanding will allow us to tailor our vaccination schedules or vaccine doses, to ensure that m8Δ/AAV1 vaccine efficacy will not be compromised by the presence of pre-existing immunity.</w:t>
      </w:r>
    </w:p>
    <w:p w14:paraId="30792A4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25-A-2997-ASTMH</w:t>
      </w:r>
    </w:p>
    <w:p w14:paraId="3357E40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Measures for Control and Elimination of Neglected Tropical Diseases (NTDs)</w:t>
      </w:r>
    </w:p>
    <w:p w14:paraId="4DD47CA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Defying the Odds: DRC’s Remarkable Progress in Eliminating Lymphatic Filariasis</w:t>
      </w:r>
    </w:p>
    <w:p w14:paraId="6BBFA3E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Democratic Republic of Congo (DRC) is one of the “big three” countries in terms of neglected tropical disease (NTD) burden, making its progress particularly important, yet it remains rarely highlighted in global discussions. The DRC has made extraordinary strides in eliminating lymphatic filariasis (LF) as a public health problem, overcoming immense challenges including insecurity, inadequate infrastructure, and persistent funding cuts. Despite these barriers, the government has sustained annual Mass Drug Administration (MDA) campaigns at or above WHO-recommended geographic and therapeutic coverage thresholds, demonstrating an unwavering commitment to WHO’s 2030 elimination goals. Since 2009, strategic mapping and pilot MDAs propelled the country forward, culminating in the country reaching full geographic scale for LF MDA in 2017, and the successful completion of Transmission Assessment Surveys (TAS) across 91 health zones by 2024, which has protected over 18 million people who no longer require routine treatment. In 2022 alone, more than 36 million treatments were delivered, driven by community mobilization, efficient drug distribution, and integrated health campaigns. The national strategy focuses on transmission interruption, leveraging rapid diagnostic tests (RDTs) to confirm progress and data from coverage evaluation surveys to inform targeted interventions, even in the most insecure and hard-to-reach areas of the country. These successes prove that LF elimination is achievable even in conflict settings when science, strategy, and community-driven action converge. Yet, despite this progress, shifting global funding priorities threaten the momentum. Sustained investment is critical to securing a future free from LF in the DRC. The country's resilience and achievements serve as an inspiring blueprint for nations facing similar challenges, proving that, with the right strategies and continued support, elimination is within reach.</w:t>
      </w:r>
    </w:p>
    <w:p w14:paraId="3200CC4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25-A-2998-ASTMH</w:t>
      </w:r>
    </w:p>
    <w:p w14:paraId="63AACD6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Surveillance and Data Utilization</w:t>
      </w:r>
    </w:p>
    <w:p w14:paraId="2A981A4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Sub-National Stratification for Targeted Malaria Control Interventions in Liberia: Insights from Epidemiological and Entomological Surveillance Data</w:t>
      </w:r>
    </w:p>
    <w:p w14:paraId="2833FDE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remains a significant health burden in Liberia, with Plasmodium falciparum accounting for 98% of cases. Despite a national prevalence decline (from 45% in 2016 to 18% in 2022), persistent heterogeneous transmission necessitates data-driven targeted interventions. Liberia’s NMCP adopted a subnational tailoring (SNT) approach that included stakeholder engagement. The SNT team was established to determine intervention targeting criteria, identify, assemble, and review data sources, and stratify malaria risk and its determinants to inform geographical targeting for interventions.</w:t>
      </w:r>
      <w:r w:rsidRPr="008B2783">
        <w:rPr>
          <w:rFonts w:ascii="Calibri" w:eastAsia="Times New Roman" w:hAnsi="Calibri" w:cs="Calibri"/>
          <w:color w:val="000000"/>
          <w:kern w:val="0"/>
          <w:sz w:val="22"/>
          <w:szCs w:val="22"/>
          <w14:ligatures w14:val="none"/>
        </w:rPr>
        <w:br/>
        <w:t>We analyzed 2019-2020 malaria incidence, modeled Plasmodium falciparum parasite rate for 2-10 years old (PfPR2-10) incorporating the 2022 MIS, vector composition/distribution, insecticide resistance, health access, and malaria intervention coverage. Geospatial analysis assessed geographic access to healthcare. Susceptibility testing evaluated resistance in Anopheles gambiae s.l. and An. funestus against common insecticides.</w:t>
      </w:r>
      <w:r w:rsidRPr="008B2783">
        <w:rPr>
          <w:rFonts w:ascii="Calibri" w:eastAsia="Times New Roman" w:hAnsi="Calibri" w:cs="Calibri"/>
          <w:color w:val="000000"/>
          <w:kern w:val="0"/>
          <w:sz w:val="22"/>
          <w:szCs w:val="22"/>
          <w14:ligatures w14:val="none"/>
        </w:rPr>
        <w:br/>
        <w:t>Epidemiological stratification based on the 2022 PfPR2-10 across 98 health districts (range: 17-37%), identified 14 high (greater than and equal to 35%), and 84 moderate (10-35%) transmission districts. Widespread pyrethroid resistance co-occurred with susceptibility to chlorfenapyr and pirimiphos-methyl. Intervention gaps included varied net access (48-66%) and sub-optimal IPTp3 (lessthan50% most districts). Rural areas had the lowest healthcare access (e.g., 32% in Gbarpolu vs. 80% in Montserrado). Eight targeted interventions were prioritized, including dual-active ingredients LLINs in pyrethroid-resistant areas, malaria vaccination (RTS,S) in high-burden districts, community-based case management for remote populations, and focused urban larval source management.</w:t>
      </w:r>
      <w:r w:rsidRPr="008B2783">
        <w:rPr>
          <w:rFonts w:ascii="Calibri" w:eastAsia="Times New Roman" w:hAnsi="Calibri" w:cs="Calibri"/>
          <w:color w:val="000000"/>
          <w:kern w:val="0"/>
          <w:sz w:val="22"/>
          <w:szCs w:val="22"/>
          <w14:ligatures w14:val="none"/>
        </w:rPr>
        <w:br/>
        <w:t>Sub-national stratification provides a framework for precision malaria control, aligning with Liberia’s NMCP Strategic Plan. Addressing spatial inequities in access to care, interventions and combating insecticide resistance are critical for sustained progress towards elimination.</w:t>
      </w:r>
    </w:p>
    <w:p w14:paraId="6DA0CCB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25-A-2999-ASTMH</w:t>
      </w:r>
    </w:p>
    <w:p w14:paraId="4CDAE9C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Malaria - Elimination</w:t>
      </w:r>
    </w:p>
    <w:p w14:paraId="0547CBB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Advancing Malaria Elimination in High-Endemic Settings: The Thatta Malaria Elimination Plan (TMEP), a District-Led Integrated Approach in Sindh, Pakistan.</w:t>
      </w:r>
    </w:p>
    <w:p w14:paraId="2E5F037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Thatta, a coastal district located in the Sindh province of Pakistan, faces a significant challenge with malaria, predominantly caused by Plasmodium vivax. In accordance with the National Malaria Elimination Program (NMEP) and its strategic objectives for the period of 2021-2035, the Thatta Malaria Elimination Plan (TMEP) has been initiated as a district-led pilot project. This initiative aims to showcase a localized, data-informed strategy for eradicating malaria. The plan focuses on integrating effective case management, targeted vector control measures, and ongoing community involvement to markedly decrease local transmission rates. The development of TMEP involves comprehensive consultations with stakeholders at the federal, provincial, and district levels, including contributions from development partners, community leaders, and public health officials. Key interventions encompass improved surveillance systems, universal parasitological testing, routine G6PD testing to facilitate safe radical treatment for P. vivax, and the execution of targeted indoor residual spraying (IRS).</w:t>
      </w:r>
      <w:r w:rsidRPr="008B2783">
        <w:rPr>
          <w:rFonts w:ascii="Calibri" w:eastAsia="Times New Roman" w:hAnsi="Calibri" w:cs="Calibri"/>
          <w:color w:val="000000"/>
          <w:kern w:val="0"/>
          <w:sz w:val="22"/>
          <w:szCs w:val="22"/>
          <w14:ligatures w14:val="none"/>
        </w:rPr>
        <w:br/>
        <w:t>Additionally, the plan features the extensive distribution of long-lasting insecticidal nets (LLINs), and a thorough social and behavior change communication (SBCC) strategy customized to local needs. A baseline Health Risk Assessment (HRA) will be performed to guide implementation, and progress will be consistently evaluated against national malaria elimination metrics. TMEP represents a scalable, evidence-based framework for district-level malaria elimination in areas with high prevalence. Its combination of technical strategies, community engagement, and intersectoral collaboration illustrates the practicality and sustainability of localized initiatives. The operational experiences and lessons learned from Thatta will be crucial in shaping future malaria elimination efforts throughout Sindh and other endemic regions of Pakistan.</w:t>
      </w:r>
    </w:p>
    <w:p w14:paraId="0E140FB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25-A-3000-ASTMH</w:t>
      </w:r>
    </w:p>
    <w:p w14:paraId="32AAECF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Maternal, Newborn and Child Health and Nutrition</w:t>
      </w:r>
    </w:p>
    <w:p w14:paraId="6252912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Strengthening Vaccine Delivery systems through engaging private providers in Urban Slums of Karachi</w:t>
      </w:r>
    </w:p>
    <w:p w14:paraId="14969C6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Immunization coverage in Karachi’s high-risk urban areas remains low due to weak government health infrastructure and limited private sector involvement. A project led by the Expanded Program of Immunization (EPI), the Sindh Department of Health, and Aga Khan University—integrated Routine Immunization (RI) along with nutrition services at 18 private clinics in eight high-risk urban areas of Karachi. Each clinic features child-friendly RI-integrated service corners staffed by two vaccinators and a female counsellor providing immunization, nutrition screening, and counselling on breastfeeding, balanced diet, and Water, Sanitation, and Hygiene. The study used consecutive cross-sectional household surveys (May-July 2022, April-June 2024) to assess immunization coverage among children aged 4-11 months in eight high-risk Union Councils of Karachi. A WHO-adapted questionnaire was used, surveying a sample size of 2,044 children. Sampling focused on catchment areas around 18 private provider centers, applying a multi-stage clustering method with seven households per cluster. A total of 4168 children aged 4-11 months (2,097 in the baseline and 2072 in the endline survey) were included in the analysis. The children belonged to ethnically diverse households, with the largest group being Pashto-speaking (33%), followed by Urdu (21%), Sindhi (15%), and Siraiki (14%), while smaller proportions represent Punjabi, Balochi, Hindko, and other ethnicities. Immunization coverage improved significantly with the proportion of zero-dose children decreasing from 38.7% to 9.2%, while those with no vaccinations dropped from 3.1% to 1.5%. Coverage for key vaccines increased markedly: Penta-3 from 30.7% to 69.6%, IPV-1 from 32.3% to 69.6%, and MR1 from 19.5% to 50.9%, all with statistically significant improvements (p &lt; 0.001). Furthermore, the proportion of fully immunized children increased from 17.2% in the baseline survey to 48.4% in the follow-up survey. Engaging private providers ensures sustainable preventive care in underserved areas. However, more exploration of different integration models to boost service utilization is needed.</w:t>
      </w:r>
    </w:p>
    <w:p w14:paraId="70FB914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25-A-3002-ASTMH</w:t>
      </w:r>
    </w:p>
    <w:p w14:paraId="7E00696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Malaria - Antimalarial Resistance and Chemotherapy</w:t>
      </w:r>
    </w:p>
    <w:p w14:paraId="70D8080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Molecular surveillance of artemisinin and pyrimethamine-sulphadoxine resistance in Plasmodium falciparum isolates from Uganda: results of ERASE study</w:t>
      </w:r>
    </w:p>
    <w:p w14:paraId="2AB9DC2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Artemisinin partial resistance (ART-R) raises concerns in Uganda, where clinical and </w:t>
      </w:r>
      <w:r w:rsidRPr="008B2783">
        <w:rPr>
          <w:rFonts w:ascii="Calibri" w:eastAsia="Times New Roman" w:hAnsi="Calibri" w:cs="Calibri"/>
          <w:i/>
          <w:iCs/>
          <w:color w:val="000000"/>
          <w:kern w:val="0"/>
          <w:sz w:val="22"/>
          <w:szCs w:val="22"/>
          <w14:ligatures w14:val="none"/>
        </w:rPr>
        <w:t>in-vitro</w:t>
      </w:r>
      <w:r w:rsidRPr="008B2783">
        <w:rPr>
          <w:rFonts w:ascii="Calibri" w:eastAsia="Times New Roman" w:hAnsi="Calibri" w:cs="Calibri"/>
          <w:color w:val="000000"/>
          <w:kern w:val="0"/>
          <w:sz w:val="22"/>
          <w:szCs w:val="22"/>
          <w14:ligatures w14:val="none"/>
        </w:rPr>
        <w:t> resistance, associated to </w:t>
      </w:r>
      <w:r w:rsidRPr="008B2783">
        <w:rPr>
          <w:rFonts w:ascii="Calibri" w:eastAsia="Times New Roman" w:hAnsi="Calibri" w:cs="Calibri"/>
          <w:i/>
          <w:iCs/>
          <w:color w:val="000000"/>
          <w:kern w:val="0"/>
          <w:sz w:val="22"/>
          <w:szCs w:val="22"/>
          <w14:ligatures w14:val="none"/>
        </w:rPr>
        <w:t>P. falciparum kelch13 </w:t>
      </w:r>
      <w:r w:rsidRPr="008B2783">
        <w:rPr>
          <w:rFonts w:ascii="Calibri" w:eastAsia="Times New Roman" w:hAnsi="Calibri" w:cs="Calibri"/>
          <w:color w:val="000000"/>
          <w:kern w:val="0"/>
          <w:sz w:val="22"/>
          <w:szCs w:val="22"/>
          <w14:ligatures w14:val="none"/>
        </w:rPr>
        <w:t>(</w:t>
      </w:r>
      <w:r w:rsidRPr="008B2783">
        <w:rPr>
          <w:rFonts w:ascii="Calibri" w:eastAsia="Times New Roman" w:hAnsi="Calibri" w:cs="Calibri"/>
          <w:i/>
          <w:iCs/>
          <w:color w:val="000000"/>
          <w:kern w:val="0"/>
          <w:sz w:val="22"/>
          <w:szCs w:val="22"/>
          <w14:ligatures w14:val="none"/>
        </w:rPr>
        <w:t>Pfk13</w:t>
      </w:r>
      <w:r w:rsidRPr="008B2783">
        <w:rPr>
          <w:rFonts w:ascii="Calibri" w:eastAsia="Times New Roman" w:hAnsi="Calibri" w:cs="Calibri"/>
          <w:color w:val="000000"/>
          <w:kern w:val="0"/>
          <w:sz w:val="22"/>
          <w:szCs w:val="22"/>
          <w14:ligatures w14:val="none"/>
        </w:rPr>
        <w:t>) 469Y and 675V polymorphisms, emerged. Similarly, effectiveness of intermittent preventive treatment in pregnancy (IPTp) is threatened by </w:t>
      </w:r>
      <w:r w:rsidRPr="008B2783">
        <w:rPr>
          <w:rFonts w:ascii="Calibri" w:eastAsia="Times New Roman" w:hAnsi="Calibri" w:cs="Calibri"/>
          <w:i/>
          <w:iCs/>
          <w:color w:val="000000"/>
          <w:kern w:val="0"/>
          <w:sz w:val="22"/>
          <w:szCs w:val="22"/>
          <w14:ligatures w14:val="none"/>
        </w:rPr>
        <w:t>falciparum</w:t>
      </w:r>
      <w:r w:rsidRPr="008B2783">
        <w:rPr>
          <w:rFonts w:ascii="Calibri" w:eastAsia="Times New Roman" w:hAnsi="Calibri" w:cs="Calibri"/>
          <w:color w:val="000000"/>
          <w:kern w:val="0"/>
          <w:sz w:val="22"/>
          <w:szCs w:val="22"/>
          <w14:ligatures w14:val="none"/>
        </w:rPr>
        <w:t> resistance to sulfadoxine-pyrimethamine (SP) mediated by polymorphisms in dihydrofolate reductase (</w:t>
      </w:r>
      <w:r w:rsidRPr="008B2783">
        <w:rPr>
          <w:rFonts w:ascii="Calibri" w:eastAsia="Times New Roman" w:hAnsi="Calibri" w:cs="Calibri"/>
          <w:i/>
          <w:iCs/>
          <w:color w:val="000000"/>
          <w:kern w:val="0"/>
          <w:sz w:val="22"/>
          <w:szCs w:val="22"/>
          <w14:ligatures w14:val="none"/>
        </w:rPr>
        <w:t>Pfdhfr</w:t>
      </w:r>
      <w:r w:rsidRPr="008B2783">
        <w:rPr>
          <w:rFonts w:ascii="Calibri" w:eastAsia="Times New Roman" w:hAnsi="Calibri" w:cs="Calibri"/>
          <w:color w:val="000000"/>
          <w:kern w:val="0"/>
          <w:sz w:val="22"/>
          <w:szCs w:val="22"/>
          <w14:ligatures w14:val="none"/>
        </w:rPr>
        <w:t>) and dihydropteroate synthase (</w:t>
      </w:r>
      <w:r w:rsidRPr="008B2783">
        <w:rPr>
          <w:rFonts w:ascii="Calibri" w:eastAsia="Times New Roman" w:hAnsi="Calibri" w:cs="Calibri"/>
          <w:i/>
          <w:iCs/>
          <w:color w:val="000000"/>
          <w:kern w:val="0"/>
          <w:sz w:val="22"/>
          <w:szCs w:val="22"/>
          <w14:ligatures w14:val="none"/>
        </w:rPr>
        <w:t>Pfdhps</w:t>
      </w:r>
      <w:r w:rsidRPr="008B2783">
        <w:rPr>
          <w:rFonts w:ascii="Calibri" w:eastAsia="Times New Roman" w:hAnsi="Calibri" w:cs="Calibri"/>
          <w:color w:val="000000"/>
          <w:kern w:val="0"/>
          <w:sz w:val="22"/>
          <w:szCs w:val="22"/>
          <w14:ligatures w14:val="none"/>
        </w:rPr>
        <w:t>) genes. We assessed prevalence of known drug resistance markers among pregnant women using IPTp-SP tested positive for </w:t>
      </w:r>
      <w:r w:rsidRPr="008B2783">
        <w:rPr>
          <w:rFonts w:ascii="Calibri" w:eastAsia="Times New Roman" w:hAnsi="Calibri" w:cs="Calibri"/>
          <w:i/>
          <w:iCs/>
          <w:color w:val="000000"/>
          <w:kern w:val="0"/>
          <w:sz w:val="22"/>
          <w:szCs w:val="22"/>
          <w14:ligatures w14:val="none"/>
        </w:rPr>
        <w:t>falciparum</w:t>
      </w:r>
      <w:r w:rsidRPr="008B2783">
        <w:rPr>
          <w:rFonts w:ascii="Calibri" w:eastAsia="Times New Roman" w:hAnsi="Calibri" w:cs="Calibri"/>
          <w:color w:val="000000"/>
          <w:kern w:val="0"/>
          <w:sz w:val="22"/>
          <w:szCs w:val="22"/>
          <w14:ligatures w14:val="none"/>
        </w:rPr>
        <w:t> malaria and treated with an ACT in Northern Uganda. Polymorphisms in </w:t>
      </w:r>
      <w:r w:rsidRPr="008B2783">
        <w:rPr>
          <w:rFonts w:ascii="Calibri" w:eastAsia="Times New Roman" w:hAnsi="Calibri" w:cs="Calibri"/>
          <w:i/>
          <w:iCs/>
          <w:color w:val="000000"/>
          <w:kern w:val="0"/>
          <w:sz w:val="22"/>
          <w:szCs w:val="22"/>
          <w14:ligatures w14:val="none"/>
        </w:rPr>
        <w:t>Pfk13</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Pfdhps</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Pfdhfr </w:t>
      </w:r>
      <w:r w:rsidRPr="008B2783">
        <w:rPr>
          <w:rFonts w:ascii="Calibri" w:eastAsia="Times New Roman" w:hAnsi="Calibri" w:cs="Calibri"/>
          <w:color w:val="000000"/>
          <w:kern w:val="0"/>
          <w:sz w:val="22"/>
          <w:szCs w:val="22"/>
          <w14:ligatures w14:val="none"/>
        </w:rPr>
        <w:t>genes were evaluated on samples collected from July 2022 to January 2023 in three antenatal-care centers of Oyam and Kole districts. Out of 414 samples, prevalence of parasites with validated or associated ART-R markers exceeded 10%. The 469Y and 675V were identified with prevalence of 5% (20/414) to 3% (12/414), respectively. Among 101 women with repeated clinical malaria episode, we determined genotypes in 95 participants. 28-day recrudescence was 25.2% (24/95 with </w:t>
      </w:r>
      <w:r w:rsidRPr="008B2783">
        <w:rPr>
          <w:rFonts w:ascii="Calibri" w:eastAsia="Times New Roman" w:hAnsi="Calibri" w:cs="Calibri"/>
          <w:i/>
          <w:iCs/>
          <w:color w:val="000000"/>
          <w:kern w:val="0"/>
          <w:sz w:val="22"/>
          <w:szCs w:val="22"/>
          <w14:ligatures w14:val="none"/>
        </w:rPr>
        <w:t>Pfmsp-1</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Pfmsp-2</w:t>
      </w:r>
      <w:r w:rsidRPr="008B2783">
        <w:rPr>
          <w:rFonts w:ascii="Calibri" w:eastAsia="Times New Roman" w:hAnsi="Calibri" w:cs="Calibri"/>
          <w:color w:val="000000"/>
          <w:kern w:val="0"/>
          <w:sz w:val="22"/>
          <w:szCs w:val="22"/>
          <w14:ligatures w14:val="none"/>
        </w:rPr>
        <w:t>). Among these, only isolates harboring 469Y were detected. Recrudescence was not associated with carriage of </w:t>
      </w:r>
      <w:r w:rsidRPr="008B2783">
        <w:rPr>
          <w:rFonts w:ascii="Calibri" w:eastAsia="Times New Roman" w:hAnsi="Calibri" w:cs="Calibri"/>
          <w:i/>
          <w:iCs/>
          <w:color w:val="000000"/>
          <w:kern w:val="0"/>
          <w:sz w:val="22"/>
          <w:szCs w:val="22"/>
          <w14:ligatures w14:val="none"/>
        </w:rPr>
        <w:t>Pfk13</w:t>
      </w:r>
      <w:r w:rsidRPr="008B2783">
        <w:rPr>
          <w:rFonts w:ascii="Calibri" w:eastAsia="Times New Roman" w:hAnsi="Calibri" w:cs="Calibri"/>
          <w:color w:val="000000"/>
          <w:kern w:val="0"/>
          <w:sz w:val="22"/>
          <w:szCs w:val="22"/>
          <w14:ligatures w14:val="none"/>
        </w:rPr>
        <w:t> 469Y variation (1 of 4 women [25%] with 469Y vs 23 of 91 [25.3%] without 469Y; P=1). </w:t>
      </w:r>
      <w:r w:rsidRPr="008B2783">
        <w:rPr>
          <w:rFonts w:ascii="Calibri" w:eastAsia="Times New Roman" w:hAnsi="Calibri" w:cs="Calibri"/>
          <w:i/>
          <w:iCs/>
          <w:color w:val="000000"/>
          <w:kern w:val="0"/>
          <w:sz w:val="22"/>
          <w:szCs w:val="22"/>
          <w14:ligatures w14:val="none"/>
        </w:rPr>
        <w:t>Pfk13</w:t>
      </w:r>
      <w:r w:rsidRPr="008B2783">
        <w:rPr>
          <w:rFonts w:ascii="Calibri" w:eastAsia="Times New Roman" w:hAnsi="Calibri" w:cs="Calibri"/>
          <w:color w:val="000000"/>
          <w:kern w:val="0"/>
          <w:sz w:val="22"/>
          <w:szCs w:val="22"/>
          <w14:ligatures w14:val="none"/>
        </w:rPr>
        <w:t> 580Y and 539T mutations were detected in only one and two samples respectively, indicating its low frequency in the study areas. Overall, high frequency (80%) of quintuple mutant, resulting from the combination of </w:t>
      </w:r>
      <w:r w:rsidRPr="008B2783">
        <w:rPr>
          <w:rFonts w:ascii="Calibri" w:eastAsia="Times New Roman" w:hAnsi="Calibri" w:cs="Calibri"/>
          <w:i/>
          <w:iCs/>
          <w:color w:val="000000"/>
          <w:kern w:val="0"/>
          <w:sz w:val="22"/>
          <w:szCs w:val="22"/>
          <w14:ligatures w14:val="none"/>
        </w:rPr>
        <w:t>Pfdhfr</w:t>
      </w:r>
      <w:r w:rsidRPr="008B2783">
        <w:rPr>
          <w:rFonts w:ascii="Calibri" w:eastAsia="Times New Roman" w:hAnsi="Calibri" w:cs="Calibri"/>
          <w:color w:val="000000"/>
          <w:kern w:val="0"/>
          <w:sz w:val="22"/>
          <w:szCs w:val="22"/>
          <w14:ligatures w14:val="none"/>
        </w:rPr>
        <w:t> 51I, 59R, 108N and </w:t>
      </w:r>
      <w:r w:rsidRPr="008B2783">
        <w:rPr>
          <w:rFonts w:ascii="Calibri" w:eastAsia="Times New Roman" w:hAnsi="Calibri" w:cs="Calibri"/>
          <w:i/>
          <w:iCs/>
          <w:color w:val="000000"/>
          <w:kern w:val="0"/>
          <w:sz w:val="22"/>
          <w:szCs w:val="22"/>
          <w14:ligatures w14:val="none"/>
        </w:rPr>
        <w:t>Pfdhps</w:t>
      </w:r>
      <w:r w:rsidRPr="008B2783">
        <w:rPr>
          <w:rFonts w:ascii="Calibri" w:eastAsia="Times New Roman" w:hAnsi="Calibri" w:cs="Calibri"/>
          <w:color w:val="000000"/>
          <w:kern w:val="0"/>
          <w:sz w:val="22"/>
          <w:szCs w:val="22"/>
          <w14:ligatures w14:val="none"/>
        </w:rPr>
        <w:t> 437G, 540E polymorphisms, was observed. </w:t>
      </w:r>
      <w:r w:rsidRPr="008B2783">
        <w:rPr>
          <w:rFonts w:ascii="Calibri" w:eastAsia="Times New Roman" w:hAnsi="Calibri" w:cs="Calibri"/>
          <w:i/>
          <w:iCs/>
          <w:color w:val="000000"/>
          <w:kern w:val="0"/>
          <w:sz w:val="22"/>
          <w:szCs w:val="22"/>
          <w14:ligatures w14:val="none"/>
        </w:rPr>
        <w:t>Pfdhfr</w:t>
      </w:r>
      <w:r w:rsidRPr="008B2783">
        <w:rPr>
          <w:rFonts w:ascii="Calibri" w:eastAsia="Times New Roman" w:hAnsi="Calibri" w:cs="Calibri"/>
          <w:color w:val="000000"/>
          <w:kern w:val="0"/>
          <w:sz w:val="22"/>
          <w:szCs w:val="22"/>
          <w14:ligatures w14:val="none"/>
        </w:rPr>
        <w:t> 164L and </w:t>
      </w:r>
      <w:r w:rsidRPr="008B2783">
        <w:rPr>
          <w:rFonts w:ascii="Calibri" w:eastAsia="Times New Roman" w:hAnsi="Calibri" w:cs="Calibri"/>
          <w:i/>
          <w:iCs/>
          <w:color w:val="000000"/>
          <w:kern w:val="0"/>
          <w:sz w:val="22"/>
          <w:szCs w:val="22"/>
          <w14:ligatures w14:val="none"/>
        </w:rPr>
        <w:t>Pfdhps</w:t>
      </w:r>
      <w:r w:rsidRPr="008B2783">
        <w:rPr>
          <w:rFonts w:ascii="Calibri" w:eastAsia="Times New Roman" w:hAnsi="Calibri" w:cs="Calibri"/>
          <w:color w:val="000000"/>
          <w:kern w:val="0"/>
          <w:sz w:val="22"/>
          <w:szCs w:val="22"/>
          <w14:ligatures w14:val="none"/>
        </w:rPr>
        <w:t> 581G conferring high-level SP resistance showed 7.8% and 2.4% prevalence, respectively. None of the sequenced samples harbored the </w:t>
      </w:r>
      <w:r w:rsidRPr="008B2783">
        <w:rPr>
          <w:rFonts w:ascii="Calibri" w:eastAsia="Times New Roman" w:hAnsi="Calibri" w:cs="Calibri"/>
          <w:i/>
          <w:iCs/>
          <w:color w:val="000000"/>
          <w:kern w:val="0"/>
          <w:sz w:val="22"/>
          <w:szCs w:val="22"/>
          <w14:ligatures w14:val="none"/>
        </w:rPr>
        <w:t>Pfdhps</w:t>
      </w:r>
      <w:r w:rsidRPr="008B2783">
        <w:rPr>
          <w:rFonts w:ascii="Calibri" w:eastAsia="Times New Roman" w:hAnsi="Calibri" w:cs="Calibri"/>
          <w:color w:val="000000"/>
          <w:kern w:val="0"/>
          <w:sz w:val="22"/>
          <w:szCs w:val="22"/>
          <w14:ligatures w14:val="none"/>
        </w:rPr>
        <w:t> 613S mutation. The presence of ART-R markers in Uganda’s high malaria transmission setting calls for increased vigilance. Given high prevalence of the quintuple mutant and emerging high-level SP resistance, monitoring </w:t>
      </w:r>
      <w:r w:rsidRPr="008B2783">
        <w:rPr>
          <w:rFonts w:ascii="Calibri" w:eastAsia="Times New Roman" w:hAnsi="Calibri" w:cs="Calibri"/>
          <w:i/>
          <w:iCs/>
          <w:color w:val="000000"/>
          <w:kern w:val="0"/>
          <w:sz w:val="22"/>
          <w:szCs w:val="22"/>
          <w14:ligatures w14:val="none"/>
        </w:rPr>
        <w:t>Pfdhps</w:t>
      </w:r>
      <w:r w:rsidRPr="008B2783">
        <w:rPr>
          <w:rFonts w:ascii="Calibri" w:eastAsia="Times New Roman" w:hAnsi="Calibri" w:cs="Calibri"/>
          <w:color w:val="000000"/>
          <w:kern w:val="0"/>
          <w:sz w:val="22"/>
          <w:szCs w:val="22"/>
          <w14:ligatures w14:val="none"/>
        </w:rPr>
        <w:t> 436A/F, 581G, 613S/T, and </w:t>
      </w:r>
      <w:r w:rsidRPr="008B2783">
        <w:rPr>
          <w:rFonts w:ascii="Calibri" w:eastAsia="Times New Roman" w:hAnsi="Calibri" w:cs="Calibri"/>
          <w:i/>
          <w:iCs/>
          <w:color w:val="000000"/>
          <w:kern w:val="0"/>
          <w:sz w:val="22"/>
          <w:szCs w:val="22"/>
          <w14:ligatures w14:val="none"/>
        </w:rPr>
        <w:t>Pfdhfr</w:t>
      </w:r>
      <w:r w:rsidRPr="008B2783">
        <w:rPr>
          <w:rFonts w:ascii="Calibri" w:eastAsia="Times New Roman" w:hAnsi="Calibri" w:cs="Calibri"/>
          <w:color w:val="000000"/>
          <w:kern w:val="0"/>
          <w:sz w:val="22"/>
          <w:szCs w:val="22"/>
          <w14:ligatures w14:val="none"/>
        </w:rPr>
        <w:t> 164L mutations is crucial to assess their impact on IPTp efficacy and clinical outcomes.</w:t>
      </w:r>
    </w:p>
    <w:p w14:paraId="373E85C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25-A-3003-ASTMH</w:t>
      </w:r>
    </w:p>
    <w:p w14:paraId="749EE81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Other</w:t>
      </w:r>
    </w:p>
    <w:p w14:paraId="0F3A175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EFFECT OF RICE HUSK BIOCHAR ON YIELD IMPROVEMENT OF MAIZE UNDER CLIMATE SMART AGRICULTURE</w:t>
      </w:r>
    </w:p>
    <w:p w14:paraId="429F2B5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Whiles Rice Husk Biochar use for soil amendment has been widely tested in Agriculture, little is known on crop yield improvement and climate change mitigation. Maize is such a food crop that is widely cultivated in Ghana all year round for food and animal feed. The growing need for maize every year in Ghana, should be accompanied by increase in the production of maize to ensure food adequacy. Unfortunately, maize cultivation on most Agricultural soils have not provided very good yield thus, the pressing need to adopt technologies that can improve soil quality and consequently increase maize yield. The application of RHB to the soil is one such technology that can help achieve this objective. As a result, a 4_month field demonstration was conducted to investigate the effect of RHB on yield improvement of maize under Climate Smart Agriculture. A demonstration field of dimension 80m x 26m, 2080m</w:t>
      </w:r>
      <w:r w:rsidRPr="008B2783">
        <w:rPr>
          <w:rFonts w:ascii="Calibri" w:eastAsia="Times New Roman" w:hAnsi="Calibri" w:cs="Calibri"/>
          <w:color w:val="000000"/>
          <w:kern w:val="0"/>
          <w:sz w:val="22"/>
          <w:szCs w:val="22"/>
          <w:vertAlign w:val="superscript"/>
          <w14:ligatures w14:val="none"/>
        </w:rPr>
        <w:t>2 </w:t>
      </w:r>
      <w:r w:rsidRPr="008B2783">
        <w:rPr>
          <w:rFonts w:ascii="Calibri" w:eastAsia="Times New Roman" w:hAnsi="Calibri" w:cs="Calibri"/>
          <w:color w:val="000000"/>
          <w:kern w:val="0"/>
          <w:sz w:val="22"/>
          <w:szCs w:val="22"/>
          <w14:ligatures w14:val="none"/>
        </w:rPr>
        <w:t>≈ 0.5acre was divided into 2 Plots namely: Plot A_Control, 100% NPK &amp; Urea and Plot B_100% NPK &amp; Urea + RHB. The maize seed variety, Pannar-12 hybrid yellow maize was used as the test crop. Seed rate was one seed per hole using a planting distance of 20cm x 80cm. NPK 20:10:10 fertilizer and Urea 46% N were used for both Plots at a rate of 250kg and 125kg/ha respectively.</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RHB was used as soil amendment to evenly cover the soil surface on Plot B at a rate of 15t/ha. A 6m x 6m Yield Plot was also established on both Plots to calculate the Yield Estimates. Overall, the RHB Plot showed the best results as compared to the Control Plot. Under the Control Plot, Cob length, Cob weight, Number of grains per Cob, Weight of grains per Cob and Grain yield were </w:t>
      </w:r>
      <w:r w:rsidRPr="008B2783">
        <w:rPr>
          <w:rFonts w:ascii="Calibri" w:eastAsia="Times New Roman" w:hAnsi="Calibri" w:cs="Calibri"/>
          <w:b/>
          <w:bCs/>
          <w:color w:val="000000"/>
          <w:kern w:val="0"/>
          <w:sz w:val="22"/>
          <w:szCs w:val="22"/>
          <w14:ligatures w14:val="none"/>
        </w:rPr>
        <w:t>17.82cm, 205.36g, 395.30, 160.25g </w:t>
      </w:r>
      <w:r w:rsidRPr="008B2783">
        <w:rPr>
          <w:rFonts w:ascii="Calibri" w:eastAsia="Times New Roman" w:hAnsi="Calibri" w:cs="Calibri"/>
          <w:color w:val="000000"/>
          <w:kern w:val="0"/>
          <w:sz w:val="22"/>
          <w:szCs w:val="22"/>
          <w14:ligatures w14:val="none"/>
        </w:rPr>
        <w:t>and</w:t>
      </w:r>
      <w:r w:rsidRPr="008B2783">
        <w:rPr>
          <w:rFonts w:ascii="Calibri" w:eastAsia="Times New Roman" w:hAnsi="Calibri" w:cs="Calibri"/>
          <w:b/>
          <w:bCs/>
          <w:color w:val="000000"/>
          <w:kern w:val="0"/>
          <w:sz w:val="22"/>
          <w:szCs w:val="22"/>
          <w14:ligatures w14:val="none"/>
        </w:rPr>
        <w:t> 18.03kg</w:t>
      </w:r>
      <w:r w:rsidRPr="008B2783">
        <w:rPr>
          <w:rFonts w:ascii="Calibri" w:eastAsia="Times New Roman" w:hAnsi="Calibri" w:cs="Calibri"/>
          <w:color w:val="000000"/>
          <w:kern w:val="0"/>
          <w:sz w:val="22"/>
          <w:szCs w:val="22"/>
          <w14:ligatures w14:val="none"/>
        </w:rPr>
        <w:t> respectively but it was </w:t>
      </w:r>
      <w:r w:rsidRPr="008B2783">
        <w:rPr>
          <w:rFonts w:ascii="Calibri" w:eastAsia="Times New Roman" w:hAnsi="Calibri" w:cs="Calibri"/>
          <w:b/>
          <w:bCs/>
          <w:color w:val="000000"/>
          <w:kern w:val="0"/>
          <w:sz w:val="22"/>
          <w:szCs w:val="22"/>
          <w14:ligatures w14:val="none"/>
        </w:rPr>
        <w:t>18.85cm, 215.88g, 433.60, 170.63g </w:t>
      </w:r>
      <w:r w:rsidRPr="008B2783">
        <w:rPr>
          <w:rFonts w:ascii="Calibri" w:eastAsia="Times New Roman" w:hAnsi="Calibri" w:cs="Calibri"/>
          <w:color w:val="000000"/>
          <w:kern w:val="0"/>
          <w:sz w:val="22"/>
          <w:szCs w:val="22"/>
          <w14:ligatures w14:val="none"/>
        </w:rPr>
        <w:t>and</w:t>
      </w:r>
      <w:r w:rsidRPr="008B2783">
        <w:rPr>
          <w:rFonts w:ascii="Calibri" w:eastAsia="Times New Roman" w:hAnsi="Calibri" w:cs="Calibri"/>
          <w:b/>
          <w:bCs/>
          <w:color w:val="000000"/>
          <w:kern w:val="0"/>
          <w:sz w:val="22"/>
          <w:szCs w:val="22"/>
          <w14:ligatures w14:val="none"/>
        </w:rPr>
        <w:t> 20.05kg</w:t>
      </w:r>
      <w:r w:rsidRPr="008B2783">
        <w:rPr>
          <w:rFonts w:ascii="Calibri" w:eastAsia="Times New Roman" w:hAnsi="Calibri" w:cs="Calibri"/>
          <w:color w:val="000000"/>
          <w:kern w:val="0"/>
          <w:sz w:val="22"/>
          <w:szCs w:val="22"/>
          <w14:ligatures w14:val="none"/>
        </w:rPr>
        <w:t xml:space="preserve"> on the RHB Plot. This increase in the various yield parameters may be due to the fact that the biochar used for the experiment were rich in organic carbon (43.5%) and ash (58.2%) contents. From the results obtained, it </w:t>
      </w:r>
      <w:r w:rsidRPr="008B2783">
        <w:rPr>
          <w:rFonts w:ascii="Calibri" w:eastAsia="Times New Roman" w:hAnsi="Calibri" w:cs="Calibri"/>
          <w:color w:val="000000"/>
          <w:kern w:val="0"/>
          <w:sz w:val="22"/>
          <w:szCs w:val="22"/>
          <w14:ligatures w14:val="none"/>
        </w:rPr>
        <w:lastRenderedPageBreak/>
        <w:t>was concluded that the addition of the RHB led to a substantial increase in maize yield. Furthermore, it can be used as a soil amendment material on maize farms without any adverse effects on growth performance and yield of maize crops.</w:t>
      </w:r>
    </w:p>
    <w:p w14:paraId="6F4F942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25-A-3004-ASTMH</w:t>
      </w:r>
    </w:p>
    <w:p w14:paraId="5AF3A8A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509A250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Perennial malaria chemoprevention in children with dihydroartemisinin-piperaquine and the risk of malaria one year following cessation: a double-blind randomized controlled trial</w:t>
      </w:r>
    </w:p>
    <w:p w14:paraId="448C2C6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To reduce malaria-related morbidity and mortality in children, the World Health Organization recommends perennial malaria chemoprevention (PMC). However, optimal drug choices for PMC are still unknown, and there is conflicting evidence regarding the risk of malaria after cessation of chemoprevention. We are conducting a double-blind, placebo-controlled trial of monthly dihydroartemisinin-piperaquine (DP) in infancy that is designed to evaluate the risk of malaria after cessation of chemoprevention (NCT04978272). Children were enrolled at 4-8 weeks of age and randomized 1:1 to receive directly observed therapy with DP or placebo given every 4 weeks from 8 to 52 weeks of age. The primary outcome of this study is the incidence of malaria from 56 to 108 weeks of age, or for one year starting 4 weeks after the last dose of chemoprevention. Currently, treatment assignment remains blinded; therefore, only aggregate findings are presented. A total of 617 children were enrolled between February 8, 2022, and June 8, 2023. Of these, 576 (93.4%) reached 56 weeks of age and will be included in the analyses. Of children who reached 56 weeks of age, 280 (48.6%) were female, and 119 (20.7%) had sickle cell trait. As of 28</w:t>
      </w:r>
      <w:r w:rsidRPr="008B2783">
        <w:rPr>
          <w:rFonts w:ascii="Calibri" w:eastAsia="Times New Roman" w:hAnsi="Calibri" w:cs="Calibri"/>
          <w:color w:val="000000"/>
          <w:kern w:val="0"/>
          <w:sz w:val="22"/>
          <w:szCs w:val="22"/>
          <w:vertAlign w:val="superscript"/>
          <w14:ligatures w14:val="none"/>
        </w:rPr>
        <w:t>th</w:t>
      </w:r>
      <w:r w:rsidRPr="008B2783">
        <w:rPr>
          <w:rFonts w:ascii="Calibri" w:eastAsia="Times New Roman" w:hAnsi="Calibri" w:cs="Calibri"/>
          <w:color w:val="000000"/>
          <w:kern w:val="0"/>
          <w:sz w:val="22"/>
          <w:szCs w:val="22"/>
          <w14:ligatures w14:val="none"/>
        </w:rPr>
        <w:t> February 2025, 398 children had reached two years of age, 47 had been withdrawn between 56-108 weeks of age, and 131 were actively being followed. All children will reach 108 weeks of age by June 2</w:t>
      </w:r>
      <w:r w:rsidRPr="008B2783">
        <w:rPr>
          <w:rFonts w:ascii="Calibri" w:eastAsia="Times New Roman" w:hAnsi="Calibri" w:cs="Calibri"/>
          <w:color w:val="000000"/>
          <w:kern w:val="0"/>
          <w:sz w:val="22"/>
          <w:szCs w:val="22"/>
          <w:vertAlign w:val="superscript"/>
          <w14:ligatures w14:val="none"/>
        </w:rPr>
        <w:t>nd</w:t>
      </w:r>
      <w:r w:rsidRPr="008B2783">
        <w:rPr>
          <w:rFonts w:ascii="Calibri" w:eastAsia="Times New Roman" w:hAnsi="Calibri" w:cs="Calibri"/>
          <w:color w:val="000000"/>
          <w:kern w:val="0"/>
          <w:sz w:val="22"/>
          <w:szCs w:val="22"/>
          <w14:ligatures w14:val="none"/>
        </w:rPr>
        <w:t>, 2025. Between 56 and 108 weeks of age, there have been 574 incident cases of malaria observed (incidence 1.07 episodes per person-year), with the vast majority (97.9%) uncomplicated. At the time of routine visits conducted every 4 weeks, 610 of 6920 (8.8%) blood smears have been positive for malaria parasites by microscopy. Finally, unblinded results of the trial will be presented at the upcoming meeting.</w:t>
      </w:r>
    </w:p>
    <w:p w14:paraId="50904C9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25-A-3005-ASTMH</w:t>
      </w:r>
    </w:p>
    <w:p w14:paraId="4AD779F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Water, Sanitation, Hygiene and Environmental Health</w:t>
      </w:r>
    </w:p>
    <w:p w14:paraId="476F30F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Communal action to increase sanitation provision and reduce </w:t>
      </w:r>
      <w:r w:rsidRPr="008B2783">
        <w:rPr>
          <w:rFonts w:ascii="Calibri" w:eastAsia="Times New Roman" w:hAnsi="Calibri" w:cs="Calibri"/>
          <w:i/>
          <w:iCs/>
          <w:color w:val="000000"/>
          <w:kern w:val="0"/>
          <w:sz w:val="22"/>
          <w:szCs w:val="22"/>
          <w14:ligatures w14:val="none"/>
        </w:rPr>
        <w:t>Schistosoma</w:t>
      </w:r>
      <w:r w:rsidRPr="008B2783">
        <w:rPr>
          <w:rFonts w:ascii="Calibri" w:eastAsia="Times New Roman" w:hAnsi="Calibri" w:cs="Calibri"/>
          <w:color w:val="000000"/>
          <w:kern w:val="0"/>
          <w:sz w:val="22"/>
          <w:szCs w:val="22"/>
          <w14:ligatures w14:val="none"/>
        </w:rPr>
        <w:t> transmission in rural Uganda: a threshold public good lab-in-the-field experiment</w:t>
      </w:r>
    </w:p>
    <w:p w14:paraId="0FB6D9C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Many sub-Saharan African communities lack adequate access to sanitation, increasing the risk of exposure to life-threatening conditions such as diarrhoeal diseases and the neglected tropical disease, schistosomiasis. We conducted a contextualised threshold public good lab-in-the-field experiment to study coordination between households to provide a communal latrine in a community where schistosomiasis is highly endemic in Uganda. Subjects faced a disease penalty with probabilities dependent on the provision outcome. At baseline, latrine provision reached 55%; but decreased to 35% in information uncertainty treatments when important disease penalty information became common knowledge, reducing individual contributions despite increasing conditional cooperation. Moreover, provision reduced to 37% in communication treatments, due to face-to-face unstructured communication increasing strategic uncertainty and free-riding. These results show the distorting effects of disease risks on public goods’ coordination, and illustrate the associated challenges to provide sanitation and achieve disease elimination in settings lacking government intervention.</w:t>
      </w:r>
    </w:p>
    <w:p w14:paraId="74CCD9B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25-A-3006-ASTMH</w:t>
      </w:r>
    </w:p>
    <w:p w14:paraId="71CA27E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736AFAD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Barriers and Facilitators to Intermittent Preventive Treatment in Pregnancy uptake in the Health District of Kédougou, Senegal</w:t>
      </w:r>
    </w:p>
    <w:p w14:paraId="6A256C5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Intermittent Preventive Treatment in pregnancy (IPTp) is a key malaria prevention strategy recommended by the WHO, involving monthly administration of Sulfadoxine-Pyrimethamine (SP) from the second trimester. Senegal adopted IPTp in 2006, targeting 80% coverage for three or more doses (IPTp3+). However, in Kédougou, where 36% of the country’s malaria cases in pregnant women were reported in 2022, coverage remains among the lowest (60.2% in 2021). This study aimed to explore the barriers and facilitators to IPTp uptake in this high-burden district. A qualitative study was conducted in four health posts in Kédougou (two with high IPTp coverage and two with low coverage). Data were collected through 32 in-depth interviews and four focus group discussions with key stakeholders: pregnant women, family members, healthcare providers, community health workers, and malaria program staff. Thematic analysis was performed using an inductive process with NVivo 12. Barriers included health system issues (staff shortages, poor guideline adherence, supply chain gaps), drug-related concerns (side effects, high dosage, direct observation treatment), and socio-cultural factors (limited female autonomy, population mobility, pregnancy concealment, and lack of community trust or awareness). Facilitators included the availability and free provision of SP, good knowledge of IPTp among women, family support (especially from husbands and mothers-in-law), perceived benefits, and community-level delivery of IPTp. While community acceptance of IPTp is generally high, multiple barriers limit its full uptake. These findings highlight the need for responsive, community-driven strategies to improve IPTp coverage and better protect pregnant women and their newborns from malaria.</w:t>
      </w:r>
    </w:p>
    <w:p w14:paraId="38BADB1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25-A-3007-ASTMH</w:t>
      </w:r>
    </w:p>
    <w:p w14:paraId="7372E64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19F8259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Landscaping methods for monitoring spatial emanators: standardisation and validation to generate better data for better decision making</w:t>
      </w:r>
    </w:p>
    <w:p w14:paraId="5FC764A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WHO has issued a conditional recommendation for spatial emanators (SE, also called spatial repellents) as a vector control tool against malaria, and two products are currently in the pipeline for evaluation by the Prequalification Vector Control Team (WHO PQT/VCP). These key milestones towards the uptake of an innovative tool mean that it is timely to review whether we have available to the community methods to generate the data that is needed for its effective deployment, monitoring and evaluation. Further, whether the available methods are suitable and sufficiently validated to generate evidence we can have confidence in and use to make robust decisions. As a first step towards constructing a methods landscape, a workshop co-hosted by Innovation to Impact (I2I) at the Liverpool School of Tropical Medicine and IVCC brought together practitioners to evaluate available methods a) for product efficacy testing for PQT/VCP dossier generation and b) for monitoring entomological impact. Meeting outputs are supported by results of a questionnaire circulated to a wider group of experts. Expert groups then considered other elements of the methods needs to add to the landscape. Critical to sustaining effective use of SE is the ability to monitor susceptibility to the active ingredients in target mosquito populations, for which non-contact bioassays are required to complement analytical chemistry. Developing and validating an appropriate method for testing susceptibility to volatile pyrethroids to replace the currently recommended WHO bottle bioassay is a critical priority to which much thought is being given. The uptake of the current tools under consideration by WHO PQT/VCP is likely to be followed by the production of second in class products, which may differ in design, use case or effectiveness, and therefore methods may need to be adapted. A means to demonstrate non-inferiority to a first-in-class product is a further methods requirement. Timely consideration of the methods needs will help facilitate uptake of existing and new SE products, ensure their effective use, and protect their longevity.</w:t>
      </w:r>
    </w:p>
    <w:p w14:paraId="7F6C4C9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25-A-3008-ASTMH</w:t>
      </w:r>
    </w:p>
    <w:p w14:paraId="78C3A12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Other</w:t>
      </w:r>
    </w:p>
    <w:p w14:paraId="040A8D6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Community health workers perceptions from communities they serve: a qualitative analysis in a conflict-affected context in Central African Republic</w:t>
      </w:r>
    </w:p>
    <w:p w14:paraId="23E00E8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Conflict-affected areas suffer from under-sourcing of health care services due to facility destruction, supply constraints and lack of qualified personnel. In these settings, community health workers (CHW) play a critical role in providing access to life-saving health care. However, perceptions of the role of these workers in humanitarian settings remain poorly understood. Fourteen in-depth structured interviews were conducted with CHWs in remote communities of the Central African Republic (CAR) where they carried out case management activities for prevalent diseases such as malaria, respiratory infection, diarrhoea and malnutrition. A purposive sampling was used to select CHWs for this study. Verbatim was translated into English, transcribed and analysed using qualitative content analysis to identify the main themes emerging from interviews. Five key themes were identified: community acceptance of CHW services, impact CHWs have on community health, community needs, recommendations for improvement, and challenges faced by CHWs in their daily work. Overall, CHWs perceived that communities showed good acceptance and high appreciation for their work. They also reported a positive impact of their work on reducing the disease burden in their communities and their personal satisfaction in providing care. Results highlight the importance of these workers to ensure access to essential and life-saving health care in conflict-affected settings like the CAR.</w:t>
      </w:r>
    </w:p>
    <w:p w14:paraId="6599FD8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25-A-3009-ASTMH</w:t>
      </w:r>
    </w:p>
    <w:p w14:paraId="5FA0E00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39BED27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Making power analysis easy: browser-based apps for designing mosquito experiments</w:t>
      </w:r>
    </w:p>
    <w:p w14:paraId="689D175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Laboratory bioassays are integral to assessing the biological efficacy of insecticide-based vector control tools for malaria. To ensure robustness in experimental designs, appropriate sample sizes must be determined. Determining appropriate sample sizes is hindered by multiple sources of variation in bioassays. Here we present an accessible, user-friendly framework and application for performing sample size calculations in WHO cone bioassays as an example. This developed framework is also ready to be adapted and applied to other bioassays. We used simulation-based methods to assess how sample size impacts detection of differences in 24hr mosquito mortality between treatment groups in the bioassay. To investigate the impact of variability on sample size in the WHO cone bioassay, plausible variability assumptions were established across three levels of bioassay for the testing of insecticide-treated nets: between nets of the same product, between net pieces from the same net and between replicates on a net piece. We demonstrated that the biggest factor in determining the number of samples required to produce a significant result is the effect size to be detected (mortality difference between treatments), highlighting that larger differences (e.g. a 20% difference in mortality between treatments) are readily detected yet smaller differences (e.g. 10%) generally require more than triple this sample size. Based on our simulation framework we present a user-friendly browser application to allow researchers to easily design robust WHO cone bioassays (link: https://fmechan1.shinyapps.io/who_cone_app/).</w:t>
      </w:r>
    </w:p>
    <w:p w14:paraId="6D9544F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25-A-3010-ASTMH</w:t>
      </w:r>
    </w:p>
    <w:p w14:paraId="128381D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Other</w:t>
      </w:r>
    </w:p>
    <w:p w14:paraId="5A18BAF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i/>
          <w:iCs/>
          <w:color w:val="000000"/>
          <w:kern w:val="0"/>
          <w:sz w:val="22"/>
          <w:szCs w:val="22"/>
          <w14:ligatures w14:val="none"/>
        </w:rPr>
        <w:t>The urgency of Prioritizing Health in National Budgets to Guarantee Human Capital: The Case of Malaria in Cameroon</w:t>
      </w:r>
    </w:p>
    <w:p w14:paraId="01C8A55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AbstractMalaria remains a leading cause of morbidity and mortality in Cameroon, disproportionatelyaffecting vulnerable groups and hindering human capital. Despite global progress,inadequate domestic health financing persists, leaving Cameroon reliant on unpredictableexternal funding. This study argues that increasing government health budgets, specificallyfor malaria, will reduce disease burden, boost productivity, and strengthen economic growth.Malaria impairs education, labor participation, and healthcare systems, yet Cameroonallocates </w:t>
      </w:r>
      <w:r w:rsidRPr="008B2783">
        <w:rPr>
          <w:rFonts w:ascii="Calibri" w:eastAsia="Times New Roman" w:hAnsi="Calibri" w:cs="Calibri"/>
          <w:color w:val="000000"/>
          <w:kern w:val="0"/>
          <w:sz w:val="22"/>
          <w:szCs w:val="22"/>
          <w14:ligatures w14:val="none"/>
        </w:rPr>
        <w:lastRenderedPageBreak/>
        <w:t>only 3.6% (2024) of its budget to health, far below the 15% Abuja target. Usingmixed methods, we analyze (1) health spending versus malaria trends (2010–2023), (2) cost-effectiveness of malaria investments, and (3) socioeconomic impacts via surveys andmacroeconomic models. Data includes government reports, WHO, and DHS. Findings showmalaria accounts for 30% of hospital visits, yet domestic funding covers just ~20% of needs.Regression reveals higher health spending correlates with lower malaria mortality (p&lt;0.05). A10% funding increase could avert 1,200 deaths/year and raise GDP by 0.3% via productivitygains. Prioritizing health budgets is critical to sustain malaria control, reduce out-of-pocketcosts, and achieve universal health coverage (UHC). Policymakers must adopt sustainablefinancing to safeguard human capital and advance development.</w:t>
      </w:r>
    </w:p>
    <w:p w14:paraId="097BC2C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25-A-3011-ASTMH</w:t>
      </w:r>
    </w:p>
    <w:p w14:paraId="6BEB899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460AFD2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A longitudinal cohort study of EcoBioTraps - an ecofriendly biodegradable lethal ovitrap in Mumbai, India</w:t>
      </w:r>
    </w:p>
    <w:p w14:paraId="2E9F9E6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Among the mosquito-borne diseases, malaria and dengue take heavy toll on human morbidity and mortality world-wide. The ongoing climate change has impacted on the vector mosquito life-span and invasion.</w:t>
      </w:r>
      <w:r w:rsidRPr="008B2783">
        <w:rPr>
          <w:rFonts w:ascii="Calibri" w:eastAsia="Times New Roman" w:hAnsi="Calibri" w:cs="Calibri"/>
          <w:i/>
          <w:iCs/>
          <w:color w:val="000000"/>
          <w:kern w:val="0"/>
          <w:sz w:val="22"/>
          <w:szCs w:val="22"/>
          <w14:ligatures w14:val="none"/>
        </w:rPr>
        <w:t> </w:t>
      </w:r>
      <w:r w:rsidRPr="008B2783">
        <w:rPr>
          <w:rFonts w:ascii="Calibri" w:eastAsia="Times New Roman" w:hAnsi="Calibri" w:cs="Calibri"/>
          <w:color w:val="000000"/>
          <w:kern w:val="0"/>
          <w:sz w:val="22"/>
          <w:szCs w:val="22"/>
          <w14:ligatures w14:val="none"/>
        </w:rPr>
        <w:t>In the last one decade, the Indian urban malaria vector </w:t>
      </w:r>
      <w:r w:rsidRPr="008B2783">
        <w:rPr>
          <w:rFonts w:ascii="Calibri" w:eastAsia="Times New Roman" w:hAnsi="Calibri" w:cs="Calibri"/>
          <w:i/>
          <w:iCs/>
          <w:color w:val="000000"/>
          <w:kern w:val="0"/>
          <w:sz w:val="22"/>
          <w:szCs w:val="22"/>
          <w14:ligatures w14:val="none"/>
        </w:rPr>
        <w:t>Anopheles stephensi</w:t>
      </w:r>
      <w:r w:rsidRPr="008B2783">
        <w:rPr>
          <w:rFonts w:ascii="Calibri" w:eastAsia="Times New Roman" w:hAnsi="Calibri" w:cs="Calibri"/>
          <w:color w:val="000000"/>
          <w:kern w:val="0"/>
          <w:sz w:val="22"/>
          <w:szCs w:val="22"/>
          <w14:ligatures w14:val="none"/>
        </w:rPr>
        <w:t> has invaded in many African countries. On the other hand, </w:t>
      </w:r>
      <w:r w:rsidRPr="008B2783">
        <w:rPr>
          <w:rFonts w:ascii="Calibri" w:eastAsia="Times New Roman" w:hAnsi="Calibri" w:cs="Calibri"/>
          <w:i/>
          <w:iCs/>
          <w:color w:val="000000"/>
          <w:kern w:val="0"/>
          <w:sz w:val="22"/>
          <w:szCs w:val="22"/>
          <w14:ligatures w14:val="none"/>
        </w:rPr>
        <w:t>Aedes aegypti</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Aedes albopictus</w:t>
      </w:r>
      <w:r w:rsidRPr="008B2783">
        <w:rPr>
          <w:rFonts w:ascii="Calibri" w:eastAsia="Times New Roman" w:hAnsi="Calibri" w:cs="Calibri"/>
          <w:color w:val="000000"/>
          <w:kern w:val="0"/>
          <w:sz w:val="22"/>
          <w:szCs w:val="22"/>
          <w14:ligatures w14:val="none"/>
        </w:rPr>
        <w:t> have made their footprints all over the globe except Antarctica. Many European countries are now under the threat of dengue. In 2024, dengue is a rapidly spreading arboviral disease in more than 90 countries with the Americas reporting more than 11 million cases. The main intervention of these mosquito species is larval source management (LSM). Ovitrap is one such device that plays a crucial role for LSM. EcoBioTraps - an ecofriendly biodegradable papier- mâché based lethal ovitrap has been developed. A 52 week (13 cycles, 4 week of each cycle) longitudinal follow-up study of this ovitap was conducted in 18 clusters of Dharavi in Mumbai, India which is known as the Asia’s biggest slum covering about 300,000 population from February 2024 to February 2025. Weekly breeding incidence was recorded on day 7, 14, 21 and 28, respectively. Two traps - one trial trap (sachet with attractant and pyriproxyfen) and the other control trap (without the sachet) were placed side-by-side at a 20 feet distance. The trial traps attracted a significantly higher proportion of oviposition, with a peak breeding incidence of up to 72% (OR = 8.6; p&lt;0.0001) </w:t>
      </w:r>
      <w:r w:rsidRPr="008B2783">
        <w:rPr>
          <w:rFonts w:ascii="Calibri" w:eastAsia="Times New Roman" w:hAnsi="Calibri" w:cs="Calibri"/>
          <w:i/>
          <w:iCs/>
          <w:color w:val="000000"/>
          <w:kern w:val="0"/>
          <w:sz w:val="22"/>
          <w:szCs w:val="22"/>
          <w14:ligatures w14:val="none"/>
        </w:rPr>
        <w:t>vs</w:t>
      </w:r>
      <w:r w:rsidRPr="008B2783">
        <w:rPr>
          <w:rFonts w:ascii="Calibri" w:eastAsia="Times New Roman" w:hAnsi="Calibri" w:cs="Calibri"/>
          <w:color w:val="000000"/>
          <w:kern w:val="0"/>
          <w:sz w:val="22"/>
          <w:szCs w:val="22"/>
          <w14:ligatures w14:val="none"/>
        </w:rPr>
        <w:t> 57% in control traps (OR = 5.2; p&lt;0.0001) </w:t>
      </w:r>
      <w:r w:rsidRPr="008B2783">
        <w:rPr>
          <w:rFonts w:ascii="Calibri" w:eastAsia="Times New Roman" w:hAnsi="Calibri" w:cs="Calibri"/>
          <w:i/>
          <w:iCs/>
          <w:color w:val="000000"/>
          <w:kern w:val="0"/>
          <w:sz w:val="22"/>
          <w:szCs w:val="22"/>
          <w14:ligatures w14:val="none"/>
        </w:rPr>
        <w:t>vs</w:t>
      </w:r>
      <w:r w:rsidRPr="008B2783">
        <w:rPr>
          <w:rFonts w:ascii="Calibri" w:eastAsia="Times New Roman" w:hAnsi="Calibri" w:cs="Calibri"/>
          <w:color w:val="000000"/>
          <w:kern w:val="0"/>
          <w:sz w:val="22"/>
          <w:szCs w:val="22"/>
          <w14:ligatures w14:val="none"/>
        </w:rPr>
        <w:t> 0.02% in natural containers (OR = 0.48; p&lt;0.001). </w:t>
      </w:r>
      <w:r w:rsidRPr="008B2783">
        <w:rPr>
          <w:rFonts w:ascii="Calibri" w:eastAsia="Times New Roman" w:hAnsi="Calibri" w:cs="Calibri"/>
          <w:i/>
          <w:iCs/>
          <w:color w:val="000000"/>
          <w:kern w:val="0"/>
          <w:sz w:val="22"/>
          <w:szCs w:val="22"/>
          <w14:ligatures w14:val="none"/>
        </w:rPr>
        <w:t>Ae. aegypti </w:t>
      </w:r>
      <w:r w:rsidRPr="008B2783">
        <w:rPr>
          <w:rFonts w:ascii="Calibri" w:eastAsia="Times New Roman" w:hAnsi="Calibri" w:cs="Calibri"/>
          <w:color w:val="000000"/>
          <w:kern w:val="0"/>
          <w:sz w:val="22"/>
          <w:szCs w:val="22"/>
          <w14:ligatures w14:val="none"/>
        </w:rPr>
        <w:t>was the most predominant species followed by </w:t>
      </w:r>
      <w:r w:rsidRPr="008B2783">
        <w:rPr>
          <w:rFonts w:ascii="Calibri" w:eastAsia="Times New Roman" w:hAnsi="Calibri" w:cs="Calibri"/>
          <w:i/>
          <w:iCs/>
          <w:color w:val="000000"/>
          <w:kern w:val="0"/>
          <w:sz w:val="22"/>
          <w:szCs w:val="22"/>
          <w14:ligatures w14:val="none"/>
        </w:rPr>
        <w:t>Culex tritaeniorhynchus; An. stephensi, Cx. quinquefasciatus, Ae. albopictus </w:t>
      </w:r>
      <w:r w:rsidRPr="008B2783">
        <w:rPr>
          <w:rFonts w:ascii="Calibri" w:eastAsia="Times New Roman" w:hAnsi="Calibri" w:cs="Calibri"/>
          <w:color w:val="000000"/>
          <w:kern w:val="0"/>
          <w:sz w:val="22"/>
          <w:szCs w:val="22"/>
          <w14:ligatures w14:val="none"/>
        </w:rPr>
        <w:t>and </w:t>
      </w:r>
      <w:r w:rsidRPr="008B2783">
        <w:rPr>
          <w:rFonts w:ascii="Calibri" w:eastAsia="Times New Roman" w:hAnsi="Calibri" w:cs="Calibri"/>
          <w:i/>
          <w:iCs/>
          <w:color w:val="000000"/>
          <w:kern w:val="0"/>
          <w:sz w:val="22"/>
          <w:szCs w:val="22"/>
          <w14:ligatures w14:val="none"/>
        </w:rPr>
        <w:t>Ae. vittatus.</w:t>
      </w:r>
      <w:r w:rsidRPr="008B2783">
        <w:rPr>
          <w:rFonts w:ascii="Calibri" w:eastAsia="Times New Roman" w:hAnsi="Calibri" w:cs="Calibri"/>
          <w:color w:val="000000"/>
          <w:kern w:val="0"/>
          <w:sz w:val="22"/>
          <w:szCs w:val="22"/>
          <w14:ligatures w14:val="none"/>
        </w:rPr>
        <w:t> Community trap attrition rate decreased from its peak of 37% (cycle 2) to 2% (cycle 13), supported by sustained IEC campaigns and improved public engagements. Only 0.68% pyriproxyfen treated eggs emerged to adults which were deformed indicated good impact of the insecticide. Overall, Eco Bio traps showed an effective adjunct device under the integrated vector control (IVM) strategy.</w:t>
      </w:r>
    </w:p>
    <w:p w14:paraId="3C8CEDA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25-A-3012-ASTMH</w:t>
      </w:r>
    </w:p>
    <w:p w14:paraId="0586BCE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1D0A709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Disaggregation Maxent Regression for Improved Disease Mapping with Count Data Aggregated to Administrative Boundaries</w:t>
      </w:r>
    </w:p>
    <w:p w14:paraId="348F30C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Disease Mapping Is Vitally Important for Prioritising Healthcare Spending, Especially in Global Health Applications. An Emerging Statistical Method, Disaggregation Regression, Allows the Creation of High-Resolution Risk Maps from Low-Resolution Disease Incidence Data Aggregated to Administrative Boundaries. However, Current Implementations of This Method Do Not Allow for Nonlinear Effects of Covariates on Disease Risk and Therefore Have Limited Ability to Make Accurate Predictions. We Have Developed a New Method, Disaggregation Maxent Regression (DMR) That Allows for Interacting and Nonlinear Effects of Covariates. This Method Combines the Statistical Model of Disaggregation Regression, With the Feature Engineering and Regularisation of Maxent, A Popular Statistical Method in Ecology. Our Method Creates Many New Nonlinear Transforms of The Environmental Covariates, and </w:t>
      </w:r>
      <w:r w:rsidRPr="008B2783">
        <w:rPr>
          <w:rFonts w:ascii="Calibri" w:eastAsia="Times New Roman" w:hAnsi="Calibri" w:cs="Calibri"/>
          <w:color w:val="000000"/>
          <w:kern w:val="0"/>
          <w:sz w:val="22"/>
          <w:szCs w:val="22"/>
          <w14:ligatures w14:val="none"/>
        </w:rPr>
        <w:lastRenderedPageBreak/>
        <w:t>Regularises the Fitting of The Model Using Bayesian Priors. We Have Tested This Model on A Dataset of Malaria Cases in Madagascar, Finding That the New Method Makes More Accurate Predictions Than Standard Disaggregation Regression (MAE of 4038 versus 5896, With the Number of Covariates Increased From 4 to 50). We Will Further Apply This Method to Mapping Lassa Fever in Nigeria. Overall, We Find That Our New Method Can More Accurately Capture the Complex Drivers of Disease and Therefore Provide More Accurate Disease Risk Maps. This Will Allow More Effective Distribution of Healthcare Resources, Especially in Low- And Middle-Income Countries, With High Burdens of Vector-Borne and Zoonotic Disease.</w:t>
      </w:r>
    </w:p>
    <w:p w14:paraId="744FBBF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25-A-3015-ASTMH</w:t>
      </w:r>
    </w:p>
    <w:p w14:paraId="31EA622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Water, Sanitation, Hygiene and Environmental Health</w:t>
      </w:r>
    </w:p>
    <w:p w14:paraId="07C5066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Impact of a multi-component training intervention (Clean Frontline) on microbiological cleanliness in Cambodian referral hospitals: a stepped wedge, cluster-randomised, trial.</w:t>
      </w:r>
    </w:p>
    <w:p w14:paraId="2C9478A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Background </w:t>
      </w:r>
      <w:r w:rsidRPr="008B2783">
        <w:rPr>
          <w:rFonts w:ascii="Calibri" w:eastAsia="Times New Roman" w:hAnsi="Calibri" w:cs="Calibri"/>
          <w:color w:val="000000"/>
          <w:kern w:val="0"/>
          <w:sz w:val="22"/>
          <w:szCs w:val="22"/>
          <w14:ligatures w14:val="none"/>
        </w:rPr>
        <w:t>Cleanliness of near-patient surfaces in the hospital environment is important for preventing healthcare-associated infections and the spread of resistant pathogens. This is the first such trial to assess the effectiveness of a hospital-based, multi-component, training intervention (Clean Frontline) to improve microbiological cleanliness of near-patient surfaces. </w:t>
      </w:r>
      <w:r w:rsidRPr="008B2783">
        <w:rPr>
          <w:rFonts w:ascii="Calibri" w:eastAsia="Times New Roman" w:hAnsi="Calibri" w:cs="Calibri"/>
          <w:b/>
          <w:bCs/>
          <w:color w:val="000000"/>
          <w:kern w:val="0"/>
          <w:sz w:val="22"/>
          <w:szCs w:val="22"/>
          <w14:ligatures w14:val="none"/>
        </w:rPr>
        <w:t>Methods </w:t>
      </w:r>
      <w:r w:rsidRPr="008B2783">
        <w:rPr>
          <w:rFonts w:ascii="Calibri" w:eastAsia="Times New Roman" w:hAnsi="Calibri" w:cs="Calibri"/>
          <w:color w:val="000000"/>
          <w:kern w:val="0"/>
          <w:sz w:val="22"/>
          <w:szCs w:val="22"/>
          <w14:ligatures w14:val="none"/>
        </w:rPr>
        <w:t>We conducted a stepped wedge, cluster-randomised trial in 13 Cambodian referral hospitals, with four steps defined by switching from control to intervention states. Three wards in each hospital (maternity, paediatrics and general) were involved. The multi-component intervention selected, trained, and supervised facility cleaning champions who, in turn, trained and supervised cleaners at their facility. The primary outcome was near-patient surface microbiological cleanliness (&lt;2.5 CFU/cm</w:t>
      </w:r>
      <w:r w:rsidRPr="008B2783">
        <w:rPr>
          <w:rFonts w:ascii="Calibri" w:eastAsia="Times New Roman" w:hAnsi="Calibri" w:cs="Calibri"/>
          <w:color w:val="000000"/>
          <w:kern w:val="0"/>
          <w:sz w:val="22"/>
          <w:szCs w:val="22"/>
          <w:vertAlign w:val="superscript"/>
          <w14:ligatures w14:val="none"/>
        </w:rPr>
        <w:t>2</w:t>
      </w:r>
      <w:r w:rsidRPr="008B2783">
        <w:rPr>
          <w:rFonts w:ascii="Calibri" w:eastAsia="Times New Roman" w:hAnsi="Calibri" w:cs="Calibri"/>
          <w:color w:val="000000"/>
          <w:kern w:val="0"/>
          <w:sz w:val="22"/>
          <w:szCs w:val="22"/>
          <w14:ligatures w14:val="none"/>
        </w:rPr>
        <w:t>) evaluated using dipslides. Thirty samples from each hospital were collected every month for 10 months. The team collecting and analysing the primary outcome data were masked to the treatment allocation. The primary outcome was estimated at the surface (odds ratio=OR) and hospital levels (risk difference=RD) using an intention-to-treat approach. Registration NCT number: NCT05540886. </w:t>
      </w:r>
      <w:r w:rsidRPr="008B2783">
        <w:rPr>
          <w:rFonts w:ascii="Calibri" w:eastAsia="Times New Roman" w:hAnsi="Calibri" w:cs="Calibri"/>
          <w:b/>
          <w:bCs/>
          <w:color w:val="000000"/>
          <w:kern w:val="0"/>
          <w:sz w:val="22"/>
          <w:szCs w:val="22"/>
          <w14:ligatures w14:val="none"/>
        </w:rPr>
        <w:t>Findings </w:t>
      </w:r>
      <w:r w:rsidRPr="008B2783">
        <w:rPr>
          <w:rFonts w:ascii="Calibri" w:eastAsia="Times New Roman" w:hAnsi="Calibri" w:cs="Calibri"/>
          <w:color w:val="000000"/>
          <w:kern w:val="0"/>
          <w:sz w:val="22"/>
          <w:szCs w:val="22"/>
          <w14:ligatures w14:val="none"/>
        </w:rPr>
        <w:t>Across the 13 participating hospitals, 53 champions and 51 cleaners were trained in the targeted wards. The outcome measurement was carried out monthly between 3</w:t>
      </w:r>
      <w:r w:rsidRPr="008B2783">
        <w:rPr>
          <w:rFonts w:ascii="Calibri" w:eastAsia="Times New Roman" w:hAnsi="Calibri" w:cs="Calibri"/>
          <w:color w:val="000000"/>
          <w:kern w:val="0"/>
          <w:sz w:val="22"/>
          <w:szCs w:val="22"/>
          <w:vertAlign w:val="superscript"/>
          <w14:ligatures w14:val="none"/>
        </w:rPr>
        <w:t>rd</w:t>
      </w:r>
      <w:r w:rsidRPr="008B2783">
        <w:rPr>
          <w:rFonts w:ascii="Calibri" w:eastAsia="Times New Roman" w:hAnsi="Calibri" w:cs="Calibri"/>
          <w:color w:val="000000"/>
          <w:kern w:val="0"/>
          <w:sz w:val="22"/>
          <w:szCs w:val="22"/>
          <w14:ligatures w14:val="none"/>
        </w:rPr>
        <w:t> of May 2022 and 23</w:t>
      </w:r>
      <w:r w:rsidRPr="008B2783">
        <w:rPr>
          <w:rFonts w:ascii="Calibri" w:eastAsia="Times New Roman" w:hAnsi="Calibri" w:cs="Calibri"/>
          <w:color w:val="000000"/>
          <w:kern w:val="0"/>
          <w:sz w:val="22"/>
          <w:szCs w:val="22"/>
          <w:vertAlign w:val="superscript"/>
          <w14:ligatures w14:val="none"/>
        </w:rPr>
        <w:t>rd</w:t>
      </w:r>
      <w:r w:rsidRPr="008B2783">
        <w:rPr>
          <w:rFonts w:ascii="Calibri" w:eastAsia="Times New Roman" w:hAnsi="Calibri" w:cs="Calibri"/>
          <w:color w:val="000000"/>
          <w:kern w:val="0"/>
          <w:sz w:val="22"/>
          <w:szCs w:val="22"/>
          <w14:ligatures w14:val="none"/>
        </w:rPr>
        <w:t> of March 2023. A total of 3900 samples were collected, 3822 were used in the analyses. We observed a positive effect of the intervention on cleanliness in the surface analysis (OR=1.39, 95% CI=0 .95,2.03, p-value=0.081) and hospital level analyses (RD=5.04%, 95% CI=0.76,9.33, p-value=0.026). </w:t>
      </w:r>
      <w:r w:rsidRPr="008B2783">
        <w:rPr>
          <w:rFonts w:ascii="Calibri" w:eastAsia="Times New Roman" w:hAnsi="Calibri" w:cs="Calibri"/>
          <w:b/>
          <w:bCs/>
          <w:color w:val="000000"/>
          <w:kern w:val="0"/>
          <w:sz w:val="22"/>
          <w:szCs w:val="22"/>
          <w14:ligatures w14:val="none"/>
        </w:rPr>
        <w:t>Interpretation </w:t>
      </w:r>
      <w:r w:rsidRPr="008B2783">
        <w:rPr>
          <w:rFonts w:ascii="Calibri" w:eastAsia="Times New Roman" w:hAnsi="Calibri" w:cs="Calibri"/>
          <w:color w:val="000000"/>
          <w:kern w:val="0"/>
          <w:sz w:val="22"/>
          <w:szCs w:val="22"/>
          <w14:ligatures w14:val="none"/>
        </w:rPr>
        <w:t>Measurably improving microbiological cleanliness in referral hospitals in low-income countries through the delivery of context-appropriate training and support is feasible and relevant to patient safety. Larger improvements are likely if the wider health system challenges, including limited financing, faced by low-resource settings are addressed.</w:t>
      </w:r>
    </w:p>
    <w:p w14:paraId="56E4D46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25-A-3016-ASTMH</w:t>
      </w:r>
    </w:p>
    <w:p w14:paraId="23B5C02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Epidemiology</w:t>
      </w:r>
    </w:p>
    <w:p w14:paraId="0E98486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Relative and attributable risks of neurological and perinatal adverse outcomes among children born to Zika virus infected women during pregnancy compared to children born to uninfected women in a prospective cohort study in Northeast Brazil</w:t>
      </w:r>
    </w:p>
    <w:p w14:paraId="031E0A1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Since the start of the microcephaly epidemic in 2015, knowledge has been accumulated in the characterization of Congenital Zika Syndrome, however, the lack of a comparison group in most of the published studies on Zika virus (ZIKV) infections during pregnancy limits our comprehension of, first, the magnitude by which prenatal ZIKV exposure may increase risks of adverse outcomes for offspring and, second, the fraction of abnormalities that are attributable to this exposure.</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 xml:space="preserve">To overwhelm this limitation, this study harmonized and integrated data collected prospectively in Recife, Pernambuco, Brazil, from offspring of ZIKV-exposed women in the Microcephaly Epidemic Research Group (MERG) Pregnant Women Cohort and from offspring of ZIKV-unexposed women in the cohort of Zika in Infants and Pregnancy (ZIP study) Study. We estimated the relative risk (RR) and attributable risk percent (AR%) of: (i) adverse birth outcomes including low birth weight (LBW), prematurity and small for gestational </w:t>
      </w:r>
      <w:r w:rsidRPr="008B2783">
        <w:rPr>
          <w:rFonts w:ascii="Calibri" w:eastAsia="Times New Roman" w:hAnsi="Calibri" w:cs="Calibri"/>
          <w:color w:val="000000"/>
          <w:kern w:val="0"/>
          <w:sz w:val="22"/>
          <w:szCs w:val="22"/>
          <w14:ligatures w14:val="none"/>
        </w:rPr>
        <w:lastRenderedPageBreak/>
        <w:t>age (SGA) and (ii) developmental abnormalities including microcephaly and neurological, ophthalmological, audiological, and neuroimaging alterations. We observed similar risks of adverse birth outcomes and ophthalmological deficits in ZIKV-exposed and unexposed children. However, as compared to ZIKV-unexposed children, ZIKV-exposed children presented with markedly increased risks of microcephaly (RR, 95%-CI: 3.61, 1.70 to 7.63; AR% 72%), neurological abnormalities (RR, 95%-CI: 5.64, 3.04 to 10.47; AR% 82%), audiological screening failures (RR, 95%-CI: 9.20, 2.59 to 32.69; AR% 89%), and neuroimaging abnormalities (RR, 95%-CI: 22.06, 2.90 to 167.5; AR% 95%). The risk of having concurrent abnormalities was lower than the risk of having just one abnormality. Our results provide new insights into the relative and attributable risks related to prenatal ZIKV exposure and demonstrate that, overall, the risks of congenital abnormalities are elevated among children exposed to ZIKV during pregnancy and that a high proportion of abnormalities found in children born to exposed mother can be attributed to ZIKV exposure.</w:t>
      </w:r>
    </w:p>
    <w:p w14:paraId="327594B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25-A-3017-ASTMH</w:t>
      </w:r>
    </w:p>
    <w:p w14:paraId="63D7A04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Elimination</w:t>
      </w:r>
    </w:p>
    <w:p w14:paraId="622BB1A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Towards malaria elimination in Malawi: Developing forecasting models for a malaria early warning system in Malawi</w:t>
      </w:r>
    </w:p>
    <w:p w14:paraId="414C58C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As Malawi accelerates efforts toward malaria elimination by 2030, accurate and timely forecasts are essential to guide sub-national interventions. We evaluated and compared the predictive performance of autoregressive integrated moving average (ARIMA) and spatial-temporal (ST) models for malaria early warning across seven moderate-burden districts in Malawi.Monthly district-level malaria data from 2015 to 2023 were analyzed using ARIMA and Bayesian spatial-temporal models, incorporating climate covariates such as rainfall and temperature. RMSE was calculated on 2023 hold-out data to compare model performance across districts. Each model was also used to generate 12-month forecasts for 2024, based on historical seasonal climate trends.Model performance varied across districts. ARIMA models captured long-term trends but underestimated peak periods, particularly in Karonga and Balaka. Spatial-temporal models demonstrated improved accuracy in districts with strong spatial correlation (e.g., Chikwawa and Machinga), with lower RMSE values in four of the seven districts. RMSE for the best-performing model ranged from 10.5 to 28.9 across districts. However, the spatial-temporal model also showed wider prediction intervals in some settings. Forecasts for 2024 highlighted expected seasonal peaks in transmission but also revealed high uncertainty in districts like Chiradzulu and Phalombe.No single model performed optimally across all districts. Spatial-temporal models offer advantages in capturing local context and spatial dependency, while ARIMA remains a useful benchmark for time series forecasting. Tailored early warning approaches,accounting for district-specific patterns and local surveillance quality, will be essential for effective intervention planning. Strengthening routine data systems and integrating real-time environmental indicators will be key to operationalizing forecasting models for malaria early warning in Malawi.</w:t>
      </w:r>
    </w:p>
    <w:p w14:paraId="28F6615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25-A-3018-ASTMH</w:t>
      </w:r>
    </w:p>
    <w:p w14:paraId="0F02514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One Health: The Interface of Humans, Ecosystems, and Animal Health</w:t>
      </w:r>
    </w:p>
    <w:p w14:paraId="66F3F8F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Integrating sociobehavioral approaches to characterize the risk perception of livestock zoonoses in Rwanda</w:t>
      </w:r>
    </w:p>
    <w:p w14:paraId="38A3DB9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Zoonoses affect livelihoods and the health of humans and animals. How zoonotic pathogens spread is influenced by layers of the social environment, including policy, sanitation infrastructure, social norms, and individual behavior. “Risk perception” towards zoonoses, distinct from quantitatively derived “risk,” influences behavior but is poorly characterized. Our study aimed to characterize community members’ risk perception toward livestock zoonoses in Rwanda using a mixed-methods approach. We hypothesized that the participants would perceive a low likelihood of contracting diseases from livestock and have limited negative affect (e.g., sadness, worry) towards them. The study took place in Nyamagabe, Southern Rwanda, where smallholder pig farming is common, in 2024-2025. This study was </w:t>
      </w:r>
      <w:r w:rsidRPr="008B2783">
        <w:rPr>
          <w:rFonts w:ascii="Calibri" w:eastAsia="Times New Roman" w:hAnsi="Calibri" w:cs="Calibri"/>
          <w:color w:val="000000"/>
          <w:kern w:val="0"/>
          <w:sz w:val="22"/>
          <w:szCs w:val="22"/>
          <w14:ligatures w14:val="none"/>
        </w:rPr>
        <w:lastRenderedPageBreak/>
        <w:t>embedded in Community One Health Empowerment in Rwanda and Senegal (COHERS), a project to prevent and control </w:t>
      </w:r>
      <w:r w:rsidRPr="008B2783">
        <w:rPr>
          <w:rFonts w:ascii="Calibri" w:eastAsia="Times New Roman" w:hAnsi="Calibri" w:cs="Calibri"/>
          <w:i/>
          <w:iCs/>
          <w:color w:val="000000"/>
          <w:kern w:val="0"/>
          <w:sz w:val="22"/>
          <w:szCs w:val="22"/>
          <w14:ligatures w14:val="none"/>
        </w:rPr>
        <w:t>Taenia solium</w:t>
      </w:r>
      <w:r w:rsidRPr="008B2783">
        <w:rPr>
          <w:rFonts w:ascii="Calibri" w:eastAsia="Times New Roman" w:hAnsi="Calibri" w:cs="Calibri"/>
          <w:color w:val="000000"/>
          <w:kern w:val="0"/>
          <w:sz w:val="22"/>
          <w:szCs w:val="22"/>
          <w14:ligatures w14:val="none"/>
        </w:rPr>
        <w:t> cysticercosis. In April 2025, we completed a pilot phase of eight key informant interviews (KIIs) and over 1800 household surveys to characterize the risk perception of zoonoses. KIIs identified that community workers who participated in the COHERS One Health training were highly aware of the zoonoses risks that livestock such as cattle, pigs, and chickens could pose to humans, with most participants able to provide examples of respiratory, neurologic, and skin diseases. Some participants expressed sadness that people in their villages were falling ill from their livestock, while others expressed their motivation to continue communicating best practices for husbandry and hygiene to community members. Preliminary survey results showed that 62% (626/1014) of smallholder pig farmers dewormed their pigs (against </w:t>
      </w:r>
      <w:r w:rsidRPr="008B2783">
        <w:rPr>
          <w:rFonts w:ascii="Calibri" w:eastAsia="Times New Roman" w:hAnsi="Calibri" w:cs="Calibri"/>
          <w:i/>
          <w:iCs/>
          <w:color w:val="000000"/>
          <w:kern w:val="0"/>
          <w:sz w:val="22"/>
          <w:szCs w:val="22"/>
          <w14:ligatures w14:val="none"/>
        </w:rPr>
        <w:t>T. solium</w:t>
      </w:r>
      <w:r w:rsidRPr="008B2783">
        <w:rPr>
          <w:rFonts w:ascii="Calibri" w:eastAsia="Times New Roman" w:hAnsi="Calibri" w:cs="Calibri"/>
          <w:color w:val="000000"/>
          <w:kern w:val="0"/>
          <w:sz w:val="22"/>
          <w:szCs w:val="22"/>
          <w14:ligatures w14:val="none"/>
        </w:rPr>
        <w:t>), but 40% (402/1014) fed their pigs human feces, indicating that some farmers perceived </w:t>
      </w:r>
      <w:r w:rsidRPr="008B2783">
        <w:rPr>
          <w:rFonts w:ascii="Calibri" w:eastAsia="Times New Roman" w:hAnsi="Calibri" w:cs="Calibri"/>
          <w:i/>
          <w:iCs/>
          <w:color w:val="000000"/>
          <w:kern w:val="0"/>
          <w:sz w:val="22"/>
          <w:szCs w:val="22"/>
          <w14:ligatures w14:val="none"/>
        </w:rPr>
        <w:t>T. solium</w:t>
      </w:r>
      <w:r w:rsidRPr="008B2783">
        <w:rPr>
          <w:rFonts w:ascii="Calibri" w:eastAsia="Times New Roman" w:hAnsi="Calibri" w:cs="Calibri"/>
          <w:color w:val="000000"/>
          <w:kern w:val="0"/>
          <w:sz w:val="22"/>
          <w:szCs w:val="22"/>
          <w14:ligatures w14:val="none"/>
        </w:rPr>
        <w:t> as a risk and took action to control infection but were unaware that human feces could be a source of infection. Our findings support local health authorities to develop relevant risk communication messages (e.g., risk-elevating or risk-mitigating) and inform how interventions are implemented in COHERS.</w:t>
      </w:r>
    </w:p>
    <w:p w14:paraId="012C66A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25-A-3019-ASTMH</w:t>
      </w:r>
    </w:p>
    <w:p w14:paraId="1F6C02D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Epidemiology</w:t>
      </w:r>
    </w:p>
    <w:p w14:paraId="0DB5E5F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Kinetics of the neutralizing and binding antibody responses following Zika virus infection during pregnancy: A nested analysis of participants from the Microcephaly Epidemic Research Group and Zika in Infants and Pregnancy Pregnancy Cohorts</w:t>
      </w:r>
    </w:p>
    <w:p w14:paraId="1643533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Zika virus (ZIKV) is an arthropod-borne virus (arbovirus) belonging to the </w:t>
      </w:r>
      <w:r w:rsidRPr="008B2783">
        <w:rPr>
          <w:rFonts w:ascii="Calibri" w:eastAsia="Times New Roman" w:hAnsi="Calibri" w:cs="Calibri"/>
          <w:i/>
          <w:iCs/>
          <w:color w:val="000000"/>
          <w:kern w:val="0"/>
          <w:sz w:val="22"/>
          <w:szCs w:val="22"/>
          <w14:ligatures w14:val="none"/>
        </w:rPr>
        <w:t>Flaviviridae</w:t>
      </w:r>
      <w:r w:rsidRPr="008B2783">
        <w:rPr>
          <w:rFonts w:ascii="Calibri" w:eastAsia="Times New Roman" w:hAnsi="Calibri" w:cs="Calibri"/>
          <w:color w:val="000000"/>
          <w:kern w:val="0"/>
          <w:sz w:val="22"/>
          <w:szCs w:val="22"/>
          <w14:ligatures w14:val="none"/>
        </w:rPr>
        <w:t> family. ZIKV is primarily transmitted by </w:t>
      </w:r>
      <w:r w:rsidRPr="008B2783">
        <w:rPr>
          <w:rFonts w:ascii="Calibri" w:eastAsia="Times New Roman" w:hAnsi="Calibri" w:cs="Calibri"/>
          <w:i/>
          <w:iCs/>
          <w:color w:val="000000"/>
          <w:kern w:val="0"/>
          <w:sz w:val="22"/>
          <w:szCs w:val="22"/>
          <w14:ligatures w14:val="none"/>
        </w:rPr>
        <w:t>Aedes aegypti</w:t>
      </w:r>
      <w:r w:rsidRPr="008B2783">
        <w:rPr>
          <w:rFonts w:ascii="Calibri" w:eastAsia="Times New Roman" w:hAnsi="Calibri" w:cs="Calibri"/>
          <w:color w:val="000000"/>
          <w:kern w:val="0"/>
          <w:sz w:val="22"/>
          <w:szCs w:val="22"/>
          <w14:ligatures w14:val="none"/>
        </w:rPr>
        <w:t> mosquitoes, but also through sexual contact, transfusions, and congenitally. Although the symptomatology caused by the virus is relatively mild in adults, ZIKV infection during pregnancy can result in Congenital Zika Syndrome (CZS) in the newborn, which includes microcephaly, imaging abnormalities, and neurological and ophthalmological outcomes. Nevertheless, diagnosing ZIKV infection during pregnancy remains challenging, and the kinetics of the serological response to acute infection remains insufficiently reported in the literature. Using samples collected longitudinally from two cohorts of pregnant women in Brazil, this study aims to estimate the timeframe to reach anti-ZIKV immunoglobulin (Ig)M negativity. Additionally, it seeks to describe the positivity of IgM, IgG3, and neutralizing antibodies based on the interval between symptom onset and testing in symptomatic pregnant women. Within the population of ZIKV-infected pregnant women, the probability of the IgM antibody class becoming negative, after the initial detection, was 40% by 3 months, 75% by 6 months, and 85% by 12 months. Moreover, we observed a decreasing trend in the percentage of ZIKV-positive women with detectable ZIKV-specific IgM antibodies over the 12 months after infection, peaking at 8.1% 1 to 2-months after symptom onset and declining to 1.1% by 4 to 5-months after symptom onset. In contrast, IgG3 and neutralizing antibody detection remained stable over the observation period, with approximately &lt;6% and 50% remaining detectable, respectively. This study adds to the body of evidence on the behavior of the antibody responses in a population of women infected with ZIKV during pregnancy. The findings advance understanding of the probability of seroconversion and seroreversion using different immune markers in ZIKV-infected pregnant women, and have the potential to improve the design of maternal screening and surveillance strategies for ZIKV.</w:t>
      </w:r>
    </w:p>
    <w:p w14:paraId="2FDC1C1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25-A-3020-ASTMH</w:t>
      </w:r>
    </w:p>
    <w:p w14:paraId="2A2E7BE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Epidemiology</w:t>
      </w:r>
    </w:p>
    <w:p w14:paraId="5454316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An individual participant data meta-analysis of 12 cohorts in the Zika Brazilian Cohorts Consortium to characterize 843 children with Zika-related microcephaly</w:t>
      </w:r>
    </w:p>
    <w:p w14:paraId="3CF94FB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One of the main gaps in characterizing the congenital Zika syndrome (CZS) up to now is the small number of participants in individual studies. Pooling the data together overcomes the sample size-related limitations of the individual studies and provides an opportunity for investigating heterogeneity between studies and, as appropriate, to better characterize the CZS</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 xml:space="preserve">This study aims to describe adverse </w:t>
      </w:r>
      <w:r w:rsidRPr="008B2783">
        <w:rPr>
          <w:rFonts w:ascii="Calibri" w:eastAsia="Times New Roman" w:hAnsi="Calibri" w:cs="Calibri"/>
          <w:color w:val="000000"/>
          <w:kern w:val="0"/>
          <w:sz w:val="22"/>
          <w:szCs w:val="22"/>
          <w14:ligatures w14:val="none"/>
        </w:rPr>
        <w:lastRenderedPageBreak/>
        <w:t>anthropometric, clinical, and neuroimaging outcomes in Brazilian children with Zika-related microcephaly in the first three years of life. Individual participant data meta-analysis of 12 cohorts of the Zika Brazilian Cohorts Consortium (ZBC-Consortium), using primary data from children with Zika-related microcephaly, born between January/2015 and July/2018.</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We included 843 children with microcephaly at birth, at first evaluation, or over follow-up. Of 601 children with microcephaly at birth, 217 (36.1%) had moderate and 384 (63.9%) had severe microcephaly. Postnatal microcephaly occurred in 172 (20.4%) children. The study participants originated from cohorts in three out of the five Brazilian Regions: 19 (2.3%) from the North Region; 620 (73.5%) from the Northeast Region; and 204 (24.2%) from the Southeast Region. There was heterogeneity across studies. Severe microcephaly ranged from 11-87.5%; prematurity from 10-20% in most sites; low birth weight from 10-43.8%. Deficit of social attention, hyperreflexia, and persistence of primitive reflexes were reported in at least 50% of the children in the larger cohorts. Epilepsy ranged from 24-80% of the children and dysphagia, from 22.2-67.7%. Calcifications and ventriculomegaly were the most consistent and frequent abnormality (around 80%). Cortical atrophy or other development disorders were reported in around 50% of the children. The frequency of eye, optical nerve and hearing abnormalities ranged from 0-67.1%, 0-36.5% and 0-50%, respectively. This large sample size allowed us to describe the spectrum of severity and of manifestations of Congenital Zika Syndrome.</w:t>
      </w:r>
    </w:p>
    <w:p w14:paraId="437426A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25-A-3021-ASTMH</w:t>
      </w:r>
    </w:p>
    <w:p w14:paraId="59FBA23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Surveillance and Data Utilization</w:t>
      </w:r>
    </w:p>
    <w:p w14:paraId="258B181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i/>
          <w:iCs/>
          <w:color w:val="000000"/>
          <w:kern w:val="0"/>
          <w:sz w:val="22"/>
          <w:szCs w:val="22"/>
          <w14:ligatures w14:val="none"/>
        </w:rPr>
        <w:t>Evaluating the real-world impact of Seasonal Malaria Chemoprevention (SMC) in Burkina Faso using a mathematical modelling framework, 2010 - 2018</w:t>
      </w:r>
    </w:p>
    <w:p w14:paraId="6428B4E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Background: </w:t>
      </w:r>
      <w:r w:rsidRPr="008B2783">
        <w:rPr>
          <w:rFonts w:ascii="Calibri" w:eastAsia="Times New Roman" w:hAnsi="Calibri" w:cs="Calibri"/>
          <w:color w:val="000000"/>
          <w:kern w:val="0"/>
          <w:sz w:val="22"/>
          <w:szCs w:val="22"/>
          <w14:ligatures w14:val="none"/>
        </w:rPr>
        <w:t>Evaluating real-world impact of SMC is challenging due to limited interpretability of routine data. In Burkina Faso, prevalence of malaria in children under-five (U5) declined as expected with SMC scale-up from 2010 - 2018, yet health facility cases increased over the same period. We developed a modelling framework to assess impact of SMC in various data sources in Burkina Faso. </w:t>
      </w:r>
      <w:r w:rsidRPr="008B2783">
        <w:rPr>
          <w:rFonts w:ascii="Calibri" w:eastAsia="Times New Roman" w:hAnsi="Calibri" w:cs="Calibri"/>
          <w:b/>
          <w:bCs/>
          <w:color w:val="000000"/>
          <w:kern w:val="0"/>
          <w:sz w:val="22"/>
          <w:szCs w:val="22"/>
          <w14:ligatures w14:val="none"/>
        </w:rPr>
        <w:t>Methods: </w:t>
      </w:r>
      <w:r w:rsidRPr="008B2783">
        <w:rPr>
          <w:rFonts w:ascii="Calibri" w:eastAsia="Times New Roman" w:hAnsi="Calibri" w:cs="Calibri"/>
          <w:color w:val="000000"/>
          <w:kern w:val="0"/>
          <w:sz w:val="22"/>
          <w:szCs w:val="22"/>
          <w14:ligatures w14:val="none"/>
        </w:rPr>
        <w:t>We calibrated the Imperial College malaria transmission model to microscopy-confirmed infection prevalence pre-SMC in U5 by varying mosquito density in 65 health districts in Burkina Faso, accounting for rainfall, net use and treatment. SMC was simulated in children 3-59 months. To adjust for non-age-specific changes in burden and healthcare-seeking, we analysed the proportion of cases which were U5, using children 5-14 as a control. Observational models were developed to account for healthcare-seeking and non-malarial fevers (NMFs) coinciding with asymptomatic parasitaemia. To assess SMC impact, we compared modelled and observed health facility cases and identified the coverage level that minimized the weighted least squares difference in log odds ratios of cases U5 versus 5-14 during the post-SMC period of protection versus pre-SMC. </w:t>
      </w:r>
      <w:r w:rsidRPr="008B2783">
        <w:rPr>
          <w:rFonts w:ascii="Calibri" w:eastAsia="Times New Roman" w:hAnsi="Calibri" w:cs="Calibri"/>
          <w:b/>
          <w:bCs/>
          <w:color w:val="000000"/>
          <w:kern w:val="0"/>
          <w:sz w:val="22"/>
          <w:szCs w:val="22"/>
          <w14:ligatures w14:val="none"/>
        </w:rPr>
        <w:t>Results: </w:t>
      </w:r>
      <w:r w:rsidRPr="008B2783">
        <w:rPr>
          <w:rFonts w:ascii="Calibri" w:eastAsia="Times New Roman" w:hAnsi="Calibri" w:cs="Calibri"/>
          <w:color w:val="000000"/>
          <w:kern w:val="0"/>
          <w:sz w:val="22"/>
          <w:szCs w:val="22"/>
          <w14:ligatures w14:val="none"/>
        </w:rPr>
        <w:t>Seasonal and age-specific trends in U5 case proportions were well captured by the model after adjusting for healthcare-seeking behaviour and NMFs. Initial analyses find clinical case predictions align with routine data at SMC coverages ranging 70 - 90%. The model predicted lower odds of malaria cases U5 compared to baseline with high coverage of SMC (odds ratio (OR) 0.55). In the absence of SMC, the model predicted minimal change in odds of malaria (OR 0.96). This corresponds to approximately 8.5 - 11 million U5 cases averted during the period of SMC protection in Burkina Faso from 2014 - 2018. </w:t>
      </w:r>
      <w:r w:rsidRPr="008B2783">
        <w:rPr>
          <w:rFonts w:ascii="Calibri" w:eastAsia="Times New Roman" w:hAnsi="Calibri" w:cs="Calibri"/>
          <w:b/>
          <w:bCs/>
          <w:color w:val="000000"/>
          <w:kern w:val="0"/>
          <w:sz w:val="22"/>
          <w:szCs w:val="22"/>
          <w14:ligatures w14:val="none"/>
        </w:rPr>
        <w:t>Conclusions: </w:t>
      </w:r>
      <w:r w:rsidRPr="008B2783">
        <w:rPr>
          <w:rFonts w:ascii="Calibri" w:eastAsia="Times New Roman" w:hAnsi="Calibri" w:cs="Calibri"/>
          <w:color w:val="000000"/>
          <w:kern w:val="0"/>
          <w:sz w:val="22"/>
          <w:szCs w:val="22"/>
          <w14:ligatures w14:val="none"/>
        </w:rPr>
        <w:t>Our modelling framework is able to estimate and monitor the long-term impact of SMC using routine data. SMC has had a significant impact in preventing cases in Burkina Faso, which has been obscured by confounding factors such as changes in healthcare-seeking, that can be accounted for using a model.</w:t>
      </w:r>
    </w:p>
    <w:p w14:paraId="08AFD2E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25-A-3022-ASTMH</w:t>
      </w:r>
    </w:p>
    <w:p w14:paraId="5C3A1C5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Biology and Genetics of Insecticide Resistance</w:t>
      </w:r>
    </w:p>
    <w:p w14:paraId="3C5D1EB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Whole transcriptome sequencing reveals distinct insecticide resistance mechanisms across the lifespan of the major malaria vector </w:t>
      </w:r>
      <w:r w:rsidRPr="008B2783">
        <w:rPr>
          <w:rFonts w:ascii="Calibri" w:eastAsia="Times New Roman" w:hAnsi="Calibri" w:cs="Calibri"/>
          <w:i/>
          <w:iCs/>
          <w:color w:val="000000"/>
          <w:kern w:val="0"/>
          <w:sz w:val="22"/>
          <w:szCs w:val="22"/>
          <w14:ligatures w14:val="none"/>
        </w:rPr>
        <w:t>Anopheles arabiensis</w:t>
      </w:r>
    </w:p>
    <w:p w14:paraId="5B6F999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Insecticide resistance among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An</w:t>
      </w:r>
      <w:r w:rsidRPr="008B2783">
        <w:rPr>
          <w:rFonts w:ascii="Calibri" w:eastAsia="Times New Roman" w:hAnsi="Calibri" w:cs="Calibri"/>
          <w:color w:val="000000"/>
          <w:kern w:val="0"/>
          <w:sz w:val="22"/>
          <w:szCs w:val="22"/>
          <w14:ligatures w14:val="none"/>
        </w:rPr>
        <w:t>.) malaria vector species is now ubiquitous. To evaluate the spread and intensity of resistance, World Health Organization guidelines mandate that mosquitoes should be phenotypically tested at 3-to-5 days old, and these samples used in molecular assays to identify insecticide resistance mechanisms. However, the predominant metabolic mechanisms driving resistance in young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populations cannot be assumed to be analogous to those in older, malaria transmitting mosquitoes, which are the most epidemiologically important cohort. Differential gene expression in 3-, 6- and 11-day old wild permethrin resistant and unexposed </w:t>
      </w:r>
      <w:r w:rsidRPr="008B2783">
        <w:rPr>
          <w:rFonts w:ascii="Calibri" w:eastAsia="Times New Roman" w:hAnsi="Calibri" w:cs="Calibri"/>
          <w:i/>
          <w:iCs/>
          <w:color w:val="000000"/>
          <w:kern w:val="0"/>
          <w:sz w:val="22"/>
          <w:szCs w:val="22"/>
          <w14:ligatures w14:val="none"/>
        </w:rPr>
        <w:t>An. arabiensis</w:t>
      </w:r>
      <w:r w:rsidRPr="008B2783">
        <w:rPr>
          <w:rFonts w:ascii="Calibri" w:eastAsia="Times New Roman" w:hAnsi="Calibri" w:cs="Calibri"/>
          <w:color w:val="000000"/>
          <w:kern w:val="0"/>
          <w:sz w:val="22"/>
          <w:szCs w:val="22"/>
          <w14:ligatures w14:val="none"/>
        </w:rPr>
        <w:t> from Mwagagala, Tanzania was assessed using whole transcriptome sequencing, compared to susceptible colony strain. We identified significant differences in expression of genes encoding detoxification enzymes, cuticular proteins, salivary glands, and gustatory and odorant receptors. In 3-day old mosquitoes, the cytochrome P450 CYP6P3, which metabolises permethrin and deltamethrin </w:t>
      </w:r>
      <w:r w:rsidRPr="008B2783">
        <w:rPr>
          <w:rFonts w:ascii="Calibri" w:eastAsia="Times New Roman" w:hAnsi="Calibri" w:cs="Calibri"/>
          <w:i/>
          <w:iCs/>
          <w:color w:val="000000"/>
          <w:kern w:val="0"/>
          <w:sz w:val="22"/>
          <w:szCs w:val="22"/>
          <w14:ligatures w14:val="none"/>
        </w:rPr>
        <w:t>in vitro</w:t>
      </w:r>
      <w:r w:rsidRPr="008B2783">
        <w:rPr>
          <w:rFonts w:ascii="Calibri" w:eastAsia="Times New Roman" w:hAnsi="Calibri" w:cs="Calibri"/>
          <w:color w:val="000000"/>
          <w:kern w:val="0"/>
          <w:sz w:val="22"/>
          <w:szCs w:val="22"/>
          <w14:ligatures w14:val="none"/>
        </w:rPr>
        <w:t>, was expressed over 100 times higher in resistant-, and 50 times higher in unexposed-mosquitoes, compared with the susceptible colony strain. Other notable detoxification enzymes included CYP6M2, CYP6Z3, CYP4H19, CYP6Z2 and CYP4H17, the choline-esterase COEJHE2E, and glutathione-S-transferase GSTD7. Expression of these detoxification enzymes was often highest in 3-day old mosquitoes, and declined over time, but in some cases remained significant by 11-days. CYP6Z3 was consistently upregulated across all age groups, while CYP4H17 only had increased overexpression in 11-day old </w:t>
      </w:r>
      <w:r w:rsidRPr="008B2783">
        <w:rPr>
          <w:rFonts w:ascii="Calibri" w:eastAsia="Times New Roman" w:hAnsi="Calibri" w:cs="Calibri"/>
          <w:i/>
          <w:iCs/>
          <w:color w:val="000000"/>
          <w:kern w:val="0"/>
          <w:sz w:val="22"/>
          <w:szCs w:val="22"/>
          <w14:ligatures w14:val="none"/>
        </w:rPr>
        <w:t>An. arabiensis</w:t>
      </w:r>
      <w:r w:rsidRPr="008B2783">
        <w:rPr>
          <w:rFonts w:ascii="Calibri" w:eastAsia="Times New Roman" w:hAnsi="Calibri" w:cs="Calibri"/>
          <w:color w:val="000000"/>
          <w:kern w:val="0"/>
          <w:sz w:val="22"/>
          <w:szCs w:val="22"/>
          <w14:ligatures w14:val="none"/>
        </w:rPr>
        <w:t>; this gene may represent a putative marker of ageing in </w:t>
      </w:r>
      <w:r w:rsidRPr="008B2783">
        <w:rPr>
          <w:rFonts w:ascii="Calibri" w:eastAsia="Times New Roman" w:hAnsi="Calibri" w:cs="Calibri"/>
          <w:i/>
          <w:iCs/>
          <w:color w:val="000000"/>
          <w:kern w:val="0"/>
          <w:sz w:val="22"/>
          <w:szCs w:val="22"/>
          <w14:ligatures w14:val="none"/>
        </w:rPr>
        <w:t>An. arabiensis</w:t>
      </w:r>
      <w:r w:rsidRPr="008B2783">
        <w:rPr>
          <w:rFonts w:ascii="Calibri" w:eastAsia="Times New Roman" w:hAnsi="Calibri" w:cs="Calibri"/>
          <w:color w:val="000000"/>
          <w:kern w:val="0"/>
          <w:sz w:val="22"/>
          <w:szCs w:val="22"/>
          <w14:ligatures w14:val="none"/>
        </w:rPr>
        <w:t>, with the potential to be used for transcriptional age grading. Most cuticular resistance genes were only upregulated in 3-day old mosquitoes, with only CPR86 increasing in expression by 11-days. Dynamic transcriptomic profiles of permethrin resistant </w:t>
      </w:r>
      <w:r w:rsidRPr="008B2783">
        <w:rPr>
          <w:rFonts w:ascii="Calibri" w:eastAsia="Times New Roman" w:hAnsi="Calibri" w:cs="Calibri"/>
          <w:i/>
          <w:iCs/>
          <w:color w:val="000000"/>
          <w:kern w:val="0"/>
          <w:sz w:val="22"/>
          <w:szCs w:val="22"/>
          <w14:ligatures w14:val="none"/>
        </w:rPr>
        <w:t>An. arabiensis</w:t>
      </w:r>
      <w:r w:rsidRPr="008B2783">
        <w:rPr>
          <w:rFonts w:ascii="Calibri" w:eastAsia="Times New Roman" w:hAnsi="Calibri" w:cs="Calibri"/>
          <w:color w:val="000000"/>
          <w:kern w:val="0"/>
          <w:sz w:val="22"/>
          <w:szCs w:val="22"/>
          <w14:ligatures w14:val="none"/>
        </w:rPr>
        <w:t> of different ages indicates that insecticide resistance is driven by distinct mechanisms across the mosquito lifespan.</w:t>
      </w:r>
    </w:p>
    <w:p w14:paraId="6364D4A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25-A-3023-ASTMH</w:t>
      </w:r>
    </w:p>
    <w:p w14:paraId="2E3FFD5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Immunology</w:t>
      </w:r>
    </w:p>
    <w:p w14:paraId="67E6BC2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Memory B Cell and Neutralising Antibody Kinetics Following Dengue Virus Infection</w:t>
      </w:r>
    </w:p>
    <w:p w14:paraId="19CE3F2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Dengue is the most common arboviral infection and causes significant morbidity and mortality globally. Vaccines are critical to controlling the disease burden; however, their development has been hindered by immunological interactions between the four dengue virus serotypes. Whereas serotype-specific neutralising antibodies are associated with disease protection, suboptimal cross-reactive immunity generated against the primary infection has been linked with increased disease severity following a secondary infection with a different serotype. Therefore, the secretion of antibodies by B cells is crucial in determining the clinical outcome of dengue virus infection. However, the relationship between the magnitude and breadth of the memory B cell response to dengue virus and circulating antibodies is poorly characterised. To address this, we propose a mechanistic model of antibody production following dengue virus infection, accounting for the temporal dynamics of memory B cells, short and long-lived plasma cells, and neutralising antibodies. This model is calibrated to longitudinal immune data on memory B cell responses and neutralising antibody titres from two cohorts of children in Thailand (n = 3647, of which 16 have measured B cell responses) and the Philippines (n = 611, of which 48 have measured B cell responses) with known clinical outcomes (symptomatic, subclinical or no dengue infection). This project aims to characterise changes in antibody production over time, investigate the humoral immune factors associated with variation in infection outcome, and determine changes in serotype-specificity over time.</w:t>
      </w:r>
    </w:p>
    <w:p w14:paraId="18597A1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25-A-3024-ASTMH</w:t>
      </w:r>
    </w:p>
    <w:p w14:paraId="3BAE4DD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Cestodes (including taeniasis and cysticercosis, echinococcosis/hydatid disease, and others)</w:t>
      </w:r>
    </w:p>
    <w:p w14:paraId="28EC86B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Secondary pleural echinococcosis: can hepatic surgery without postoperative prophylaxis have a role?</w:t>
      </w:r>
    </w:p>
    <w:p w14:paraId="14F83BD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Pleural cystic echinococcosis (CE) is a rare but potentially life-threatening condition. Diagnosis is often delayed due to non-specific signs. Surgery is the only treatment. Demographics, cyst characteristics, surgical treatment and clinical outcome of patients who accessed our hospitals for pleural CE from </w:t>
      </w:r>
      <w:r w:rsidRPr="008B2783">
        <w:rPr>
          <w:rFonts w:ascii="Calibri" w:eastAsia="Times New Roman" w:hAnsi="Calibri" w:cs="Calibri"/>
          <w:color w:val="000000"/>
          <w:kern w:val="0"/>
          <w:sz w:val="22"/>
          <w:szCs w:val="22"/>
          <w14:ligatures w14:val="none"/>
        </w:rPr>
        <w:lastRenderedPageBreak/>
        <w:t>January 2019 to September 2024 were reviewed. Six patients, 3 F, 3 M mean age 49.3 (range 23-75) were treated. Four had a history of previous hepatic surgery for CE, without post-surgical prophylaxis with Albendazole (ABZ), all developed right pleural effusion after abdominal surgery. The most common indications for thoracic surgery were thoracodynia and pleural effusion. Based on their treatment and cyst location, 2 cases were classified as primary while 4 cases were considered secondary. All were treated electively, 1 with Video Assisted Thoracic Surgery (VATS) , 5 with axillary thoracotomy and pleurectomy decortication. All received ABZ as perioperative prophylaxis for one month postoperatively. One patient developed minor post-surgical complications that resolved spontaneously. All patients are in good clinical condition at the time of writing, with no evidence of relapse. The mean follow-up time in April 2025 was 32 months (range 13-64). As patients can experience pleural effusion following liver surgery, we hypotize that failing to administer perioperative ABZ prophylaxis after surgery for liver CE may increase the risk of secondary pleural CE. We recommend that surgeons prioritize follow-up care after liver operations, closely monitoring the diaphragm to detect any pleural involvement as early as possible. Given the complexity of clinical presentation, patients should be managed by a multidisciplinary team in a referral center.</w:t>
      </w:r>
    </w:p>
    <w:p w14:paraId="121CBDD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25-A-3025-ASTMH</w:t>
      </w:r>
    </w:p>
    <w:p w14:paraId="73AC8C7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Biology and Genetics of Insecticide Resistance</w:t>
      </w:r>
    </w:p>
    <w:p w14:paraId="3D94BDF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Insecticide resistance mechanism and the future of vector control in Senegal's malaria hotspot areas</w:t>
      </w:r>
    </w:p>
    <w:p w14:paraId="0E49855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 northern and central Senegal, malaria transmission has declined following several control interventions, including seasonal malaria chemoprevention, indoor residual spraying, and universal coverage with LLINs. Despite the success of these interventions residual malaria transmission still occurs in some areas (hotspots). Indeed, the emergence and spread of malaria cases may be due to the increase and spread of insecticide resistance genes among natural malaria vector populations. Understanding the spatial distribution and insecticide resistance patterns of malaria vector is essential for designing effective vector control strategies. This study aims to characterize the geographic distribution and insecticide resistance status of Anopheles species in northern (Darou Salam) and central Senegal (Mbine Coly and Keur Martin). Insecticide resistance bioassays were performed on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s.l. field populations against insecticides commonly used in public health, using WHO test kits. Vector susceptibility was assessed according to WHO guidelines. A total of 3,061 specimens of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s.l. were tested. These tests showed confirmed resistance to pyrethroids in Mbine Coly and Keur Martin, with mortality rates less than 90%. The use of the PBO completely restored pyrethroid sensitivity in Mbine Coly, with 100% mortality for deltamethrin, alphacypermethrin and permethrin. In Keur Martin susceptibility was recovered for deltamethrin and alphacypermethrin, with mortality rates of 98.29% and 100% respectively. On the other hand, sensitivity to permethrin didn’t fully recover, with a mortality rate of 68.46%. We found a low level of resistance at Mbine Coly, with sensitivity restored at 5X concentrations for deltamethrin and alphacypermethrin. Sensitivity to Pirimiphos-methyl and bendiocarb were 100% in Mbine Cloly and Darou Salam in the north. These results show that metabolic mechanisms are involved in the resistance of local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s.l. populations to insecticides. To learn more about mosquito resistance to insecticides in these areas, allelic frequencies of the Kdr and Ace-1R will be studied.</w:t>
      </w:r>
    </w:p>
    <w:p w14:paraId="358CA90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25-A-3026-ASTMH</w:t>
      </w:r>
    </w:p>
    <w:p w14:paraId="703C5BC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56991DD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Active diagnosis and treatment of malaria by community relays during SMC: A means of reducing eligible children excluded</w:t>
      </w:r>
    </w:p>
    <w:p w14:paraId="4B1B487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Since 2015, seasonal malaria chemoprevention (SMC) for children aged 3 to 59 months has been a key component of the fight against malaria in Guinea in 17 health districts. This intervention is delivered by community relays through a door-to-door approach. Children with fever are typically excluded from SMC as it is contraindicated in cases of malaria. Since not all fevers are malaria, some children are </w:t>
      </w:r>
      <w:r w:rsidRPr="008B2783">
        <w:rPr>
          <w:rFonts w:ascii="Calibri" w:eastAsia="Times New Roman" w:hAnsi="Calibri" w:cs="Calibri"/>
          <w:color w:val="000000"/>
          <w:kern w:val="0"/>
          <w:sz w:val="22"/>
          <w:szCs w:val="22"/>
          <w14:ligatures w14:val="none"/>
        </w:rPr>
        <w:lastRenderedPageBreak/>
        <w:t>excluded from receiving SMC, even though a rapid diagnostic test would have confirmed their eligibility. To reduce unnecessary exclusions, the national malaria program (PNLP) and its partners have integrated active diagnosis, treatment of simple malaria and referral of severe cases of malaria to health facilities during SMC. The integration was done progressively in the 17 health districts from 2019 to 2024, leveraging 205 health centers and thousands of community relays, and covering all four cycles of SMC. During home visits, agents identified cases of fever in children and carried out a rapid diagnostic test (RDT). Children with negative RDTs received SMC (sulfadoxine-pyrimethamine and amodiaquine), confirmed uncomplicated cases were treated with artemisinin-based combination therapy, and severe cases were referred to a health facility. This study reports on the results of this protocol shift. Data was obtained from integrated service delivery forms provided by frontline agents, referral records and health facility reports. From 2019 to 2024, 69,135 cases of fever were recorded in children under 5 years of age during SMC home visits, of which 60,779 (87%) were tested for malaria. 24,420 cases of malaria were confirmed (40% of the fevers tested). 24,110 (99%) of confirmed cases were treated with an ACT. In the absence of diagnosis tests, these fever cases would have been excluded from the SMC in accordance with national guidelines, even though the majority were not malaria. With this approach, 36,359 additional children benefited from SMC. Also, early management of confirmed malaria cases may have prevented progression to severe malaria. This experience could serve as a model for other countries to maximize SMC coverage.</w:t>
      </w:r>
    </w:p>
    <w:p w14:paraId="70B85C1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25-A-3027-ASTMH</w:t>
      </w:r>
    </w:p>
    <w:p w14:paraId="6BB0D9A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Vaccine Clinical Trials</w:t>
      </w:r>
    </w:p>
    <w:p w14:paraId="7A9AE80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Differentiating Humoral Immunogenicity Driven by a Live-Attenuated Tetravalent Dengue Vaccine From Prior Dengue Virus Exposure: Key Highlights of Immunological Advantage of TAK-003 Vaccination</w:t>
      </w:r>
    </w:p>
    <w:p w14:paraId="23C376C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Dengue virus (DENV) exposure may induce long-term protection against the infecting serotype, sometimes at the expense of systemic inflammation that drives disease manifestations caused by highly replicating viruses. TAK-003, a live-attenuated tetravalent dengue vaccine, is well tolerated and has been shown to reduce dengue incidence and hospitalization over 4.5 years in the pivotal efficacy trial DEN-301 (NCT02747927). This exploratory analysis evaluated immunity driven by TAK-003 vaccination versus prior DENV exposure.</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Samples from participants in the DEN-301 trial, both dengue naïve (DN) and exposed (DE),</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who received 2 doses of TAK-003 (DN, n=48; DE, n=48) or placebo (DN, n=12; DE, n=24) 3 months apart, were analyzed at baseline and on days 120, 270, and 450 for various anti-DENV immune responses targeting envelope/pre-membrane and nonstructural protein 1 (NS1) of all 4 DENV serotypes. Among these responses were neutralizing antibodies, NS1 IgG, complement-fixing antibodies, polyclonal avidity, and total IgG, IgG1, IgA, and IgM. We compared these biomarkers for magnitude, seroprevalence rates, and valency over time. Antibody profiles were evaluated using both uni- and multivariate methods, including principal component analysis (PCA). The analysis showed that TAK-003 stimulated multi-typic and diverse humoral immunity in DN participants and boosted existing immunity in DE vaccinees. Kinetics of vaccine-driven immunity differed by prior exposure history, but responses were universally sustained through 1 year post-vaccination. At peak immunogenicity, the valency of responses was comparable between vaccine-driven and preexisting immunity, except for IgM and IgA responses, which were primarily vaccine driven. Additionally, PCA of the antibody response profile driven by prior dengue exposure and vaccination was comparable. In conclusion, our results provide the first comprehensive insight into humoral immunogenicity characteristics of TAK-003, emphasizing similarities and, more importantly, differences from prior DENV exposure, which likely shape the vaccine’s safety, efficacy, and immunogenicity profile.</w:t>
      </w:r>
    </w:p>
    <w:p w14:paraId="1CB1B43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25-A-3028-ASTMH</w:t>
      </w:r>
    </w:p>
    <w:p w14:paraId="685AC99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7DF38CA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The TEST Studies:</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color w:val="000000"/>
          <w:kern w:val="0"/>
          <w:sz w:val="22"/>
          <w:szCs w:val="22"/>
          <w:u w:val="single"/>
          <w14:ligatures w14:val="none"/>
        </w:rPr>
        <w:t>T</w:t>
      </w:r>
      <w:r w:rsidRPr="008B2783">
        <w:rPr>
          <w:rFonts w:ascii="Calibri" w:eastAsia="Times New Roman" w:hAnsi="Calibri" w:cs="Calibri"/>
          <w:color w:val="000000"/>
          <w:kern w:val="0"/>
          <w:sz w:val="22"/>
          <w:szCs w:val="22"/>
          <w14:ligatures w14:val="none"/>
        </w:rPr>
        <w:t>ranslating </w:t>
      </w:r>
      <w:r w:rsidRPr="008B2783">
        <w:rPr>
          <w:rFonts w:ascii="Calibri" w:eastAsia="Times New Roman" w:hAnsi="Calibri" w:cs="Calibri"/>
          <w:color w:val="000000"/>
          <w:kern w:val="0"/>
          <w:sz w:val="22"/>
          <w:szCs w:val="22"/>
          <w:u w:val="single"/>
          <w14:ligatures w14:val="none"/>
        </w:rPr>
        <w:t>E</w:t>
      </w:r>
      <w:r w:rsidRPr="008B2783">
        <w:rPr>
          <w:rFonts w:ascii="Calibri" w:eastAsia="Times New Roman" w:hAnsi="Calibri" w:cs="Calibri"/>
          <w:color w:val="000000"/>
          <w:kern w:val="0"/>
          <w:sz w:val="22"/>
          <w:szCs w:val="22"/>
          <w14:ligatures w14:val="none"/>
        </w:rPr>
        <w:t>pidemiology to </w:t>
      </w:r>
      <w:r w:rsidRPr="008B2783">
        <w:rPr>
          <w:rFonts w:ascii="Calibri" w:eastAsia="Times New Roman" w:hAnsi="Calibri" w:cs="Calibri"/>
          <w:color w:val="000000"/>
          <w:kern w:val="0"/>
          <w:sz w:val="22"/>
          <w:szCs w:val="22"/>
          <w:u w:val="single"/>
          <w14:ligatures w14:val="none"/>
        </w:rPr>
        <w:t>S</w:t>
      </w:r>
      <w:r w:rsidRPr="008B2783">
        <w:rPr>
          <w:rFonts w:ascii="Calibri" w:eastAsia="Times New Roman" w:hAnsi="Calibri" w:cs="Calibri"/>
          <w:color w:val="000000"/>
          <w:kern w:val="0"/>
          <w:sz w:val="22"/>
          <w:szCs w:val="22"/>
          <w14:ligatures w14:val="none"/>
        </w:rPr>
        <w:t>creening for </w:t>
      </w:r>
      <w:r w:rsidRPr="008B2783">
        <w:rPr>
          <w:rFonts w:ascii="Calibri" w:eastAsia="Times New Roman" w:hAnsi="Calibri" w:cs="Calibri"/>
          <w:i/>
          <w:iCs/>
          <w:color w:val="000000"/>
          <w:kern w:val="0"/>
          <w:sz w:val="22"/>
          <w:szCs w:val="22"/>
          <w:u w:val="single"/>
          <w14:ligatures w14:val="none"/>
        </w:rPr>
        <w:t>T</w:t>
      </w:r>
      <w:r w:rsidRPr="008B2783">
        <w:rPr>
          <w:rFonts w:ascii="Calibri" w:eastAsia="Times New Roman" w:hAnsi="Calibri" w:cs="Calibri"/>
          <w:i/>
          <w:iCs/>
          <w:color w:val="000000"/>
          <w:kern w:val="0"/>
          <w:sz w:val="22"/>
          <w:szCs w:val="22"/>
          <w14:ligatures w14:val="none"/>
        </w:rPr>
        <w:t>rypanosoma cruzi </w:t>
      </w:r>
      <w:r w:rsidRPr="008B2783">
        <w:rPr>
          <w:rFonts w:ascii="Calibri" w:eastAsia="Times New Roman" w:hAnsi="Calibri" w:cs="Calibri"/>
          <w:color w:val="000000"/>
          <w:kern w:val="0"/>
          <w:sz w:val="22"/>
          <w:szCs w:val="22"/>
          <w14:ligatures w14:val="none"/>
        </w:rPr>
        <w:t>(Chagas disease)</w:t>
      </w:r>
    </w:p>
    <w:p w14:paraId="0366C4E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Due to globalisation and migration, Chagas disease (caused by infection with the parasite </w:t>
      </w:r>
      <w:r w:rsidRPr="008B2783">
        <w:rPr>
          <w:rFonts w:ascii="Calibri" w:eastAsia="Times New Roman" w:hAnsi="Calibri" w:cs="Calibri"/>
          <w:i/>
          <w:iCs/>
          <w:color w:val="000000"/>
          <w:kern w:val="0"/>
          <w:sz w:val="22"/>
          <w:szCs w:val="22"/>
          <w14:ligatures w14:val="none"/>
        </w:rPr>
        <w:t>Trypanosoma cruzi</w:t>
      </w:r>
      <w:r w:rsidRPr="008B2783">
        <w:rPr>
          <w:rFonts w:ascii="Calibri" w:eastAsia="Times New Roman" w:hAnsi="Calibri" w:cs="Calibri"/>
          <w:color w:val="000000"/>
          <w:kern w:val="0"/>
          <w:sz w:val="22"/>
          <w:szCs w:val="22"/>
          <w14:ligatures w14:val="none"/>
        </w:rPr>
        <w:t>) is increasingly recognised as a public health problem among migrants in Europe.  The UK is home to 280,000 people born in the Chagas-endemic countries of South America, Central America, and Mexico. In 2016, it was estimated that 97% of people with </w:t>
      </w:r>
      <w:r w:rsidRPr="008B2783">
        <w:rPr>
          <w:rFonts w:ascii="Calibri" w:eastAsia="Times New Roman" w:hAnsi="Calibri" w:cs="Calibri"/>
          <w:i/>
          <w:iCs/>
          <w:color w:val="000000"/>
          <w:kern w:val="0"/>
          <w:sz w:val="22"/>
          <w:szCs w:val="22"/>
          <w14:ligatures w14:val="none"/>
        </w:rPr>
        <w:t>T. cruzi</w:t>
      </w:r>
      <w:r w:rsidRPr="008B2783">
        <w:rPr>
          <w:rFonts w:ascii="Calibri" w:eastAsia="Times New Roman" w:hAnsi="Calibri" w:cs="Calibri"/>
          <w:color w:val="000000"/>
          <w:kern w:val="0"/>
          <w:sz w:val="22"/>
          <w:szCs w:val="22"/>
          <w14:ligatures w14:val="none"/>
        </w:rPr>
        <w:t> infection in the UK were undiagnosed. Low health service awareness and low engagement of the Latinx population with healthcare (one in seven aren’t registered with a primary care physician) both hinder diagnosis. The TEST Studies (</w:t>
      </w:r>
      <w:r w:rsidRPr="008B2783">
        <w:rPr>
          <w:rFonts w:ascii="Calibri" w:eastAsia="Times New Roman" w:hAnsi="Calibri" w:cs="Calibri"/>
          <w:color w:val="000000"/>
          <w:kern w:val="0"/>
          <w:sz w:val="22"/>
          <w:szCs w:val="22"/>
          <w:u w:val="single"/>
          <w14:ligatures w14:val="none"/>
        </w:rPr>
        <w:t>T</w:t>
      </w:r>
      <w:r w:rsidRPr="008B2783">
        <w:rPr>
          <w:rFonts w:ascii="Calibri" w:eastAsia="Times New Roman" w:hAnsi="Calibri" w:cs="Calibri"/>
          <w:color w:val="000000"/>
          <w:kern w:val="0"/>
          <w:sz w:val="22"/>
          <w:szCs w:val="22"/>
          <w14:ligatures w14:val="none"/>
        </w:rPr>
        <w:t>ranslating </w:t>
      </w:r>
      <w:r w:rsidRPr="008B2783">
        <w:rPr>
          <w:rFonts w:ascii="Calibri" w:eastAsia="Times New Roman" w:hAnsi="Calibri" w:cs="Calibri"/>
          <w:color w:val="000000"/>
          <w:kern w:val="0"/>
          <w:sz w:val="22"/>
          <w:szCs w:val="22"/>
          <w:u w:val="single"/>
          <w14:ligatures w14:val="none"/>
        </w:rPr>
        <w:t>E</w:t>
      </w:r>
      <w:r w:rsidRPr="008B2783">
        <w:rPr>
          <w:rFonts w:ascii="Calibri" w:eastAsia="Times New Roman" w:hAnsi="Calibri" w:cs="Calibri"/>
          <w:color w:val="000000"/>
          <w:kern w:val="0"/>
          <w:sz w:val="22"/>
          <w:szCs w:val="22"/>
          <w14:ligatures w14:val="none"/>
        </w:rPr>
        <w:t>pidemiology to </w:t>
      </w:r>
      <w:r w:rsidRPr="008B2783">
        <w:rPr>
          <w:rFonts w:ascii="Calibri" w:eastAsia="Times New Roman" w:hAnsi="Calibri" w:cs="Calibri"/>
          <w:color w:val="000000"/>
          <w:kern w:val="0"/>
          <w:sz w:val="22"/>
          <w:szCs w:val="22"/>
          <w:u w:val="single"/>
          <w14:ligatures w14:val="none"/>
        </w:rPr>
        <w:t>S</w:t>
      </w:r>
      <w:r w:rsidRPr="008B2783">
        <w:rPr>
          <w:rFonts w:ascii="Calibri" w:eastAsia="Times New Roman" w:hAnsi="Calibri" w:cs="Calibri"/>
          <w:color w:val="000000"/>
          <w:kern w:val="0"/>
          <w:sz w:val="22"/>
          <w:szCs w:val="22"/>
          <w14:ligatures w14:val="none"/>
        </w:rPr>
        <w:t>creening for </w:t>
      </w:r>
      <w:r w:rsidRPr="008B2783">
        <w:rPr>
          <w:rFonts w:ascii="Calibri" w:eastAsia="Times New Roman" w:hAnsi="Calibri" w:cs="Calibri"/>
          <w:i/>
          <w:iCs/>
          <w:color w:val="000000"/>
          <w:kern w:val="0"/>
          <w:sz w:val="22"/>
          <w:szCs w:val="22"/>
          <w:u w:val="single"/>
          <w14:ligatures w14:val="none"/>
        </w:rPr>
        <w:t>T</w:t>
      </w:r>
      <w:r w:rsidRPr="008B2783">
        <w:rPr>
          <w:rFonts w:ascii="Calibri" w:eastAsia="Times New Roman" w:hAnsi="Calibri" w:cs="Calibri"/>
          <w:i/>
          <w:iCs/>
          <w:color w:val="000000"/>
          <w:kern w:val="0"/>
          <w:sz w:val="22"/>
          <w:szCs w:val="22"/>
          <w14:ligatures w14:val="none"/>
        </w:rPr>
        <w:t>rypanosoma cruzi)</w:t>
      </w:r>
      <w:r w:rsidRPr="008B2783">
        <w:rPr>
          <w:rFonts w:ascii="Calibri" w:eastAsia="Times New Roman" w:hAnsi="Calibri" w:cs="Calibri"/>
          <w:color w:val="000000"/>
          <w:kern w:val="0"/>
          <w:sz w:val="22"/>
          <w:szCs w:val="22"/>
          <w14:ligatures w14:val="none"/>
        </w:rPr>
        <w:t> aimed to understand the epidemiology of </w:t>
      </w:r>
      <w:r w:rsidRPr="008B2783">
        <w:rPr>
          <w:rFonts w:ascii="Calibri" w:eastAsia="Times New Roman" w:hAnsi="Calibri" w:cs="Calibri"/>
          <w:i/>
          <w:iCs/>
          <w:color w:val="000000"/>
          <w:kern w:val="0"/>
          <w:sz w:val="22"/>
          <w:szCs w:val="22"/>
          <w14:ligatures w14:val="none"/>
        </w:rPr>
        <w:t>T. cruzi</w:t>
      </w:r>
      <w:r w:rsidRPr="008B2783">
        <w:rPr>
          <w:rFonts w:ascii="Calibri" w:eastAsia="Times New Roman" w:hAnsi="Calibri" w:cs="Calibri"/>
          <w:color w:val="000000"/>
          <w:kern w:val="0"/>
          <w:sz w:val="22"/>
          <w:szCs w:val="22"/>
          <w14:ligatures w14:val="none"/>
        </w:rPr>
        <w:t> infection among at-risk UK migrants and to identify high-yield and inclusive screening strategies.</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Between December 2021 and March 2025, over 1,300 Latin American migrants in London were serologically screened for </w:t>
      </w:r>
      <w:r w:rsidRPr="008B2783">
        <w:rPr>
          <w:rFonts w:ascii="Calibri" w:eastAsia="Times New Roman" w:hAnsi="Calibri" w:cs="Calibri"/>
          <w:i/>
          <w:iCs/>
          <w:color w:val="000000"/>
          <w:kern w:val="0"/>
          <w:sz w:val="22"/>
          <w:szCs w:val="22"/>
          <w14:ligatures w14:val="none"/>
        </w:rPr>
        <w:t>T. cruzi </w:t>
      </w:r>
      <w:r w:rsidRPr="008B2783">
        <w:rPr>
          <w:rFonts w:ascii="Calibri" w:eastAsia="Times New Roman" w:hAnsi="Calibri" w:cs="Calibri"/>
          <w:color w:val="000000"/>
          <w:kern w:val="0"/>
          <w:sz w:val="22"/>
          <w:szCs w:val="22"/>
          <w14:ligatures w14:val="none"/>
        </w:rPr>
        <w:t>infection</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in primary care, secondary care, and community sites. The greatest screening yield was found in community settings, utilising rapid diagnostic tests and bringing screening outside of formal healthcare services. Over 100 participants were newly diagnosed with Chagas disease and linked into specialist care at the Hospital for Tropical Diseases. A cohort study of patients with confirmed Chagas disease was also established.</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These research studies not only provided much needed insight into the epidemiology of Chagas disease in the UK, but also shone a light on some of the ethical and practical challenges that arise when attention is given to neglected topics that affect marginalised populations.</w:t>
      </w:r>
    </w:p>
    <w:p w14:paraId="189B647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25-A-3029-ASTMH</w:t>
      </w:r>
    </w:p>
    <w:p w14:paraId="1C6A380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Respiratory Infections</w:t>
      </w:r>
    </w:p>
    <w:p w14:paraId="31F4DFC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Geographical Variation in SARS-CoV-2 Transmission Potential in Massachusetts, 2020-2022</w:t>
      </w:r>
    </w:p>
    <w:p w14:paraId="1A39B0B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This ecological study aimed to investigate changes in the time-varying reproduction number (Rt) of SARS-CoV-2 from 2020 to 2022 in Massachusetts across its six regions. We also evaluated the impact of various nonpharmaceutical interventions (NPIs) in 2020 in Massachusetts, by investigating changes in Rt. COVID-19 case data from the Johns Hopkins University database were adjusted for reporting delays using deconvolution and for underreporting via a Poisson-distributed multiplier of 4. Negative and zero counts were corrected using imputation. Rt was estimated using EpiEstim with a 7-day sliding window from 2020 to 2022, and with non-overlapping time windows between policy changes in 2020. Incidence rate ratios (IRRs) of case burden of each region relative to the statewide average were calculated to compare annual regional differences. From 2020 to 2022, Massachusetts experienced five COVID-19 surges, linked to the wild-type strain and emerging variants, with Rt exceeding 1 during each wave and stabilizing at or dropping below 1 during low-incidence phases. Early interventions, such as school closures and gathering restrictions, were associated with a 10.2% statewide reduction in Rt (95% credible interval (CrI): -17.8%, -1.9%), with greater reductions in high-density areas like Boston (-13.6%; 95% CrI: -22.3%, -4.5%). Curfews and travel restrictions showed no significant effect. Regional variation in case burden was observed, with the Northeast region experiencing the highest burden in 2020 (IRR: 1.35; 95% CrI: 1.34, 1.36). Our findings highlight the different NPIs’ varying impacts on COVID-19 transmission dynamics across regions in Massachusetts.</w:t>
      </w:r>
    </w:p>
    <w:p w14:paraId="323CDA4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25-A-3030-ASTMH</w:t>
      </w:r>
    </w:p>
    <w:p w14:paraId="638FD84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Epidemiology</w:t>
      </w:r>
    </w:p>
    <w:p w14:paraId="2068CB8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in Their Words: Thematic Analysis of Online Narratives from Sub-Saharan Africa</w:t>
      </w:r>
    </w:p>
    <w:p w14:paraId="6F54A23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Qualitative studies of malaria’s lived experience help to humanize its toll on affected populations and inform social and behavioral interventions. We explored malaria-related narratives from GiveDirectly’s online repository of recipient stories using rapid ethnographic assessment through a phenomenological lens. The study included 160 narrative accounts from five countries, with Kenya (n=121) and Uganda (n=33) most represented.Through an inductive thematic analysis of participant stories, we identified patterns in malaria’s impact on daily life, capturing both personal experiences and broader social dynamics. Our analysis identified two major domains: perceived vulnerabilities to and consequences of malaria. Recipients associated malaria with compromised home infrastructure, pre-dawn labor, and </w:t>
      </w:r>
      <w:r w:rsidRPr="008B2783">
        <w:rPr>
          <w:rFonts w:ascii="Calibri" w:eastAsia="Times New Roman" w:hAnsi="Calibri" w:cs="Calibri"/>
          <w:color w:val="000000"/>
          <w:kern w:val="0"/>
          <w:sz w:val="22"/>
          <w:szCs w:val="22"/>
          <w14:ligatures w14:val="none"/>
        </w:rPr>
        <w:lastRenderedPageBreak/>
        <w:t>agricultural work. They described how concurrent infections within households rapidly overwhelmed care capacity and financial resources, creating difficult triage decisions between treating multiple ill family members, maintaining food security, and keeping children in school. Recipients reported disrupted livelihoods through lost workdays, closed businesses, liquidated assets, and depleted savings. Some described lasting physical disabilities after severe infection, including mobility impairment, vision loss, and impaired cognition, causing social exclusion and diminished long-term well-being. These findings help illustrate why malaria interventions must extend beyond traditional public health approaches to include socioeconomic support and infrastructure improvements, emphasizing the need for integrated strategies that address not only the direct health impacts but the long-term disability and broader socioeconomic consequences caused by malaria in endemic communities.</w:t>
      </w:r>
    </w:p>
    <w:p w14:paraId="1CDF8C8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25-A-3032-ASTMH</w:t>
      </w:r>
    </w:p>
    <w:p w14:paraId="471E85E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Pathogenesis</w:t>
      </w:r>
    </w:p>
    <w:p w14:paraId="7903187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Metabolic Remodeling and Immune-Redox Suppression in Pediatric Severe Malarial Anemia: Insights from Whole-Blood Transcriptomics</w:t>
      </w:r>
    </w:p>
    <w:p w14:paraId="06CDDC7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Severe malarial anemia [SMA, hemoglobin (Hb)&lt;6.0 g/dL] remains a leading complication of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infections in holoendemic regions. This study explored the transcriptomic profile of peripheral blood samples from 66 Kenyan children with SMA (n=25) and non-SMA (Hb≥6.0 g/dL, n=41). Differential gene expression analysis was performed on 53,287 annotated gene transcripts in the dataset using EdgeR with an FDR-adjusted significance level of 0.050. Functional enrichment analysis of the differentially expressed genes (DEGs) was performed in MetaCore™, with the process networks and pathway maps generated. Of 868 genes associated with carbohydrate gene networks, there were 251 DEGs in children with SMA </w:t>
      </w:r>
      <w:r w:rsidRPr="008B2783">
        <w:rPr>
          <w:rFonts w:ascii="Calibri" w:eastAsia="Times New Roman" w:hAnsi="Calibri" w:cs="Calibri"/>
          <w:i/>
          <w:iCs/>
          <w:color w:val="000000"/>
          <w:kern w:val="0"/>
          <w:sz w:val="22"/>
          <w:szCs w:val="22"/>
          <w14:ligatures w14:val="none"/>
        </w:rPr>
        <w:t>vs</w:t>
      </w:r>
      <w:r w:rsidRPr="008B2783">
        <w:rPr>
          <w:rFonts w:ascii="Calibri" w:eastAsia="Times New Roman" w:hAnsi="Calibri" w:cs="Calibri"/>
          <w:color w:val="000000"/>
          <w:kern w:val="0"/>
          <w:sz w:val="22"/>
          <w:szCs w:val="22"/>
          <w14:ligatures w14:val="none"/>
        </w:rPr>
        <w:t>. non-SMA. Up-regulated genes (n=162), including </w:t>
      </w:r>
      <w:r w:rsidRPr="008B2783">
        <w:rPr>
          <w:rFonts w:ascii="Calibri" w:eastAsia="Times New Roman" w:hAnsi="Calibri" w:cs="Calibri"/>
          <w:i/>
          <w:iCs/>
          <w:color w:val="000000"/>
          <w:kern w:val="0"/>
          <w:sz w:val="22"/>
          <w:szCs w:val="22"/>
          <w14:ligatures w14:val="none"/>
        </w:rPr>
        <w:t>CRY1</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TAL1</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SREBP1</w:t>
      </w:r>
      <w:r w:rsidRPr="008B2783">
        <w:rPr>
          <w:rFonts w:ascii="Calibri" w:eastAsia="Times New Roman" w:hAnsi="Calibri" w:cs="Calibri"/>
          <w:color w:val="000000"/>
          <w:kern w:val="0"/>
          <w:sz w:val="22"/>
          <w:szCs w:val="22"/>
          <w14:ligatures w14:val="none"/>
        </w:rPr>
        <w:t> , </w:t>
      </w:r>
      <w:r w:rsidRPr="008B2783">
        <w:rPr>
          <w:rFonts w:ascii="Calibri" w:eastAsia="Times New Roman" w:hAnsi="Calibri" w:cs="Calibri"/>
          <w:i/>
          <w:iCs/>
          <w:color w:val="000000"/>
          <w:kern w:val="0"/>
          <w:sz w:val="22"/>
          <w:szCs w:val="22"/>
          <w14:ligatures w14:val="none"/>
        </w:rPr>
        <w:t>APOE</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mTOR</w:t>
      </w:r>
      <w:r w:rsidRPr="008B2783">
        <w:rPr>
          <w:rFonts w:ascii="Calibri" w:eastAsia="Times New Roman" w:hAnsi="Calibri" w:cs="Calibri"/>
          <w:b/>
          <w:bCs/>
          <w:i/>
          <w:iCs/>
          <w:color w:val="000000"/>
          <w:kern w:val="0"/>
          <w:sz w:val="22"/>
          <w:szCs w:val="22"/>
          <w14:ligatures w14:val="none"/>
        </w:rPr>
        <w:t> </w:t>
      </w:r>
      <w:r w:rsidRPr="008B2783">
        <w:rPr>
          <w:rFonts w:ascii="Calibri" w:eastAsia="Times New Roman" w:hAnsi="Calibri" w:cs="Calibri"/>
          <w:color w:val="000000"/>
          <w:kern w:val="0"/>
          <w:sz w:val="22"/>
          <w:szCs w:val="22"/>
          <w14:ligatures w14:val="none"/>
        </w:rPr>
        <w:t>are involved in metabolism and erythropoiesis. Down-regulated genes (n=89) included </w:t>
      </w:r>
      <w:r w:rsidRPr="008B2783">
        <w:rPr>
          <w:rFonts w:ascii="Calibri" w:eastAsia="Times New Roman" w:hAnsi="Calibri" w:cs="Calibri"/>
          <w:i/>
          <w:iCs/>
          <w:color w:val="000000"/>
          <w:kern w:val="0"/>
          <w:sz w:val="22"/>
          <w:szCs w:val="22"/>
          <w14:ligatures w14:val="none"/>
        </w:rPr>
        <w:t>TLR4</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IL-1β</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IL-6</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NRF2</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CD44</w:t>
      </w:r>
      <w:r w:rsidRPr="008B2783">
        <w:rPr>
          <w:rFonts w:ascii="Calibri" w:eastAsia="Times New Roman" w:hAnsi="Calibri" w:cs="Calibri"/>
          <w:color w:val="000000"/>
          <w:kern w:val="0"/>
          <w:sz w:val="22"/>
          <w:szCs w:val="22"/>
          <w14:ligatures w14:val="none"/>
        </w:rPr>
        <w:t>, suggesting suppression of key innate immune and antioxidant genes. The main divergence hubs identified with MetaCore™ were </w:t>
      </w:r>
      <w:r w:rsidRPr="008B2783">
        <w:rPr>
          <w:rFonts w:ascii="Calibri" w:eastAsia="Times New Roman" w:hAnsi="Calibri" w:cs="Calibri"/>
          <w:i/>
          <w:iCs/>
          <w:color w:val="000000"/>
          <w:kern w:val="0"/>
          <w:sz w:val="22"/>
          <w:szCs w:val="22"/>
          <w14:ligatures w14:val="none"/>
        </w:rPr>
        <w:t>CRY1</w:t>
      </w:r>
      <w:r w:rsidRPr="008B2783">
        <w:rPr>
          <w:rFonts w:ascii="Calibri" w:eastAsia="Times New Roman" w:hAnsi="Calibri" w:cs="Calibri"/>
          <w:color w:val="000000"/>
          <w:kern w:val="0"/>
          <w:sz w:val="22"/>
          <w:szCs w:val="22"/>
          <w14:ligatures w14:val="none"/>
        </w:rPr>
        <w:t> (104 nodes) and </w:t>
      </w:r>
      <w:r w:rsidRPr="008B2783">
        <w:rPr>
          <w:rFonts w:ascii="Calibri" w:eastAsia="Times New Roman" w:hAnsi="Calibri" w:cs="Calibri"/>
          <w:i/>
          <w:iCs/>
          <w:color w:val="000000"/>
          <w:kern w:val="0"/>
          <w:sz w:val="22"/>
          <w:szCs w:val="22"/>
          <w14:ligatures w14:val="none"/>
        </w:rPr>
        <w:t>TLR4</w:t>
      </w:r>
      <w:r w:rsidRPr="008B2783">
        <w:rPr>
          <w:rFonts w:ascii="Calibri" w:eastAsia="Times New Roman" w:hAnsi="Calibri" w:cs="Calibri"/>
          <w:color w:val="000000"/>
          <w:kern w:val="0"/>
          <w:sz w:val="22"/>
          <w:szCs w:val="22"/>
          <w14:ligatures w14:val="none"/>
        </w:rPr>
        <w:t> (MD-2) (39 nodes), whereas </w:t>
      </w:r>
      <w:r w:rsidRPr="008B2783">
        <w:rPr>
          <w:rFonts w:ascii="Calibri" w:eastAsia="Times New Roman" w:hAnsi="Calibri" w:cs="Calibri"/>
          <w:i/>
          <w:iCs/>
          <w:color w:val="000000"/>
          <w:kern w:val="0"/>
          <w:sz w:val="22"/>
          <w:szCs w:val="22"/>
          <w14:ligatures w14:val="none"/>
        </w:rPr>
        <w:t>LRP1</w:t>
      </w:r>
      <w:r w:rsidRPr="008B2783">
        <w:rPr>
          <w:rFonts w:ascii="Calibri" w:eastAsia="Times New Roman" w:hAnsi="Calibri" w:cs="Calibri"/>
          <w:color w:val="000000"/>
          <w:kern w:val="0"/>
          <w:sz w:val="22"/>
          <w:szCs w:val="22"/>
          <w14:ligatures w14:val="none"/>
        </w:rPr>
        <w:t> (7 interaction nodes) and </w:t>
      </w:r>
      <w:r w:rsidRPr="008B2783">
        <w:rPr>
          <w:rFonts w:ascii="Calibri" w:eastAsia="Times New Roman" w:hAnsi="Calibri" w:cs="Calibri"/>
          <w:i/>
          <w:iCs/>
          <w:color w:val="000000"/>
          <w:kern w:val="0"/>
          <w:sz w:val="22"/>
          <w:szCs w:val="22"/>
          <w14:ligatures w14:val="none"/>
        </w:rPr>
        <w:t>IL-6</w:t>
      </w:r>
      <w:r w:rsidRPr="008B2783">
        <w:rPr>
          <w:rFonts w:ascii="Calibri" w:eastAsia="Times New Roman" w:hAnsi="Calibri" w:cs="Calibri"/>
          <w:color w:val="000000"/>
          <w:kern w:val="0"/>
          <w:sz w:val="22"/>
          <w:szCs w:val="22"/>
          <w14:ligatures w14:val="none"/>
        </w:rPr>
        <w:t> (33 nodes) were the central convergence hubs. Gene Ontology enrichment analysis identified the carbohydrate metabolic process (FDR-adjusted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=8.654E-241) as the top network in children with SMA. The O-glycan biosynthesis (FDR-adjusted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=2.089E-7) and N-glycan biosynthesis (FDR-adjusted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=1.021E-6) emerged as the top upregulated pathways. These alterations suggest that SMA is driven by metabolic overactivation, impaired erythroid activity, immune suppression, and oxidative vulnerability. These expression patterns represent potential novel targets for diagnosis and therapeutic intervention in SMA.</w:t>
      </w:r>
    </w:p>
    <w:p w14:paraId="228F1E8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25-A-3033-ASTMH</w:t>
      </w:r>
    </w:p>
    <w:p w14:paraId="67936A2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Parasite Transmission Biology</w:t>
      </w:r>
    </w:p>
    <w:p w14:paraId="1D5C21B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Antimalarial resistance in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impacts the mosquito stages in insecticide resistant </w:t>
      </w:r>
      <w:r w:rsidRPr="008B2783">
        <w:rPr>
          <w:rFonts w:ascii="Calibri" w:eastAsia="Times New Roman" w:hAnsi="Calibri" w:cs="Calibri"/>
          <w:i/>
          <w:iCs/>
          <w:color w:val="000000"/>
          <w:kern w:val="0"/>
          <w:sz w:val="22"/>
          <w:szCs w:val="22"/>
          <w14:ligatures w14:val="none"/>
        </w:rPr>
        <w:t>Anopheles gambiae</w:t>
      </w:r>
    </w:p>
    <w:p w14:paraId="7286A1F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Insecticide treated bed nets are the primary tool for malaria prevention, whilst anti-malarial drugs such as artemisinin derivates and sulfadoxine/pyrimethamine (SP) play a key role in treating and preventing malaria in sub-Saharan Africa; however, delayed clearance of infections associated with Kelch13 single nucleotide polymorphisms (SNPs) is increasingly reported, and resistance to SP and chloroquine is widespread. Whilst the fitness costs associated with antimalarial resistance on the clinically relevant blood stages of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are identified on a basic level, the effect on transmission through the mosquito stages remains poorly understood. Moreover, increasingly prevalent insecticide resistant </w:t>
      </w:r>
      <w:r w:rsidRPr="008B2783">
        <w:rPr>
          <w:rFonts w:ascii="Calibri" w:eastAsia="Times New Roman" w:hAnsi="Calibri" w:cs="Calibri"/>
          <w:i/>
          <w:iCs/>
          <w:color w:val="000000"/>
          <w:kern w:val="0"/>
          <w:sz w:val="22"/>
          <w:szCs w:val="22"/>
          <w14:ligatures w14:val="none"/>
        </w:rPr>
        <w:t>Anopheles </w:t>
      </w:r>
      <w:r w:rsidRPr="008B2783">
        <w:rPr>
          <w:rFonts w:ascii="Calibri" w:eastAsia="Times New Roman" w:hAnsi="Calibri" w:cs="Calibri"/>
          <w:color w:val="000000"/>
          <w:kern w:val="0"/>
          <w:sz w:val="22"/>
          <w:szCs w:val="22"/>
          <w14:ligatures w14:val="none"/>
        </w:rPr>
        <w:t>mosquitoes display metabolic differences which can affect the success in transmitting resistant parasites. Using CRISPR/Cas9 mediated mutagenesis, we introduced the most field relevant African SNPs for artemisinin and SP resistance into the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xml:space="preserve"> strain NF54. After validating the resistance levels in the blood stages, we investigate changes in mosquito transmission competence by scoring oocyst prevalence and intensity as well as sporozoite and ookinete abundance. </w:t>
      </w:r>
      <w:r w:rsidRPr="008B2783">
        <w:rPr>
          <w:rFonts w:ascii="Calibri" w:eastAsia="Times New Roman" w:hAnsi="Calibri" w:cs="Calibri"/>
          <w:color w:val="000000"/>
          <w:kern w:val="0"/>
          <w:sz w:val="22"/>
          <w:szCs w:val="22"/>
          <w14:ligatures w14:val="none"/>
        </w:rPr>
        <w:lastRenderedPageBreak/>
        <w:t>Additionally, we have developed an in-mosquito competition pipeline to assess transmission in the presence of wild type strains, mimicking multiplicity of infection. Here, we show significant impacts of individual mutations on transmission competence and surprisingly, differential competition fitness dependent upon the specific mutation, highlighting the complexity of drug resistance transmission. Taken together, this study will help us gain insight into antimalarial resistance transmission through the mosquito host and hence, inform potential real-world spread of drug resistance. Future research will include introducing the SNPs into field isolates as well as elucidating the effect of insecticide treatment on the antimalarial resistant parasites.</w:t>
      </w:r>
    </w:p>
    <w:p w14:paraId="31FFEF2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25-A-3034-ASTMH</w:t>
      </w:r>
    </w:p>
    <w:p w14:paraId="42855E3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Schistosomiasis and Other Trematodes – Diagnostics and Treatment</w:t>
      </w:r>
    </w:p>
    <w:p w14:paraId="117D2C2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Understanding transmission versus infection dynamics of </w:t>
      </w:r>
      <w:r w:rsidRPr="008B2783">
        <w:rPr>
          <w:rFonts w:ascii="Calibri" w:eastAsia="Times New Roman" w:hAnsi="Calibri" w:cs="Calibri"/>
          <w:i/>
          <w:iCs/>
          <w:color w:val="000000"/>
          <w:kern w:val="0"/>
          <w:sz w:val="22"/>
          <w:szCs w:val="22"/>
          <w14:ligatures w14:val="none"/>
        </w:rPr>
        <w:t>Schistosoma mansoni </w:t>
      </w:r>
      <w:r w:rsidRPr="008B2783">
        <w:rPr>
          <w:rFonts w:ascii="Calibri" w:eastAsia="Times New Roman" w:hAnsi="Calibri" w:cs="Calibri"/>
          <w:color w:val="000000"/>
          <w:kern w:val="0"/>
          <w:sz w:val="22"/>
          <w:szCs w:val="22"/>
          <w14:ligatures w14:val="none"/>
        </w:rPr>
        <w:t>pre- and post-treatment, and the relationship between egg, antigen and DNA based diagnostics</w:t>
      </w:r>
    </w:p>
    <w:p w14:paraId="0A14379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Over 240 million people are infected with </w:t>
      </w:r>
      <w:r w:rsidRPr="008B2783">
        <w:rPr>
          <w:rFonts w:ascii="Calibri" w:eastAsia="Times New Roman" w:hAnsi="Calibri" w:cs="Calibri"/>
          <w:i/>
          <w:iCs/>
          <w:color w:val="000000"/>
          <w:kern w:val="0"/>
          <w:sz w:val="22"/>
          <w:szCs w:val="22"/>
          <w14:ligatures w14:val="none"/>
        </w:rPr>
        <w:t>Schistosoma</w:t>
      </w:r>
      <w:r w:rsidRPr="008B2783">
        <w:rPr>
          <w:rFonts w:ascii="Calibri" w:eastAsia="Times New Roman" w:hAnsi="Calibri" w:cs="Calibri"/>
          <w:color w:val="000000"/>
          <w:kern w:val="0"/>
          <w:sz w:val="22"/>
          <w:szCs w:val="22"/>
          <w14:ligatures w14:val="none"/>
        </w:rPr>
        <w:t>. The World Health Organization has set goals for schistosomiasis elimination as a public health problem by 2030, defined as &lt;1% prevalence of heavy-infections measured by Kato-Katz (KK) in school-aged children. However, KK lack sensitivity, and commonly overestimate drug efficacy. The point-of-care circulating cathodic antigen test (POC-CCA) improves on sensitivity, especially for low intensities and post treatment, but specificity is not 100%. In addition, the relationship between antigens and eggs changes post treatment, resulting in different drug efficacy measures and many individuals who are POC-CCA positive but KK negative. Understanding what proportion of KK negative, POC-CCA positive individuals are true infections, and if they are contributing to transmission, will help inform and guide control programmes. We aimed to estimate the true proportion of school-aged children who are infected with </w:t>
      </w:r>
      <w:r w:rsidRPr="008B2783">
        <w:rPr>
          <w:rFonts w:ascii="Calibri" w:eastAsia="Times New Roman" w:hAnsi="Calibri" w:cs="Calibri"/>
          <w:i/>
          <w:iCs/>
          <w:color w:val="000000"/>
          <w:kern w:val="0"/>
          <w:sz w:val="22"/>
          <w:szCs w:val="22"/>
          <w14:ligatures w14:val="none"/>
        </w:rPr>
        <w:t>Schistosoma mansoni</w:t>
      </w:r>
      <w:r w:rsidRPr="008B2783">
        <w:rPr>
          <w:rFonts w:ascii="Calibri" w:eastAsia="Times New Roman" w:hAnsi="Calibri" w:cs="Calibri"/>
          <w:color w:val="000000"/>
          <w:kern w:val="0"/>
          <w:sz w:val="22"/>
          <w:szCs w:val="22"/>
          <w14:ligatures w14:val="none"/>
        </w:rPr>
        <w:t> and at risk of morbidity, and what proportion are shedding eggs and contributing to transmission in a high-endemicity Ugandan Community. A Bayesian Latent Class Model was developed and fit to data from three days of duplicate KK, miracidia hatching, qPCR of stool and blood spots, and POC-CCA G-scores at pre-treatment, and 3, 9, and 22 weeks post-treatment. Including miracidia hatching data and stool qPCR greatly improved predictions of those shedding eggs, as well as resulting in improved, higher, specificity estimates for POC-CCA. Baseline egg and antigen-based diagnostics were comparable, but at 3 weeks post treatment, egg-based diagnostics lack sensitivity and vastly overestimate clearance, with only a quarter of estimated infections shedding eggs. Miracidial hatching data were the most comparable to model estimates of individuals shedding eggs. In conclusion, after treatment, most infected individuals are not shedding eggs, and therefore not contributing to transmission at that stage. However, egg-based diagnostics overestimate the efficacy of treatment, and more robust diagnostics are needed in order to monitor elimination goal attainment.</w:t>
      </w:r>
    </w:p>
    <w:p w14:paraId="44A4E6F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25-A-3035-ASTMH</w:t>
      </w:r>
    </w:p>
    <w:p w14:paraId="053D15B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137665E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Measuring Human IgG Responses to</w:t>
      </w:r>
      <w:r w:rsidRPr="008B2783">
        <w:rPr>
          <w:rFonts w:ascii="Calibri" w:eastAsia="Times New Roman" w:hAnsi="Calibri" w:cs="Calibri"/>
          <w:i/>
          <w:iCs/>
          <w:color w:val="000000"/>
          <w:kern w:val="0"/>
          <w:sz w:val="22"/>
          <w:szCs w:val="22"/>
          <w14:ligatures w14:val="none"/>
        </w:rPr>
        <w:t> Aedes </w:t>
      </w:r>
      <w:r w:rsidRPr="008B2783">
        <w:rPr>
          <w:rFonts w:ascii="Calibri" w:eastAsia="Times New Roman" w:hAnsi="Calibri" w:cs="Calibri"/>
          <w:color w:val="000000"/>
          <w:kern w:val="0"/>
          <w:sz w:val="22"/>
          <w:szCs w:val="22"/>
          <w14:ligatures w14:val="none"/>
        </w:rPr>
        <w:t>Salivary Recombinant Protein in a Brazil Cohort</w:t>
      </w:r>
    </w:p>
    <w:p w14:paraId="4030C5C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Current methods for measuring human exposure to </w:t>
      </w:r>
      <w:r w:rsidRPr="008B2783">
        <w:rPr>
          <w:rFonts w:ascii="Calibri" w:eastAsia="Times New Roman" w:hAnsi="Calibri" w:cs="Calibri"/>
          <w:i/>
          <w:iCs/>
          <w:color w:val="000000"/>
          <w:kern w:val="0"/>
          <w:sz w:val="22"/>
          <w:szCs w:val="22"/>
          <w14:ligatures w14:val="none"/>
        </w:rPr>
        <w:t>Aedes aegypti</w:t>
      </w:r>
      <w:r w:rsidRPr="008B2783">
        <w:rPr>
          <w:rFonts w:ascii="Calibri" w:eastAsia="Times New Roman" w:hAnsi="Calibri" w:cs="Calibri"/>
          <w:color w:val="000000"/>
          <w:kern w:val="0"/>
          <w:sz w:val="22"/>
          <w:szCs w:val="22"/>
          <w14:ligatures w14:val="none"/>
        </w:rPr>
        <w:t> mosquitoes including surveillance for mosquitos are resource intensive, difficult to standardize across locations and may not measure individual level heterogeneity in biting rates. Methods to measure antibody responses to mosquito salivary proteins may provide a complementary approach to measure exposure to mosquito bite. We evaluated IgG responses to </w:t>
      </w:r>
      <w:r w:rsidRPr="008B2783">
        <w:rPr>
          <w:rFonts w:ascii="Calibri" w:eastAsia="Times New Roman" w:hAnsi="Calibri" w:cs="Calibri"/>
          <w:i/>
          <w:iCs/>
          <w:color w:val="000000"/>
          <w:kern w:val="0"/>
          <w:sz w:val="22"/>
          <w:szCs w:val="22"/>
          <w14:ligatures w14:val="none"/>
        </w:rPr>
        <w:t>Aedes </w:t>
      </w:r>
      <w:r w:rsidRPr="008B2783">
        <w:rPr>
          <w:rFonts w:ascii="Calibri" w:eastAsia="Times New Roman" w:hAnsi="Calibri" w:cs="Calibri"/>
          <w:color w:val="000000"/>
          <w:kern w:val="0"/>
          <w:sz w:val="22"/>
          <w:szCs w:val="22"/>
          <w14:ligatures w14:val="none"/>
        </w:rPr>
        <w:t>mosquito salivary protein Aed a D7 as a biomarker for mosquito exposure and measured associations with CHIKV serostatus and other individual and community level factors in 241 participants in a cohort in Pau de Lima, Salvador, Brazil. IgG responses to D7 were quantified at two timepoints (2019 and 2021) using an ELISA with Aed a D7 as coating antigen. On average, we observed an increase in optical density (OD) measurements in time, indicating a higher exposure risk to </w:t>
      </w:r>
      <w:r w:rsidRPr="008B2783">
        <w:rPr>
          <w:rFonts w:ascii="Calibri" w:eastAsia="Times New Roman" w:hAnsi="Calibri" w:cs="Calibri"/>
          <w:i/>
          <w:iCs/>
          <w:color w:val="000000"/>
          <w:kern w:val="0"/>
          <w:sz w:val="22"/>
          <w:szCs w:val="22"/>
          <w14:ligatures w14:val="none"/>
        </w:rPr>
        <w:t>Aedes</w:t>
      </w:r>
      <w:r w:rsidRPr="008B2783">
        <w:rPr>
          <w:rFonts w:ascii="Calibri" w:eastAsia="Times New Roman" w:hAnsi="Calibri" w:cs="Calibri"/>
          <w:color w:val="000000"/>
          <w:kern w:val="0"/>
          <w:sz w:val="22"/>
          <w:szCs w:val="22"/>
          <w14:ligatures w14:val="none"/>
        </w:rPr>
        <w:t xml:space="preserve"> mosquitoes over time and consistent with samples at the second timepoint being taken more proximal to peaks in mosquito activity. OD responses were negatively correlated with age in </w:t>
      </w:r>
      <w:r w:rsidRPr="008B2783">
        <w:rPr>
          <w:rFonts w:ascii="Calibri" w:eastAsia="Times New Roman" w:hAnsi="Calibri" w:cs="Calibri"/>
          <w:color w:val="000000"/>
          <w:kern w:val="0"/>
          <w:sz w:val="22"/>
          <w:szCs w:val="22"/>
          <w14:ligatures w14:val="none"/>
        </w:rPr>
        <w:lastRenderedPageBreak/>
        <w:t>both time points: for each year of age, OD values decrease by 0.024 (p &lt; 0.001) in 2019 and 0.03 (p = 0.047) in 2021. Measures were highly correlated between time points. Antibody responses were not statistically significantly different among those that were seropositive to CHIVK in 2019, those that seroconverted between 2019 and 2021, those positive or those negative at both visits. However, antibody responses were higher in individuals living in locations where land surface temperature is higher and were spatially correlated at short distances (12.5 meters), suggesting some systematic differences in exposure to Aedes aegypti bite.</w:t>
      </w:r>
    </w:p>
    <w:p w14:paraId="2A215D1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25-A-3036-ASTMH</w:t>
      </w:r>
    </w:p>
    <w:p w14:paraId="5CFCC20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Immunology</w:t>
      </w:r>
    </w:p>
    <w:p w14:paraId="67AC406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Epitope Mapping Antibodies against the Envelope Proteins of Rift Valley Fever Virus and Crimean Congo Hemorrhagic Fever Virus</w:t>
      </w:r>
    </w:p>
    <w:p w14:paraId="562EF87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To help characterize the immune response to important human infectious diseases we have initiated an identification of the binding sites - epitopes- of antibodies against the Rift Valley Fever Virus (RVFV) and Crimean Congo Hemorrhagic Fever Virus (CCHFV). We have created extensive mutation libraries for viral envelope glycoproteins, enabling rapid high-resolution mapping of conformational monoclonal antibody (MAb) epitopes. Here, Shotgun Mutagenesis technology was used to create extensive libraries of single alanine mutations for RVFV Gn and Gc envelope proteins, and for CCHFV Gc and GP38 proteins. Libraries were expressed in human cells and tested for loss of MAb reactivity, using high-throughput flow cytometry. We have epitope mapped a variety of MAbs, including MAbs isolated from natural infection and immunization, and highly neutralizing MAbs that protect in animal models. This mapping technology allows rapid identification of epitope coverage on viral glycoproteins, characterizing the immune response to infection or vaccines. Also identified are mutations that increase the exposure of neutralizing epitopes, impacting the design of anti-virus vaccines.</w:t>
      </w:r>
    </w:p>
    <w:p w14:paraId="62FFF48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25-A-3037-ASTMH</w:t>
      </w:r>
    </w:p>
    <w:p w14:paraId="1053E6F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Schistosomiasis and Other Trematodes – Epidemiology and Control</w:t>
      </w:r>
    </w:p>
    <w:p w14:paraId="7DCF322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 Phase II Proof-of-Efficacy Trial of </w:t>
      </w:r>
      <w:r w:rsidRPr="008B2783">
        <w:rPr>
          <w:rFonts w:ascii="Calibri" w:eastAsia="Times New Roman" w:hAnsi="Calibri" w:cs="Calibri"/>
          <w:i/>
          <w:iCs/>
          <w:color w:val="000000"/>
          <w:kern w:val="0"/>
          <w:sz w:val="22"/>
          <w:szCs w:val="22"/>
          <w14:ligatures w14:val="none"/>
        </w:rPr>
        <w:t>Sm</w:t>
      </w:r>
      <w:r w:rsidRPr="008B2783">
        <w:rPr>
          <w:rFonts w:ascii="Calibri" w:eastAsia="Times New Roman" w:hAnsi="Calibri" w:cs="Calibri"/>
          <w:color w:val="000000"/>
          <w:kern w:val="0"/>
          <w:sz w:val="22"/>
          <w:szCs w:val="22"/>
          <w14:ligatures w14:val="none"/>
        </w:rPr>
        <w:t>-TSP-2/Alhydrogel for Intestinal Schistosomiasis in Healthy Ugandan Adults</w:t>
      </w:r>
    </w:p>
    <w:p w14:paraId="10C38EA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Tetraspanins (TSPs) are membrane spanning proteins on the schistosome’s outer syncytial surface that function in tegument formation and host-parasite interface and are targets of vaccine development. Studies in schistosomiasis endemic areas showed that putatively resistant individuals express antibodies against these antigens, leading to selection of the TSP-2 antigen as a lead candidate targeting disease caused by </w:t>
      </w:r>
      <w:r w:rsidRPr="008B2783">
        <w:rPr>
          <w:rFonts w:ascii="Calibri" w:eastAsia="Times New Roman" w:hAnsi="Calibri" w:cs="Calibri"/>
          <w:i/>
          <w:iCs/>
          <w:color w:val="000000"/>
          <w:kern w:val="0"/>
          <w:sz w:val="22"/>
          <w:szCs w:val="22"/>
          <w14:ligatures w14:val="none"/>
        </w:rPr>
        <w:t>Schistosoma mansoni</w:t>
      </w:r>
      <w:r w:rsidRPr="008B2783">
        <w:rPr>
          <w:rFonts w:ascii="Calibri" w:eastAsia="Times New Roman" w:hAnsi="Calibri" w:cs="Calibri"/>
          <w:color w:val="000000"/>
          <w:kern w:val="0"/>
          <w:sz w:val="22"/>
          <w:szCs w:val="22"/>
          <w14:ligatures w14:val="none"/>
        </w:rPr>
        <w:t>. Recombinant </w:t>
      </w:r>
      <w:r w:rsidRPr="008B2783">
        <w:rPr>
          <w:rFonts w:ascii="Calibri" w:eastAsia="Times New Roman" w:hAnsi="Calibri" w:cs="Calibri"/>
          <w:i/>
          <w:iCs/>
          <w:color w:val="000000"/>
          <w:kern w:val="0"/>
          <w:sz w:val="22"/>
          <w:szCs w:val="22"/>
          <w14:ligatures w14:val="none"/>
        </w:rPr>
        <w:t>Sm</w:t>
      </w:r>
      <w:r w:rsidRPr="008B2783">
        <w:rPr>
          <w:rFonts w:ascii="Calibri" w:eastAsia="Times New Roman" w:hAnsi="Calibri" w:cs="Calibri"/>
          <w:color w:val="000000"/>
          <w:kern w:val="0"/>
          <w:sz w:val="22"/>
          <w:szCs w:val="22"/>
          <w14:ligatures w14:val="none"/>
        </w:rPr>
        <w:t>-TSP-2 expressed in </w:t>
      </w:r>
      <w:r w:rsidRPr="008B2783">
        <w:rPr>
          <w:rFonts w:ascii="Calibri" w:eastAsia="Times New Roman" w:hAnsi="Calibri" w:cs="Calibri"/>
          <w:i/>
          <w:iCs/>
          <w:color w:val="000000"/>
          <w:kern w:val="0"/>
          <w:sz w:val="22"/>
          <w:szCs w:val="22"/>
          <w14:ligatures w14:val="none"/>
        </w:rPr>
        <w:t>Pichia pastoris </w:t>
      </w:r>
      <w:r w:rsidRPr="008B2783">
        <w:rPr>
          <w:rFonts w:ascii="Calibri" w:eastAsia="Times New Roman" w:hAnsi="Calibri" w:cs="Calibri"/>
          <w:color w:val="000000"/>
          <w:kern w:val="0"/>
          <w:sz w:val="22"/>
          <w:szCs w:val="22"/>
          <w14:ligatures w14:val="none"/>
        </w:rPr>
        <w:t>was purified by a series of chromatography steps and adsorbed to Alhydrogel (Al: aluminum hydroxide adjuvant). Phase I trials conducted in the USA and Brazil of </w:t>
      </w:r>
      <w:r w:rsidRPr="008B2783">
        <w:rPr>
          <w:rFonts w:ascii="Calibri" w:eastAsia="Times New Roman" w:hAnsi="Calibri" w:cs="Calibri"/>
          <w:i/>
          <w:iCs/>
          <w:color w:val="000000"/>
          <w:kern w:val="0"/>
          <w:sz w:val="22"/>
          <w:szCs w:val="22"/>
          <w14:ligatures w14:val="none"/>
        </w:rPr>
        <w:t>Sm</w:t>
      </w:r>
      <w:r w:rsidRPr="008B2783">
        <w:rPr>
          <w:rFonts w:ascii="Calibri" w:eastAsia="Times New Roman" w:hAnsi="Calibri" w:cs="Calibri"/>
          <w:color w:val="000000"/>
          <w:kern w:val="0"/>
          <w:sz w:val="22"/>
          <w:szCs w:val="22"/>
          <w14:ligatures w14:val="none"/>
        </w:rPr>
        <w:t>-TSP-2/Al with or without AP 10-701, a synthetic Toll-like receptor-4 agonist, showed the vaccine to be safe, well tolerated and induced anti-</w:t>
      </w:r>
      <w:r w:rsidRPr="008B2783">
        <w:rPr>
          <w:rFonts w:ascii="Calibri" w:eastAsia="Times New Roman" w:hAnsi="Calibri" w:cs="Calibri"/>
          <w:i/>
          <w:iCs/>
          <w:color w:val="000000"/>
          <w:kern w:val="0"/>
          <w:sz w:val="22"/>
          <w:szCs w:val="22"/>
          <w14:ligatures w14:val="none"/>
        </w:rPr>
        <w:t>Sm</w:t>
      </w:r>
      <w:r w:rsidRPr="008B2783">
        <w:rPr>
          <w:rFonts w:ascii="Calibri" w:eastAsia="Times New Roman" w:hAnsi="Calibri" w:cs="Calibri"/>
          <w:color w:val="000000"/>
          <w:kern w:val="0"/>
          <w:sz w:val="22"/>
          <w:szCs w:val="22"/>
          <w14:ligatures w14:val="none"/>
        </w:rPr>
        <w:t>-TSP-2 IgG antibodies in a dose-dependent fashion. A Phase I trial in Uganda showed similar results, leading to a Phase II proof-of-efficacy study in healthy Ugandan adults aged 18-45 years infected with </w:t>
      </w:r>
      <w:r w:rsidRPr="008B2783">
        <w:rPr>
          <w:rFonts w:ascii="Calibri" w:eastAsia="Times New Roman" w:hAnsi="Calibri" w:cs="Calibri"/>
          <w:i/>
          <w:iCs/>
          <w:color w:val="000000"/>
          <w:kern w:val="0"/>
          <w:sz w:val="22"/>
          <w:szCs w:val="22"/>
          <w14:ligatures w14:val="none"/>
        </w:rPr>
        <w:t>S. mansoni</w:t>
      </w:r>
      <w:r w:rsidRPr="008B2783">
        <w:rPr>
          <w:rFonts w:ascii="Calibri" w:eastAsia="Times New Roman" w:hAnsi="Calibri" w:cs="Calibri"/>
          <w:color w:val="000000"/>
          <w:kern w:val="0"/>
          <w:sz w:val="22"/>
          <w:szCs w:val="22"/>
          <w14:ligatures w14:val="none"/>
        </w:rPr>
        <w:t> at baseline, as determined by fecal microscopy. Two hundred participants were enrolled, treated with 60 mg/kg praziquantel at baseline, and randomized at a 1:1 ratio to receive 100µg </w:t>
      </w:r>
      <w:r w:rsidRPr="008B2783">
        <w:rPr>
          <w:rFonts w:ascii="Calibri" w:eastAsia="Times New Roman" w:hAnsi="Calibri" w:cs="Calibri"/>
          <w:i/>
          <w:iCs/>
          <w:color w:val="000000"/>
          <w:kern w:val="0"/>
          <w:sz w:val="22"/>
          <w:szCs w:val="22"/>
          <w14:ligatures w14:val="none"/>
        </w:rPr>
        <w:t>Sm</w:t>
      </w:r>
      <w:r w:rsidRPr="008B2783">
        <w:rPr>
          <w:rFonts w:ascii="Calibri" w:eastAsia="Times New Roman" w:hAnsi="Calibri" w:cs="Calibri"/>
          <w:color w:val="000000"/>
          <w:kern w:val="0"/>
          <w:sz w:val="22"/>
          <w:szCs w:val="22"/>
          <w14:ligatures w14:val="none"/>
        </w:rPr>
        <w:t>-TSP-2/Al/AP 10-701 or Hepatitis B vaccine (HBV) as a comparator. Vaccinations were administered by intramuscular injection in the deltoid at 0, 2, and 4 months. Common adverse events (AEs) included mild to moderate injection site pain and tenderness, headache, malaise, fatigue, and dizziness. Solicited AEs were well-tolerated and short-lived. There were no vaccine-related serious AEs. Participants were followed for 18 months after final vaccination with fecal microscopic exams using the Kato-Katz technique performed to quantify </w:t>
      </w:r>
      <w:r w:rsidRPr="008B2783">
        <w:rPr>
          <w:rFonts w:ascii="Calibri" w:eastAsia="Times New Roman" w:hAnsi="Calibri" w:cs="Calibri"/>
          <w:i/>
          <w:iCs/>
          <w:color w:val="000000"/>
          <w:kern w:val="0"/>
          <w:sz w:val="22"/>
          <w:szCs w:val="22"/>
          <w14:ligatures w14:val="none"/>
        </w:rPr>
        <w:t>S. mansoni</w:t>
      </w:r>
      <w:r w:rsidRPr="008B2783">
        <w:rPr>
          <w:rFonts w:ascii="Calibri" w:eastAsia="Times New Roman" w:hAnsi="Calibri" w:cs="Calibri"/>
          <w:color w:val="000000"/>
          <w:kern w:val="0"/>
          <w:sz w:val="22"/>
          <w:szCs w:val="22"/>
          <w14:ligatures w14:val="none"/>
        </w:rPr>
        <w:t> eggs at 12- and 18-months. Final unblinded efficacy results will be presented.</w:t>
      </w:r>
    </w:p>
    <w:p w14:paraId="39458FF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25-A-3038-ASTMH</w:t>
      </w:r>
    </w:p>
    <w:p w14:paraId="3CAFC52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Schistosomiasis and Other Trematodes – Immunology, Pathology, Cellular and Molecular Biology</w:t>
      </w:r>
    </w:p>
    <w:p w14:paraId="3E2B304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Metagenomic Next-Generation Sequencing for the Identification of Circulating Cell Free Paragonimus DNA</w:t>
      </w:r>
    </w:p>
    <w:p w14:paraId="19E7D5B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Paragonimiasis is a food-borne trematode infection that affects approximately 21 million people. Over 30 </w:t>
      </w:r>
      <w:r w:rsidRPr="008B2783">
        <w:rPr>
          <w:rFonts w:ascii="Calibri" w:eastAsia="Times New Roman" w:hAnsi="Calibri" w:cs="Calibri"/>
          <w:i/>
          <w:iCs/>
          <w:color w:val="000000"/>
          <w:kern w:val="0"/>
          <w:sz w:val="22"/>
          <w:szCs w:val="22"/>
          <w14:ligatures w14:val="none"/>
        </w:rPr>
        <w:t>Paragonimus</w:t>
      </w:r>
      <w:r w:rsidRPr="008B2783">
        <w:rPr>
          <w:rFonts w:ascii="Calibri" w:eastAsia="Times New Roman" w:hAnsi="Calibri" w:cs="Calibri"/>
          <w:color w:val="000000"/>
          <w:kern w:val="0"/>
          <w:sz w:val="22"/>
          <w:szCs w:val="22"/>
          <w14:ligatures w14:val="none"/>
        </w:rPr>
        <w:t> species have been identified, with about one-third confirmed to infect humans. Infection occurs through the consumption of raw or undercooked freshwater crustaceans that harbor infective metacercariae. </w:t>
      </w:r>
      <w:r w:rsidRPr="008B2783">
        <w:rPr>
          <w:rFonts w:ascii="Calibri" w:eastAsia="Times New Roman" w:hAnsi="Calibri" w:cs="Calibri"/>
          <w:i/>
          <w:iCs/>
          <w:color w:val="000000"/>
          <w:kern w:val="0"/>
          <w:sz w:val="22"/>
          <w:szCs w:val="22"/>
          <w14:ligatures w14:val="none"/>
        </w:rPr>
        <w:t>Paragonimus kellicotti</w:t>
      </w:r>
      <w:r w:rsidRPr="008B2783">
        <w:rPr>
          <w:rFonts w:ascii="Calibri" w:eastAsia="Times New Roman" w:hAnsi="Calibri" w:cs="Calibri"/>
          <w:color w:val="000000"/>
          <w:kern w:val="0"/>
          <w:sz w:val="22"/>
          <w:szCs w:val="22"/>
          <w14:ligatures w14:val="none"/>
        </w:rPr>
        <w:t>, responsible for North American paragonimiasis, serves as an excellent model for studying other </w:t>
      </w:r>
      <w:r w:rsidRPr="008B2783">
        <w:rPr>
          <w:rFonts w:ascii="Calibri" w:eastAsia="Times New Roman" w:hAnsi="Calibri" w:cs="Calibri"/>
          <w:i/>
          <w:iCs/>
          <w:color w:val="000000"/>
          <w:kern w:val="0"/>
          <w:sz w:val="22"/>
          <w:szCs w:val="22"/>
          <w14:ligatures w14:val="none"/>
        </w:rPr>
        <w:t>Paragonimus</w:t>
      </w:r>
      <w:r w:rsidRPr="008B2783">
        <w:rPr>
          <w:rFonts w:ascii="Calibri" w:eastAsia="Times New Roman" w:hAnsi="Calibri" w:cs="Calibri"/>
          <w:color w:val="000000"/>
          <w:kern w:val="0"/>
          <w:sz w:val="22"/>
          <w:szCs w:val="22"/>
          <w14:ligatures w14:val="none"/>
        </w:rPr>
        <w:t> infections. There is an urgent need for improved diagnostic tools that meet the World Health Organization sensitivity and specificity targets to support the control and elimination of neglected tropical diseases. In this study, we identified parasite specific circulating cell free DNA (ccfDNA) through </w:t>
      </w:r>
      <w:r w:rsidRPr="008B2783">
        <w:rPr>
          <w:rFonts w:ascii="Calibri" w:eastAsia="Times New Roman" w:hAnsi="Calibri" w:cs="Calibri"/>
          <w:i/>
          <w:iCs/>
          <w:color w:val="000000"/>
          <w:kern w:val="0"/>
          <w:sz w:val="22"/>
          <w:szCs w:val="22"/>
          <w14:ligatures w14:val="none"/>
        </w:rPr>
        <w:t>in silico</w:t>
      </w:r>
      <w:r w:rsidRPr="008B2783">
        <w:rPr>
          <w:rFonts w:ascii="Calibri" w:eastAsia="Times New Roman" w:hAnsi="Calibri" w:cs="Calibri"/>
          <w:color w:val="000000"/>
          <w:kern w:val="0"/>
          <w:sz w:val="22"/>
          <w:szCs w:val="22"/>
          <w14:ligatures w14:val="none"/>
        </w:rPr>
        <w:t> analysis of the </w:t>
      </w:r>
      <w:r w:rsidRPr="008B2783">
        <w:rPr>
          <w:rFonts w:ascii="Calibri" w:eastAsia="Times New Roman" w:hAnsi="Calibri" w:cs="Calibri"/>
          <w:i/>
          <w:iCs/>
          <w:color w:val="000000"/>
          <w:kern w:val="0"/>
          <w:sz w:val="22"/>
          <w:szCs w:val="22"/>
          <w14:ligatures w14:val="none"/>
        </w:rPr>
        <w:t>P. kellicotti</w:t>
      </w:r>
      <w:r w:rsidRPr="008B2783">
        <w:rPr>
          <w:rFonts w:ascii="Calibri" w:eastAsia="Times New Roman" w:hAnsi="Calibri" w:cs="Calibri"/>
          <w:color w:val="000000"/>
          <w:kern w:val="0"/>
          <w:sz w:val="22"/>
          <w:szCs w:val="22"/>
          <w14:ligatures w14:val="none"/>
        </w:rPr>
        <w:t> genome and by metagenomic sequencing of ccfDNA in plasma from experimentally infected Mongolian gerbils (</w:t>
      </w:r>
      <w:r w:rsidRPr="008B2783">
        <w:rPr>
          <w:rFonts w:ascii="Calibri" w:eastAsia="Times New Roman" w:hAnsi="Calibri" w:cs="Calibri"/>
          <w:i/>
          <w:iCs/>
          <w:color w:val="000000"/>
          <w:kern w:val="0"/>
          <w:sz w:val="22"/>
          <w:szCs w:val="22"/>
          <w14:ligatures w14:val="none"/>
        </w:rPr>
        <w:t>Meriones unguiculatus</w:t>
      </w:r>
      <w:r w:rsidRPr="008B2783">
        <w:rPr>
          <w:rFonts w:ascii="Calibri" w:eastAsia="Times New Roman" w:hAnsi="Calibri" w:cs="Calibri"/>
          <w:color w:val="000000"/>
          <w:kern w:val="0"/>
          <w:sz w:val="22"/>
          <w:szCs w:val="22"/>
          <w14:ligatures w14:val="none"/>
        </w:rPr>
        <w:t>). Using Illumina sequencing and RepeatExplorer2 computational pipeline, we identified 55 different repeats (including LTR elements and high/low confidence microsatellites) with sizes ranging from 100 to 4,000 bp. A total of 48 repeats were identified by both approaches. Among these, 10 repeat sequences were independently confirmed by qPCR in at least 4 of the 14 infected gerbil plasma samples. In addition, we identified </w:t>
      </w:r>
      <w:r w:rsidRPr="008B2783">
        <w:rPr>
          <w:rFonts w:ascii="Calibri" w:eastAsia="Times New Roman" w:hAnsi="Calibri" w:cs="Calibri"/>
          <w:i/>
          <w:iCs/>
          <w:color w:val="000000"/>
          <w:kern w:val="0"/>
          <w:sz w:val="22"/>
          <w:szCs w:val="22"/>
          <w14:ligatures w14:val="none"/>
        </w:rPr>
        <w:t>in silico</w:t>
      </w:r>
      <w:r w:rsidRPr="008B2783">
        <w:rPr>
          <w:rFonts w:ascii="Calibri" w:eastAsia="Times New Roman" w:hAnsi="Calibri" w:cs="Calibri"/>
          <w:color w:val="000000"/>
          <w:kern w:val="0"/>
          <w:sz w:val="22"/>
          <w:szCs w:val="22"/>
          <w14:ligatures w14:val="none"/>
        </w:rPr>
        <w:t> repeat elements in the genomes of </w:t>
      </w:r>
      <w:r w:rsidRPr="008B2783">
        <w:rPr>
          <w:rFonts w:ascii="Calibri" w:eastAsia="Times New Roman" w:hAnsi="Calibri" w:cs="Calibri"/>
          <w:i/>
          <w:iCs/>
          <w:color w:val="000000"/>
          <w:kern w:val="0"/>
          <w:sz w:val="22"/>
          <w:szCs w:val="22"/>
          <w14:ligatures w14:val="none"/>
        </w:rPr>
        <w:t>P. africanus, P. heterotremus, P. miyazaki</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P. westermani</w:t>
      </w:r>
      <w:r w:rsidRPr="008B2783">
        <w:rPr>
          <w:rFonts w:ascii="Calibri" w:eastAsia="Times New Roman" w:hAnsi="Calibri" w:cs="Calibri"/>
          <w:color w:val="000000"/>
          <w:kern w:val="0"/>
          <w:sz w:val="22"/>
          <w:szCs w:val="22"/>
          <w14:ligatures w14:val="none"/>
        </w:rPr>
        <w:t>. A total of 40 different repeats, suitable to design a species-specific qPCR, were found in the genome of all five species from Asia, Africa, and North America. Several of these ccfDNAs were also detected in the sputum of patients with </w:t>
      </w:r>
      <w:r w:rsidRPr="008B2783">
        <w:rPr>
          <w:rFonts w:ascii="Calibri" w:eastAsia="Times New Roman" w:hAnsi="Calibri" w:cs="Calibri"/>
          <w:i/>
          <w:iCs/>
          <w:color w:val="000000"/>
          <w:kern w:val="0"/>
          <w:sz w:val="22"/>
          <w:szCs w:val="22"/>
          <w14:ligatures w14:val="none"/>
        </w:rPr>
        <w:t>P. kellicotti</w:t>
      </w:r>
      <w:r w:rsidRPr="008B2783">
        <w:rPr>
          <w:rFonts w:ascii="Calibri" w:eastAsia="Times New Roman" w:hAnsi="Calibri" w:cs="Calibri"/>
          <w:color w:val="000000"/>
          <w:kern w:val="0"/>
          <w:sz w:val="22"/>
          <w:szCs w:val="22"/>
          <w14:ligatures w14:val="none"/>
        </w:rPr>
        <w:t> infection using qPCR. Our study identified genus-specific ccfDNA markers that are promising candidates for paragonimiasis diagnosis.</w:t>
      </w:r>
    </w:p>
    <w:p w14:paraId="6DFF3AC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25-A-3040-ASTMH</w:t>
      </w:r>
    </w:p>
    <w:p w14:paraId="737EC7F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Helminths – Nematodes – Filariasis (Epidemiology)</w:t>
      </w:r>
    </w:p>
    <w:p w14:paraId="61C97F3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Molecular Xenomonitoring to Monitor Transmission of Zoophilic </w:t>
      </w:r>
      <w:r w:rsidRPr="008B2783">
        <w:rPr>
          <w:rFonts w:ascii="Calibri" w:eastAsia="Times New Roman" w:hAnsi="Calibri" w:cs="Calibri"/>
          <w:i/>
          <w:iCs/>
          <w:color w:val="000000"/>
          <w:kern w:val="0"/>
          <w:sz w:val="22"/>
          <w:szCs w:val="22"/>
          <w14:ligatures w14:val="none"/>
        </w:rPr>
        <w:t>Brugia malayi</w:t>
      </w:r>
      <w:r w:rsidRPr="008B2783">
        <w:rPr>
          <w:rFonts w:ascii="Calibri" w:eastAsia="Times New Roman" w:hAnsi="Calibri" w:cs="Calibri"/>
          <w:color w:val="000000"/>
          <w:kern w:val="0"/>
          <w:sz w:val="22"/>
          <w:szCs w:val="22"/>
          <w14:ligatures w14:val="none"/>
        </w:rPr>
        <w:t> Following IDA Mass Drug Administration in Indonesia</w:t>
      </w:r>
    </w:p>
    <w:p w14:paraId="0A22DF1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i/>
          <w:iCs/>
          <w:color w:val="000000"/>
          <w:kern w:val="0"/>
          <w:sz w:val="22"/>
          <w:szCs w:val="22"/>
          <w14:ligatures w14:val="none"/>
        </w:rPr>
        <w:t>Brugia malayi</w:t>
      </w:r>
      <w:r w:rsidRPr="008B2783">
        <w:rPr>
          <w:rFonts w:ascii="Calibri" w:eastAsia="Times New Roman" w:hAnsi="Calibri" w:cs="Calibri"/>
          <w:color w:val="000000"/>
          <w:kern w:val="0"/>
          <w:sz w:val="22"/>
          <w:szCs w:val="22"/>
          <w14:ligatures w14:val="none"/>
        </w:rPr>
        <w:t> is the most abundant filarial parasite that causes lymphatic filariasis in Indonesia. Based on its biological characteristics </w:t>
      </w:r>
      <w:r w:rsidRPr="008B2783">
        <w:rPr>
          <w:rFonts w:ascii="Calibri" w:eastAsia="Times New Roman" w:hAnsi="Calibri" w:cs="Calibri"/>
          <w:i/>
          <w:iCs/>
          <w:color w:val="000000"/>
          <w:kern w:val="0"/>
          <w:sz w:val="22"/>
          <w:szCs w:val="22"/>
          <w14:ligatures w14:val="none"/>
        </w:rPr>
        <w:t>B. malayi</w:t>
      </w:r>
      <w:r w:rsidRPr="008B2783">
        <w:rPr>
          <w:rFonts w:ascii="Calibri" w:eastAsia="Times New Roman" w:hAnsi="Calibri" w:cs="Calibri"/>
          <w:color w:val="000000"/>
          <w:kern w:val="0"/>
          <w:sz w:val="22"/>
          <w:szCs w:val="22"/>
          <w14:ligatures w14:val="none"/>
        </w:rPr>
        <w:t> can be categorized into two ecotypes. The anthropophilic type infects only humans, has nocturnal microfilarial periodicity and is transmitted by </w:t>
      </w:r>
      <w:r w:rsidRPr="008B2783">
        <w:rPr>
          <w:rFonts w:ascii="Calibri" w:eastAsia="Times New Roman" w:hAnsi="Calibri" w:cs="Calibri"/>
          <w:i/>
          <w:iCs/>
          <w:color w:val="000000"/>
          <w:kern w:val="0"/>
          <w:sz w:val="22"/>
          <w:szCs w:val="22"/>
          <w14:ligatures w14:val="none"/>
        </w:rPr>
        <w:t>Anopheles barbirostris</w:t>
      </w:r>
      <w:r w:rsidRPr="008B2783">
        <w:rPr>
          <w:rFonts w:ascii="Calibri" w:eastAsia="Times New Roman" w:hAnsi="Calibri" w:cs="Calibri"/>
          <w:color w:val="000000"/>
          <w:kern w:val="0"/>
          <w:sz w:val="22"/>
          <w:szCs w:val="22"/>
          <w14:ligatures w14:val="none"/>
        </w:rPr>
        <w:t>. In contrast, the zoophilic type infects both humans and animals such as cats, dogs, and monkeys, is nocturnally subperiodic and transmitted by </w:t>
      </w:r>
      <w:r w:rsidRPr="008B2783">
        <w:rPr>
          <w:rFonts w:ascii="Calibri" w:eastAsia="Times New Roman" w:hAnsi="Calibri" w:cs="Calibri"/>
          <w:i/>
          <w:iCs/>
          <w:color w:val="000000"/>
          <w:kern w:val="0"/>
          <w:sz w:val="22"/>
          <w:szCs w:val="22"/>
          <w14:ligatures w14:val="none"/>
        </w:rPr>
        <w:t>Mansonia spp</w:t>
      </w:r>
      <w:r w:rsidRPr="008B2783">
        <w:rPr>
          <w:rFonts w:ascii="Calibri" w:eastAsia="Times New Roman" w:hAnsi="Calibri" w:cs="Calibri"/>
          <w:color w:val="000000"/>
          <w:kern w:val="0"/>
          <w:sz w:val="22"/>
          <w:szCs w:val="22"/>
          <w14:ligatures w14:val="none"/>
        </w:rPr>
        <w:t>. </w:t>
      </w:r>
      <w:r w:rsidRPr="008B2783">
        <w:rPr>
          <w:rFonts w:ascii="Calibri" w:eastAsia="Times New Roman" w:hAnsi="Calibri" w:cs="Calibri"/>
          <w:i/>
          <w:iCs/>
          <w:color w:val="000000"/>
          <w:kern w:val="0"/>
          <w:sz w:val="22"/>
          <w:szCs w:val="22"/>
          <w14:ligatures w14:val="none"/>
        </w:rPr>
        <w:t>B. malayi</w:t>
      </w:r>
      <w:r w:rsidRPr="008B2783">
        <w:rPr>
          <w:rFonts w:ascii="Calibri" w:eastAsia="Times New Roman" w:hAnsi="Calibri" w:cs="Calibri"/>
          <w:color w:val="000000"/>
          <w:kern w:val="0"/>
          <w:sz w:val="22"/>
          <w:szCs w:val="22"/>
          <w14:ligatures w14:val="none"/>
        </w:rPr>
        <w:t>-infected animals present a challenge for the lymphatic filariasis elimination programs based on mass drug administration (MDA) to the human population. This study aimed to monitor reimplementation of MDA with a combination of ivermectin, diethylcarbamazine and albendazole (IDA) in Belitung District. This district is endemic for zoophilic </w:t>
      </w:r>
      <w:r w:rsidRPr="008B2783">
        <w:rPr>
          <w:rFonts w:ascii="Calibri" w:eastAsia="Times New Roman" w:hAnsi="Calibri" w:cs="Calibri"/>
          <w:i/>
          <w:iCs/>
          <w:color w:val="000000"/>
          <w:kern w:val="0"/>
          <w:sz w:val="22"/>
          <w:szCs w:val="22"/>
          <w14:ligatures w14:val="none"/>
        </w:rPr>
        <w:t>B. malayi</w:t>
      </w:r>
      <w:r w:rsidRPr="008B2783">
        <w:rPr>
          <w:rFonts w:ascii="Calibri" w:eastAsia="Times New Roman" w:hAnsi="Calibri" w:cs="Calibri"/>
          <w:color w:val="000000"/>
          <w:kern w:val="0"/>
          <w:sz w:val="22"/>
          <w:szCs w:val="22"/>
          <w14:ligatures w14:val="none"/>
        </w:rPr>
        <w:t> and had previously passed three transmission assessment surveys (TAS) following five rounds of MDA with diethylcarbamazine plus albendazole. Mosquitos were collected in 2022 (baseline) and after one and two annual rounds of IDA-MDA in two sentinel villages with a microfilaria prevalence in humans of 1.7% (Kembiri) and 2.1% (Selat Nasik). Density and species composition of collected mosquitoes varied between 2022, 2023 and 2024 with 19,905 mosquitoes (mostly </w:t>
      </w:r>
      <w:r w:rsidRPr="008B2783">
        <w:rPr>
          <w:rFonts w:ascii="Calibri" w:eastAsia="Times New Roman" w:hAnsi="Calibri" w:cs="Calibri"/>
          <w:i/>
          <w:iCs/>
          <w:color w:val="000000"/>
          <w:kern w:val="0"/>
          <w:sz w:val="22"/>
          <w:szCs w:val="22"/>
          <w14:ligatures w14:val="none"/>
        </w:rPr>
        <w:t>Armigeres spp</w:t>
      </w:r>
      <w:r w:rsidRPr="008B2783">
        <w:rPr>
          <w:rFonts w:ascii="Calibri" w:eastAsia="Times New Roman" w:hAnsi="Calibri" w:cs="Calibri"/>
          <w:color w:val="000000"/>
          <w:kern w:val="0"/>
          <w:sz w:val="22"/>
          <w:szCs w:val="22"/>
          <w14:ligatures w14:val="none"/>
        </w:rPr>
        <w:t>., 60%), 33,617 mosquitoes (</w:t>
      </w:r>
      <w:r w:rsidRPr="008B2783">
        <w:rPr>
          <w:rFonts w:ascii="Calibri" w:eastAsia="Times New Roman" w:hAnsi="Calibri" w:cs="Calibri"/>
          <w:i/>
          <w:iCs/>
          <w:color w:val="000000"/>
          <w:kern w:val="0"/>
          <w:sz w:val="22"/>
          <w:szCs w:val="22"/>
          <w14:ligatures w14:val="none"/>
        </w:rPr>
        <w:t>Culex spp</w:t>
      </w:r>
      <w:r w:rsidRPr="008B2783">
        <w:rPr>
          <w:rFonts w:ascii="Calibri" w:eastAsia="Times New Roman" w:hAnsi="Calibri" w:cs="Calibri"/>
          <w:color w:val="000000"/>
          <w:kern w:val="0"/>
          <w:sz w:val="22"/>
          <w:szCs w:val="22"/>
          <w14:ligatures w14:val="none"/>
        </w:rPr>
        <w:t>., 44%), and 28,448 mosquitoes (</w:t>
      </w:r>
      <w:r w:rsidRPr="008B2783">
        <w:rPr>
          <w:rFonts w:ascii="Calibri" w:eastAsia="Times New Roman" w:hAnsi="Calibri" w:cs="Calibri"/>
          <w:i/>
          <w:iCs/>
          <w:color w:val="000000"/>
          <w:kern w:val="0"/>
          <w:sz w:val="22"/>
          <w:szCs w:val="22"/>
          <w14:ligatures w14:val="none"/>
        </w:rPr>
        <w:t>Mansonia spp.</w:t>
      </w:r>
      <w:r w:rsidRPr="008B2783">
        <w:rPr>
          <w:rFonts w:ascii="Calibri" w:eastAsia="Times New Roman" w:hAnsi="Calibri" w:cs="Calibri"/>
          <w:color w:val="000000"/>
          <w:kern w:val="0"/>
          <w:sz w:val="22"/>
          <w:szCs w:val="22"/>
          <w14:ligatures w14:val="none"/>
        </w:rPr>
        <w:t>, 26%), respectively. Mosquitoes were pooled (20 per pools), by location/genus and DNA was extracted using a commercial kit. A portable qPCR thermocycler (Mic, Bio Molecular Systems, Upper Coomera, Australia) was used to detect the </w:t>
      </w:r>
      <w:r w:rsidRPr="008B2783">
        <w:rPr>
          <w:rFonts w:ascii="Calibri" w:eastAsia="Times New Roman" w:hAnsi="Calibri" w:cs="Calibri"/>
          <w:i/>
          <w:iCs/>
          <w:color w:val="000000"/>
          <w:kern w:val="0"/>
          <w:sz w:val="22"/>
          <w:szCs w:val="22"/>
          <w14:ligatures w14:val="none"/>
        </w:rPr>
        <w:t>Hha</w:t>
      </w:r>
      <w:r w:rsidRPr="008B2783">
        <w:rPr>
          <w:rFonts w:ascii="Calibri" w:eastAsia="Times New Roman" w:hAnsi="Calibri" w:cs="Calibri"/>
          <w:color w:val="000000"/>
          <w:kern w:val="0"/>
          <w:sz w:val="22"/>
          <w:szCs w:val="22"/>
          <w14:ligatures w14:val="none"/>
        </w:rPr>
        <w:t> I DNA repeat. In all years </w:t>
      </w:r>
      <w:r w:rsidRPr="008B2783">
        <w:rPr>
          <w:rFonts w:ascii="Calibri" w:eastAsia="Times New Roman" w:hAnsi="Calibri" w:cs="Calibri"/>
          <w:i/>
          <w:iCs/>
          <w:color w:val="000000"/>
          <w:kern w:val="0"/>
          <w:sz w:val="22"/>
          <w:szCs w:val="22"/>
          <w14:ligatures w14:val="none"/>
        </w:rPr>
        <w:t>Mansonia </w:t>
      </w:r>
      <w:r w:rsidRPr="008B2783">
        <w:rPr>
          <w:rFonts w:ascii="Calibri" w:eastAsia="Times New Roman" w:hAnsi="Calibri" w:cs="Calibri"/>
          <w:color w:val="000000"/>
          <w:kern w:val="0"/>
          <w:sz w:val="22"/>
          <w:szCs w:val="22"/>
          <w14:ligatures w14:val="none"/>
        </w:rPr>
        <w:t>pools had the highest DNA detection rate: in 2022, 36 (50.7%) of 71 pools were positive, in 2023, 2 (8.3%) of 24 pools were positive, and in 2024, 94 (25.8%) of 364 pools were positive. This is the first xenomonitoring study for brugian filariasis and showed that screening of </w:t>
      </w:r>
      <w:r w:rsidRPr="008B2783">
        <w:rPr>
          <w:rFonts w:ascii="Calibri" w:eastAsia="Times New Roman" w:hAnsi="Calibri" w:cs="Calibri"/>
          <w:i/>
          <w:iCs/>
          <w:color w:val="000000"/>
          <w:kern w:val="0"/>
          <w:sz w:val="22"/>
          <w:szCs w:val="22"/>
          <w14:ligatures w14:val="none"/>
        </w:rPr>
        <w:t>Mansonia</w:t>
      </w:r>
      <w:r w:rsidRPr="008B2783">
        <w:rPr>
          <w:rFonts w:ascii="Calibri" w:eastAsia="Times New Roman" w:hAnsi="Calibri" w:cs="Calibri"/>
          <w:color w:val="000000"/>
          <w:kern w:val="0"/>
          <w:sz w:val="22"/>
          <w:szCs w:val="22"/>
          <w14:ligatures w14:val="none"/>
        </w:rPr>
        <w:t> mosquitoes is an efficient way to detect circulation of zoophilic </w:t>
      </w:r>
      <w:r w:rsidRPr="008B2783">
        <w:rPr>
          <w:rFonts w:ascii="Calibri" w:eastAsia="Times New Roman" w:hAnsi="Calibri" w:cs="Calibri"/>
          <w:i/>
          <w:iCs/>
          <w:color w:val="000000"/>
          <w:kern w:val="0"/>
          <w:sz w:val="22"/>
          <w:szCs w:val="22"/>
          <w14:ligatures w14:val="none"/>
        </w:rPr>
        <w:t>B. malayi</w:t>
      </w:r>
      <w:r w:rsidRPr="008B2783">
        <w:rPr>
          <w:rFonts w:ascii="Calibri" w:eastAsia="Times New Roman" w:hAnsi="Calibri" w:cs="Calibri"/>
          <w:color w:val="000000"/>
          <w:kern w:val="0"/>
          <w:sz w:val="22"/>
          <w:szCs w:val="22"/>
          <w14:ligatures w14:val="none"/>
        </w:rPr>
        <w:t> parasites in endemic areas.</w:t>
      </w:r>
    </w:p>
    <w:p w14:paraId="76D4407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25-A-3041-ASTMH</w:t>
      </w:r>
    </w:p>
    <w:p w14:paraId="47BA761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Measures for Control and Elimination of Neglected Tropical Diseases (NTDs)</w:t>
      </w:r>
    </w:p>
    <w:p w14:paraId="57512E3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Understanding and documenting how Human Resources for Health influence the integration of case management related Neglected Tropical Diseases into the Health System of Liberia</w:t>
      </w:r>
    </w:p>
    <w:p w14:paraId="6067CAD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Human Resources for Health (HRH) are vital for integrating vertical programs like Neglected Tropical Diseases (NTDs) into existing health systems and for advancing goals such as Universal Health Coverage (UHC). Liberia’s NTD Program has aimed to integrate case management of NTDs (CM-NTDs) into the routine roles of the health workforce. This study explores the feasibility of this integration and the key factors influencing it. A qualitative study was conducted using Focus Group Discussions (FGDs) and Key Informant Interviews (KIIs) with purposively selected health system stakeholders from Lofa, Maryland, and Bomi counties. Thematic analysis was used to examine the data. Findings show that integrating CM-NTDs into routine health services is feasible in Liberia but influenced by several enabling and constraining factors. Successful integration requires strong HRH systems to absorb new responsibilities, promote coordination, and support the use of integrated tools and training. For instance, the Joint Integrated Supportive Supervision (JISS) tool both facilitates integration and constrains it by limiting disease-specific data collection. Concerns among health workers about losing program-specific roles, recognition, and benefits also emerged as barriers. However, shared goals for improved health outcomes acted as key motivators. CM-NTD integration into Liberia’s health workforce is possible but complex. Contextual and systemic dynamics can either support or impede the process—sometimes simultaneously. Policymakers and program managers must carefully address HRH planning and management when designing integrated service delivery models</w:t>
      </w:r>
    </w:p>
    <w:p w14:paraId="08DDEE3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25-A-3042-ASTMH</w:t>
      </w:r>
    </w:p>
    <w:p w14:paraId="4509098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Vaccine Clinical Trials</w:t>
      </w:r>
    </w:p>
    <w:p w14:paraId="06BF4D73" w14:textId="15D6FC9A"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Safety evaluation of Qdenga in travelers from non-endemic areas: results from a multicenter prospective pharmacovigilance study in Spain</w:t>
      </w:r>
    </w:p>
    <w:p w14:paraId="740ADA3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Qdenga has been implemented in some endemic and non-endemic countries in patients aged ≥4 years, regardless of their immune status. However, information about the safety of the vaccine in adults from non-endemic areas is scarce, as they were underrepresented in the initial clinical trials. We conducted a prospective multicenter cohort study to evaluate adverse events (AE) after vaccination with Qdenga in 1022 travelers attending 8 different travel clinics in Spain (Feb-Dec 2024). 56.3% participants were female, and median age was 39 years. Only 18.5% reported previous dengue infections, 39.2% had other previous medical conditions and 62.0% received other concomitant vaccines. Local and systemic AE were reported in 41.8% (n=389) and 41.0% (n=382) of participants. Fever and rash were reported in 2.7% (n=25) and 1.9% (n=17) participants, respectively. All reported AE were more common after the first dose. After the first dose (n=847), local AE were as common as systemic AE (34.0% vs. 36.3%). Most common AE after the first dose were: local pain (20.8%), asthenia (9.3%) and headache (8.6%). After the second dose (n=460), local AE resulted more common than systemic AE (22.0% </w:t>
      </w:r>
      <w:r w:rsidRPr="008B2783">
        <w:rPr>
          <w:rFonts w:ascii="Calibri" w:eastAsia="Times New Roman" w:hAnsi="Calibri" w:cs="Calibri"/>
          <w:i/>
          <w:iCs/>
          <w:color w:val="000000"/>
          <w:kern w:val="0"/>
          <w:sz w:val="22"/>
          <w:szCs w:val="22"/>
          <w14:ligatures w14:val="none"/>
        </w:rPr>
        <w:t>vs</w:t>
      </w:r>
      <w:r w:rsidRPr="008B2783">
        <w:rPr>
          <w:rFonts w:ascii="Calibri" w:eastAsia="Times New Roman" w:hAnsi="Calibri" w:cs="Calibri"/>
          <w:color w:val="000000"/>
          <w:kern w:val="0"/>
          <w:sz w:val="22"/>
          <w:szCs w:val="22"/>
          <w14:ligatures w14:val="none"/>
        </w:rPr>
        <w:t>. 16.3%). Only two participants (0.1%) presented an allergic reaction (urticaria) after receiving the first dose of the vaccine. No SAE were reported. In a multivariable analysis, female sex (OR 1.49, 95%CI:1.09-2.03), and previous dengue infection (OR 1.53; 95%CI:1.03-2.25) were associated with a higher risk of developing systemic AE; age ≥60 years was associated with a lower risk of developing systemic AE (OR 0.44; 95%CI:0.24-0.75); other previous arboviral infections, previous medical conditions and co-administration of other vaccines were not associated with a higher risk of developing systemic AE. In conclusion, mild vaccine-related AE were frequently reported, predominantly after the first dose of Qdenga. Administration of Qdenga in adults from non-endemic regions resulted safe in the short-term evaluation after vaccination. Age ≥60 years, co-morbidities and co-administration of other vaccines were not associated with higher risk of developing systemic AE.</w:t>
      </w:r>
    </w:p>
    <w:p w14:paraId="5F634F7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25-A-3043-ASTMH</w:t>
      </w:r>
    </w:p>
    <w:p w14:paraId="7FEC8B6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Vaccines and Immunotherapeutics</w:t>
      </w:r>
    </w:p>
    <w:p w14:paraId="30ADD6D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lastRenderedPageBreak/>
        <w:t>Malaria Vaccine Introduction in Liberia: A Breakthrough for the Reduction of Malaria Burden in Regions with High Prevalence, 2024</w:t>
      </w:r>
    </w:p>
    <w:p w14:paraId="18172AC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is a leading cause of morbidity and mortality in Liberia. To tackle this public health challenge, Liberia has integrated the RTS, S/AS 01 (RTS, S) malaria vaccine into its routine immunization program following WHO approval in 2021 and subsequent endorsement by GAVI. Administered in a four-dose schedule, the vaccine has shown moderate efficacy and a robust safety profile in clinical trials. Liberia's rollout strategy commenced with stakeholder consultations to gain government and community support before submitting an Expression of Interest (EOI) to GAVI. The initial phase focuses on six southeastern counties (amongst highest malaria transmission rates). The launch on April 25, 2024 (World Malaria Day), followed by integration into routine immunization on May 27, 2024, marked a significant step toward reducing under-five mortality. According to the latest data, 155 health facilities across 39 health districts are administering the vaccine, with 38,046 children under two years targeted for immunization. results suggest that 10,467 children under two years have received at least one dose accounting for 28% coverage of the initial target. Challenges such as vaccine hesitancy, logistical barriers, and gaps in healthcare worker training persist. In response, the Ministry of Health and partners are implementing mentorship programs, community engagement initiatives, and behavior change campaigns to enhance vaccine acceptance and adherence. Looking ahead, Liberia submitted a scale-up funding request to GAVI to broaden vaccination to 59 health districts in the nine additional counties. This expansion is expected to further decrease malaria cases and deaths, complementing existing interventions such as insecticide-treated nets (ITNs) and antimalarial treatments. Sustained investment in health system strengthening, real-time monitoring, and community education will be vital for maximizing the vaccine's impact. Ongoing collaboration between government agencies, GAVI, WHO, and local communities will be essential for ensuring long-term success</w:t>
      </w:r>
    </w:p>
    <w:p w14:paraId="4BD1E59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25-A-3044-ASTMH</w:t>
      </w:r>
    </w:p>
    <w:p w14:paraId="4E62D4D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One Health: The Interface of Humans, Ecosystems, and Animal Health</w:t>
      </w:r>
    </w:p>
    <w:p w14:paraId="408CDC6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Impacts of large-scale irrigation and agricultural commercialisation on vector-borne disease risk and farming practices amongst smallholders in the Lower Shire Valley, Malawi</w:t>
      </w:r>
    </w:p>
    <w:p w14:paraId="76F1400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This study looks at the effects of a government-supported intervention on communities’ exposure to vector-borne diseases, exploring the intersection between human and animal health. The Shire Valley Transformation Programme (SVTP) is a large-scale irrigation scheme through which Malawian government hopes to irrigate over 40,000 hectares of land in its southern region. Beyond irrigation, the project is envisioned as part of a much broader process of socio-economic transformation, with its primary objective explicitly “to transform subsistence smallholder farmers into commercial farmers”. Accordingly, local communities have become subject to a variety of governance processes and systems of management, such as the mandatory pooling of agricultural land on irrigated blocks, increasing the risk of exposure to malaria and schistosomiasis. This project examines the consequences of state-mandated agricultural practices within two communities impacted by the SVTP in the Chikwawa District. Initial findings suggest that the SVTP is intervening in an increasingly unproductive and insecure annual agricultural in a way that poses significant social, economic and health risks for smallholder communities, who rely on the arrival of rains during the rainy season (from November to April) to cultivate rain-fed crops. Within this cycle, households are seeing increasing declines in their ability to accumulate enough capital reserves necessary to make medium- and long-term investments - due to the complex interaction between multiple large-scale process, especially climate change, economic liberalisation and population growth. This top-down approach has broader methodological implications. Demonstrating how implementing global health interventions requires an operational understanding of the relationship between humans, animals, and their environment, beyond reductive economic models of human behaviour and within the interaction between processes operating on different social, spatial, and temporal scales.</w:t>
      </w:r>
    </w:p>
    <w:p w14:paraId="20312A4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25-A-3046-ASTMH</w:t>
      </w:r>
    </w:p>
    <w:p w14:paraId="192EA29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Helminths – Nematodes – Filariasis (Clinical)</w:t>
      </w:r>
    </w:p>
    <w:p w14:paraId="2D20E77B" w14:textId="73A55DC2"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Knowledge and practices of 351 patients with lymphedema secondary to lymphatic filariasis in Burkina Faso</w:t>
      </w:r>
    </w:p>
    <w:p w14:paraId="625D24F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Lymphedema is one of the chronic morbidities of lymphatic filariasis that causes stigma and disability. WHO recommends providing affected people with access to continuous care to relieve their suffering and improve their quality of life. To this end, the national NTD control program in Burkina Faso teaches five key measures: hygiene or " washing ", skin care, exercises, elevation and wearing suitable shoes </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The objective of this study was to assess the knowledge and practices of 351 patients regarding lymphedema management. As part of the assessment of the capacity of health facilities to provide quality services for lymphedema management in Burkina Faso, a This cross-sectional study with a descriptive aim allowed us to analyze the knowledge, attitudes and behaviors of 351 patients with regard to their lymphedema. 63.5% of patients surveyed were women and the average age of the participants was 52 years with extremes of 95 and 16 years. 57.5% had already benefited from a kit for washing and 66.3% practiced hygiene measures. Only 16.8% looked for and treated entry lesions, while more than 74% practiced neither limb elevation nor exercises. 92% of patients did not have suitable shoes. Despite knowledge about the disease, 11% of patients resorted to traditional remedies. 61% of patients found their personal and marital life improved by the practice of washing .</w:t>
      </w:r>
      <w:r w:rsidRPr="008B2783">
        <w:rPr>
          <w:rFonts w:ascii="Calibri" w:eastAsia="Times New Roman" w:hAnsi="Calibri" w:cs="Calibri"/>
          <w:b/>
          <w:bCs/>
          <w:color w:val="000000"/>
          <w:kern w:val="0"/>
          <w:sz w:val="22"/>
          <w:szCs w:val="22"/>
          <w14:ligatures w14:val="none"/>
        </w:rPr>
        <w:t> </w:t>
      </w:r>
      <w:r w:rsidRPr="008B2783">
        <w:rPr>
          <w:rFonts w:ascii="Calibri" w:eastAsia="Times New Roman" w:hAnsi="Calibri" w:cs="Calibri"/>
          <w:color w:val="000000"/>
          <w:kern w:val="0"/>
          <w:sz w:val="22"/>
          <w:szCs w:val="22"/>
          <w14:ligatures w14:val="none"/>
        </w:rPr>
        <w:t>In view of these results, the MTN program should: continue the empowerment of patients, consider the establishment of a mechanism to better fit the "big feet" by exploiting endogenous resources and strengthen the awareness of traditional practitioners for the eviction of practices harmful to lymphedema (scarifications, applications of black powders, etc.) The results of this study allow the MTN program to properly direct its actions for the empowerment of patients because the management of lymphedema due to lymphatic filariasis is primarily the responsibility of the patient himself.</w:t>
      </w:r>
    </w:p>
    <w:p w14:paraId="2A60C67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25-A-3047-ASTMH</w:t>
      </w:r>
    </w:p>
    <w:p w14:paraId="5DA9B04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Drug Development and Clinical Trials</w:t>
      </w:r>
    </w:p>
    <w:p w14:paraId="51DD25E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Multi-Omics Elucidation of the Targets of New Antimalarial Candidates from Malaria Libre</w:t>
      </w:r>
    </w:p>
    <w:p w14:paraId="2C03138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New malaria medicines that act by novel mechanisms are urgently needed to overcome the current drug resistance challenges, but drug target deconvolution remains a major barrier to new drug discovery. To address this, we have developed a multi-omics pipeline to elucidate drug mechanisms and molecular targets on a system-wide scale. The MMV Malaria Libre program has identified several compounds with promising antimalarial activity but unknown modes of action. We initially profiled the functional response to cyclopropyl amide compounds over 5 h by untargeted metabolomics. MMV1804508 and MMV1804743 (exemplars from this series) resulted in specific accumulation of metabolites upstream of the enzyme DHODH (N-carbamoyl-L-aspartate and dihydroorotate) and depletion of the downstream pyrimidine nucleotide products. This signature was absent for an inactive cyclopropyl compound and is consistent with functional loss of DHODH, an essential enzyme for parasite </w:t>
      </w:r>
      <w:r w:rsidRPr="008B2783">
        <w:rPr>
          <w:rFonts w:ascii="Calibri" w:eastAsia="Times New Roman" w:hAnsi="Calibri" w:cs="Calibri"/>
          <w:i/>
          <w:iCs/>
          <w:color w:val="000000"/>
          <w:kern w:val="0"/>
          <w:sz w:val="22"/>
          <w:szCs w:val="22"/>
          <w14:ligatures w14:val="none"/>
        </w:rPr>
        <w:t>de novo</w:t>
      </w:r>
      <w:r w:rsidRPr="008B2783">
        <w:rPr>
          <w:rFonts w:ascii="Calibri" w:eastAsia="Times New Roman" w:hAnsi="Calibri" w:cs="Calibri"/>
          <w:color w:val="000000"/>
          <w:kern w:val="0"/>
          <w:sz w:val="22"/>
          <w:szCs w:val="22"/>
          <w14:ligatures w14:val="none"/>
        </w:rPr>
        <w:t> pyrimidine synthesis. To identify the direct target in parasites we applied solvent proteome profiling (SPP) on the latest Orbitrap Astral Mass Spectrometry technology. Amongst an unprecedented ~4,500 proteins reproducibly detected from a parasite lysate, MMV1804508 selectively stabilised 8 of the 12 proteins in the parasite cytochrome bc1 complex (p&lt;0.05), which is required to recycle the cofactor ubiquinone for the activity of DHODH. Combined, our multi-omics analysis revealed that cyclopropyl amides deprive the parasite of essential pyrimidine nucleotides by targeting the cytochrome bc1 complex to indirectly inhibit DHODH function. We further verified this mechanism via cross resistance studies in several cytochrome </w:t>
      </w:r>
      <w:r w:rsidRPr="008B2783">
        <w:rPr>
          <w:rFonts w:ascii="Calibri" w:eastAsia="Times New Roman" w:hAnsi="Calibri" w:cs="Calibri"/>
          <w:i/>
          <w:iCs/>
          <w:color w:val="000000"/>
          <w:kern w:val="0"/>
          <w:sz w:val="22"/>
          <w:szCs w:val="22"/>
          <w14:ligatures w14:val="none"/>
        </w:rPr>
        <w:t>b</w:t>
      </w:r>
      <w:r w:rsidRPr="008B2783">
        <w:rPr>
          <w:rFonts w:ascii="Calibri" w:eastAsia="Times New Roman" w:hAnsi="Calibri" w:cs="Calibri"/>
          <w:color w:val="000000"/>
          <w:kern w:val="0"/>
          <w:sz w:val="22"/>
          <w:szCs w:val="22"/>
          <w14:ligatures w14:val="none"/>
        </w:rPr>
        <w:t> and DHODH mutant parasite lines and showed that MMV1804508 inhibits cytochrome </w:t>
      </w:r>
      <w:r w:rsidRPr="008B2783">
        <w:rPr>
          <w:rFonts w:ascii="Calibri" w:eastAsia="Times New Roman" w:hAnsi="Calibri" w:cs="Calibri"/>
          <w:i/>
          <w:iCs/>
          <w:color w:val="000000"/>
          <w:kern w:val="0"/>
          <w:sz w:val="22"/>
          <w:szCs w:val="22"/>
          <w14:ligatures w14:val="none"/>
        </w:rPr>
        <w:t>bc1</w:t>
      </w:r>
      <w:r w:rsidRPr="008B2783">
        <w:rPr>
          <w:rFonts w:ascii="Calibri" w:eastAsia="Times New Roman" w:hAnsi="Calibri" w:cs="Calibri"/>
          <w:color w:val="000000"/>
          <w:kern w:val="0"/>
          <w:sz w:val="22"/>
          <w:szCs w:val="22"/>
          <w14:ligatures w14:val="none"/>
        </w:rPr>
        <w:t> activity from a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mitochondrial extract. Our study demonstrates the power of MS-based multi-omics approaches to deconvolute complex drug mechanisms and facilitate the development of next-generation medicines.</w:t>
      </w:r>
    </w:p>
    <w:p w14:paraId="0D105C3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25-A-3048-ASTMH</w:t>
      </w:r>
    </w:p>
    <w:p w14:paraId="47AE525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Cestodes (including taeniasis and cysticercosis, echinococcosis/hydatid disease, and others)</w:t>
      </w:r>
    </w:p>
    <w:p w14:paraId="059AB65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Myocardial and mediastinal hydatid cysts: a clinical case</w:t>
      </w:r>
    </w:p>
    <w:p w14:paraId="1B5116E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Cardiac involvement in cystic echinococcosis (CE) is rare (0.5-2% of all cases) life-threatening condition. Surgery is the only treatment. We present the clinical case of a 30 years-old Albanian woman with myocardial al mediastinal involvement who was seen in 2020 for chest pain and dyspnoea. A CT scan showed multiple cysts suspected for CE: 2 multi loculated and partially calcified cysts were adjacent to the free wall of the left ventricle (5x3 and 4x3 cm), both undissociable from the myocardial tissue, 1 epicardial anterior to the apex of the right ventricle (2.8x1.4 cm), and 1 mediastinal cyst of 5.5x5.7 cm near the trunk of the pulmonary artery. No other cysts were detected. Serology for CE was positive and albendazole (ABZ) was begun. The patient was clinically stable and no effect was seen on myocardial contractility, dimension of cardiac chambers and valvular function at echocardiography so clinical and radiological follow-up were started. Three years later, a cardiac MRI detected the increase of the mediastinal cysts (8.1x2.6x11 cm) and revealed a myocardial infiltration with thinner ventricular wall. In June 2023 She underwent thoracic and cardiac surgery in the same session with a minimally invasive video assisted thoracic surgery for the mediastinal cysts combined with the median sternotomy and extracorporeal circulation with cardioplegic arrest for the removal of the myocardial cysts. The smaller and calcific cyst was not dissociable from the surrounding tissue and was left in situ. ABZ as perioperative prophylaxis was administered 2 hours before surgery and for 3 months after surgery. Clinical and radiological follow-up was uneventful until February 2025 when a right posterior pleural CE cyst was detected. ABZ was started. A new radiological evaluation was planned after three months of treatment in order to evaluate the needing of a new surgical approach. Myocardial contractility was regular after 22 months of follow-up. Myocardial CE cyst is an uncommon but life-threating disease. Surgery is the only treatment. Given the complexity of clinical presentation, patients should be managed by a multidisciplinary team in a referral centre.</w:t>
      </w:r>
    </w:p>
    <w:p w14:paraId="10E918E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25-A-3049-ASTMH</w:t>
      </w:r>
    </w:p>
    <w:p w14:paraId="596C2B9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Therapeutics and Antiviral Drugs</w:t>
      </w:r>
    </w:p>
    <w:p w14:paraId="25D1B82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Modelling of 10-year antibody persistence after vaccination with live-attenuated chikungunya vaccine VLA1553 (IXCHIQ)</w:t>
      </w:r>
    </w:p>
    <w:p w14:paraId="799321C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VLA1553 is a live-attenuated chikungunya virus (CHIKV) vaccine developed to provide long-term protection against CHIKV infection. Understanding the durability of the immune response induced by VLA1553 is critical to assess its long-term potential in preventing chikungunya outbreaks. This study presents updated predictions of antibody persistence up to 10 years, based on observed immunogenicity data through 3 years post-vaccination. The ongoing VLA1553-303 trial (NCT04838444) enrolled participants aged 18 years and older, who have been followed for up to 3 years after a single vaccination. Neutralizing antibody titers (µPRNT</w:t>
      </w:r>
      <w:r w:rsidRPr="008B2783">
        <w:rPr>
          <w:rFonts w:ascii="Calibri" w:eastAsia="Times New Roman" w:hAnsi="Calibri" w:cs="Calibri"/>
          <w:color w:val="000000"/>
          <w:kern w:val="0"/>
          <w:sz w:val="22"/>
          <w:szCs w:val="22"/>
          <w:vertAlign w:val="subscript"/>
          <w14:ligatures w14:val="none"/>
        </w:rPr>
        <w:t>50</w:t>
      </w:r>
      <w:r w:rsidRPr="008B2783">
        <w:rPr>
          <w:rFonts w:ascii="Calibri" w:eastAsia="Times New Roman" w:hAnsi="Calibri" w:cs="Calibri"/>
          <w:color w:val="000000"/>
          <w:kern w:val="0"/>
          <w:sz w:val="22"/>
          <w:szCs w:val="22"/>
          <w14:ligatures w14:val="none"/>
        </w:rPr>
        <w:t>) were measured at predefined intervals. Long-term antibody persistence was projected up to 10 years using a log-linear model with a structural break at Day 85, informed by the observed titers through 3 years. Predicted geometric mean titers (GMTs) and seroprotection rates were estimated at yearly intervals. At 3 years post-vaccination, 96% of participants in VLA1553-303 maintained titers well above the seroprotection threshold, with a GMT of 737.0 - exceeding levels previously predicted from 2-year data. This finding supports the durability of the immune response and reinforces the validity of long-term projections. Model estimates indicate a gradual decline over time, with predicted GMTs of 549.8, 420.5, and 281.2 at years 5, 7, and 10, respectively. Despite the decline, antibody levels are expected to remain above the protective threshold of 150 µPRNT</w:t>
      </w:r>
      <w:r w:rsidRPr="008B2783">
        <w:rPr>
          <w:rFonts w:ascii="Calibri" w:eastAsia="Times New Roman" w:hAnsi="Calibri" w:cs="Calibri"/>
          <w:color w:val="000000"/>
          <w:kern w:val="0"/>
          <w:sz w:val="22"/>
          <w:szCs w:val="22"/>
          <w:vertAlign w:val="subscript"/>
          <w14:ligatures w14:val="none"/>
        </w:rPr>
        <w:t>50</w:t>
      </w:r>
      <w:r w:rsidRPr="008B2783">
        <w:rPr>
          <w:rFonts w:ascii="Calibri" w:eastAsia="Times New Roman" w:hAnsi="Calibri" w:cs="Calibri"/>
          <w:color w:val="000000"/>
          <w:kern w:val="0"/>
          <w:sz w:val="22"/>
          <w:szCs w:val="22"/>
          <w14:ligatures w14:val="none"/>
        </w:rPr>
        <w:t> as accepted by regulators. The predicted seroprotection rate at 10 years post-vaccination is 80.3% (95% CI: 75.8 - 84.4). VLA1553 elicits a strong, durable antibody response, with 3-year data confirming sustained immunogenicity. Updated modeling suggests antibody levels persist above the accepted protective threshold for at least 10 years post-vaccination. These findings support the potential of VLA1553 to provide long-term protection against CHIKV and strengthen its value in public health strategies aimed at mitigating chikungunya outbreaks. Continued follow-up in the VLA1553-303 trial will be essential to validate these projections.</w:t>
      </w:r>
    </w:p>
    <w:p w14:paraId="1C84FA6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25-A-3050-ASTMH</w:t>
      </w:r>
    </w:p>
    <w:p w14:paraId="348668E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Clinical Tropical Medicine</w:t>
      </w:r>
    </w:p>
    <w:p w14:paraId="2374387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Investigating post-treatment hemolysis (PTH) in adult patients with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malaria</w:t>
      </w:r>
    </w:p>
    <w:p w14:paraId="3CA639E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Post-treatment hemolysis (PTH) is common after artemisinin-based antimalarial treatment, partly due to loss of once-infected red blood cells (oiRBC). Here, we investigated the incidence of and contributing factors to PTH in a prospective cohort of 271 adult (≥18 years) patients with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malaria of varying disease severity (uncomplicated [UNC] and severe [SEV] as per WHO) and previous exposure (residency in endemic region [END], history of migration to non-endemic region [VFR], first-time infection [NAIVE]). Visits were conducted on days 0, 1, 3±1, 7±2, and 14±3, and included routine clinical lab and study blood draws.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HRP2 and anti-phosphatidylserine (PS) IgM and IgG antibodies were measured by ELISA, and oiRBC by immunofluorescence microscopy. PTH was defined as lactate dehydrogenase above the upper limit of normal and haptoglobin &lt;0,3g/l (corrected for C-reactive protein) on day 14, allowing for highly sensitive case detection. Of 232 evaluable patients, 79/188 (41%) UNC and 39/44 (89%) SEV had PTH on day 14. The incidence of PTH was similar in NAIVE and VFR (both in UNC and SEV) but lower in END (UNC only). Patients with PTH had higher baseline parasitemia and higher oiRBC counts on days 7 and 14. In 28/39 patients, oiRBC were detected before initiation of treatment, with highest levels in VFR and END. In SEV, parasitemia, and in UNC, lower RBC distribution width (RDW) at admission showed the highest performance for predicting PTH on d14 (AUC=0.77 and AUC=0.75, respectively). Hemoglobin (Hb) levels at day 14 were similar in END and VFR but lower in NAIVE patients with PTH compared to those without, reaching down to 5.9g/dl. Loss of Hb in PTH patients was disproportionately higher than loss of oiRBC, indicating additional pathomechanisms. Anti-PS IgM but not IgG were lower in patients with PTH, and correlated with Hb levels and the degree of previous exposure in both UNC and SEV. In summary, PTH is found in a significant proportion of patients with UNC and SEV malaria and is associated with initial parasitemia and oiRBC during follow-up. However, additional factors, e.g., anti-RBC antibodies, influence the impact of PTH on delayed Hb loss.</w:t>
      </w:r>
    </w:p>
    <w:p w14:paraId="5008B14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25-A-3051-ASTMH</w:t>
      </w:r>
    </w:p>
    <w:p w14:paraId="7886DB5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689AA3C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Estimating entomological effects of a spatial repellent on anopheline mosquitoes using data from a clinical trial in Kenya</w:t>
      </w:r>
    </w:p>
    <w:p w14:paraId="0F89E23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Spatial repellents are one of many complementary vector control product classes that are undergoing public health value assessment for malaria. The mode of action of spatial repellents includes inducing changes in mosquito behavior that reduce human-vector contact and subsequently pathogen transmission. A recent clinical trial in Busia County, western Kenya evaluating an indoor applied transfluthrin-based spatial repellent, Mosquito ShieldTM , conclusively demonstrated a 32.1% (95% CI: 15.9-45.2) reduction in malaria infections in a child cohort. However, this epidemiological output may not translate to other malaria endemic settings due to variation in transmission dynamics, including malaria vector characteristics. In an effort to address this fact, we leveraged the Kenya trial data to fit a model using a Ross-Macdonald framework to estimate the effect of a generic spatial repellent product on entomological endpoints (human biting rate, mortality, and time mosquito spend inside structures with intervention ), accounting for bed net usage during the trial. Results from our model suggest spatial repellents reduce human biting by a moderate amount, mortality by a small amount, and have little effect on the time spent indoors. These parameter estimates are correlated with one another, indicating the need for additional data to inform our estimates. Our next steps will include synthesizing data from a trial performed in Mali using the same Mosquito ShieldTM product and a trial performed in Indonesia using a transfluthrin-based spatial repellent to refine model estimates on malaria transmission, with the objective to resolve the relative uncertainty of our parameter estimates. Ultimately, these parameters can be used to estimate the public health impact of spatial repellents in settings where large-scale clinical trials cannot be conducted.</w:t>
      </w:r>
    </w:p>
    <w:p w14:paraId="37B8E29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25-A-3052-ASTMH</w:t>
      </w:r>
    </w:p>
    <w:p w14:paraId="4AD905E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Pathogenesis</w:t>
      </w:r>
    </w:p>
    <w:p w14:paraId="02C378D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The Multifaceted Pathophysiology of Pediatric Severe Malarial Anemia: Insights from a Peripheral Blood Proteomic Analysis</w:t>
      </w:r>
    </w:p>
    <w:p w14:paraId="1FFF530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causes approximately 263 million cases and 597,000 deaths globally, especially in the WHO African regions, with children aged &lt;5 years being the most affected. In our previous study investigating the peripheral blood transcriptome profiles in malaria, we identified differentially expressed genes in children presenting with severe malarial anemia (SMA, Hb &lt; 6.0 g/dL) in western Kenya. The current study explored host protein levels in the same cohort of children with SMA (n=16) and non-SMA (Hb ≥6.0g/dL, n=19). Plasma samples were analyzed using the 7k SomaScan Assay v4.1 platform, and the relative fluorescence units were compared between the groups using a generalized linear model. Functional enrichment analyses of gene ontology (GO) and Reactome networks were conducted, and pathway analysis was performed using Metacore</w:t>
      </w:r>
      <w:r w:rsidRPr="008B2783">
        <w:rPr>
          <w:rFonts w:ascii="Calibri" w:eastAsia="Times New Roman" w:hAnsi="Calibri" w:cs="Calibri"/>
          <w:color w:val="000000"/>
          <w:kern w:val="0"/>
          <w:sz w:val="22"/>
          <w:szCs w:val="22"/>
          <w:vertAlign w:val="superscript"/>
          <w14:ligatures w14:val="none"/>
        </w:rPr>
        <w:t>TM</w:t>
      </w:r>
      <w:r w:rsidRPr="008B2783">
        <w:rPr>
          <w:rFonts w:ascii="Calibri" w:eastAsia="Times New Roman" w:hAnsi="Calibri" w:cs="Calibri"/>
          <w:color w:val="000000"/>
          <w:kern w:val="0"/>
          <w:sz w:val="22"/>
          <w:szCs w:val="22"/>
          <w14:ligatures w14:val="none"/>
        </w:rPr>
        <w:t>. Weighted gene co-expression network analysis (WGCNA) was also performed, and protein-protein interactions (PPI) inferred using the STRING software. Out of 6,273 detected human proteins, 1,345 were differentially expressed in children with SMA relative to non-SMA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≤0.050), with 522 up- and 823 down-regulated. GO analysis revealed top emerging terms in biological processes (regulation of peptidyl-tyrosine phosphorylation,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adj=3.442E-09), cellular component (blood microparticle,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adj=3.522E-06), and molecular function (growth factor receptor binding,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adj=4.121E-07). Reactome analysis identified platelet activation, signaling, and aggregation pathway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adj=1.150E-07), while Metacore</w:t>
      </w:r>
      <w:r w:rsidRPr="008B2783">
        <w:rPr>
          <w:rFonts w:ascii="Calibri" w:eastAsia="Times New Roman" w:hAnsi="Calibri" w:cs="Calibri"/>
          <w:color w:val="000000"/>
          <w:kern w:val="0"/>
          <w:sz w:val="22"/>
          <w:szCs w:val="22"/>
          <w:vertAlign w:val="superscript"/>
          <w14:ligatures w14:val="none"/>
        </w:rPr>
        <w:t>TM</w:t>
      </w:r>
      <w:r w:rsidRPr="008B2783">
        <w:rPr>
          <w:rFonts w:ascii="Calibri" w:eastAsia="Times New Roman" w:hAnsi="Calibri" w:cs="Calibri"/>
          <w:color w:val="000000"/>
          <w:kern w:val="0"/>
          <w:sz w:val="22"/>
          <w:szCs w:val="22"/>
          <w14:ligatures w14:val="none"/>
        </w:rPr>
        <w:t> enrichment revealed a dysregulated amyloid precursor protein processing pathway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adj=8.672E-12). Analysis of the top emergent module from WGCNA identified the B cell receptor signaling and the FMS-like tyrosine kinase 3 signaling pathways. PPI network analysis utilizing the Markov Cluster Algorithm identified cytokine-cytokine receptor interaction and cytokine-mediated signaling pathways. Collectively, these results suggest a multifaceted pathophysiology in pediatric SMA, characterized by impaired erythropoiesis, immune dysfunction, vascular damage, and systemic inflammation.</w:t>
      </w:r>
    </w:p>
    <w:p w14:paraId="2121109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25-A-3054-ASTMH</w:t>
      </w:r>
    </w:p>
    <w:p w14:paraId="0C86EBB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Clinical Tropical Medicine</w:t>
      </w:r>
    </w:p>
    <w:p w14:paraId="2F0DAA6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Evaluation of the diagnosis and management of malaria in a large academic medical center</w:t>
      </w:r>
    </w:p>
    <w:p w14:paraId="3A4F83A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Malaria can be a serious and potentially fatal illness, particularly when caused by Plasmodium falciparum. Timely diagnosis and immediate treatment are crucial. The treatment approach depends on the species of the infecting plasmodium, the patient's clinical condition, the presence of drug resistance, and any prior use of antimalarials. Without prompt diagnosis and appropriate treatment, uncomplicated malaria can quickly progress to a severe, life-threatening form of the disease. The Centers for Disease Control and Prevention (CDC) published guidance on the treatment and diagnosis of malaria which includes tables and algorithms detailing the anti-malarial agents utilized in the United States. Despite CDC guidance, there have been numerous delays in care reported due to confusion among healthcare providers regarding available agents on hospital formulary compared to the agents listed on the CDC website. The goal of this quality assessment project is to determine if patients diagnosed with malaria are receiving timely CDC guideline-concordant management at a large, academic medical center. The primary objective is to evaluate the pharmacologic management of malaria based on uncomplicated vs. severe malaria diagnosis. The secondary objective is to assess whether appropriate monitoring for treatment response is completed. There were 44 patients identified with a malaria diagnosis from January 1, 2016 to December 31, 2023. Of those patients, 5 (11.36%) were prescribed a medication that was not in accordance with CDC guidance. 10 (22.73%) patients were not appropriately monitored with the most common finding being lack of hospital admission or follow up smears in patients with a Plasmodium falciparum infection. 11 (25%) patients were diagnosed with severe malaria of which 7 (63.64%) were treated in an intensive care unit. The present quality improvement project identified a proportion of patients not treated according to CDC guidance. This project supports the creation of an </w:t>
      </w:r>
      <w:r w:rsidRPr="008B2783">
        <w:rPr>
          <w:rFonts w:ascii="Calibri" w:eastAsia="Times New Roman" w:hAnsi="Calibri" w:cs="Calibri"/>
          <w:color w:val="000000"/>
          <w:kern w:val="0"/>
          <w:sz w:val="22"/>
          <w:szCs w:val="22"/>
          <w14:ligatures w14:val="none"/>
        </w:rPr>
        <w:lastRenderedPageBreak/>
        <w:t>institutional “Malaria Diagnosis Guide” to aid in diagnosis and monitoring. This guide would be an additional component to an existing treatment table.</w:t>
      </w:r>
    </w:p>
    <w:p w14:paraId="177B04D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25-A-3055-ASTMH</w:t>
      </w:r>
    </w:p>
    <w:p w14:paraId="6574D3F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Immunology</w:t>
      </w:r>
    </w:p>
    <w:p w14:paraId="4DF579BC" w14:textId="2A0AD610"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Reporter Virus Tools to Expedite Vaccine Development for Rapidly Evolving Viral Pathogens</w:t>
      </w:r>
    </w:p>
    <w:p w14:paraId="5D4BFF8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Pandemic preparedness requires vaccine development that is rapidly responsive to new and emerging viruses. Reporter Virus Particles (RVPs) enable the testing of serum or antibody neutralization against viral proteins in their native conformation with a high-throughput readout and without live virus culture. RVPs are generated by transfecting mammalian cells with plasmids for viral envelope proteins, a reporter gene, and non-replicative heterologous genome. Plasmid-based expression reduces the time between detection of emerging variants and evaluating protective antibodies. RVPs were produced for variants across eight viral families, including SARS-CoV-2, Zika, dengue, and influenza viruses. Neutralization assays show a high correlation between IC</w:t>
      </w:r>
      <w:r w:rsidRPr="008B2783">
        <w:rPr>
          <w:rFonts w:ascii="Calibri" w:eastAsia="Times New Roman" w:hAnsi="Calibri" w:cs="Calibri"/>
          <w:color w:val="000000"/>
          <w:kern w:val="0"/>
          <w:sz w:val="22"/>
          <w:szCs w:val="22"/>
          <w:vertAlign w:val="subscript"/>
          <w14:ligatures w14:val="none"/>
        </w:rPr>
        <w:t>50</w:t>
      </w:r>
      <w:r w:rsidRPr="008B2783">
        <w:rPr>
          <w:rFonts w:ascii="Calibri" w:eastAsia="Times New Roman" w:hAnsi="Calibri" w:cs="Calibri"/>
          <w:color w:val="000000"/>
          <w:kern w:val="0"/>
          <w:sz w:val="22"/>
          <w:szCs w:val="22"/>
          <w14:ligatures w14:val="none"/>
        </w:rPr>
        <w:t>s determined with RVPs versus with live virus for all viral families tested. This supports that surface proteins presented on RVPs are antigenically equivalent to those on live virus. To further expedite vaccine development, we developed a Rapid Reporter Virus (RRV) enzymatic assay that yields a quantitative readout within hours of infection. The assay uses frozen RRVs and target cells, containing a reporter substrate, reducing the needed time and infrastructure by being BSL-2-compatible and removing the need for live virus sourcing and cell culture. RRVs have been developed for several WHO priority pathogens, including SARS-CoV-2, influenza, and Lassa virus. They increase the speed at which vaccines can be developed by being quick to produce for new strains and by offering a quantitative readout, whether in days by RVPs or hours by RRVs. These tools aim to facilitate vaccine development for a range of viral pathogens.</w:t>
      </w:r>
    </w:p>
    <w:p w14:paraId="4797D7C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25-A-3056-ASTMH</w:t>
      </w:r>
    </w:p>
    <w:p w14:paraId="273CF9E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Bionomics, Behavior and Surveillance</w:t>
      </w:r>
    </w:p>
    <w:p w14:paraId="694BF73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Bionomic characterization of</w:t>
      </w:r>
      <w:r w:rsidRPr="008B2783">
        <w:rPr>
          <w:rFonts w:ascii="Calibri" w:eastAsia="Times New Roman" w:hAnsi="Calibri" w:cs="Calibri"/>
          <w:b/>
          <w:bCs/>
          <w:i/>
          <w:iCs/>
          <w:color w:val="000000"/>
          <w:kern w:val="0"/>
          <w:sz w:val="22"/>
          <w:szCs w:val="22"/>
          <w14:ligatures w14:val="none"/>
        </w:rPr>
        <w:t>Anopheles gambiae</w:t>
      </w:r>
      <w:r w:rsidRPr="008B2783">
        <w:rPr>
          <w:rFonts w:ascii="Calibri" w:eastAsia="Times New Roman" w:hAnsi="Calibri" w:cs="Calibri"/>
          <w:b/>
          <w:bCs/>
          <w:color w:val="000000"/>
          <w:kern w:val="0"/>
          <w:sz w:val="22"/>
          <w:szCs w:val="22"/>
          <w14:ligatures w14:val="none"/>
        </w:rPr>
        <w:t>s.l. in malaria hotpots in North and central Senegal</w:t>
      </w:r>
    </w:p>
    <w:p w14:paraId="22590E0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 northern and central Senegal, malaria transmission has declined sharply following several control interventions, including seasonal malaria chemoprevention (SMC), indoor residual spraying (IRS), and universal coverage with LLINs. Despite the success of these interventions, residual malaria transmission still occurs in some areas (hotspots). Understanding the spatial distribution and bionomic of malaria vector populations is essential for designing effective vector control strategies. This study aims to characterize the geographic distribution of Anopheles species in malaria transmission hotspots in northern and central Senegal. Adult mosquitoes were collected from several sentinel sites using Human Landing Catches and Pyrethrum Spray Catches methods. The results showed significant heterogeneity in species composition, with </w:t>
      </w:r>
      <w:r w:rsidRPr="008B2783">
        <w:rPr>
          <w:rFonts w:ascii="Calibri" w:eastAsia="Times New Roman" w:hAnsi="Calibri" w:cs="Calibri"/>
          <w:i/>
          <w:iCs/>
          <w:color w:val="000000"/>
          <w:kern w:val="0"/>
          <w:sz w:val="22"/>
          <w:szCs w:val="22"/>
          <w14:ligatures w14:val="none"/>
        </w:rPr>
        <w:t>Anopheles gambiae</w:t>
      </w:r>
      <w:r w:rsidRPr="008B2783">
        <w:rPr>
          <w:rFonts w:ascii="Calibri" w:eastAsia="Times New Roman" w:hAnsi="Calibri" w:cs="Calibri"/>
          <w:color w:val="000000"/>
          <w:kern w:val="0"/>
          <w:sz w:val="22"/>
          <w:szCs w:val="22"/>
          <w14:ligatures w14:val="none"/>
        </w:rPr>
        <w:t> s.l. predominating over other species. Data was collected from June 2024 to February 2025, in Darou Salam, a village situated within the Senegal River Delta in the northern region of the country, as well as in two villages located in the central area (Keur Martin and Mbine Coly). A total of 2,735 anopheles females were collected of which 846 were aggressive (HLC) and 1,889 endophilic (PSC). </w:t>
      </w:r>
      <w:r w:rsidRPr="008B2783">
        <w:rPr>
          <w:rFonts w:ascii="Calibri" w:eastAsia="Times New Roman" w:hAnsi="Calibri" w:cs="Calibri"/>
          <w:i/>
          <w:iCs/>
          <w:color w:val="000000"/>
          <w:kern w:val="0"/>
          <w:sz w:val="22"/>
          <w:szCs w:val="22"/>
          <w14:ligatures w14:val="none"/>
        </w:rPr>
        <w:t>Anopheles gambiae s.l.</w:t>
      </w:r>
      <w:r w:rsidRPr="008B2783">
        <w:rPr>
          <w:rFonts w:ascii="Calibri" w:eastAsia="Times New Roman" w:hAnsi="Calibri" w:cs="Calibri"/>
          <w:color w:val="000000"/>
          <w:kern w:val="0"/>
          <w:sz w:val="22"/>
          <w:szCs w:val="22"/>
          <w14:ligatures w14:val="none"/>
        </w:rPr>
        <w:t>represented 93% of the aggressive fauna and 96.61% of the endophilic fauna. Exophilic behavior of </w:t>
      </w:r>
      <w:r w:rsidRPr="008B2783">
        <w:rPr>
          <w:rFonts w:ascii="Calibri" w:eastAsia="Times New Roman" w:hAnsi="Calibri" w:cs="Calibri"/>
          <w:i/>
          <w:iCs/>
          <w:color w:val="000000"/>
          <w:kern w:val="0"/>
          <w:sz w:val="22"/>
          <w:szCs w:val="22"/>
          <w14:ligatures w14:val="none"/>
        </w:rPr>
        <w:t>Anopheles gambiae s.l</w:t>
      </w:r>
      <w:r w:rsidRPr="008B2783">
        <w:rPr>
          <w:rFonts w:ascii="Calibri" w:eastAsia="Times New Roman" w:hAnsi="Calibri" w:cs="Calibri"/>
          <w:color w:val="000000"/>
          <w:kern w:val="0"/>
          <w:sz w:val="22"/>
          <w:szCs w:val="22"/>
          <w14:ligatures w14:val="none"/>
        </w:rPr>
        <w:t>. was observed in the northern region (Darou Salam) and the central region (Keur Martin), with more than 52% of specimens biting outdoors. Conversely, high endophagic rate (61.32%) was observed at the coastal site of Mbine Coly. These first results underscore the necessity of adapting vector control strategies in accordance with local characteristics, whilst also accounting for the dynamics of vector populations. It is therefore essential to adopt combined control strategies targeting both endophagous and exophagous mosquitoes, in order to optimize the effectiveness of interventions. Molecular analyses will be carried out to accurately identify species within the Gambiae complex and their infection by Plasmodium.</w:t>
      </w:r>
    </w:p>
    <w:p w14:paraId="4D7C93E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25-A-3057-ASTMH</w:t>
      </w:r>
    </w:p>
    <w:p w14:paraId="3F4247C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Global Health - Security/Emerging Infection Preparedness, Surveillance and Response(s)</w:t>
      </w:r>
    </w:p>
    <w:p w14:paraId="6CC86EB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Containment through Surveillance and laboratory testing Uganda’s Ebola Response Experience in Mbale City and District</w:t>
      </w:r>
    </w:p>
    <w:p w14:paraId="604D338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Uganda faces multiple infectious disease outbreaks. During outbreaks, the surveillance arm plays a vital role in monitoring disease spread, guiding public health interventions, and shaping the overall strategy to control epidemics. We assessed surveillance activities during an Ebola outbreak response. We reviewed records for case investigation, contact and alert desk management, active case search and sample testing for 42 days in Mbale City and District in Uganda after an Ebola outbreak declaration on 30th January 2025. The index case was treated at public and private facilities, and by a traditional healer, in Mbale City, but was later moved to Mulago Hospital in Kampala where he died. His body was safely buried in Mbale City, but it was exhumed and reburied by community members. 130 (98.5%) of 132 contacts were quarantined and underwent daily symptom check for 21 days. The mean (+/-SD) age was 30.7 (+/-13.5) years; 67 (52%) of 132 contacts were female, 109 (84%) were health care workers, and 13 (10%) were relatives. One contact, the index case’s mother, developed symptoms and was confirmed to have Ebola. Active case search was conducted in 22 (26%) of 84 facilities of which 9 were public and 13 were private. We reviewed 6798 records and conducted 15,149 home visits, which identified 17 suspects. Of 1394 signals received by alert desk from a toll-free line, 498 (36%) were alerts; 481 (96.5%) alerts were verified and 53 (11%) met suspect case definitions for testing. A community alert regarding the brother of the index case led to confirmed Ebola. The bodies of 11 deceased individuals were tested. The body of the index case was exhumed due to community distrust regarding Ebola as the cause of death and the cultural necessity of proper burial. Data on signs, symptoms, and address key for identifying alerts was missing in most facility registers. Active surveillance in health facilities and communities must be prioritized for prompt detection of alerts. Sustained community engagement and awareness efforts help foster cooperation during outbreaks. Integrating active surveillance, trust-building, and timely quarantine is essential for response success.</w:t>
      </w:r>
    </w:p>
    <w:p w14:paraId="0CBDDCF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25-A-3059-ASTMH</w:t>
      </w:r>
    </w:p>
    <w:p w14:paraId="6AD2C84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Parasite Transmission Biology</w:t>
      </w:r>
    </w:p>
    <w:p w14:paraId="335AD9E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Evolving ethical norms of gene drive research: lessons from gene drive for malaria elimination</w:t>
      </w:r>
    </w:p>
    <w:p w14:paraId="3F66927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CRISPR-based gene drive technology has the potential to spread desirable traits through interbreeding populations of malaria mosquitoes, such as </w:t>
      </w:r>
      <w:r w:rsidRPr="008B2783">
        <w:rPr>
          <w:rFonts w:ascii="Calibri" w:eastAsia="Times New Roman" w:hAnsi="Calibri" w:cs="Calibri"/>
          <w:i/>
          <w:iCs/>
          <w:color w:val="000000"/>
          <w:kern w:val="0"/>
          <w:sz w:val="22"/>
          <w:szCs w:val="22"/>
          <w14:ligatures w14:val="none"/>
        </w:rPr>
        <w:t>Anopheles gambiae</w:t>
      </w:r>
      <w:r w:rsidRPr="008B2783">
        <w:rPr>
          <w:rFonts w:ascii="Calibri" w:eastAsia="Times New Roman" w:hAnsi="Calibri" w:cs="Calibri"/>
          <w:color w:val="000000"/>
          <w:kern w:val="0"/>
          <w:sz w:val="22"/>
          <w:szCs w:val="22"/>
          <w14:ligatures w14:val="none"/>
        </w:rPr>
        <w:t>. This technology shows promise for delivering a high-impact, low-cost, and durable method of controlling malaria transmission. Since the early days of gene drive technology, ethical concerns have arisen that require careful consideration. Several issues specifically received heightened attention: i) calls for </w:t>
      </w:r>
      <w:r w:rsidRPr="008B2783">
        <w:rPr>
          <w:rFonts w:ascii="Calibri" w:eastAsia="Times New Roman" w:hAnsi="Calibri" w:cs="Calibri"/>
          <w:i/>
          <w:iCs/>
          <w:color w:val="000000"/>
          <w:kern w:val="0"/>
          <w:sz w:val="22"/>
          <w:szCs w:val="22"/>
          <w14:ligatures w14:val="none"/>
        </w:rPr>
        <w:t>enhanced transparency</w:t>
      </w:r>
      <w:r w:rsidRPr="008B2783">
        <w:rPr>
          <w:rFonts w:ascii="Calibri" w:eastAsia="Times New Roman" w:hAnsi="Calibri" w:cs="Calibri"/>
          <w:color w:val="000000"/>
          <w:kern w:val="0"/>
          <w:sz w:val="22"/>
          <w:szCs w:val="22"/>
          <w14:ligatures w14:val="none"/>
        </w:rPr>
        <w:t> of the research process and outcomes, ii) the potential need for </w:t>
      </w:r>
      <w:r w:rsidRPr="008B2783">
        <w:rPr>
          <w:rFonts w:ascii="Calibri" w:eastAsia="Times New Roman" w:hAnsi="Calibri" w:cs="Calibri"/>
          <w:i/>
          <w:iCs/>
          <w:color w:val="000000"/>
          <w:kern w:val="0"/>
          <w:sz w:val="22"/>
          <w:szCs w:val="22"/>
          <w14:ligatures w14:val="none"/>
        </w:rPr>
        <w:t>new approaches to consent</w:t>
      </w:r>
      <w:r w:rsidRPr="008B2783">
        <w:rPr>
          <w:rFonts w:ascii="Calibri" w:eastAsia="Times New Roman" w:hAnsi="Calibri" w:cs="Calibri"/>
          <w:color w:val="000000"/>
          <w:kern w:val="0"/>
          <w:sz w:val="22"/>
          <w:szCs w:val="22"/>
          <w14:ligatures w14:val="none"/>
        </w:rPr>
        <w:t> given the technology’s ability to spread geographically and the inability of citizens to opt-out, and iii) the necessity of </w:t>
      </w:r>
      <w:r w:rsidRPr="008B2783">
        <w:rPr>
          <w:rFonts w:ascii="Calibri" w:eastAsia="Times New Roman" w:hAnsi="Calibri" w:cs="Calibri"/>
          <w:i/>
          <w:iCs/>
          <w:color w:val="000000"/>
          <w:kern w:val="0"/>
          <w:sz w:val="22"/>
          <w:szCs w:val="22"/>
          <w14:ligatures w14:val="none"/>
        </w:rPr>
        <w:t>local and global community engagement</w:t>
      </w:r>
      <w:r w:rsidRPr="008B2783">
        <w:rPr>
          <w:rFonts w:ascii="Calibri" w:eastAsia="Times New Roman" w:hAnsi="Calibri" w:cs="Calibri"/>
          <w:color w:val="000000"/>
          <w:kern w:val="0"/>
          <w:sz w:val="22"/>
          <w:szCs w:val="22"/>
          <w14:ligatures w14:val="none"/>
        </w:rPr>
        <w:t>, to ensure those impacted are included in decision-making. Transparency, consent, and community engagement remain central concerns. However, as gene drive technology has progressed, these ethical norms have evolved in parallel, shifting towards more ‘standardized’ perspectives; even calls for a moratorium on the research have dramatically lessened and almost disappeared. As field trials for gene drive mosquitoes for malaria elimination draw near, reflecting on how ethical norms of gene drive research have evolved and shaped the field is useful, given the implications for future research and governance. This presentation will examine the evolution of key ethical norms in gene drive research over the last decade through a literature review and analysis, paying special attention to key moments, normative concepts, and language. Lessons from gene drive may also be instructive for other emerging and disruptive technologies.</w:t>
      </w:r>
    </w:p>
    <w:p w14:paraId="5D0CC7E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25-A-3060-ASTMH</w:t>
      </w:r>
    </w:p>
    <w:p w14:paraId="4E5CB98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5645A7F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Spatial Repellents to not Shrink the Asymptomatic Malaria Reservoir Across all Age Groups in Western Kenya</w:t>
      </w:r>
    </w:p>
    <w:p w14:paraId="49496C3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Asymptomatic Plasmodium falciparum infections are the source of &gt;90% malaria transmission. Reducing the asymptomatic reservoir is key to reduce transmission levels. Spatial repellents that prevent mosquitos from entering houses and might reduce their life span are a potentially powerful novel tool for malaria control. Nested within a cluster randomized trial on spatial repellents in western Kenya, we collected a minimum of 150 blood samples each in 10 intervention and 10 control clusters from asymptomatic individuals of all ages before the spatial repellents were rolled out, and again one and two years after. In total, we collected 9187 samples and screened them by qPCR and microscopy. The study was powered to detect a 30% reduction in prevalence. At baseline, prevalence by qPCR was 49.8%. 60.9% of infections were submicroscopic. Pronounced heterogeneity across clusters was observed, with prevalence ranging from 26-70%. No significant decrease in prevalence was observed during the study period in intervention clusters. By qPCR, the odds of infection in intervention vs. control clusters were 0.814 one year after spatial repellents were rolled out (P=0.093), and 1.049 after two years (P= 0.686). The number of individuals with recent treatment for clinical malaria did not differ between study arms. In conclusion, spatial repellents do not reduce asymptomatic P. falciparum prevalence in an area of high transmission. Ongoing work will shed light on the relationships between vector density, frequency of biting, parasite prevalence, and transmissibility of blood stage infections.</w:t>
      </w:r>
    </w:p>
    <w:p w14:paraId="20CA8B9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25-A-3061-ASTMH</w:t>
      </w:r>
    </w:p>
    <w:p w14:paraId="155A36D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Epidemiology</w:t>
      </w:r>
    </w:p>
    <w:p w14:paraId="40F689C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Adenovirus types 40 and 41 are the major human adenoviruses associated with pediatric diarrheal disease in low- and middle-income settings</w:t>
      </w:r>
    </w:p>
    <w:p w14:paraId="4D118A6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Over 100 adenovirus types divided across seven species (A-G) are known to infect humans. Enteric adenovirus types 40 and 41 (species F) are known to cause gastroenteritis, but the role of non-enteric adenoviruses in diarrheal etiology remains controversial. Therefore, we identified the adenovirus types present in previously collected stool samples from the Global Enteric Multisite Study (GEMS) to determine the type-specific contributions of non-enteric adenoviruses to the burden of pediatric diarrheal disease. GEMS was a case-control study of diarrheal etiology in children from birth-5 years of age conducted from 2007-2011 in moderate-severe diarrhea cases and age- and sex-matched healthy community controls in Bangladesh, India, Pakistan, The Gambia, Kenya, Mali, and Mozambique. A stool sample was collected from each child; multi-pathogen testing using Taqman Array Cards (TAC) that included a pan-adenovirus target was previously performed in a large subset of children. We sequenced all available samples positive for adenovirus by TAC at Ct&lt;30 using the Oxford Nanopore Technologies PromethION platform with BLAST analysis for type assignment. We then determined species- and type-specific associations with diarrhea and their corresponding attributable fractions. Among 2226 evaluable samples, we successfully sequenced 1889 (85%). A high diversity of adenoviruses was detected, encompassing virtually all known types. Species D had the highest prevalence (30.1%), followed by C (25.1%), F (19.7%), A (14.8%), B (9.9%), and E (0.4%). However, prevalence was very low for any individual type other than for F41 and F40; we estimate that the maximum combined contribution of all non-enteric adenovirus types to diarrhea in GEMS was no more than 1-2%. These data confirm the important role of enteric adenoviruses F40 and F41 in pediatric diarrheal disease and suggest that non-enteric adenoviruses have minimal contribution to overall disease burden. Future efforts at diarrhea prevention should focus on F40 and F41, while further investigation into non-enteric adenoviruses as significant diarrheal pathogens appears unwarranted.</w:t>
      </w:r>
    </w:p>
    <w:p w14:paraId="34F7D18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25-A-3062-ASTMH</w:t>
      </w:r>
    </w:p>
    <w:p w14:paraId="222E441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Immunology</w:t>
      </w:r>
    </w:p>
    <w:p w14:paraId="63F81A73" w14:textId="7CC2DD94"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Antibody responses in children receiving seasonal malaria chemoprevention, RTS,S/AS01E vaccination, or both interventions during the first five years of life</w:t>
      </w:r>
    </w:p>
    <w:p w14:paraId="401B88A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The RTS,S/AS01</w:t>
      </w:r>
      <w:r w:rsidRPr="008B2783">
        <w:rPr>
          <w:rFonts w:ascii="Calibri" w:eastAsia="Times New Roman" w:hAnsi="Calibri" w:cs="Calibri"/>
          <w:color w:val="000000"/>
          <w:kern w:val="0"/>
          <w:sz w:val="22"/>
          <w:szCs w:val="22"/>
          <w:vertAlign w:val="subscript"/>
          <w14:ligatures w14:val="none"/>
        </w:rPr>
        <w:t>E</w:t>
      </w:r>
      <w:r w:rsidRPr="008B2783">
        <w:rPr>
          <w:rFonts w:ascii="Calibri" w:eastAsia="Times New Roman" w:hAnsi="Calibri" w:cs="Calibri"/>
          <w:color w:val="000000"/>
          <w:kern w:val="0"/>
          <w:sz w:val="22"/>
          <w:szCs w:val="22"/>
          <w14:ligatures w14:val="none"/>
        </w:rPr>
        <w:t> malaria vaccine combined with seasonal malaria chemoprevention (SMC) has shown to significantly reduce clinical malaria in children up to 5 years old compared to either intervention alone, but it is not known how these regimens affect naturally acquired immunity. We employed a 35-plex bead assay to measure the development of humoral immunity during and after these interventions to help predict and mitigate any post-intervention effects on clinical incidence. Dried blood spots (DBS) were collected at the end of each transmission season from children receiving RTS,S/AS01</w:t>
      </w:r>
      <w:r w:rsidRPr="008B2783">
        <w:rPr>
          <w:rFonts w:ascii="Calibri" w:eastAsia="Times New Roman" w:hAnsi="Calibri" w:cs="Calibri"/>
          <w:color w:val="000000"/>
          <w:kern w:val="0"/>
          <w:sz w:val="22"/>
          <w:szCs w:val="22"/>
          <w:vertAlign w:val="subscript"/>
          <w14:ligatures w14:val="none"/>
        </w:rPr>
        <w:t>E </w:t>
      </w:r>
      <w:r w:rsidRPr="008B2783">
        <w:rPr>
          <w:rFonts w:ascii="Calibri" w:eastAsia="Times New Roman" w:hAnsi="Calibri" w:cs="Calibri"/>
          <w:color w:val="000000"/>
          <w:kern w:val="0"/>
          <w:sz w:val="22"/>
          <w:szCs w:val="22"/>
          <w14:ligatures w14:val="none"/>
        </w:rPr>
        <w:t>alone or combined with SMC for the first 5 years of life in Burkina Faso and Mali. DBS from the latter 3 years of the 5-year intervention period and 3 years post-intervention were screened for 35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-specific IgG antibodies. Continuous antibody responses were analysed using principal components analysis. At the end of the intervention, lower IgG levels were seen in the combined regimen (IgG protective antigen differences in natural log: RTS,S alone versus SMC alone was -0.03 (95% CI: -0.14-0.09) p= 0.642; RTS,S+SMC versus SMC alone was -0.42 (95% CI: -0.53--0.30) p= &lt;0.0001; RTS,S+SMC versus RTS,S alone was -0.39 (95% CI: -0.51--0.28) p= &lt;0.0001). The highest responses varied between RTS,S/AS01</w:t>
      </w:r>
      <w:r w:rsidRPr="008B2783">
        <w:rPr>
          <w:rFonts w:ascii="Calibri" w:eastAsia="Times New Roman" w:hAnsi="Calibri" w:cs="Calibri"/>
          <w:color w:val="000000"/>
          <w:kern w:val="0"/>
          <w:sz w:val="22"/>
          <w:szCs w:val="22"/>
          <w:vertAlign w:val="subscript"/>
          <w14:ligatures w14:val="none"/>
        </w:rPr>
        <w:t>E</w:t>
      </w:r>
      <w:r w:rsidRPr="008B2783">
        <w:rPr>
          <w:rFonts w:ascii="Calibri" w:eastAsia="Times New Roman" w:hAnsi="Calibri" w:cs="Calibri"/>
          <w:color w:val="000000"/>
          <w:kern w:val="0"/>
          <w:sz w:val="22"/>
          <w:szCs w:val="22"/>
          <w14:ligatures w14:val="none"/>
        </w:rPr>
        <w:t>-only and SMC-only groups per marker type. Response magnitude and differences between regimens were greater in Burkina Faso than Mali. Dominant protection-associated antibodies varied between sites. Higher responses were seen in children with a greater number of clinical episodes. Responses increase and differences between regimens decrease after cessation of treatment. The lower responses seen in the combined regimen suggest dual protective activity with this approach. Differences between either intervention alone likely reflects how different modes of action interact with different marker groups. We will present data following children post-intervention to examine how these antibody responses are related to protection from clinical infection. Clinical trials registration: NCT03143218</w:t>
      </w:r>
    </w:p>
    <w:p w14:paraId="7B56C84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25-A-3063-ASTMH</w:t>
      </w:r>
    </w:p>
    <w:p w14:paraId="4B4D786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7610B49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Leveraging Satellite Imagery and GIS-Based Systems for Household Sampling: An efficient approach successfully implemented in a community household survey in Malawi.</w:t>
      </w:r>
    </w:p>
    <w:p w14:paraId="79ED3FB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Traditional approaches to developing sampling frames for community-based household surveys are expensive and time-consuming. Using freely available satellite imagery and GIS tools, we designed a new efficient approach and implemented it in a survey to assess impacts of RTS,S vaccination and dual-AI LLINs on malaria incidence and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infection in Malawi. Field teams with local guides marked village boundaries using Android application GeoTracker to generate Keyhole Markup Language (KML) boundary files across seven districts in southern, Malawi. These were converted into polygons and overlaid with satellite imagery from Google OpenBuildings using QGIS to identify structures likely to be inhabited. Structures outside boundaries or with low occupancy probability (&lt;0.8) were excluded. To identify 20 households for the survey, we randomly selected 49 structures per site (average), expecting that ~30-60% might be uninhabited, non-residential (e.g., schools) or unable to participate. Sampled household KMLs were uploaded to tablets via Google Earth to guide teams to selected households. Teams verified occupancy and conducted interviews in eligible households. Unoccupied or demolished structures were recorded. Among the 680 structures identified and visited, 559 (82%) were occupied. Of these, 126 (23%) had no one available to provide consent or participate in the interview. Of the remaining 433 structures, we successfully surveyed 280 (65%) households that met the inclusion criteria. Among the 121 unoccupied structures, 89 (74%) were demolished primarily due to heavy rains, 27 (22%) were vacant, and 5 (4%) were not considered households. Our new satellite-based approach took 2 hrs (average) to delineate catchment area boundaries and identify structures within them. Newly built structures were not included as they had not yet appeared in satellite imagery. Our GIS-guided approach enabled precise house targeting and real-time adjustments, eliminating the need for time and resource-intensive traditional listing. This replicable approach can streamline public health surveillance in resource-limited settings.</w:t>
      </w:r>
    </w:p>
    <w:p w14:paraId="1DB29D0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25-A-3064-ASTMH</w:t>
      </w:r>
    </w:p>
    <w:p w14:paraId="683E38D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Drug Development and Clinical Trials</w:t>
      </w:r>
    </w:p>
    <w:p w14:paraId="36180F5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lastRenderedPageBreak/>
        <w:t>Discovery of a Novel Synthetic Antimalarial Class Active Against Multidrug-Resistant Plasmodium falciparum</w:t>
      </w:r>
    </w:p>
    <w:p w14:paraId="54103D2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emergence of multidrug-resistant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strains threatens recent gains in malaria control, underscoring the need for antimalarial agents with new mechanisms of action. Here, we describe the discovery and preclinical characterization of a novel synthetic compound class that demonstrates potent activity against both chloroquine-sensitive (3D7) and multidrug-resistant (Dd2, HB3)</w:t>
      </w:r>
      <w:r w:rsidRPr="008B2783">
        <w:rPr>
          <w:rFonts w:ascii="Calibri" w:eastAsia="Times New Roman" w:hAnsi="Calibri" w:cs="Calibri"/>
          <w:i/>
          <w:iCs/>
          <w:color w:val="000000"/>
          <w:kern w:val="0"/>
          <w:sz w:val="22"/>
          <w:szCs w:val="22"/>
          <w14:ligatures w14:val="none"/>
        </w:rPr>
        <w:t> P. falciparum</w:t>
      </w:r>
      <w:r w:rsidRPr="008B2783">
        <w:rPr>
          <w:rFonts w:ascii="Calibri" w:eastAsia="Times New Roman" w:hAnsi="Calibri" w:cs="Calibri"/>
          <w:color w:val="000000"/>
          <w:kern w:val="0"/>
          <w:sz w:val="22"/>
          <w:szCs w:val="22"/>
          <w14:ligatures w14:val="none"/>
        </w:rPr>
        <w:t> lines. Activity profiling across intraerythrocytic stages revealed enhanced potency during the trophozoite phase and resilience to resistance selection in mature forms. Resistance mapping using molecular and genetic tools in a panel of recombinant parasite lines identified a candidate locus on chromosome 13, distinct from known resistance-associated genes such as pfmdr1 and pfcrt. Seven lead compounds exhibited high selectivity indices in vitro, with minimal cytotoxicity to human cells. In vivo testing in a murine malaria model confirmed oral tolerability and partial efficacy of lead compounds. The fully synthetic nature of this new chemotype supports scalable production, while its novel biological profile makes it a strong candidate for further preclinical development. These findings support continued investigation into its potential for overcoming current antimalarial resistance barriers.&lt;!--EndFragment--&gt;</w:t>
      </w:r>
    </w:p>
    <w:p w14:paraId="0E074A9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25-A-3065-ASTMH</w:t>
      </w:r>
    </w:p>
    <w:p w14:paraId="48C4CCD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Arthropods/Entomology - Other</w:t>
      </w:r>
    </w:p>
    <w:p w14:paraId="40F2E2A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Spatial dynamics of onchocerciasis transmission indices and their implications for entomological surveillance</w:t>
      </w:r>
    </w:p>
    <w:p w14:paraId="40ED908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Onchocerciasis transmission and, therefore, programmatic entomological surveillance are closely tied to the riverine environments where blackfly vectors breed. Reliance on this approach for xenomonitoring may underestimate exposure risk in communities farther from the river, as blackflies can disperse over hundreds of kilometres. As endemic countries move toward elimination, it is critical to understand spatial heterogeneities in entomological indicators and parasite transmission. To this end, we examined vector biting rates, parity, and infection prevalence at varying distances from two breeding sites: Bétérou in Benin and Asubende in Ghana. Entomological surveys were conducted during the rainy seasons of 2023 and 2024, over eight consecutive weeks. Flies were collected from each breeding site and 40 settlements within a 25 km radius using Human Landing Catch. Blackflies were identified morphologically, parity was assessed by dissection, biting rates were calculated relative to sampling effort, and parasite presence was determined by O-150 PCR pool-screening and dissection. In Benin, the mean daily biting rate ± SE across all sites was 205 ± 13.5 in 2023 and 196 ± 13.4 in 2024; in Ghana, 16 ± 2.5 in 2023 and 3 ± 0.9 in 2024, which we attribute to unseasonally low rainfall. Biting rates and proportion of parous flies decreased nonlinearly with distance from the breeding site. Flies were captured in the most distant communities, including infective flies. In Benin, </w:t>
      </w:r>
      <w:r w:rsidRPr="008B2783">
        <w:rPr>
          <w:rFonts w:ascii="Calibri" w:eastAsia="Times New Roman" w:hAnsi="Calibri" w:cs="Calibri"/>
          <w:i/>
          <w:iCs/>
          <w:color w:val="000000"/>
          <w:kern w:val="0"/>
          <w:sz w:val="22"/>
          <w:szCs w:val="22"/>
          <w14:ligatures w14:val="none"/>
        </w:rPr>
        <w:t>Onchocerca volvulus</w:t>
      </w:r>
      <w:r w:rsidRPr="008B2783">
        <w:rPr>
          <w:rFonts w:ascii="Calibri" w:eastAsia="Times New Roman" w:hAnsi="Calibri" w:cs="Calibri"/>
          <w:color w:val="000000"/>
          <w:kern w:val="0"/>
          <w:sz w:val="22"/>
          <w:szCs w:val="22"/>
          <w14:ligatures w14:val="none"/>
        </w:rPr>
        <w:t>-infected blackflies were detected in 28/40 settlements, including sites located furthest from the river and in all directions. Our findings highlight that even communities 25 km from breeding sites can be exposed to infective bites. Mathematical models would benefit from incorporating such data on spatial heterogeneity in key vector indices. Onchocerciasis surveillance focussed solely on vector breeding sites or first-line villages may underestimate transmission risk elsewhere, emphasising the need for spatially-informed monitoring to support elimination verification.</w:t>
      </w:r>
    </w:p>
    <w:p w14:paraId="74CF95C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25-A-3066-ASTMH</w:t>
      </w:r>
    </w:p>
    <w:p w14:paraId="5AB1558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602BB18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Investigating Factors Affecting Seasonal Malaria Chemoprevention Cohort Retention In Northern Bahr El Ghazal, South Sudan</w:t>
      </w:r>
    </w:p>
    <w:p w14:paraId="07456CF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Since 2023, seasonal malaria chemoprevention (SMC) with sulfadoxine-pyrimethamine plus amodiaquine (SPAQ) has been implemented in Aweil South and Aweil West counties of Northern Bahr el </w:t>
      </w:r>
      <w:r w:rsidRPr="008B2783">
        <w:rPr>
          <w:rFonts w:ascii="Calibri" w:eastAsia="Times New Roman" w:hAnsi="Calibri" w:cs="Calibri"/>
          <w:color w:val="000000"/>
          <w:kern w:val="0"/>
          <w:sz w:val="22"/>
          <w:szCs w:val="22"/>
          <w14:ligatures w14:val="none"/>
        </w:rPr>
        <w:lastRenderedPageBreak/>
        <w:t>Ghazal state. Adherence to a full three-day course of SPAQ in all planned cycles of the annual SMC round (cohort retention) is essential for maximising protection. Findings from 2022 and 2023 show that a sizeable proportion of SMC eligible children did not receive SPAQ in all five cycles. Using mixed-effects logistic regression modelling, this secondary analysis of data from the SMC end of round survey aims to identify individual-level and contextual factors associated with cohort retention among eligible children during the SMC 2024 round.Of the 1500 eligible children sampled, 66.9% (95% CI: 0.644 – 0.692) of the children received SMC medicines in all five cycles. Children whose caregiver’s perceived SMC medicines to be effective had 20 times higher odds of receiving all five cycles ( aOR: 19.8, p &lt; 0.001, 95% CI 3.989 – 98.524). The odds of retention were four times higher in children whose caregivers were knowledgeable about the purpose of SMC medicines relative to those whose caregivers were less knowledgeable (aOR: 4.069, p &lt; 0.001, 95% CI 1.928 – 8.588). Additionally, the age of child 3 &lt;12 months were associated with reduced odds of children receiving SMC. Findings underscore the need for strategies to address current gaps in SMC knowledge and perceptions to improve SMC uptake and cohort retention across all five cycles of the round.</w:t>
      </w:r>
    </w:p>
    <w:p w14:paraId="0D71338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25-A-3067-ASTMH</w:t>
      </w:r>
    </w:p>
    <w:p w14:paraId="4AD314B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Viruses - Transmission Biology</w:t>
      </w:r>
    </w:p>
    <w:p w14:paraId="1ECF8E2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REMOVED FROM PROGRAM 7823 Lipidomic interactions at the skin interface that determine arbovirus transmission</w:t>
      </w:r>
    </w:p>
    <w:p w14:paraId="1B8DFCF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West Nile Virus (WNV) is an emerging neurotropic, single-stranded RNA virus causing mild febrile symptoms to severe disease. Transmission occurs when virus is introduced in the skin by saliva during bite. In the absence of effective therapeutics or vaccines, and the introduction of mosquitoes to naïve populations, alternative methods to prevent transmission are needed. Skin infection serves as a bottleneck for infection and is a crucial target for preventing transmission. Previously, our group identified and characterised the role of phospholipids and sphingolipids in both human and mosquito cells during flavivirus infection. This study investigates the interactions between infectious mosquito saliva and the skin lipidome. Using an in-vivo mouse model, 2mm punch biopsies were collected during WNV infection at early (4 hr) and late (18 hr) time points , with resting and non-infectious bites as controls followed by lipid identification using global and targeted lipidomic approach. Similar lipidomic alterations in the infectious and non-infectious groups at early time points suggested that lipid regulation is initiated exclusively by bite. However, at 18 hr, a significant regulation of sphingolipids, particularly ceramide, was observed in the infected cohort. Our in-vivo model showed downregulation of ceramide catalysing genes alkaline ceramidase 1(Acer1) and alkaline ceramidase 2(Acer2) which validated the lipidome reconfiguration and this was further confirmed with human skin fibroblast (HFF-1) model. Supplementation of HFF-1 cells with ceramide and sphingomyelin catalysing acidic Sphingomyelinase1 (SMase) demonstrated that an accumulation of ceramide in the cells reduced WNV gRNA copies. Functional assays with HFF-1 cells revealed that ceramide supplementation interfered with viral life cycle, especially replication. Using lipidomic as well as infection studies, this study provides a fundamental understanding of the regulation of skin ceramides during WNV infection along with the first evidence of ceramide’s potential antiviral role in the skin, offering a novel avenue for transmission-blocking strategies.</w:t>
      </w:r>
    </w:p>
    <w:p w14:paraId="312E2E1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25-A-3068-ASTMH</w:t>
      </w:r>
    </w:p>
    <w:p w14:paraId="53AA7E6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4EBFCD5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Community Experiences, Perceptions, Beliefs, and Decision-Making Pathways: Exploring their Influence on PBO LLINs Utilization in Western Kenya - A Mixed-Methods Qualitative Study.</w:t>
      </w:r>
    </w:p>
    <w:p w14:paraId="2F349A75"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Long-Lasting Insecticidal Nets (LLINs) are the cornerstone of malaria prevention efforts globally. However, their effectiveness is increasingly threatened by pyrethroid resistance. In response, next-generation LLINs have been developed, incorporating either a combination of insecticides or an added synergist-piperonyl butoxide (PBO). The WHO recommends use of PBO LLINs in areas with confirmed </w:t>
      </w:r>
      <w:r w:rsidRPr="008B2783">
        <w:rPr>
          <w:rFonts w:ascii="Calibri" w:eastAsia="Times New Roman" w:hAnsi="Calibri" w:cs="Calibri"/>
          <w:color w:val="000000"/>
          <w:kern w:val="0"/>
          <w:sz w:val="22"/>
          <w:szCs w:val="22"/>
          <w14:ligatures w14:val="none"/>
        </w:rPr>
        <w:lastRenderedPageBreak/>
        <w:t>pyrethroid resistance. Bungoma County-a high malaria transmission region was among the three lake-endemic malaria counties, where PBO LLINs were deployed in 2024. While the modified nets address biological resistance, success greatly depends on human behavior, particularly community beliefs and perceptions, which may affect usage and, ultimately, long-term effectiveness. To investigate this, we conducted a mixed-methods qualitative study involving 24 focus group discussions (FGDs), 19 in-depth interviews (IDIs), 16 semi-structured stakeholder interviews (SSIs), and photovoice sessions with 8 participants. All interviews were audio-recorded using dual devices and detailed notes taken by a designated note-taker. Each recording was transcribed independently by two team members; first in Kiswahili, then translated into English. While transcription is nearly complete, thematic analysis using NVivo software is currently underway. In total, 293 participants took part in the study activities. Preliminary findings indicate a strong community belief linking the PBO LLINs to an increase in bedbug infestations. This perception may be a major deterrent to proper net usage. Although decisions about LLIN use are primarily made at the household level, community interactions and shared experiences can heavily influence these choices. Collective narratives, particularly negative ones can drive widespread resistance to using the nets. There is need to address the myths and misinformation by promoting accurate understanding through tailored messaging and sustained community engagement in order to encourage consistent use of these expensive nets, maximizing their public health impact, and therefore reducing the burden of malaria.</w:t>
      </w:r>
    </w:p>
    <w:p w14:paraId="101641E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25-A-3069-ASTMH</w:t>
      </w:r>
    </w:p>
    <w:p w14:paraId="40EB657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Antimalarial Resistance and Chemotherapy</w:t>
      </w:r>
    </w:p>
    <w:p w14:paraId="219FFCD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Temporal trends in the prevalence of </w:t>
      </w:r>
      <w:r w:rsidRPr="008B2783">
        <w:rPr>
          <w:rFonts w:ascii="Calibri" w:eastAsia="Times New Roman" w:hAnsi="Calibri" w:cs="Calibri"/>
          <w:b/>
          <w:bCs/>
          <w:i/>
          <w:iCs/>
          <w:color w:val="000000"/>
          <w:kern w:val="0"/>
          <w:sz w:val="22"/>
          <w:szCs w:val="22"/>
          <w14:ligatures w14:val="none"/>
        </w:rPr>
        <w:t>Pfcrt</w:t>
      </w:r>
      <w:r w:rsidRPr="008B2783">
        <w:rPr>
          <w:rFonts w:ascii="Calibri" w:eastAsia="Times New Roman" w:hAnsi="Calibri" w:cs="Calibri"/>
          <w:b/>
          <w:bCs/>
          <w:color w:val="000000"/>
          <w:kern w:val="0"/>
          <w:sz w:val="22"/>
          <w:szCs w:val="22"/>
          <w14:ligatures w14:val="none"/>
        </w:rPr>
        <w:t> and </w:t>
      </w:r>
      <w:r w:rsidRPr="008B2783">
        <w:rPr>
          <w:rFonts w:ascii="Calibri" w:eastAsia="Times New Roman" w:hAnsi="Calibri" w:cs="Calibri"/>
          <w:b/>
          <w:bCs/>
          <w:i/>
          <w:iCs/>
          <w:color w:val="000000"/>
          <w:kern w:val="0"/>
          <w:sz w:val="22"/>
          <w:szCs w:val="22"/>
          <w14:ligatures w14:val="none"/>
        </w:rPr>
        <w:t>Pfmdr1</w:t>
      </w:r>
      <w:r w:rsidRPr="008B2783">
        <w:rPr>
          <w:rFonts w:ascii="Calibri" w:eastAsia="Times New Roman" w:hAnsi="Calibri" w:cs="Calibri"/>
          <w:b/>
          <w:bCs/>
          <w:color w:val="000000"/>
          <w:kern w:val="0"/>
          <w:sz w:val="22"/>
          <w:szCs w:val="22"/>
          <w14:ligatures w14:val="none"/>
        </w:rPr>
        <w:t> mutations in sub-Saharan Africa, 2010-2024: a systematic review and meta-analysis.</w:t>
      </w:r>
    </w:p>
    <w:p w14:paraId="11B48F7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The emergence and spread of antimalarial drug resistance threaten the efficacy of Artemisinin-based Combination Therapies (ACTs) in sub-Saharan Africa. While mutations in </w:t>
      </w:r>
      <w:r w:rsidRPr="008B2783">
        <w:rPr>
          <w:rFonts w:ascii="Calibri" w:eastAsia="Times New Roman" w:hAnsi="Calibri" w:cs="Calibri"/>
          <w:i/>
          <w:iCs/>
          <w:color w:val="000000"/>
          <w:kern w:val="0"/>
          <w:sz w:val="22"/>
          <w:szCs w:val="22"/>
          <w14:ligatures w14:val="none"/>
        </w:rPr>
        <w:t>PfKelch13</w:t>
      </w:r>
      <w:r w:rsidRPr="008B2783">
        <w:rPr>
          <w:rFonts w:ascii="Calibri" w:eastAsia="Times New Roman" w:hAnsi="Calibri" w:cs="Calibri"/>
          <w:color w:val="000000"/>
          <w:kern w:val="0"/>
          <w:sz w:val="22"/>
          <w:szCs w:val="22"/>
          <w14:ligatures w14:val="none"/>
        </w:rPr>
        <w:t> are linked to partial artemisinin resistance, mutations in </w:t>
      </w:r>
      <w:r w:rsidRPr="008B2783">
        <w:rPr>
          <w:rFonts w:ascii="Calibri" w:eastAsia="Times New Roman" w:hAnsi="Calibri" w:cs="Calibri"/>
          <w:i/>
          <w:iCs/>
          <w:color w:val="000000"/>
          <w:kern w:val="0"/>
          <w:sz w:val="22"/>
          <w:szCs w:val="22"/>
          <w14:ligatures w14:val="none"/>
        </w:rPr>
        <w:t>Pfcrt</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associated with resistance to partner drugs such as amodiaquine and lumefantrine, pose a significant concern. We conducted a systematic review and meta-analysis of studies published from 2010 to 2024, searching PubMed/MEDLINE and Scopus. Two independent reviewers assessed eligibility, extracted data, and evaluated bias. A total of 182 studies on </w:t>
      </w:r>
      <w:r w:rsidRPr="008B2783">
        <w:rPr>
          <w:rFonts w:ascii="Calibri" w:eastAsia="Times New Roman" w:hAnsi="Calibri" w:cs="Calibri"/>
          <w:i/>
          <w:iCs/>
          <w:color w:val="000000"/>
          <w:kern w:val="0"/>
          <w:sz w:val="22"/>
          <w:szCs w:val="22"/>
          <w14:ligatures w14:val="none"/>
        </w:rPr>
        <w:t>Pfcrt</w:t>
      </w:r>
      <w:r w:rsidRPr="008B2783">
        <w:rPr>
          <w:rFonts w:ascii="Calibri" w:eastAsia="Times New Roman" w:hAnsi="Calibri" w:cs="Calibri"/>
          <w:color w:val="000000"/>
          <w:kern w:val="0"/>
          <w:sz w:val="22"/>
          <w:szCs w:val="22"/>
          <w14:ligatures w14:val="none"/>
        </w:rPr>
        <w:t> and 196 on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were included. Prevalence data for </w:t>
      </w:r>
      <w:r w:rsidRPr="008B2783">
        <w:rPr>
          <w:rFonts w:ascii="Calibri" w:eastAsia="Times New Roman" w:hAnsi="Calibri" w:cs="Calibri"/>
          <w:i/>
          <w:iCs/>
          <w:color w:val="000000"/>
          <w:kern w:val="0"/>
          <w:sz w:val="22"/>
          <w:szCs w:val="22"/>
          <w14:ligatures w14:val="none"/>
        </w:rPr>
        <w:t>Pfcrt</w:t>
      </w:r>
      <w:r w:rsidRPr="008B2783">
        <w:rPr>
          <w:rFonts w:ascii="Calibri" w:eastAsia="Times New Roman" w:hAnsi="Calibri" w:cs="Calibri"/>
          <w:color w:val="000000"/>
          <w:kern w:val="0"/>
          <w:sz w:val="22"/>
          <w:szCs w:val="22"/>
          <w14:ligatures w14:val="none"/>
        </w:rPr>
        <w:t> K76T and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N86Y mutations were extracted and analyzed using R. The overall prevalence of </w:t>
      </w:r>
      <w:r w:rsidRPr="008B2783">
        <w:rPr>
          <w:rFonts w:ascii="Calibri" w:eastAsia="Times New Roman" w:hAnsi="Calibri" w:cs="Calibri"/>
          <w:i/>
          <w:iCs/>
          <w:color w:val="000000"/>
          <w:kern w:val="0"/>
          <w:sz w:val="22"/>
          <w:szCs w:val="22"/>
          <w14:ligatures w14:val="none"/>
        </w:rPr>
        <w:t>Pfcrt</w:t>
      </w:r>
      <w:r w:rsidRPr="008B2783">
        <w:rPr>
          <w:rFonts w:ascii="Calibri" w:eastAsia="Times New Roman" w:hAnsi="Calibri" w:cs="Calibri"/>
          <w:color w:val="000000"/>
          <w:kern w:val="0"/>
          <w:sz w:val="22"/>
          <w:szCs w:val="22"/>
          <w14:ligatures w14:val="none"/>
        </w:rPr>
        <w:t> K76T declined markedly from 58.5% (3287/5614) in 2010 to 7.4% (34/455) in 2022, while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N86Y decreased from 34.8% (1255/3609) to 1.88% (9/478) over the same period. At the regional level, in West Africa, the </w:t>
      </w:r>
      <w:r w:rsidRPr="008B2783">
        <w:rPr>
          <w:rFonts w:ascii="Calibri" w:eastAsia="Times New Roman" w:hAnsi="Calibri" w:cs="Calibri"/>
          <w:i/>
          <w:iCs/>
          <w:color w:val="000000"/>
          <w:kern w:val="0"/>
          <w:sz w:val="22"/>
          <w:szCs w:val="22"/>
          <w14:ligatures w14:val="none"/>
        </w:rPr>
        <w:t>Pfcrt</w:t>
      </w:r>
      <w:r w:rsidRPr="008B2783">
        <w:rPr>
          <w:rFonts w:ascii="Calibri" w:eastAsia="Times New Roman" w:hAnsi="Calibri" w:cs="Calibri"/>
          <w:color w:val="000000"/>
          <w:kern w:val="0"/>
          <w:sz w:val="22"/>
          <w:szCs w:val="22"/>
          <w14:ligatures w14:val="none"/>
        </w:rPr>
        <w:t> K76T mutation dropped from 53.8% (232/851) in 2010 to 8.9% (9/101) in 2021. For the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N86Y mutation, prevalence fell from 27.3% (232/851) in 2010 to 1.9% (9/478) in 2022 in West Africa and from 36.5% (993/2717) in 2010 to 3.4% (6/175) in 2021 in East Africa. These trends reflect a significant reduction in chloroquine-resistant parasites following its withdrawal, suggesting a possible reintroduction of chloroquine in combination with other drugs. However, the increasing prevalence of wild-type </w:t>
      </w:r>
      <w:r w:rsidRPr="008B2783">
        <w:rPr>
          <w:rFonts w:ascii="Calibri" w:eastAsia="Times New Roman" w:hAnsi="Calibri" w:cs="Calibri"/>
          <w:i/>
          <w:iCs/>
          <w:color w:val="000000"/>
          <w:kern w:val="0"/>
          <w:sz w:val="22"/>
          <w:szCs w:val="22"/>
          <w14:ligatures w14:val="none"/>
        </w:rPr>
        <w:t>Pfmdr1</w:t>
      </w:r>
      <w:r w:rsidRPr="008B2783">
        <w:rPr>
          <w:rFonts w:ascii="Calibri" w:eastAsia="Times New Roman" w:hAnsi="Calibri" w:cs="Calibri"/>
          <w:color w:val="000000"/>
          <w:kern w:val="0"/>
          <w:sz w:val="22"/>
          <w:szCs w:val="22"/>
          <w14:ligatures w14:val="none"/>
        </w:rPr>
        <w:t>, associated with reduced lumefantrine susceptibility, remains a concern, particularly in East Africa, where partial artemisinin resistance has already been reported.</w:t>
      </w:r>
    </w:p>
    <w:p w14:paraId="56EF9DC4"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25-A-3070-ASTMH</w:t>
      </w:r>
    </w:p>
    <w:p w14:paraId="41845F7D"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Global Health - Other</w:t>
      </w:r>
    </w:p>
    <w:p w14:paraId="0E501ED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Impact of first-trimester antimalarial treatments on neurocognitive development in infants: preliminary findings from a prospective cohort study in western Kenya</w:t>
      </w:r>
    </w:p>
    <w:p w14:paraId="32BC158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Children exposed to malaria in utero late-term have a higher risk of motor and cognitive developmental delay, but little is known about children of mothers who had malaria in the first trimester of pregnancy. It is also unclear if the neurodevelopmental delay is related to the malaria infection or the type of treatment of malaria in the first trimester. This study was nested within a prospective cohort of pregnant women evaluating the safety of antimalarials to assess infants' neurocognitive development. A </w:t>
      </w:r>
      <w:r w:rsidRPr="008B2783">
        <w:rPr>
          <w:rFonts w:ascii="Calibri" w:eastAsia="Times New Roman" w:hAnsi="Calibri" w:cs="Calibri"/>
          <w:color w:val="000000"/>
          <w:kern w:val="0"/>
          <w:sz w:val="22"/>
          <w:szCs w:val="22"/>
          <w14:ligatures w14:val="none"/>
        </w:rPr>
        <w:lastRenderedPageBreak/>
        <w:t>subset of children exposed in-utero to antimalarials (artemisinin combination therapies (ACTs) and quinine) in the first trimester and unexposed controls matched on month of birth and sex, underwent neurodevelopmental testing using the Mullen Scales of Early Learning at 6 and 12 months of age. The study overlapped with the Kenyan Ministry of Health pilot study for multiple first-line therapies in a high transmission area, which could have led to inadvertent exposures to newer ACTs in pregnancy. Antimalarial drug exposure was ascertained through hospital records and self-reports. This study included 1045 live-born infants assessed between May 2022 and March 2025, comprising 243 exposed to antimalarial treatment in first-trimester pregnancy and 742 unexposed controls. At 6 months, the mean Early Learning Composite score was 39.9 (SD 2.7) in the exposed group and 40.3 (SD 3.1) in the unexposed. At 12 months, the corresponding scores were 63.5 (SD 3.7) and 63.7 (SD 4.1) respectively. The mean gross motor scores at 6 months were 11.1 (SD 1.2) for exposed infants and 11.3 (SD 1.2) for unexposed; at 12 months, these were 17.7 (SD 2.8) and 17.9 (SD 2.8), respectively. These preliminary descriptive analyses suggest no differences between the exposed and unexposed groups. Further analyses adjusting for potential confounders and comparing antimalarial regimens will be explored. The preliminary findings of this study will generate critical evidence regarding the neurodevelopmental safety of first-trimester antimalarial treatments, including ACTs, with the potential to inform future WHO guidelines and clinical practice in malaria-endemic regions.</w:t>
      </w:r>
    </w:p>
    <w:p w14:paraId="74933D8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25-A-3072-ASTMH</w:t>
      </w:r>
    </w:p>
    <w:p w14:paraId="4FAB46B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Molecular Biology, Population Genetics and Genomics</w:t>
      </w:r>
    </w:p>
    <w:p w14:paraId="78C3E36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Genomic characterization of </w:t>
      </w:r>
      <w:r w:rsidRPr="008B2783">
        <w:rPr>
          <w:rFonts w:ascii="Calibri" w:eastAsia="Times New Roman" w:hAnsi="Calibri" w:cs="Calibri"/>
          <w:b/>
          <w:bCs/>
          <w:i/>
          <w:iCs/>
          <w:color w:val="000000"/>
          <w:kern w:val="0"/>
          <w:sz w:val="22"/>
          <w:szCs w:val="22"/>
          <w14:ligatures w14:val="none"/>
        </w:rPr>
        <w:t>Anopheles gambiae</w:t>
      </w:r>
      <w:r w:rsidRPr="008B2783">
        <w:rPr>
          <w:rFonts w:ascii="Calibri" w:eastAsia="Times New Roman" w:hAnsi="Calibri" w:cs="Calibri"/>
          <w:b/>
          <w:bCs/>
          <w:color w:val="000000"/>
          <w:kern w:val="0"/>
          <w:sz w:val="22"/>
          <w:szCs w:val="22"/>
          <w14:ligatures w14:val="none"/>
        </w:rPr>
        <w:t> and </w:t>
      </w:r>
      <w:r w:rsidRPr="008B2783">
        <w:rPr>
          <w:rFonts w:ascii="Calibri" w:eastAsia="Times New Roman" w:hAnsi="Calibri" w:cs="Calibri"/>
          <w:b/>
          <w:bCs/>
          <w:i/>
          <w:iCs/>
          <w:color w:val="000000"/>
          <w:kern w:val="0"/>
          <w:sz w:val="22"/>
          <w:szCs w:val="22"/>
          <w14:ligatures w14:val="none"/>
        </w:rPr>
        <w:t>An. coluzzii</w:t>
      </w:r>
      <w:r w:rsidRPr="008B2783">
        <w:rPr>
          <w:rFonts w:ascii="Calibri" w:eastAsia="Times New Roman" w:hAnsi="Calibri" w:cs="Calibri"/>
          <w:b/>
          <w:bCs/>
          <w:color w:val="000000"/>
          <w:kern w:val="0"/>
          <w:sz w:val="22"/>
          <w:szCs w:val="22"/>
          <w14:ligatures w14:val="none"/>
        </w:rPr>
        <w:t> reveals high potential risk for insecticide resistance spread in Côte d’Ivoire</w:t>
      </w:r>
    </w:p>
    <w:p w14:paraId="0DF8680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Insecticide resistance threatens progress in malaria vector control and elimination, driven by genetic mutations and metabolic defense mechanisms in mosquitoes. Côte d’Ivoire is already at risk, with resistance to most public health insecticides reported in </w:t>
      </w:r>
      <w:r w:rsidRPr="008B2783">
        <w:rPr>
          <w:rFonts w:ascii="Calibri" w:eastAsia="Times New Roman" w:hAnsi="Calibri" w:cs="Calibri"/>
          <w:i/>
          <w:iCs/>
          <w:color w:val="000000"/>
          <w:kern w:val="0"/>
          <w:sz w:val="22"/>
          <w:szCs w:val="22"/>
          <w14:ligatures w14:val="none"/>
        </w:rPr>
        <w:t>Anopheles gambiae</w:t>
      </w:r>
      <w:r w:rsidRPr="008B2783">
        <w:rPr>
          <w:rFonts w:ascii="Calibri" w:eastAsia="Times New Roman" w:hAnsi="Calibri" w:cs="Calibri"/>
          <w:color w:val="000000"/>
          <w:kern w:val="0"/>
          <w:sz w:val="22"/>
          <w:szCs w:val="22"/>
          <w14:ligatures w14:val="none"/>
        </w:rPr>
        <w:t> (s.l.). To identify resistance-associated mutations and assess gene flow, we conducted a genomic analysis of vector populations across the country. Mosquitoes were collected from six sentinel sites monitored by the National Malaria Control Program (NMCP): Aboisso, Bouaké, Grand-Bassam, Korhogo, Man, and Sakassou, during peak vector activity (July-October 2020). Following DNA extraction, whole-genome sequencing (WGS) on the Illumina platform. Raw data were aligned to the reference genome, and high-quality single nucleotide polymorphisms (SNPs) were curated for analysis. Principal Component Analysis (PCA), haplotype networks, and phylogenetic trees confirmed two genetic clusters corresponding to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An. coluzzii</w:t>
      </w:r>
      <w:r w:rsidRPr="008B2783">
        <w:rPr>
          <w:rFonts w:ascii="Calibri" w:eastAsia="Times New Roman" w:hAnsi="Calibri" w:cs="Calibri"/>
          <w:color w:val="000000"/>
          <w:kern w:val="0"/>
          <w:sz w:val="22"/>
          <w:szCs w:val="22"/>
          <w14:ligatures w14:val="none"/>
        </w:rPr>
        <w:t>, indicating species differentiation. However, within each species, no strong geographical structuring was observed, suggesting active gene flow. Haplotype sharing between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An. coluzzii</w:t>
      </w:r>
      <w:r w:rsidRPr="008B2783">
        <w:rPr>
          <w:rFonts w:ascii="Calibri" w:eastAsia="Times New Roman" w:hAnsi="Calibri" w:cs="Calibri"/>
          <w:color w:val="000000"/>
          <w:kern w:val="0"/>
          <w:sz w:val="22"/>
          <w:szCs w:val="22"/>
          <w14:ligatures w14:val="none"/>
        </w:rPr>
        <w:t> suggests some resistance alleles may be exchanged. Target-site mutations, such as double </w:t>
      </w:r>
      <w:r w:rsidRPr="008B2783">
        <w:rPr>
          <w:rFonts w:ascii="Calibri" w:eastAsia="Times New Roman" w:hAnsi="Calibri" w:cs="Calibri"/>
          <w:i/>
          <w:iCs/>
          <w:color w:val="000000"/>
          <w:kern w:val="0"/>
          <w:sz w:val="22"/>
          <w:szCs w:val="22"/>
          <w14:ligatures w14:val="none"/>
        </w:rPr>
        <w:t>Kdr </w:t>
      </w:r>
      <w:r w:rsidRPr="008B2783">
        <w:rPr>
          <w:rFonts w:ascii="Calibri" w:eastAsia="Times New Roman" w:hAnsi="Calibri" w:cs="Calibri"/>
          <w:color w:val="000000"/>
          <w:kern w:val="0"/>
          <w:sz w:val="22"/>
          <w:szCs w:val="22"/>
          <w14:ligatures w14:val="none"/>
        </w:rPr>
        <w:t>mutations, may indicate a high potential for resistance to pyrethroids and DDT. Metabolic resistance included elevated Cytochrome P450 copy number variations (CNVs), particularly in </w:t>
      </w:r>
      <w:r w:rsidRPr="008B2783">
        <w:rPr>
          <w:rFonts w:ascii="Calibri" w:eastAsia="Times New Roman" w:hAnsi="Calibri" w:cs="Calibri"/>
          <w:i/>
          <w:iCs/>
          <w:color w:val="000000"/>
          <w:kern w:val="0"/>
          <w:sz w:val="22"/>
          <w:szCs w:val="22"/>
          <w14:ligatures w14:val="none"/>
        </w:rPr>
        <w:t>An. coluzzii</w:t>
      </w:r>
      <w:r w:rsidRPr="008B2783">
        <w:rPr>
          <w:rFonts w:ascii="Calibri" w:eastAsia="Times New Roman" w:hAnsi="Calibri" w:cs="Calibri"/>
          <w:color w:val="000000"/>
          <w:kern w:val="0"/>
          <w:sz w:val="22"/>
          <w:szCs w:val="22"/>
          <w14:ligatures w14:val="none"/>
        </w:rPr>
        <w:t>, with the highest prevalence in central Côte d’Ivoire (Bouaké and Sakassou). Additionally, novel carboxylesterase genes associated with organophosphate resistance were identified in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The absence of strong geographical structuring suggests that resistance alleles can spread efficiently across regions. Gene flow between </w:t>
      </w:r>
      <w:r w:rsidRPr="008B2783">
        <w:rPr>
          <w:rFonts w:ascii="Calibri" w:eastAsia="Times New Roman" w:hAnsi="Calibri" w:cs="Calibri"/>
          <w:i/>
          <w:iCs/>
          <w:color w:val="000000"/>
          <w:kern w:val="0"/>
          <w:sz w:val="22"/>
          <w:szCs w:val="22"/>
          <w14:ligatures w14:val="none"/>
        </w:rPr>
        <w:t>An. gambiae</w:t>
      </w:r>
      <w:r w:rsidRPr="008B2783">
        <w:rPr>
          <w:rFonts w:ascii="Calibri" w:eastAsia="Times New Roman" w:hAnsi="Calibri" w:cs="Calibri"/>
          <w:color w:val="000000"/>
          <w:kern w:val="0"/>
          <w:sz w:val="22"/>
          <w:szCs w:val="22"/>
          <w14:ligatures w14:val="none"/>
        </w:rPr>
        <w:t> and </w:t>
      </w:r>
      <w:r w:rsidRPr="008B2783">
        <w:rPr>
          <w:rFonts w:ascii="Calibri" w:eastAsia="Times New Roman" w:hAnsi="Calibri" w:cs="Calibri"/>
          <w:i/>
          <w:iCs/>
          <w:color w:val="000000"/>
          <w:kern w:val="0"/>
          <w:sz w:val="22"/>
          <w:szCs w:val="22"/>
          <w14:ligatures w14:val="none"/>
        </w:rPr>
        <w:t>An. coluzzii</w:t>
      </w:r>
      <w:r w:rsidRPr="008B2783">
        <w:rPr>
          <w:rFonts w:ascii="Calibri" w:eastAsia="Times New Roman" w:hAnsi="Calibri" w:cs="Calibri"/>
          <w:color w:val="000000"/>
          <w:kern w:val="0"/>
          <w:sz w:val="22"/>
          <w:szCs w:val="22"/>
          <w14:ligatures w14:val="none"/>
        </w:rPr>
        <w:t> raises concerns about the potential exchange of resistance mutations. These findings underscore the importance of establishing genomic surveillance to guide insecticide resistance management and malaria vector control in Côte d’Ivoire.</w:t>
      </w:r>
    </w:p>
    <w:p w14:paraId="0DBB743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25-A-3073-ASTMH</w:t>
      </w:r>
    </w:p>
    <w:p w14:paraId="6B671BA1"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Schistosomiasis and Other Trematodes – Diagnostics and Treatment</w:t>
      </w:r>
    </w:p>
    <w:p w14:paraId="6D9BD6A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Baicalin alleviates schistosomiasis japonicum-induced liver fibrosis by inhibiting M2 macrophage polarization through JAK2/STAT3 pathway and osteopontin expression.</w:t>
      </w:r>
    </w:p>
    <w:p w14:paraId="0E87163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Schistosomiasis japonicum is a major cause of liver fibrosis in endemic regions. The pathological progression involves a Th2-dominant immune response and excessive extracellular matrix (ECM) </w:t>
      </w:r>
      <w:r w:rsidRPr="008B2783">
        <w:rPr>
          <w:rFonts w:ascii="Calibri" w:eastAsia="Times New Roman" w:hAnsi="Calibri" w:cs="Calibri"/>
          <w:color w:val="000000"/>
          <w:kern w:val="0"/>
          <w:sz w:val="22"/>
          <w:szCs w:val="22"/>
          <w14:ligatures w14:val="none"/>
        </w:rPr>
        <w:lastRenderedPageBreak/>
        <w:t>deposition, leading to irreversible liver damage. This study explores the therapeutic potential of baicalin (BA), a bioactive flavonoid derived from </w:t>
      </w:r>
      <w:r w:rsidRPr="008B2783">
        <w:rPr>
          <w:rFonts w:ascii="Calibri" w:eastAsia="Times New Roman" w:hAnsi="Calibri" w:cs="Calibri"/>
          <w:i/>
          <w:iCs/>
          <w:color w:val="000000"/>
          <w:kern w:val="0"/>
          <w:sz w:val="22"/>
          <w:szCs w:val="22"/>
          <w14:ligatures w14:val="none"/>
        </w:rPr>
        <w:t>Scutellaria baicalensis</w:t>
      </w:r>
      <w:r w:rsidRPr="008B2783">
        <w:rPr>
          <w:rFonts w:ascii="Calibri" w:eastAsia="Times New Roman" w:hAnsi="Calibri" w:cs="Calibri"/>
          <w:color w:val="000000"/>
          <w:kern w:val="0"/>
          <w:sz w:val="22"/>
          <w:szCs w:val="22"/>
          <w14:ligatures w14:val="none"/>
        </w:rPr>
        <w:t>, in attenuating </w:t>
      </w:r>
      <w:r w:rsidRPr="008B2783">
        <w:rPr>
          <w:rFonts w:ascii="Calibri" w:eastAsia="Times New Roman" w:hAnsi="Calibri" w:cs="Calibri"/>
          <w:i/>
          <w:iCs/>
          <w:color w:val="000000"/>
          <w:kern w:val="0"/>
          <w:sz w:val="22"/>
          <w:szCs w:val="22"/>
          <w14:ligatures w14:val="none"/>
        </w:rPr>
        <w:t>S. japonicum</w:t>
      </w:r>
      <w:r w:rsidRPr="008B2783">
        <w:rPr>
          <w:rFonts w:ascii="Calibri" w:eastAsia="Times New Roman" w:hAnsi="Calibri" w:cs="Calibri"/>
          <w:color w:val="000000"/>
          <w:kern w:val="0"/>
          <w:sz w:val="22"/>
          <w:szCs w:val="22"/>
          <w14:ligatures w14:val="none"/>
        </w:rPr>
        <w:t>-induced hepatic fibrosis. Using a murine model of chronic schistosomiasis, we demonstrated that BA administration (20 or 50 mg/kg/day) significantly ameliorated hepatosplenomegaly and liver damage. Histopathological analysis revealed diminished granuloma size and collagen deposition, alongside decreased expression of fibrotic markers (α-SMA and COL1A1) in BA-treated groups with no alteration of parasite egg burden. BA treatment modulated the hepatic immune microenvironment. Immunofluorescence staining showed a selective reduction in M2 macrophage (CD206⁺) infiltration, while M1 (iNOS⁺) populations remained unaffected, highlighting BA’s ability to disrupt the pro-fibrotic M2 polarization cascade. Furthermore, BA downregulated osteopontin (OPN) in both liver tissues and serum. </w:t>
      </w:r>
      <w:r w:rsidRPr="008B2783">
        <w:rPr>
          <w:rFonts w:ascii="Calibri" w:eastAsia="Times New Roman" w:hAnsi="Calibri" w:cs="Calibri"/>
          <w:i/>
          <w:iCs/>
          <w:color w:val="000000"/>
          <w:kern w:val="0"/>
          <w:sz w:val="22"/>
          <w:szCs w:val="22"/>
          <w14:ligatures w14:val="none"/>
        </w:rPr>
        <w:t>In vitro</w:t>
      </w:r>
      <w:r w:rsidRPr="008B2783">
        <w:rPr>
          <w:rFonts w:ascii="Calibri" w:eastAsia="Times New Roman" w:hAnsi="Calibri" w:cs="Calibri"/>
          <w:color w:val="000000"/>
          <w:kern w:val="0"/>
          <w:sz w:val="22"/>
          <w:szCs w:val="22"/>
          <w14:ligatures w14:val="none"/>
        </w:rPr>
        <w:t> studies using RAW264.7 macrophages confirmed that BA inhibited SEA-induced OPN expression and M2 polarization evidenced by reduced CD206⁺/ARG-1⁺ cells. Conditioned media from BA-treated macrophages attenuated HSC activation in co-culture experiments, with JS-1 cells exhibiting lower COL1A1 and α-SMA levels. Mechanistically, BA suppressed the JAK2/STAT3 signaling pathway in SEA-treated RAW 264.7. These findings collectively demonstrate that BA alleviates </w:t>
      </w:r>
      <w:r w:rsidRPr="008B2783">
        <w:rPr>
          <w:rFonts w:ascii="Calibri" w:eastAsia="Times New Roman" w:hAnsi="Calibri" w:cs="Calibri"/>
          <w:i/>
          <w:iCs/>
          <w:color w:val="000000"/>
          <w:kern w:val="0"/>
          <w:sz w:val="22"/>
          <w:szCs w:val="22"/>
          <w14:ligatures w14:val="none"/>
        </w:rPr>
        <w:t>S. japonicum</w:t>
      </w:r>
      <w:r w:rsidRPr="008B2783">
        <w:rPr>
          <w:rFonts w:ascii="Calibri" w:eastAsia="Times New Roman" w:hAnsi="Calibri" w:cs="Calibri"/>
          <w:color w:val="000000"/>
          <w:kern w:val="0"/>
          <w:sz w:val="22"/>
          <w:szCs w:val="22"/>
          <w14:ligatures w14:val="none"/>
        </w:rPr>
        <w:t>-induced liver fibrosis through dual mechanisms: (1) inhibition of JAK2/STAT3-dependent M2 macrophage polarization and (2) suppression of OPN-mediated fibrogenic signaling. Given its established safety profile and multi-targeted action, BA represents a promising candidate for adjunctive therapy in schistosomiasis-associated hepatic fibrosis.</w:t>
      </w:r>
    </w:p>
    <w:p w14:paraId="6F6D244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25-A-3074-ASTMH</w:t>
      </w:r>
    </w:p>
    <w:p w14:paraId="4916D81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Schistosomiasis and Other Trematodes – Diagnostics and Treatment</w:t>
      </w:r>
    </w:p>
    <w:p w14:paraId="0C6CF20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Fixing the flaws: Does POC-CCA3 reduce batch-to-batch variation for </w:t>
      </w:r>
      <w:r w:rsidRPr="008B2783">
        <w:rPr>
          <w:rFonts w:ascii="Calibri" w:eastAsia="Times New Roman" w:hAnsi="Calibri" w:cs="Calibri"/>
          <w:i/>
          <w:iCs/>
          <w:color w:val="000000"/>
          <w:kern w:val="0"/>
          <w:sz w:val="22"/>
          <w:szCs w:val="22"/>
          <w14:ligatures w14:val="none"/>
        </w:rPr>
        <w:t>Schistosoma mansoni </w:t>
      </w:r>
      <w:r w:rsidRPr="008B2783">
        <w:rPr>
          <w:rFonts w:ascii="Calibri" w:eastAsia="Times New Roman" w:hAnsi="Calibri" w:cs="Calibri"/>
          <w:color w:val="000000"/>
          <w:kern w:val="0"/>
          <w:sz w:val="22"/>
          <w:szCs w:val="22"/>
          <w14:ligatures w14:val="none"/>
        </w:rPr>
        <w:t>diagnostics?</w:t>
      </w:r>
    </w:p>
    <w:p w14:paraId="4A8EB4B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World Health Organization (WHO) schistosomiasis control programmes typically rely on Kato-Katz microscopy (KK) to detect </w:t>
      </w:r>
      <w:r w:rsidRPr="008B2783">
        <w:rPr>
          <w:rFonts w:ascii="Calibri" w:eastAsia="Times New Roman" w:hAnsi="Calibri" w:cs="Calibri"/>
          <w:i/>
          <w:iCs/>
          <w:color w:val="000000"/>
          <w:kern w:val="0"/>
          <w:sz w:val="22"/>
          <w:szCs w:val="22"/>
          <w14:ligatures w14:val="none"/>
        </w:rPr>
        <w:t>Schistosoma mansoni</w:t>
      </w:r>
      <w:r w:rsidRPr="008B2783">
        <w:rPr>
          <w:rFonts w:ascii="Calibri" w:eastAsia="Times New Roman" w:hAnsi="Calibri" w:cs="Calibri"/>
          <w:color w:val="000000"/>
          <w:kern w:val="0"/>
          <w:sz w:val="22"/>
          <w:szCs w:val="22"/>
          <w14:ligatures w14:val="none"/>
        </w:rPr>
        <w:t> eggs, although KK have limited sensitivity, especially in low-intensity infections. The WHO-endorsed point-of-care circulating cathodic antigen test (POC-CCA) is more sensitive but lacks the complete specificity of KK and has suffered significant batch-to-batch variability, compromising reliability. We evaluated an updated version, POC-CCA3, with the aim of addressing this batch-to-batch variation. School-aged children (n=870) in moderate (Tororo) and high endemicity (Mayuge) settings in Uganda were tested using KK, POC-CCA, and POC-CCA3 tests over three consecutive days. Data were analysed using descriptive statistics and Bayesian Latent Class Analysis, estimating diagnostic performance including sensitivity, specificity, receiver operating characteristic curves, and batch-specific variation and day-to-day variation. Overall diagnostic performance of the POC-CCA3 (AUC &gt;94.2%) was higher compared to POC-CCA, with markedly lower batch-to-batch variation. Model median prevalence estimates were 91.4% (Mayuge) and 31.2% (Tororo). A single POC-CCA3 test at G-score threshold 4 achieved estimated sensitivity and specificity, respectively, 86.3% and 92.9% in moderate and 88.1% and 95.5% in high endemicity settings. POC-CCA3 has a small increase in the probability of meeting the WHO target product profile (TPP) for monitoring and evaluation compared to the original POC-CCA. The POC-CCA3 demonstrates superior performance and greater consistency compared to POC-CCA. A G-score threshold of 4 maximises performance towards WHO TPP requirements. However, neither test consistently meets WHO specificity requirements from a single sample, suggesting the need for continued refinement.</w:t>
      </w:r>
    </w:p>
    <w:p w14:paraId="5FB6A73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25-A-3075-ASTMH</w:t>
      </w:r>
    </w:p>
    <w:p w14:paraId="7D39DCAB"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Measures for Control and Elimination of Neglected Tropical Diseases (NTDs)</w:t>
      </w:r>
    </w:p>
    <w:p w14:paraId="2FD3775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Yaws truly: the role of passive and active surveillance systems for yaws elimination in Vanuatu</w:t>
      </w:r>
    </w:p>
    <w:p w14:paraId="5E96421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Background:</w:t>
      </w:r>
      <w:r w:rsidRPr="008B2783">
        <w:rPr>
          <w:rFonts w:ascii="Calibri" w:eastAsia="Times New Roman" w:hAnsi="Calibri" w:cs="Calibri"/>
          <w:color w:val="000000"/>
          <w:kern w:val="0"/>
          <w:sz w:val="22"/>
          <w:szCs w:val="22"/>
          <w14:ligatures w14:val="none"/>
        </w:rPr>
        <w:t xml:space="preserve"> Yaws, a disabling and disfiguring skin neglected tropical disease (NTD), is targeted for elimination in Vanuatu by 2030. Azithromycin mass drug administration (MDA) is integral to elimination but requires surveillance data to inform delivery. From 2021 to 2024, MDA for yaws, scabies and soil-transmitted helminths was conducted in Tafea, Sanma and Shefa provinces supported by the Pacific </w:t>
      </w:r>
      <w:r w:rsidRPr="008B2783">
        <w:rPr>
          <w:rFonts w:ascii="Calibri" w:eastAsia="Times New Roman" w:hAnsi="Calibri" w:cs="Calibri"/>
          <w:color w:val="000000"/>
          <w:kern w:val="0"/>
          <w:sz w:val="22"/>
          <w:szCs w:val="22"/>
          <w14:ligatures w14:val="none"/>
        </w:rPr>
        <w:lastRenderedPageBreak/>
        <w:t>Integrated NTD Elimination (PINE) project. This analysis reports passive and active surveillance yaws data throughout the project and their roles in identifying endemic communities. </w:t>
      </w:r>
      <w:r w:rsidRPr="008B2783">
        <w:rPr>
          <w:rFonts w:ascii="Calibri" w:eastAsia="Times New Roman" w:hAnsi="Calibri" w:cs="Calibri"/>
          <w:b/>
          <w:bCs/>
          <w:color w:val="000000"/>
          <w:kern w:val="0"/>
          <w:sz w:val="22"/>
          <w:szCs w:val="22"/>
          <w14:ligatures w14:val="none"/>
        </w:rPr>
        <w:t>Methods: </w:t>
      </w:r>
      <w:r w:rsidRPr="008B2783">
        <w:rPr>
          <w:rFonts w:ascii="Calibri" w:eastAsia="Times New Roman" w:hAnsi="Calibri" w:cs="Calibri"/>
          <w:color w:val="000000"/>
          <w:kern w:val="0"/>
          <w:sz w:val="22"/>
          <w:szCs w:val="22"/>
          <w14:ligatures w14:val="none"/>
        </w:rPr>
        <w:t>Passive yaws data (January 2021 - June 2024) was collated from health facility reporting across all six provinces. MDA campaigns in Tafea (2021, 2023), Sanma (2022) and Shefa (2023) provinces included self-reporting and screening of yaws cases. All suspected cases were confirmed using the Dual Path Platform (DPP) test, while those identified during the MDA were also analysed using a multi-bead assay (MBA) for anti-Rp17 and anti-TmpA antibodies. </w:t>
      </w:r>
      <w:r w:rsidRPr="008B2783">
        <w:rPr>
          <w:rFonts w:ascii="Calibri" w:eastAsia="Times New Roman" w:hAnsi="Calibri" w:cs="Calibri"/>
          <w:b/>
          <w:bCs/>
          <w:color w:val="000000"/>
          <w:kern w:val="0"/>
          <w:sz w:val="22"/>
          <w:szCs w:val="22"/>
          <w14:ligatures w14:val="none"/>
        </w:rPr>
        <w:t>Results: </w:t>
      </w:r>
      <w:r w:rsidRPr="008B2783">
        <w:rPr>
          <w:rFonts w:ascii="Calibri" w:eastAsia="Times New Roman" w:hAnsi="Calibri" w:cs="Calibri"/>
          <w:color w:val="000000"/>
          <w:kern w:val="0"/>
          <w:sz w:val="22"/>
          <w:szCs w:val="22"/>
          <w14:ligatures w14:val="none"/>
        </w:rPr>
        <w:t>There were 1,143 cases reported by health facilities and 58 cases detected through MDA campaigns. Of the total 1,201 cases, 77.0% (925/1,201) were in Tafea, 15.7% (188/1,201) in Shefa and 7.2% (86/1,201) in Sanma. There was one case each in Malampa and Penama, and no cases in Torba. Monthly case reporting detected low numbers in Tafea in 2021 followed by a large increase in late 2022 and 2023. Monthly case reporting in Sanma and Shefa remained stable. Of 12 DPP-positive children, 9 (75.0%) were positive for both anti-Rp17 and anti-TmpA antibodies. There were 19 DPP-negative children with suspected yaws, all also negative on the MBA. </w:t>
      </w:r>
      <w:r w:rsidRPr="008B2783">
        <w:rPr>
          <w:rFonts w:ascii="Calibri" w:eastAsia="Times New Roman" w:hAnsi="Calibri" w:cs="Calibri"/>
          <w:b/>
          <w:bCs/>
          <w:color w:val="000000"/>
          <w:kern w:val="0"/>
          <w:sz w:val="22"/>
          <w:szCs w:val="22"/>
          <w14:ligatures w14:val="none"/>
        </w:rPr>
        <w:t>Conclusion: </w:t>
      </w:r>
      <w:r w:rsidRPr="008B2783">
        <w:rPr>
          <w:rFonts w:ascii="Calibri" w:eastAsia="Times New Roman" w:hAnsi="Calibri" w:cs="Calibri"/>
          <w:color w:val="000000"/>
          <w:kern w:val="0"/>
          <w:sz w:val="22"/>
          <w:szCs w:val="22"/>
          <w14:ligatures w14:val="none"/>
        </w:rPr>
        <w:t>Passive surveillance is integral for monitoring yaws by providing longitudinal data on cases and their location. MDA with active surveillance is also an effective strategy to identify active cases. Both can inform the location of endemic communities and the need for targeted interventions to achieve yaws elimination.</w:t>
      </w:r>
    </w:p>
    <w:p w14:paraId="45730F8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25-A-3076-ASTMH</w:t>
      </w:r>
    </w:p>
    <w:p w14:paraId="6A27825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Mosquitoes - Epidemiology and Vector Control</w:t>
      </w:r>
    </w:p>
    <w:p w14:paraId="08C0045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Assessing the suitability of attractive targeted sugar baits (ATSBs) to control </w:t>
      </w:r>
      <w:r w:rsidRPr="008B2783">
        <w:rPr>
          <w:rFonts w:ascii="Calibri" w:eastAsia="Times New Roman" w:hAnsi="Calibri" w:cs="Calibri"/>
          <w:b/>
          <w:bCs/>
          <w:i/>
          <w:iCs/>
          <w:color w:val="000000"/>
          <w:kern w:val="0"/>
          <w:sz w:val="22"/>
          <w:szCs w:val="22"/>
          <w14:ligatures w14:val="none"/>
        </w:rPr>
        <w:t>Anopheles</w:t>
      </w:r>
      <w:r w:rsidRPr="008B2783">
        <w:rPr>
          <w:rFonts w:ascii="Calibri" w:eastAsia="Times New Roman" w:hAnsi="Calibri" w:cs="Calibri"/>
          <w:b/>
          <w:bCs/>
          <w:color w:val="000000"/>
          <w:kern w:val="0"/>
          <w:sz w:val="22"/>
          <w:szCs w:val="22"/>
          <w14:ligatures w14:val="none"/>
        </w:rPr>
        <w:t> mosquitoes in a setting with diverse natural sugar sources</w:t>
      </w:r>
    </w:p>
    <w:p w14:paraId="49737B6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Reliable tools are needed to target opportunistic outdoor-biting and resting malaria vectors that evade traditional indoor interventions. Attractive targeted sugar baits (ATSBs) have shown promise in controlling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mosquitoes, but their efficacy varies due to differences in mosquitoes' sugar-feeding preferences and competing natural sugar sources. This study evaluated the suitability of ATSBs to control</w:t>
      </w:r>
      <w:r w:rsidRPr="008B2783">
        <w:rPr>
          <w:rFonts w:ascii="Calibri" w:eastAsia="Times New Roman" w:hAnsi="Calibri" w:cs="Calibri"/>
          <w:i/>
          <w:iCs/>
          <w:color w:val="000000"/>
          <w:kern w:val="0"/>
          <w:sz w:val="22"/>
          <w:szCs w:val="22"/>
          <w14:ligatures w14:val="none"/>
        </w:rPr>
        <w:t> Anopheles</w:t>
      </w:r>
      <w:r w:rsidRPr="008B2783">
        <w:rPr>
          <w:rFonts w:ascii="Calibri" w:eastAsia="Times New Roman" w:hAnsi="Calibri" w:cs="Calibri"/>
          <w:color w:val="000000"/>
          <w:kern w:val="0"/>
          <w:sz w:val="22"/>
          <w:szCs w:val="22"/>
          <w14:ligatures w14:val="none"/>
        </w:rPr>
        <w:t> mosquitoes in Chikwawa, southern Malawi, an area characterized by diverse natural sugar sources. This study employed a two-phase approach to identify attractive sugar sources for local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mosquitoes. In the first phase, ten locally available plant species were selected in collaboration with the National Herbarium and Botanical Gardens of Malawi (NHBG) and assessed for attractiveness using plant-baited glue traps under field conditions. Field screening yielded low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mosquito catches, predominantly capturing culicine mosquitoes. Limited anopheline data precluded field-level conclusions on plant attractiveness. Nevertheless, three plant species were subsequently selected for experimental hut evaluation in phase two of the study, informed by prior laboratory findings and a comprehensive review of existing literature. The ongoing experimental hut studies aim to determine the efficacy of these plant-based sugar sources to lure mosquitoes. This research highlights the challenges of identifying effective sugar sources under natural conditions and underscores the need for tailored vector control strategies. By understanding local sugar source preferences, targeted control measures can be developed to enhance the efficacy of ATSBs in controlling </w:t>
      </w:r>
      <w:r w:rsidRPr="008B2783">
        <w:rPr>
          <w:rFonts w:ascii="Calibri" w:eastAsia="Times New Roman" w:hAnsi="Calibri" w:cs="Calibri"/>
          <w:i/>
          <w:iCs/>
          <w:color w:val="000000"/>
          <w:kern w:val="0"/>
          <w:sz w:val="22"/>
          <w:szCs w:val="22"/>
          <w14:ligatures w14:val="none"/>
        </w:rPr>
        <w:t>Anopheles</w:t>
      </w:r>
      <w:r w:rsidRPr="008B2783">
        <w:rPr>
          <w:rFonts w:ascii="Calibri" w:eastAsia="Times New Roman" w:hAnsi="Calibri" w:cs="Calibri"/>
          <w:color w:val="000000"/>
          <w:kern w:val="0"/>
          <w:sz w:val="22"/>
          <w:szCs w:val="22"/>
          <w14:ligatures w14:val="none"/>
        </w:rPr>
        <w:t> mosquito populations, ultimately informing novel intervention development.</w:t>
      </w:r>
    </w:p>
    <w:p w14:paraId="6E52440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25-A-3077-ASTMH</w:t>
      </w:r>
    </w:p>
    <w:p w14:paraId="6507EAE6"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Pathogenesis</w:t>
      </w:r>
    </w:p>
    <w:p w14:paraId="7BCB623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Biological Insights of Up-Regulated Gene Transcripts of Multiple </w:t>
      </w:r>
      <w:r w:rsidRPr="008B2783">
        <w:rPr>
          <w:rFonts w:ascii="Calibri" w:eastAsia="Times New Roman" w:hAnsi="Calibri" w:cs="Calibri"/>
          <w:b/>
          <w:bCs/>
          <w:i/>
          <w:iCs/>
          <w:color w:val="000000"/>
          <w:kern w:val="0"/>
          <w:sz w:val="22"/>
          <w:szCs w:val="22"/>
          <w14:ligatures w14:val="none"/>
        </w:rPr>
        <w:t>Plasmodium falciparum</w:t>
      </w:r>
      <w:r w:rsidRPr="008B2783">
        <w:rPr>
          <w:rFonts w:ascii="Calibri" w:eastAsia="Times New Roman" w:hAnsi="Calibri" w:cs="Calibri"/>
          <w:b/>
          <w:bCs/>
          <w:color w:val="000000"/>
          <w:kern w:val="0"/>
          <w:sz w:val="22"/>
          <w:szCs w:val="22"/>
          <w14:ligatures w14:val="none"/>
        </w:rPr>
        <w:t> Exportable Chaperones and Surface Antigens in Pediatric Severe Malarial Anemia</w:t>
      </w:r>
    </w:p>
    <w:p w14:paraId="448441C2"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Severe malaria caused by </w:t>
      </w:r>
      <w:r w:rsidRPr="008B2783">
        <w:rPr>
          <w:rFonts w:ascii="Calibri" w:eastAsia="Times New Roman" w:hAnsi="Calibri" w:cs="Calibri"/>
          <w:i/>
          <w:iCs/>
          <w:color w:val="000000"/>
          <w:kern w:val="0"/>
          <w:sz w:val="22"/>
          <w:szCs w:val="22"/>
          <w14:ligatures w14:val="none"/>
        </w:rPr>
        <w:t>Plasmodium falciparum</w:t>
      </w:r>
      <w:r w:rsidRPr="008B2783">
        <w:rPr>
          <w:rFonts w:ascii="Calibri" w:eastAsia="Times New Roman" w:hAnsi="Calibri" w:cs="Calibri"/>
          <w:color w:val="000000"/>
          <w:kern w:val="0"/>
          <w:sz w:val="22"/>
          <w:szCs w:val="22"/>
          <w14:ligatures w14:val="none"/>
        </w:rPr>
        <w:t> infections is a major contributor to childhood mortality in sub-Saharan Africa. </w:t>
      </w:r>
      <w:r w:rsidRPr="008B2783">
        <w:rPr>
          <w:rFonts w:ascii="Calibri" w:eastAsia="Times New Roman" w:hAnsi="Calibri" w:cs="Calibri"/>
          <w:i/>
          <w:iCs/>
          <w:color w:val="000000"/>
          <w:kern w:val="0"/>
          <w:sz w:val="22"/>
          <w:szCs w:val="22"/>
          <w14:ligatures w14:val="none"/>
        </w:rPr>
        <w:t>P. falciparum </w:t>
      </w:r>
      <w:r w:rsidRPr="008B2783">
        <w:rPr>
          <w:rFonts w:ascii="Calibri" w:eastAsia="Times New Roman" w:hAnsi="Calibri" w:cs="Calibri"/>
          <w:color w:val="000000"/>
          <w:kern w:val="0"/>
          <w:sz w:val="22"/>
          <w:szCs w:val="22"/>
          <w14:ligatures w14:val="none"/>
        </w:rPr>
        <w:t>has evolved unique molecular mechanisms contributing to its survival, virulence, and infectivity within the human host. These include a collaborative mechanism of exportable </w:t>
      </w:r>
      <w:r w:rsidRPr="008B2783">
        <w:rPr>
          <w:rFonts w:ascii="Calibri" w:eastAsia="Times New Roman" w:hAnsi="Calibri" w:cs="Calibri"/>
          <w:i/>
          <w:iCs/>
          <w:color w:val="000000"/>
          <w:kern w:val="0"/>
          <w:sz w:val="22"/>
          <w:szCs w:val="22"/>
          <w14:ligatures w14:val="none"/>
        </w:rPr>
        <w:t>P. falciparum </w:t>
      </w:r>
      <w:r w:rsidRPr="008B2783">
        <w:rPr>
          <w:rFonts w:ascii="Calibri" w:eastAsia="Times New Roman" w:hAnsi="Calibri" w:cs="Calibri"/>
          <w:color w:val="000000"/>
          <w:kern w:val="0"/>
          <w:sz w:val="22"/>
          <w:szCs w:val="22"/>
          <w14:ligatures w14:val="none"/>
        </w:rPr>
        <w:t>heat shock proteins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 xml:space="preserve">HSPs) and parasite surface antigens. A transcriptomic approach was utilized to investigate whether the cooperativity of these exportable HSPs and the parasite surface antigens differs between severe malarial anemia [SMA, hemoglobin (Hb)&lt;6.0 g/dL, </w:t>
      </w:r>
      <w:r w:rsidRPr="008B2783">
        <w:rPr>
          <w:rFonts w:ascii="Calibri" w:eastAsia="Times New Roman" w:hAnsi="Calibri" w:cs="Calibri"/>
          <w:color w:val="000000"/>
          <w:kern w:val="0"/>
          <w:sz w:val="22"/>
          <w:szCs w:val="22"/>
          <w14:ligatures w14:val="none"/>
        </w:rPr>
        <w:lastRenderedPageBreak/>
        <w:t>n=20] and non-SMA (Hb≥6.0 g/dL, n=40). Complete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transcriptome profiles were derived from whole blood samples of pediatric malaria patients recruited at Siaya County Referral Hospital, Kenya. Profiling of the expressed </w:t>
      </w:r>
      <w:r w:rsidRPr="008B2783">
        <w:rPr>
          <w:rFonts w:ascii="Calibri" w:eastAsia="Times New Roman" w:hAnsi="Calibri" w:cs="Calibri"/>
          <w:i/>
          <w:iCs/>
          <w:color w:val="000000"/>
          <w:kern w:val="0"/>
          <w:sz w:val="22"/>
          <w:szCs w:val="22"/>
          <w14:ligatures w14:val="none"/>
        </w:rPr>
        <w:t>P. falciparum</w:t>
      </w:r>
      <w:r w:rsidRPr="008B2783">
        <w:rPr>
          <w:rFonts w:ascii="Calibri" w:eastAsia="Times New Roman" w:hAnsi="Calibri" w:cs="Calibri"/>
          <w:color w:val="000000"/>
          <w:kern w:val="0"/>
          <w:sz w:val="22"/>
          <w:szCs w:val="22"/>
          <w14:ligatures w14:val="none"/>
        </w:rPr>
        <w:t> transcriptome revealed significant upregulation (</w:t>
      </w:r>
      <w:r w:rsidRPr="008B2783">
        <w:rPr>
          <w:rFonts w:ascii="Calibri" w:eastAsia="Times New Roman" w:hAnsi="Calibri" w:cs="Calibri"/>
          <w:i/>
          <w:iCs/>
          <w:color w:val="000000"/>
          <w:kern w:val="0"/>
          <w:sz w:val="22"/>
          <w:szCs w:val="22"/>
          <w14:ligatures w14:val="none"/>
        </w:rPr>
        <w:t>P</w:t>
      </w:r>
      <w:r w:rsidRPr="008B2783">
        <w:rPr>
          <w:rFonts w:ascii="Calibri" w:eastAsia="Times New Roman" w:hAnsi="Calibri" w:cs="Calibri"/>
          <w:color w:val="000000"/>
          <w:kern w:val="0"/>
          <w:sz w:val="22"/>
          <w:szCs w:val="22"/>
          <w14:ligatures w14:val="none"/>
        </w:rPr>
        <w:t>&lt;0.050) of the following parasite genes in children with SMA: exportable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HSPs including HSP70-3 (Log</w:t>
      </w:r>
      <w:r w:rsidRPr="008B2783">
        <w:rPr>
          <w:rFonts w:ascii="Calibri" w:eastAsia="Times New Roman" w:hAnsi="Calibri" w:cs="Calibri"/>
          <w:color w:val="000000"/>
          <w:kern w:val="0"/>
          <w:sz w:val="22"/>
          <w:szCs w:val="22"/>
          <w:vertAlign w:val="subscript"/>
          <w14:ligatures w14:val="none"/>
        </w:rPr>
        <w:t>2</w:t>
      </w:r>
      <w:r w:rsidRPr="008B2783">
        <w:rPr>
          <w:rFonts w:ascii="Calibri" w:eastAsia="Times New Roman" w:hAnsi="Calibri" w:cs="Calibri"/>
          <w:color w:val="000000"/>
          <w:kern w:val="0"/>
          <w:sz w:val="22"/>
          <w:szCs w:val="22"/>
          <w14:ligatures w14:val="none"/>
        </w:rPr>
        <w:t>FC=1.00), HSP40 (Log</w:t>
      </w:r>
      <w:r w:rsidRPr="008B2783">
        <w:rPr>
          <w:rFonts w:ascii="Calibri" w:eastAsia="Times New Roman" w:hAnsi="Calibri" w:cs="Calibri"/>
          <w:color w:val="000000"/>
          <w:kern w:val="0"/>
          <w:sz w:val="22"/>
          <w:szCs w:val="22"/>
          <w:vertAlign w:val="subscript"/>
          <w14:ligatures w14:val="none"/>
        </w:rPr>
        <w:t>2</w:t>
      </w:r>
      <w:r w:rsidRPr="008B2783">
        <w:rPr>
          <w:rFonts w:ascii="Calibri" w:eastAsia="Times New Roman" w:hAnsi="Calibri" w:cs="Calibri"/>
          <w:color w:val="000000"/>
          <w:kern w:val="0"/>
          <w:sz w:val="22"/>
          <w:szCs w:val="22"/>
          <w14:ligatures w14:val="none"/>
        </w:rPr>
        <w:t>FC=0.74), DnaJ putative (Log</w:t>
      </w:r>
      <w:r w:rsidRPr="008B2783">
        <w:rPr>
          <w:rFonts w:ascii="Calibri" w:eastAsia="Times New Roman" w:hAnsi="Calibri" w:cs="Calibri"/>
          <w:color w:val="000000"/>
          <w:kern w:val="0"/>
          <w:sz w:val="22"/>
          <w:szCs w:val="22"/>
          <w:vertAlign w:val="subscript"/>
          <w14:ligatures w14:val="none"/>
        </w:rPr>
        <w:t>2</w:t>
      </w:r>
      <w:r w:rsidRPr="008B2783">
        <w:rPr>
          <w:rFonts w:ascii="Calibri" w:eastAsia="Times New Roman" w:hAnsi="Calibri" w:cs="Calibri"/>
          <w:color w:val="000000"/>
          <w:kern w:val="0"/>
          <w:sz w:val="22"/>
          <w:szCs w:val="22"/>
          <w14:ligatures w14:val="none"/>
        </w:rPr>
        <w:t>FC=0.92), parasite surface antigens including the erythrocyte membrane-associated antigen (EMAA; Log</w:t>
      </w:r>
      <w:r w:rsidRPr="008B2783">
        <w:rPr>
          <w:rFonts w:ascii="Calibri" w:eastAsia="Times New Roman" w:hAnsi="Calibri" w:cs="Calibri"/>
          <w:color w:val="000000"/>
          <w:kern w:val="0"/>
          <w:sz w:val="22"/>
          <w:szCs w:val="22"/>
          <w:vertAlign w:val="subscript"/>
          <w14:ligatures w14:val="none"/>
        </w:rPr>
        <w:t>2</w:t>
      </w:r>
      <w:r w:rsidRPr="008B2783">
        <w:rPr>
          <w:rFonts w:ascii="Calibri" w:eastAsia="Times New Roman" w:hAnsi="Calibri" w:cs="Calibri"/>
          <w:color w:val="000000"/>
          <w:kern w:val="0"/>
          <w:sz w:val="22"/>
          <w:szCs w:val="22"/>
          <w14:ligatures w14:val="none"/>
        </w:rPr>
        <w:t>FC=1.05),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 erythrocyte membrane protein 1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EMP1; Log</w:t>
      </w:r>
      <w:r w:rsidRPr="008B2783">
        <w:rPr>
          <w:rFonts w:ascii="Calibri" w:eastAsia="Times New Roman" w:hAnsi="Calibri" w:cs="Calibri"/>
          <w:color w:val="000000"/>
          <w:kern w:val="0"/>
          <w:sz w:val="22"/>
          <w:szCs w:val="22"/>
          <w:vertAlign w:val="subscript"/>
          <w14:ligatures w14:val="none"/>
        </w:rPr>
        <w:t>2</w:t>
      </w:r>
      <w:r w:rsidRPr="008B2783">
        <w:rPr>
          <w:rFonts w:ascii="Calibri" w:eastAsia="Times New Roman" w:hAnsi="Calibri" w:cs="Calibri"/>
          <w:color w:val="000000"/>
          <w:kern w:val="0"/>
          <w:sz w:val="22"/>
          <w:szCs w:val="22"/>
          <w14:ligatures w14:val="none"/>
        </w:rPr>
        <w:t>FC=1.74), and the early transcribed membrane protein 4 (ETRAMP4; Log</w:t>
      </w:r>
      <w:r w:rsidRPr="008B2783">
        <w:rPr>
          <w:rFonts w:ascii="Calibri" w:eastAsia="Times New Roman" w:hAnsi="Calibri" w:cs="Calibri"/>
          <w:color w:val="000000"/>
          <w:kern w:val="0"/>
          <w:sz w:val="22"/>
          <w:szCs w:val="22"/>
          <w:vertAlign w:val="subscript"/>
          <w14:ligatures w14:val="none"/>
        </w:rPr>
        <w:t>2</w:t>
      </w:r>
      <w:r w:rsidRPr="008B2783">
        <w:rPr>
          <w:rFonts w:ascii="Calibri" w:eastAsia="Times New Roman" w:hAnsi="Calibri" w:cs="Calibri"/>
          <w:color w:val="000000"/>
          <w:kern w:val="0"/>
          <w:sz w:val="22"/>
          <w:szCs w:val="22"/>
          <w14:ligatures w14:val="none"/>
        </w:rPr>
        <w:t>FC=1.91). These results suggest that exportable</w:t>
      </w:r>
      <w:r w:rsidRPr="008B2783">
        <w:rPr>
          <w:rFonts w:ascii="Calibri" w:eastAsia="Times New Roman" w:hAnsi="Calibri" w:cs="Calibri"/>
          <w:i/>
          <w:iCs/>
          <w:color w:val="000000"/>
          <w:kern w:val="0"/>
          <w:sz w:val="22"/>
          <w:szCs w:val="22"/>
          <w14:ligatures w14:val="none"/>
        </w:rPr>
        <w:t> Pf</w:t>
      </w:r>
      <w:r w:rsidRPr="008B2783">
        <w:rPr>
          <w:rFonts w:ascii="Calibri" w:eastAsia="Times New Roman" w:hAnsi="Calibri" w:cs="Calibri"/>
          <w:color w:val="000000"/>
          <w:kern w:val="0"/>
          <w:sz w:val="22"/>
          <w:szCs w:val="22"/>
          <w14:ligatures w14:val="none"/>
        </w:rPr>
        <w:t>HSPs are enriched in children with SMA to facilitate folding of</w:t>
      </w:r>
      <w:r w:rsidRPr="008B2783">
        <w:rPr>
          <w:rFonts w:ascii="Calibri" w:eastAsia="Times New Roman" w:hAnsi="Calibri" w:cs="Calibri"/>
          <w:i/>
          <w:iCs/>
          <w:color w:val="000000"/>
          <w:kern w:val="0"/>
          <w:sz w:val="22"/>
          <w:szCs w:val="22"/>
          <w14:ligatures w14:val="none"/>
        </w:rPr>
        <w:t> Pf </w:t>
      </w:r>
      <w:r w:rsidRPr="008B2783">
        <w:rPr>
          <w:rFonts w:ascii="Calibri" w:eastAsia="Times New Roman" w:hAnsi="Calibri" w:cs="Calibri"/>
          <w:color w:val="000000"/>
          <w:kern w:val="0"/>
          <w:sz w:val="22"/>
          <w:szCs w:val="22"/>
          <w14:ligatures w14:val="none"/>
        </w:rPr>
        <w:t>antigens, especially during fever induced by thermal stress. These exportable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HSPs facilitate the stabilization of </w:t>
      </w:r>
      <w:r w:rsidRPr="008B2783">
        <w:rPr>
          <w:rFonts w:ascii="Calibri" w:eastAsia="Times New Roman" w:hAnsi="Calibri" w:cs="Calibri"/>
          <w:i/>
          <w:iCs/>
          <w:color w:val="000000"/>
          <w:kern w:val="0"/>
          <w:sz w:val="22"/>
          <w:szCs w:val="22"/>
          <w14:ligatures w14:val="none"/>
        </w:rPr>
        <w:t>Pf </w:t>
      </w:r>
      <w:r w:rsidRPr="008B2783">
        <w:rPr>
          <w:rFonts w:ascii="Calibri" w:eastAsia="Times New Roman" w:hAnsi="Calibri" w:cs="Calibri"/>
          <w:color w:val="000000"/>
          <w:kern w:val="0"/>
          <w:sz w:val="22"/>
          <w:szCs w:val="22"/>
          <w14:ligatures w14:val="none"/>
        </w:rPr>
        <w:t>antigens during fever and are trafficked into the host erythrocytes alongside the parasite antigenic determinants, such as </w:t>
      </w:r>
      <w:r w:rsidRPr="008B2783">
        <w:rPr>
          <w:rFonts w:ascii="Calibri" w:eastAsia="Times New Roman" w:hAnsi="Calibri" w:cs="Calibri"/>
          <w:i/>
          <w:iCs/>
          <w:color w:val="000000"/>
          <w:kern w:val="0"/>
          <w:sz w:val="22"/>
          <w:szCs w:val="22"/>
          <w14:ligatures w14:val="none"/>
        </w:rPr>
        <w:t>Pf</w:t>
      </w:r>
      <w:r w:rsidRPr="008B2783">
        <w:rPr>
          <w:rFonts w:ascii="Calibri" w:eastAsia="Times New Roman" w:hAnsi="Calibri" w:cs="Calibri"/>
          <w:color w:val="000000"/>
          <w:kern w:val="0"/>
          <w:sz w:val="22"/>
          <w:szCs w:val="22"/>
          <w14:ligatures w14:val="none"/>
        </w:rPr>
        <w:t>EMP1, a known client of HSP70. This chaperone-mediated cooperativity enhances remodeling of erythrocytes, infectivity, sequestration, and immune evasion of parasites characteristic of severe disease. Transcripts encoding exportable HSPs may be determinants of antigenic variation and severe malaria phenotypes. Further evaluation of the interaction between these HSPs and the parasite surface antigens is crucial for identifying novel diagnostic and therapeutic targets for severe malaria.</w:t>
      </w:r>
    </w:p>
    <w:p w14:paraId="20DB7E87"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25-A-3078-ASTMH</w:t>
      </w:r>
    </w:p>
    <w:p w14:paraId="1F91CCB9"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Helminths – Nematodes – Filariasis (Other)</w:t>
      </w:r>
    </w:p>
    <w:p w14:paraId="37679A3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An antibody biomarker associated with </w:t>
      </w:r>
      <w:r w:rsidRPr="008B2783">
        <w:rPr>
          <w:rFonts w:ascii="Calibri" w:eastAsia="Times New Roman" w:hAnsi="Calibri" w:cs="Calibri"/>
          <w:i/>
          <w:iCs/>
          <w:color w:val="000000"/>
          <w:kern w:val="0"/>
          <w:sz w:val="22"/>
          <w:szCs w:val="22"/>
          <w14:ligatures w14:val="none"/>
        </w:rPr>
        <w:t>Onchocerca volvulus</w:t>
      </w:r>
      <w:r w:rsidRPr="008B2783">
        <w:rPr>
          <w:rFonts w:ascii="Calibri" w:eastAsia="Times New Roman" w:hAnsi="Calibri" w:cs="Calibri"/>
          <w:color w:val="000000"/>
          <w:kern w:val="0"/>
          <w:sz w:val="22"/>
          <w:szCs w:val="22"/>
          <w14:ligatures w14:val="none"/>
        </w:rPr>
        <w:t> microfilariae identified by proteomics on parasite tissues isolated from </w:t>
      </w:r>
      <w:r w:rsidRPr="008B2783">
        <w:rPr>
          <w:rFonts w:ascii="Calibri" w:eastAsia="Times New Roman" w:hAnsi="Calibri" w:cs="Calibri"/>
          <w:i/>
          <w:iCs/>
          <w:color w:val="000000"/>
          <w:kern w:val="0"/>
          <w:sz w:val="22"/>
          <w:szCs w:val="22"/>
          <w14:ligatures w14:val="none"/>
        </w:rPr>
        <w:t>O. volvulus</w:t>
      </w:r>
      <w:r w:rsidRPr="008B2783">
        <w:rPr>
          <w:rFonts w:ascii="Calibri" w:eastAsia="Times New Roman" w:hAnsi="Calibri" w:cs="Calibri"/>
          <w:color w:val="000000"/>
          <w:kern w:val="0"/>
          <w:sz w:val="22"/>
          <w:szCs w:val="22"/>
          <w14:ligatures w14:val="none"/>
        </w:rPr>
        <w:t> nodules by laser capture microdissection</w:t>
      </w:r>
    </w:p>
    <w:p w14:paraId="1C9414F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Onchocerciasis, also known as river blindness, is a neglected tropical disease caused by the filarial nematode </w:t>
      </w:r>
      <w:r w:rsidRPr="008B2783">
        <w:rPr>
          <w:rFonts w:ascii="Calibri" w:eastAsia="Times New Roman" w:hAnsi="Calibri" w:cs="Calibri"/>
          <w:i/>
          <w:iCs/>
          <w:color w:val="000000"/>
          <w:kern w:val="0"/>
          <w:sz w:val="22"/>
          <w:szCs w:val="22"/>
          <w14:ligatures w14:val="none"/>
        </w:rPr>
        <w:t>Onchocerca volvulus</w:t>
      </w:r>
      <w:r w:rsidRPr="008B2783">
        <w:rPr>
          <w:rFonts w:ascii="Calibri" w:eastAsia="Times New Roman" w:hAnsi="Calibri" w:cs="Calibri"/>
          <w:color w:val="000000"/>
          <w:kern w:val="0"/>
          <w:sz w:val="22"/>
          <w:szCs w:val="22"/>
          <w14:ligatures w14:val="none"/>
        </w:rPr>
        <w:t> affecting millions of people in sub-Saharan Africa. The World Health Organization has targeted onchocerciasis for elimination and prioritized the production of improved diagnostic tests to support this goal. Our aim was to identify antigens associated with microfiladermia and developing microfilariae, the larval stage of the worm, as an indicator of reproductively active female worms. We used laser capture microdissection to isolate embryonic stage tissue from histologic sections of </w:t>
      </w:r>
      <w:r w:rsidRPr="008B2783">
        <w:rPr>
          <w:rFonts w:ascii="Calibri" w:eastAsia="Times New Roman" w:hAnsi="Calibri" w:cs="Calibri"/>
          <w:i/>
          <w:iCs/>
          <w:color w:val="000000"/>
          <w:kern w:val="0"/>
          <w:sz w:val="22"/>
          <w:szCs w:val="22"/>
          <w14:ligatures w14:val="none"/>
        </w:rPr>
        <w:t>O. volvulus</w:t>
      </w:r>
      <w:r w:rsidRPr="008B2783">
        <w:rPr>
          <w:rFonts w:ascii="Calibri" w:eastAsia="Times New Roman" w:hAnsi="Calibri" w:cs="Calibri"/>
          <w:color w:val="000000"/>
          <w:kern w:val="0"/>
          <w:sz w:val="22"/>
          <w:szCs w:val="22"/>
          <w14:ligatures w14:val="none"/>
        </w:rPr>
        <w:t> worms in subcutaneous nodules excised from onchocerciasis patients. With a proteomic analysis, we identified 2,512 </w:t>
      </w:r>
      <w:r w:rsidRPr="008B2783">
        <w:rPr>
          <w:rFonts w:ascii="Calibri" w:eastAsia="Times New Roman" w:hAnsi="Calibri" w:cs="Calibri"/>
          <w:i/>
          <w:iCs/>
          <w:color w:val="000000"/>
          <w:kern w:val="0"/>
          <w:sz w:val="22"/>
          <w:szCs w:val="22"/>
          <w14:ligatures w14:val="none"/>
        </w:rPr>
        <w:t>O. volvulus</w:t>
      </w:r>
      <w:r w:rsidRPr="008B2783">
        <w:rPr>
          <w:rFonts w:ascii="Calibri" w:eastAsia="Times New Roman" w:hAnsi="Calibri" w:cs="Calibri"/>
          <w:color w:val="000000"/>
          <w:kern w:val="0"/>
          <w:sz w:val="22"/>
          <w:szCs w:val="22"/>
          <w14:ligatures w14:val="none"/>
        </w:rPr>
        <w:t> proteins in different worm tissues, including 264 found only in the microfilariae. We prioritized the target OVOC12404, a putative cuticular collagen, for further study because it was found in high abundance within microfilariae and lacked close homologues in other filarial species. Immunolocalization demonstrated this antigen on the surface of coiled, stretched and tissue microfilariae. Using ELISA, we detected IgG antibodies to OVOC12404 in plasma from 124 of 162 (76.5%) people with </w:t>
      </w:r>
      <w:r w:rsidRPr="008B2783">
        <w:rPr>
          <w:rFonts w:ascii="Calibri" w:eastAsia="Times New Roman" w:hAnsi="Calibri" w:cs="Calibri"/>
          <w:i/>
          <w:iCs/>
          <w:color w:val="000000"/>
          <w:kern w:val="0"/>
          <w:sz w:val="22"/>
          <w:szCs w:val="22"/>
          <w14:ligatures w14:val="none"/>
        </w:rPr>
        <w:t>O. volvulus</w:t>
      </w:r>
      <w:r w:rsidRPr="008B2783">
        <w:rPr>
          <w:rFonts w:ascii="Calibri" w:eastAsia="Times New Roman" w:hAnsi="Calibri" w:cs="Calibri"/>
          <w:color w:val="000000"/>
          <w:kern w:val="0"/>
          <w:sz w:val="22"/>
          <w:szCs w:val="22"/>
          <w14:ligatures w14:val="none"/>
        </w:rPr>
        <w:t> microfiladermia. The specificity of this ELISA was 98% based on 42 samples from lymphatic filariasis patients from areas without co-endemic onchocerciasis. Antibodies to OVOC12404 declined significantly by 18 months after treatments that cleared </w:t>
      </w:r>
      <w:r w:rsidRPr="008B2783">
        <w:rPr>
          <w:rFonts w:ascii="Calibri" w:eastAsia="Times New Roman" w:hAnsi="Calibri" w:cs="Calibri"/>
          <w:i/>
          <w:iCs/>
          <w:color w:val="000000"/>
          <w:kern w:val="0"/>
          <w:sz w:val="22"/>
          <w:szCs w:val="22"/>
          <w14:ligatures w14:val="none"/>
        </w:rPr>
        <w:t>O. volvulus</w:t>
      </w:r>
      <w:r w:rsidRPr="008B2783">
        <w:rPr>
          <w:rFonts w:ascii="Calibri" w:eastAsia="Times New Roman" w:hAnsi="Calibri" w:cs="Calibri"/>
          <w:color w:val="000000"/>
          <w:kern w:val="0"/>
          <w:sz w:val="22"/>
          <w:szCs w:val="22"/>
          <w14:ligatures w14:val="none"/>
        </w:rPr>
        <w:t> microfilariae from the skin. Furthermore, post-treatment antibodies to OVOC12404 declined more than antibodies to Ov16, a widely used diagnostic target. This study showed that spatial proteomics on paraffin-embedded histological sections can be used to identify antigens associated with specific parasite tissues and life-cycle stages. Further work is needed to assess the potential value of an OVOC12404 antibody test as an additional diagnostic tool to support onchocerciasis elimination programs.</w:t>
      </w:r>
    </w:p>
    <w:p w14:paraId="77F5DBB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25-A-3080-ASTMH</w:t>
      </w:r>
    </w:p>
    <w:p w14:paraId="2DF9EE78"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Clinical Tropical Medicine</w:t>
      </w:r>
    </w:p>
    <w:p w14:paraId="683E2B10"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Examining the COVID-19/malaria interface: An opportunity for progress against endemic and emerging disease management</w:t>
      </w:r>
    </w:p>
    <w:p w14:paraId="3406EADE"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The COVID-19 pandemic jeopardized two decades of progress against malaria in Africa and highlighted health system challenges. At the epicentre of the COVID-19/malaria interface are health workers (HW) responsible for the management of both diseases with the added complication of the febrile symptom </w:t>
      </w:r>
      <w:r w:rsidRPr="008B2783">
        <w:rPr>
          <w:rFonts w:ascii="Calibri" w:eastAsia="Times New Roman" w:hAnsi="Calibri" w:cs="Calibri"/>
          <w:color w:val="000000"/>
          <w:kern w:val="0"/>
          <w:sz w:val="22"/>
          <w:szCs w:val="22"/>
          <w14:ligatures w14:val="none"/>
        </w:rPr>
        <w:lastRenderedPageBreak/>
        <w:t>overlap between COVID-19 and malaria. This study explored how HWs at primary health centres in Kinshasa Province, DRC, approach diagnosis and treatment of fevers, in the context of overlapping symptoms of malaria, COVID-19, and other non-malarial febrile illnesses. A survey of 403 health workers at 110 public health centres ranging from health posts to hospitals was conducted from November-December 2024 in Lingwala urban Health Zone and Maluku I urban-rural Health Zone. A semi-structured questionnaire was used to assess HW training, knowledge, attitudes, and behaviours on febrile illnesses. Descriptive statistics summarized findings within and between health zones. Malaria was the most commonly reported fever diagnosis in both health zones, despite their differing low and high malaria endemicity. 95.3% of HWs agreed that RDTs for malaria and COVID-19 made their job easier, but 46.6% also expressed that RDTs can get in the way of diagnosis. HWs also reported that the pandemic reduced their confidence in diagnosing fevers (39.5%) and respiratory infections (42.9%). Findings demonstrate that five years post-pandemic, COVID-19 has persistently destabilized HWs’ approach to fever case management. With the increased risk and frequency of new and emerging diseases, particularly in regions where malaria remains a significant public health concern, a more local and contextualized approach to pandemic preparedness is required. Preparedness measures, including HW training and health system strengthening, should incorporate HWs’ everyday realities of managing the interface between endemic and emerging diseases. Reframing pandemic preparedness as an entry-point for localized endemic disease management has the potential to reclaim and advance progress against malaria.</w:t>
      </w:r>
    </w:p>
    <w:p w14:paraId="086D094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25-A-3081-ASTMH</w:t>
      </w:r>
    </w:p>
    <w:p w14:paraId="5A09152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Bacteriology - Enteric Infections</w:t>
      </w:r>
    </w:p>
    <w:p w14:paraId="297E1DE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b/>
          <w:bCs/>
          <w:color w:val="000000"/>
          <w:kern w:val="0"/>
          <w:sz w:val="22"/>
          <w:szCs w:val="22"/>
          <w14:ligatures w14:val="none"/>
        </w:rPr>
        <w:t>A colorimetric method to detect virulent bacteriophage to </w:t>
      </w:r>
      <w:r w:rsidRPr="008B2783">
        <w:rPr>
          <w:rFonts w:ascii="Calibri" w:eastAsia="Times New Roman" w:hAnsi="Calibri" w:cs="Calibri"/>
          <w:b/>
          <w:bCs/>
          <w:i/>
          <w:iCs/>
          <w:color w:val="000000"/>
          <w:kern w:val="0"/>
          <w:sz w:val="22"/>
          <w:szCs w:val="22"/>
          <w14:ligatures w14:val="none"/>
        </w:rPr>
        <w:t>Vibrio cholerae</w:t>
      </w:r>
      <w:r w:rsidRPr="008B2783">
        <w:rPr>
          <w:rFonts w:ascii="Calibri" w:eastAsia="Times New Roman" w:hAnsi="Calibri" w:cs="Calibri"/>
          <w:b/>
          <w:bCs/>
          <w:color w:val="000000"/>
          <w:kern w:val="0"/>
          <w:sz w:val="22"/>
          <w:szCs w:val="22"/>
          <w14:ligatures w14:val="none"/>
        </w:rPr>
        <w:t> in fecal and environmental samples</w:t>
      </w:r>
    </w:p>
    <w:p w14:paraId="664E672F"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i/>
          <w:iCs/>
          <w:color w:val="000000"/>
          <w:kern w:val="0"/>
          <w:sz w:val="22"/>
          <w:szCs w:val="22"/>
          <w14:ligatures w14:val="none"/>
        </w:rPr>
        <w:t>V. cholerae </w:t>
      </w:r>
      <w:r w:rsidRPr="008B2783">
        <w:rPr>
          <w:rFonts w:ascii="Calibri" w:eastAsia="Times New Roman" w:hAnsi="Calibri" w:cs="Calibri"/>
          <w:color w:val="000000"/>
          <w:kern w:val="0"/>
          <w:sz w:val="22"/>
          <w:szCs w:val="22"/>
          <w14:ligatures w14:val="none"/>
        </w:rPr>
        <w:t>are often infected with vibriophages and these phages may be found associated with </w:t>
      </w:r>
      <w:r w:rsidRPr="008B2783">
        <w:rPr>
          <w:rFonts w:ascii="Calibri" w:eastAsia="Times New Roman" w:hAnsi="Calibri" w:cs="Calibri"/>
          <w:i/>
          <w:iCs/>
          <w:color w:val="000000"/>
          <w:kern w:val="0"/>
          <w:sz w:val="22"/>
          <w:szCs w:val="22"/>
          <w14:ligatures w14:val="none"/>
        </w:rPr>
        <w:t>V. cholerae</w:t>
      </w:r>
      <w:r w:rsidRPr="008B2783">
        <w:rPr>
          <w:rFonts w:ascii="Calibri" w:eastAsia="Times New Roman" w:hAnsi="Calibri" w:cs="Calibri"/>
          <w:color w:val="000000"/>
          <w:kern w:val="0"/>
          <w:sz w:val="22"/>
          <w:szCs w:val="22"/>
          <w14:ligatures w14:val="none"/>
        </w:rPr>
        <w:t> bacteria or may be detected independently from the bacteria, especially in environmental water samples. When detected, vibriophages serve as a surrogate for detection of </w:t>
      </w:r>
      <w:r w:rsidRPr="008B2783">
        <w:rPr>
          <w:rFonts w:ascii="Calibri" w:eastAsia="Times New Roman" w:hAnsi="Calibri" w:cs="Calibri"/>
          <w:i/>
          <w:iCs/>
          <w:color w:val="000000"/>
          <w:kern w:val="0"/>
          <w:sz w:val="22"/>
          <w:szCs w:val="22"/>
          <w14:ligatures w14:val="none"/>
        </w:rPr>
        <w:t>V. cholerae</w:t>
      </w:r>
      <w:r w:rsidRPr="008B2783">
        <w:rPr>
          <w:rFonts w:ascii="Calibri" w:eastAsia="Times New Roman" w:hAnsi="Calibri" w:cs="Calibri"/>
          <w:color w:val="000000"/>
          <w:kern w:val="0"/>
          <w:sz w:val="22"/>
          <w:szCs w:val="22"/>
          <w14:ligatures w14:val="none"/>
        </w:rPr>
        <w:t> and they also have an important role in the ecology of </w:t>
      </w:r>
      <w:r w:rsidRPr="008B2783">
        <w:rPr>
          <w:rFonts w:ascii="Calibri" w:eastAsia="Times New Roman" w:hAnsi="Calibri" w:cs="Calibri"/>
          <w:i/>
          <w:iCs/>
          <w:color w:val="000000"/>
          <w:kern w:val="0"/>
          <w:sz w:val="22"/>
          <w:szCs w:val="22"/>
          <w14:ligatures w14:val="none"/>
        </w:rPr>
        <w:t>V. cholerae</w:t>
      </w:r>
      <w:r w:rsidRPr="008B2783">
        <w:rPr>
          <w:rFonts w:ascii="Calibri" w:eastAsia="Times New Roman" w:hAnsi="Calibri" w:cs="Calibri"/>
          <w:color w:val="000000"/>
          <w:kern w:val="0"/>
          <w:sz w:val="22"/>
          <w:szCs w:val="22"/>
          <w14:ligatures w14:val="none"/>
        </w:rPr>
        <w:t>. Although vibriophages can be detected using plaque assays or PCR, these methods are time-consuming and require specialized laboratory resources. To address limitations of other methods, we developed a </w:t>
      </w:r>
      <w:r w:rsidRPr="008B2783">
        <w:rPr>
          <w:rFonts w:ascii="Calibri" w:eastAsia="Times New Roman" w:hAnsi="Calibri" w:cs="Calibri"/>
          <w:b/>
          <w:bCs/>
          <w:color w:val="000000"/>
          <w:kern w:val="0"/>
          <w:sz w:val="22"/>
          <w:szCs w:val="22"/>
          <w14:ligatures w14:val="none"/>
        </w:rPr>
        <w:t>simple, rapid, and inexpensive colorimetric assay</w:t>
      </w:r>
      <w:r w:rsidRPr="008B2783">
        <w:rPr>
          <w:rFonts w:ascii="Calibri" w:eastAsia="Times New Roman" w:hAnsi="Calibri" w:cs="Calibri"/>
          <w:color w:val="000000"/>
          <w:kern w:val="0"/>
          <w:sz w:val="22"/>
          <w:szCs w:val="22"/>
          <w14:ligatures w14:val="none"/>
        </w:rPr>
        <w:t> to detect vibriophage that can be scaled up easily to screen large numbers of samples. The assay uses resazurin and a non-toxigenic </w:t>
      </w:r>
      <w:r w:rsidRPr="008B2783">
        <w:rPr>
          <w:rFonts w:ascii="Calibri" w:eastAsia="Times New Roman" w:hAnsi="Calibri" w:cs="Calibri"/>
          <w:i/>
          <w:iCs/>
          <w:color w:val="000000"/>
          <w:kern w:val="0"/>
          <w:sz w:val="22"/>
          <w:szCs w:val="22"/>
          <w14:ligatures w14:val="none"/>
        </w:rPr>
        <w:t>V. cholerae</w:t>
      </w:r>
      <w:r w:rsidRPr="008B2783">
        <w:rPr>
          <w:rFonts w:ascii="Calibri" w:eastAsia="Times New Roman" w:hAnsi="Calibri" w:cs="Calibri"/>
          <w:color w:val="000000"/>
          <w:kern w:val="0"/>
          <w:sz w:val="22"/>
          <w:szCs w:val="22"/>
          <w14:ligatures w14:val="none"/>
        </w:rPr>
        <w:t> bacterium, AC6169 known to be susceptible to vibriophages ICP1, 2, and 3. Resazurin is a blue dye that changes to pink when added to a culture broth with growing bacteria. When a bacteria-free test sample, such as a Millipore filtered wastewater sample containing vibriophages, is added to a culture broth with AC6169 and resazurin, the bacteria will be lysed by the phages and will not grow, so the color of the broth remains blue. However, if there are no phages in the sample, the bacteria will grow rapidly, and the culture broth turns pink. We developed the assay using ICP1 spiked samples of environmental water and stool and found it to be sensitive with a limit of detection of 4 to 40 plaque forming units/ml. This colorimetric assay promises to provide a convenient method to detect vibriophages on a larger scale than was possible earlier to better understand their role as a surrogate for detecting </w:t>
      </w:r>
      <w:r w:rsidRPr="008B2783">
        <w:rPr>
          <w:rFonts w:ascii="Calibri" w:eastAsia="Times New Roman" w:hAnsi="Calibri" w:cs="Calibri"/>
          <w:i/>
          <w:iCs/>
          <w:color w:val="000000"/>
          <w:kern w:val="0"/>
          <w:sz w:val="22"/>
          <w:szCs w:val="22"/>
          <w14:ligatures w14:val="none"/>
        </w:rPr>
        <w:t>V. cholerae</w:t>
      </w:r>
      <w:r w:rsidRPr="008B2783">
        <w:rPr>
          <w:rFonts w:ascii="Calibri" w:eastAsia="Times New Roman" w:hAnsi="Calibri" w:cs="Calibri"/>
          <w:color w:val="000000"/>
          <w:kern w:val="0"/>
          <w:sz w:val="22"/>
          <w:szCs w:val="22"/>
          <w14:ligatures w14:val="none"/>
        </w:rPr>
        <w:t> and to better understand their role in the pathogenesis, ecology, and epidemiology of cholera.</w:t>
      </w:r>
    </w:p>
    <w:p w14:paraId="68D9535C"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25-A-3083-ASTMH</w:t>
      </w:r>
    </w:p>
    <w:p w14:paraId="745FCFBA"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Malaria - Prevention</w:t>
      </w:r>
    </w:p>
    <w:p w14:paraId="1AB1149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Perennial malaria chemoprevention in the Democratic Republic of the Congo: coverage level and drivers of uptake</w:t>
      </w:r>
    </w:p>
    <w:p w14:paraId="166F0493" w14:textId="77777777" w:rsidR="008B2783" w:rsidRPr="008B2783" w:rsidRDefault="008B2783" w:rsidP="008B2783">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B2783">
        <w:rPr>
          <w:rFonts w:ascii="Calibri" w:eastAsia="Times New Roman" w:hAnsi="Calibri" w:cs="Calibri"/>
          <w:color w:val="000000"/>
          <w:kern w:val="0"/>
          <w:sz w:val="22"/>
          <w:szCs w:val="22"/>
          <w14:ligatures w14:val="none"/>
        </w:rPr>
        <w:t xml:space="preserve">Perennial malaria chemoprevention (PMC) is a high-impact intervention aimed at reducing malaria burden among young children in high-transmission settings. Starting December 2023, the DRC introduced PMC with six doses of SP given at 10 and 14 weeks, and 6, 9, 12, and 15 months. Data on </w:t>
      </w:r>
      <w:r w:rsidRPr="008B2783">
        <w:rPr>
          <w:rFonts w:ascii="Calibri" w:eastAsia="Times New Roman" w:hAnsi="Calibri" w:cs="Calibri"/>
          <w:color w:val="000000"/>
          <w:kern w:val="0"/>
          <w:sz w:val="22"/>
          <w:szCs w:val="22"/>
          <w14:ligatures w14:val="none"/>
        </w:rPr>
        <w:lastRenderedPageBreak/>
        <w:t>coverage and equity in access remain limited. This study aimed to assess PMC coverage and identify factors associated with uptake in children aged 6-23 months in implementing health zones (HZs) in DRC. A cross-sectional household survey was conducted between March and April 2025 in 4 HZs of the Kongo Central Province, 15 months after the launch of a pilot implementation of PMC. Data were collected through face-to-face interviews with heads of household and caregivers of children aged 6-23 months using a structured electronic questionnaire, and review of health records. Blood samples were collected to estimate malaria prevalence through rapid testing (RDT) and prevalence of anemia using HemoCue photometer. Descriptive statistics were used to estimate PMC coverage, and multivariate logistic regression was applied to identify determinants of PMC uptake. A total of 1,253 children were enrolled, of which 51.3% were female, and the median age (IQR) was 13.4 (10.1-18.0) months. Unweighted preliminary results show a documented PMC coverage of 72.3% (95% CI: 69.8-74.7) for at least one dose received and 39.2% (95% CI: 36.5-41.9) for at least three doses. Bed net use was 92.9% (95% CI: 91.3-94.2) and malaria prevalence by RDT was 22.0% (95% CI: 19.7-24.3). The prevalence of anemia (Hb &lt;11.0g/dL) was 63.5% (95% CI: 60.7-66.1), of which 1.9% (95% CI: 1.3-2.8) was severe (Hb &lt;7.0g/dL). Children in the second year of life (OR 95% CI: 0.46 [0.35-0.61]) and children whose caregivers are engaged in informal commercial activities (OR 95% CI: 0.53 [0.32-0.88]) were less likely to receive PMC. While initial PMC coverage in the DRC shows promising reach, significant gaps remain, particularly among older children. Strengthening caregiver engagement and addressing challenges related to caregivers’ competing priorities will be critical to improving PMC uptake and maximizing impact.</w:t>
      </w:r>
    </w:p>
    <w:p w14:paraId="412CEA0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25-A-3084-ASTMH</w:t>
      </w:r>
    </w:p>
    <w:p w14:paraId="731AF74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Prevention</w:t>
      </w:r>
    </w:p>
    <w:p w14:paraId="6C8DCF8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Understanding and maximizing the community impact of seasonal malaria chemoprevention: a randomized controlled trial in a high malaria burden setting</w:t>
      </w:r>
    </w:p>
    <w:p w14:paraId="175FAC2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Seasonal Malaria Chemoprevention (SMC) currently involves administration of Sulfadoxine-Pyrimethamine plus Amodiaquine to children below 5 years (&lt;5y) during the peak season. It is currently unclear how coverage and uptake define efficacy and what the impact is of extending SMC to a wider age range. We conducted a cluster-randomized trial in Saponé Health District, in Burkina Faso, with three study arms: Arm 1) SMC in children &lt;5y, implemented programmatically without observed treatment); Arm 2) SMC in children &lt;5y, with directly observed treatment (DOT); Arm 3) SMC in children &lt;10y, with DOT. The trial involved 62 clusters of 3 compounds (i.e. 185 compounds per arm). Primary endpoint was parasite prevalence at the end of the transmission season; secondary endpoints included SMC coverage, drug plasma levels and malaria incidence. A total study population of 3547 subjects of all ages were enrolled including 980 SMC-targeted individuals (Arm 1: 236 children &lt;5y; Arm 2: 231 children &lt;5y; Arm 3: 513 children &lt;10y). SMC coverage in intervention arms ranged from 92-100% in different rounds. Parasite prevalence at the end of the transmission season in children &lt;5y was 24.9% in the control arm 1 and 18.9% in the DOT arms 2 and 3 combined (OR 0.73 (95% CI 0.45, 1.17), p=0.194). Parasite prevalence in children 5-9y was lower in arm 3 (28.1%) compared to arms 1 and 2 (42.6%) where this age group was not targeted (OR 0.46 (0.31-0.69), p&lt;0.001). Plasma levels of both sulfadoxine and pyrimethamine were lower in children &lt;5y in arm 1 compared to DOT arms 2 and 3 (p=0.020). A total of 447 incident malaria cases were detected during the study period, with a lower incidence in children &lt;5y in arm 2 versus arm 1 (Incidence Rate Ratio 0.42 (0.27 -0.69), p&lt;0.001) and in children 5-9y between arms 3 and 2 (IRR 0.31 (0.20, 0.49), p&lt;0.001. In this comprehensive evaluation of SMC in a high malaria burden setting, we observed lower plasma drug levels and higher malaria incidence when SMC was implemented programmatically as compared to research-quality DOT and a marked reduction in malaria if SMC was extended to older children.</w:t>
      </w:r>
    </w:p>
    <w:p w14:paraId="4C5B8DC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25-A-3085-ASTMH</w:t>
      </w:r>
    </w:p>
    <w:p w14:paraId="6F5C28E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Evolution and Genomic Epidemiology</w:t>
      </w:r>
    </w:p>
    <w:p w14:paraId="3D99CC3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Retrospective Genomic Surveillance of St. Louis Encephalitis Virus in Texas, USA from 2009-2024 Revealed Concurrent but Geographically Distinct Circulation of Genotypes II and III</w:t>
      </w:r>
    </w:p>
    <w:p w14:paraId="503BE03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St. Louis encephalitis virus (SLEV) is a mosquito-borne flavivirus historically significant in the US, particularly in the southwest and Gulf Coast regions where a large proportion of human cases and deaths have been reported. After the introduction of West Nile virus (WNV) to the US in 1999, SLEV incidence in humans and mosquitos sharply declined, likely due to ecological competition between the viruses. No major SLEV outbreaks occurred in areas with WNV until 2015, when concurrent SLEV and WNV outbreaks led to fatalities in Arizona and California. These were linked to the introduction of SLEV genotype III, previously seen only in Argentina during outbreaks from 2005-2011. Genotype III has since established itself in the Western US, replacing all other genotypes. However, no genomic surveillance has been done in the US East of El Paso, TX, despite the Texas Gulf Coast’s history of SLEV outbreaks. To address this gap, we performed retrospective genomic surveillance on SLEV-positive mosquito pools collected from 2009-2024 from 11 counties across Texas. Our phylogenomic analysis found genotypes II and III circulated concurrently in Texas but were geographically segregated. Genotype II was found only in Gulf Coast counties with sustained local transmission. Genotype III was only detected in North and West Texas, forming two clades with signs of local establishment and introduction from other regions. Our study identified the earliest genotype III samples thus far reported in the US. These samples, however, were not basal to all other US genotype III sequences, leaving the entry point of genotype III into the country unclear. Our findings underscore the need for increased clinical awareness in northern and western Texas, where SLEV and WNV outbreaks may co-occur, and suggest that the Texas Gulf Coast may be protected from genotype III encroachment, highlighting a need for ecological study.</w:t>
      </w:r>
    </w:p>
    <w:p w14:paraId="2414E14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25-A-3086-ASTMH</w:t>
      </w:r>
    </w:p>
    <w:p w14:paraId="5013A8C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Security/Emerging Infection Preparedness, Surveillance and Response(s)</w:t>
      </w:r>
    </w:p>
    <w:p w14:paraId="1D3EAC6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need for speed: characterizing the evolution in epidemic speed in Mpox and Marburg Virus Disease</w:t>
      </w:r>
    </w:p>
    <w:p w14:paraId="08693B5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controllability of a pathogen has traditionally been framed around the pathogen’s basic reproduction number, R0, and the proportion of infections which display overt symptoms (e.g., proportion of infections which are symptomatic). However, there have been several recent global outbreaks of Mpox, caused by two subclades of monkeypox virus, and Marburg Virus Disease (MVD) caused by Marburg virus, despite relatively high rates of symptomatic disease and low values of R0. While R0 reflects the ultimate strength of a pathogen as measured by the final fraction infected and the proportion symptomatic highlights the difficulties in identification and surveillance—one essential component of outbreak response is the speed of the outbreak. In our study we examine the evolution of the intrinsic growth rate or epidemic speed of Mpox and MVD compared to the evolution in R0. We conducted a systematic review of reported outbreaks where epidemic curves were available for cases or deaths. Serial and generation intervals for each virus were extracted from literature values. Intrinsic growth rates were calculated using Poisson regression. We then compared the change in both the R0 and the intrinsic growth rate over time. Our findings suggest that both R0 and the intrinsic growth rate have increased over time; however, values for the intrinsic growth rate have increased between 2 and 15 fold in some instances. These findings suggest that these pathogens spread not only to more individuals, but on faster timescales requiring faster response and control measures. Our study underscores the need for considering pathogen speed when designing surveillance and response systems.</w:t>
      </w:r>
    </w:p>
    <w:p w14:paraId="48167AD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25-A-3087-ASTMH</w:t>
      </w:r>
    </w:p>
    <w:p w14:paraId="21730B6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Prevention</w:t>
      </w:r>
    </w:p>
    <w:p w14:paraId="5588657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Prevalence and associated factors of anemia in pregnant women in areas of high transmission, Dioïla, Mali, 2022</w:t>
      </w:r>
    </w:p>
    <w:p w14:paraId="6CA8C51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Introduction</w:t>
      </w:r>
      <w:r w:rsidRPr="00EE434E">
        <w:rPr>
          <w:rFonts w:ascii="Calibri" w:eastAsia="Times New Roman" w:hAnsi="Calibri" w:cs="Calibri"/>
          <w:color w:val="000000"/>
          <w:kern w:val="0"/>
          <w:sz w:val="22"/>
          <w:szCs w:val="22"/>
          <w14:ligatures w14:val="none"/>
        </w:rPr>
        <w:t>: Anemia in pregnancy affecting around 40% of pregnant women, mainly in low-income countries such as Mali. This study was carried out to estimate the prevalence of anemia and its associated factors in an area of high malaria transmission. </w:t>
      </w:r>
      <w:r w:rsidRPr="00EE434E">
        <w:rPr>
          <w:rFonts w:ascii="Calibri" w:eastAsia="Times New Roman" w:hAnsi="Calibri" w:cs="Calibri"/>
          <w:b/>
          <w:bCs/>
          <w:color w:val="000000"/>
          <w:kern w:val="0"/>
          <w:sz w:val="22"/>
          <w:szCs w:val="22"/>
          <w14:ligatures w14:val="none"/>
        </w:rPr>
        <w:t>Method</w:t>
      </w:r>
      <w:r w:rsidRPr="00EE434E">
        <w:rPr>
          <w:rFonts w:ascii="Calibri" w:eastAsia="Times New Roman" w:hAnsi="Calibri" w:cs="Calibri"/>
          <w:color w:val="000000"/>
          <w:kern w:val="0"/>
          <w:sz w:val="22"/>
          <w:szCs w:val="22"/>
          <w14:ligatures w14:val="none"/>
        </w:rPr>
        <w:t xml:space="preserve">: This was a prospective cross-sectional study carried out in the health district of Dioila, Mali from September to December 2022. All </w:t>
      </w:r>
      <w:r w:rsidRPr="00EE434E">
        <w:rPr>
          <w:rFonts w:ascii="Calibri" w:eastAsia="Times New Roman" w:hAnsi="Calibri" w:cs="Calibri"/>
          <w:color w:val="000000"/>
          <w:kern w:val="0"/>
          <w:sz w:val="22"/>
          <w:szCs w:val="22"/>
          <w14:ligatures w14:val="none"/>
        </w:rPr>
        <w:lastRenderedPageBreak/>
        <w:t>pregnant women seen for their first antenatal clinic visit were given a haemoglobin test and interviewed to collect socio-demographic and economic information. In addition to descriptive analysis, association between anemia and some characteristics was assessed through univariate and multivariate analysis using logistic regression. Odds Ratio with its 95% confidence interval was used and significance was set using a probability of &lt;0.05. </w:t>
      </w:r>
      <w:r w:rsidRPr="00EE434E">
        <w:rPr>
          <w:rFonts w:ascii="Calibri" w:eastAsia="Times New Roman" w:hAnsi="Calibri" w:cs="Calibri"/>
          <w:b/>
          <w:bCs/>
          <w:color w:val="000000"/>
          <w:kern w:val="0"/>
          <w:sz w:val="22"/>
          <w:szCs w:val="22"/>
          <w14:ligatures w14:val="none"/>
        </w:rPr>
        <w:t>Results</w:t>
      </w:r>
      <w:r w:rsidRPr="00EE434E">
        <w:rPr>
          <w:rFonts w:ascii="Calibri" w:eastAsia="Times New Roman" w:hAnsi="Calibri" w:cs="Calibri"/>
          <w:color w:val="000000"/>
          <w:kern w:val="0"/>
          <w:sz w:val="22"/>
          <w:szCs w:val="22"/>
          <w14:ligatures w14:val="none"/>
        </w:rPr>
        <w:t>: The study involved 829 pregnant women with an average age of 25.5 years. The prevalence of anemia was 59% (N= 365/620), in Dioila with a variation between rural and urban areas and according to age group. Factors associated with anemia were maternal age 19-24 years old [OR=1.71 (CI95%: 1.01-2.94)], medium pregnancy profile [OR=1.99 (CI 95%: 1.34-2.99)] and malaria infection during pregnancy [OR=2.39 (CI 95%: 1.52-3.83)]. </w:t>
      </w:r>
      <w:r w:rsidRPr="00EE434E">
        <w:rPr>
          <w:rFonts w:ascii="Calibri" w:eastAsia="Times New Roman" w:hAnsi="Calibri" w:cs="Calibri"/>
          <w:b/>
          <w:bCs/>
          <w:color w:val="000000"/>
          <w:kern w:val="0"/>
          <w:sz w:val="22"/>
          <w:szCs w:val="22"/>
          <w14:ligatures w14:val="none"/>
        </w:rPr>
        <w:t>Conclusion</w:t>
      </w:r>
      <w:r w:rsidRPr="00EE434E">
        <w:rPr>
          <w:rFonts w:ascii="Calibri" w:eastAsia="Times New Roman" w:hAnsi="Calibri" w:cs="Calibri"/>
          <w:color w:val="000000"/>
          <w:kern w:val="0"/>
          <w:sz w:val="22"/>
          <w:szCs w:val="22"/>
          <w14:ligatures w14:val="none"/>
        </w:rPr>
        <w:t>: The prevalence of anemia was very high among pregnant women living in high malaria transmission area. young women, socio-economic profile and the presence of malaria infection were associated with the occurrence of anemia.</w:t>
      </w:r>
    </w:p>
    <w:p w14:paraId="219EEFA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25-A-3088-ASTMH</w:t>
      </w:r>
    </w:p>
    <w:p w14:paraId="695CDF4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AEE086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Operational management of immunization campaigns using near-real time data in hard-to-reach areas in Somalia: Lessons from the use of “smart” tally sheets in four supplemental immunization campaigns</w:t>
      </w:r>
    </w:p>
    <w:p w14:paraId="08C4081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Paper tally sheets are commonly used to document vaccinations in Low and Middle-Income Countries (LMICs). Tally sheet data are delayed, error-prone due to manual transcription, and require complex quality checks. Vaccine administration data are therefore not used for operational management of campaigns. Replacing paper tally sheets with electronic immunization systems requires significant investment in hardware, software and training, and can be difficult to deploy in challenging field settings like in Somalia. A smart tally sheet (STS) system was piloted in Somalia to address these challenges. The STS is paper based but allows for data entered in the tally sheet to be digitized by field staff at the end of each campaign day by taking a photo of structured data fields. The built-in artificial intelligence (AI) technology extracts data on the mobile phone enabling near-real-time insights and reducing manual transcription and expensive data audit burdens. Save the Children, through support from the Gates Foundation and in collaboration with Health-E-Net Limited, used STS between May and Oct 2024 in four supplemental immunization campaigns in Somalia by 5, 15, 45 and 50 vaccination teams in successive campaigns those were implemented across multiple Somali regions. The first two campaigns were in the Banadir region and the next two included Bay, Lower Juba and Mudug regions. A total of 578 STS were submitted during the four campaigns across 50 unique users (vaccination team supervisors); 554 (95.8%) were digitized on the same day as the campaign activity and data available on the campaign dashboard. Errors in the handwriting recognition algorithm were corrected by users in 1.9% of all data fields across all teams and campaigns (n=17,370) and an additional 0.5% corrected by manual review. A total of 13,740 children were vaccinated across the four campaigns, including 6,182 identified as zero-dose. The paper-to-digital approach offers an affordable alternative to generate high-quality, near-real time data from immunization campaigns in LMIC settings.</w:t>
      </w:r>
    </w:p>
    <w:p w14:paraId="6377438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25-A-3089-ASTMH</w:t>
      </w:r>
    </w:p>
    <w:p w14:paraId="7167795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9A63DB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Leveraging stakeholder engagement to co-design effective health data harmonisation tools</w:t>
      </w:r>
    </w:p>
    <w:p w14:paraId="699A8A4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Epidemiologists and public health researchers have proposed digital tools to streamline workflows for health professionals and researchers. However, integrating these tools into health services requires substantial investment in training, awareness-raising, and motivation to ensure sustainable adoption and institutionalisation. Early engagement activities from the outset can be instrumental in developing effective digital tools. The HARMONIZE and REGIME projects aim to create digital tools to harmonise multi-source epidemiological and environmental data. Their key developments include </w:t>
      </w:r>
      <w:r w:rsidRPr="00EE434E">
        <w:rPr>
          <w:rFonts w:ascii="Calibri" w:eastAsia="Times New Roman" w:hAnsi="Calibri" w:cs="Calibri"/>
          <w:i/>
          <w:iCs/>
          <w:color w:val="000000"/>
          <w:kern w:val="0"/>
          <w:sz w:val="22"/>
          <w:szCs w:val="22"/>
          <w14:ligatures w14:val="none"/>
        </w:rPr>
        <w:t>data4health</w:t>
      </w:r>
      <w:r w:rsidRPr="00EE434E">
        <w:rPr>
          <w:rFonts w:ascii="Calibri" w:eastAsia="Times New Roman" w:hAnsi="Calibri" w:cs="Calibri"/>
          <w:color w:val="000000"/>
          <w:kern w:val="0"/>
          <w:sz w:val="22"/>
          <w:szCs w:val="22"/>
          <w14:ligatures w14:val="none"/>
        </w:rPr>
        <w:t xml:space="preserve">, a tool to improve access, preprocessing, and aggregation of health data, and a method to classify infectious diseases by transmission patterns and assess drivers. Extensive engagement and user experience research has taken place in Brazil to support tool co-development. The first stage involved </w:t>
      </w:r>
      <w:r w:rsidRPr="00EE434E">
        <w:rPr>
          <w:rFonts w:ascii="Calibri" w:eastAsia="Times New Roman" w:hAnsi="Calibri" w:cs="Calibri"/>
          <w:color w:val="000000"/>
          <w:kern w:val="0"/>
          <w:sz w:val="22"/>
          <w:szCs w:val="22"/>
          <w14:ligatures w14:val="none"/>
        </w:rPr>
        <w:lastRenderedPageBreak/>
        <w:t>interviews with the project research team, followed by consultations with health professionals at various administrative levels in Brazil. Activities in the first stage were essential for shaping the conceptual framework and goals of </w:t>
      </w:r>
      <w:r w:rsidRPr="00EE434E">
        <w:rPr>
          <w:rFonts w:ascii="Calibri" w:eastAsia="Times New Roman" w:hAnsi="Calibri" w:cs="Calibri"/>
          <w:i/>
          <w:iCs/>
          <w:color w:val="000000"/>
          <w:kern w:val="0"/>
          <w:sz w:val="22"/>
          <w:szCs w:val="22"/>
          <w14:ligatures w14:val="none"/>
        </w:rPr>
        <w:t>data4health </w:t>
      </w:r>
      <w:r w:rsidRPr="00EE434E">
        <w:rPr>
          <w:rFonts w:ascii="Calibri" w:eastAsia="Times New Roman" w:hAnsi="Calibri" w:cs="Calibri"/>
          <w:color w:val="000000"/>
          <w:kern w:val="0"/>
          <w:sz w:val="22"/>
          <w:szCs w:val="22"/>
          <w14:ligatures w14:val="none"/>
        </w:rPr>
        <w:t>and the REGIME classification tool. Insights into the national health system, data accessibility, collection methods, variable types, metadata, and spatial and temporal resolution were gathered. The second stage helped developers understand the needs and challenges of health professionals. Through meetings at health centres, professionals shared their daily routines and challenges and provided constructive feedback on the tools. This input allowed the developers to refine the tools for better usability and relevance to practical needs. Although these tools are still under iterative development, they show strong potential for integration at the national and state levels in Brazil, with an urgent need to equip municipal health professionals with epidemiological indicators and digital tools to enhance public health workflows.</w:t>
      </w:r>
    </w:p>
    <w:p w14:paraId="68B83FE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25-A-3091-ASTMH</w:t>
      </w:r>
    </w:p>
    <w:p w14:paraId="7F7866E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Vaccines and Immunotherapeutics</w:t>
      </w:r>
    </w:p>
    <w:p w14:paraId="4910413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Safety and immunogenicity of the malaria vaccine candidate R21/Matrix-M</w:t>
      </w:r>
      <w:r w:rsidRPr="00EE434E">
        <w:rPr>
          <w:rFonts w:ascii="Calibri" w:eastAsia="Times New Roman" w:hAnsi="Calibri" w:cs="Calibri"/>
          <w:b/>
          <w:bCs/>
          <w:color w:val="000000"/>
          <w:kern w:val="0"/>
          <w:sz w:val="22"/>
          <w:szCs w:val="22"/>
          <w:vertAlign w:val="superscript"/>
          <w14:ligatures w14:val="none"/>
        </w:rPr>
        <w:t>TM </w:t>
      </w:r>
      <w:r w:rsidRPr="00EE434E">
        <w:rPr>
          <w:rFonts w:ascii="Calibri" w:eastAsia="Times New Roman" w:hAnsi="Calibri" w:cs="Calibri"/>
          <w:b/>
          <w:bCs/>
          <w:color w:val="000000"/>
          <w:kern w:val="0"/>
          <w:sz w:val="22"/>
          <w:szCs w:val="22"/>
          <w14:ligatures w14:val="none"/>
        </w:rPr>
        <w:t>when co-administered with EPI vaccines at 6, 10 and 14 weeks of age in Malian children</w:t>
      </w:r>
    </w:p>
    <w:p w14:paraId="0FA20B7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remains one of the main causes of mortality in children in Sub-Saharan Africa. Despite the initial success of some preventive measures, progress in reducing malaria incidence has stalled in recent years. A safe and effective vaccine is needed to reduce malaria incidence and progress towards eradication. In a phase III trial, in 5-36-month-old children, R21/Matrix-M</w:t>
      </w:r>
      <w:r w:rsidRPr="00EE434E">
        <w:rPr>
          <w:rFonts w:ascii="Calibri" w:eastAsia="Times New Roman" w:hAnsi="Calibri" w:cs="Calibri"/>
          <w:color w:val="000000"/>
          <w:kern w:val="0"/>
          <w:sz w:val="22"/>
          <w:szCs w:val="22"/>
          <w:vertAlign w:val="superscript"/>
          <w14:ligatures w14:val="none"/>
        </w:rPr>
        <w:t>TM</w:t>
      </w:r>
      <w:r w:rsidRPr="00EE434E">
        <w:rPr>
          <w:rFonts w:ascii="Calibri" w:eastAsia="Times New Roman" w:hAnsi="Calibri" w:cs="Calibri"/>
          <w:color w:val="000000"/>
          <w:kern w:val="0"/>
          <w:sz w:val="22"/>
          <w:szCs w:val="22"/>
          <w14:ligatures w14:val="none"/>
        </w:rPr>
        <w:t> was safe and showed vaccine efficacy of 72% against multiple malaria episodes over 12 months. This resulted in the WHO recommendation in October 2023 of a four-dose schedule for children 5 to 36 months of age. To potentially aid successful deployment of R21/Matrix-M</w:t>
      </w:r>
      <w:r w:rsidRPr="00EE434E">
        <w:rPr>
          <w:rFonts w:ascii="Calibri" w:eastAsia="Times New Roman" w:hAnsi="Calibri" w:cs="Calibri"/>
          <w:color w:val="000000"/>
          <w:kern w:val="0"/>
          <w:sz w:val="22"/>
          <w:szCs w:val="22"/>
          <w:vertAlign w:val="superscript"/>
          <w14:ligatures w14:val="none"/>
        </w:rPr>
        <w:t>TM</w:t>
      </w:r>
      <w:r w:rsidRPr="00EE434E">
        <w:rPr>
          <w:rFonts w:ascii="Calibri" w:eastAsia="Times New Roman" w:hAnsi="Calibri" w:cs="Calibri"/>
          <w:color w:val="000000"/>
          <w:kern w:val="0"/>
          <w:sz w:val="22"/>
          <w:szCs w:val="22"/>
          <w14:ligatures w14:val="none"/>
        </w:rPr>
        <w:t> and avoid the need for additional immunization time points to the Expanded Programme of Immunisation (EPI) schedule, as well as to understand the safety and immunogenicity of R21/Matrix-M in a younger age group, we administered the malaria vaccine with EPI vaccines at 6, 10 and 14 months of age. We recruited 60 infants, all 6 weeks of age at the time of enrolment. They were randomized 1:1 to two different groups to receive either R21/Matrix-M with EPI vaccines or EPI vaccines alone. In Mali EPI vaccines include pneumococcal, pentavalent, rotavirus and oral polio vaccines administered four weeks apart at 6, 10 and 14 weeks of age. We collected safety data for solicited adverse events (AEs) for 7 days after each vaccination and unsolicited AEs for 28 days after each vaccination. Serious adverse events (SAEs) were collected for the duration of the trial (14 months). Immunology samples were taken at screening, day of 3rd vaccination, and 1, 6 and 12 months post 3rd dose. The co-administration of R21/Matrix-M</w:t>
      </w:r>
      <w:r w:rsidRPr="00EE434E">
        <w:rPr>
          <w:rFonts w:ascii="Calibri" w:eastAsia="Times New Roman" w:hAnsi="Calibri" w:cs="Calibri"/>
          <w:color w:val="000000"/>
          <w:kern w:val="0"/>
          <w:sz w:val="22"/>
          <w:szCs w:val="22"/>
          <w:vertAlign w:val="superscript"/>
          <w14:ligatures w14:val="none"/>
        </w:rPr>
        <w:t>TM</w:t>
      </w:r>
      <w:r w:rsidRPr="00EE434E">
        <w:rPr>
          <w:rFonts w:ascii="Calibri" w:eastAsia="Times New Roman" w:hAnsi="Calibri" w:cs="Calibri"/>
          <w:color w:val="000000"/>
          <w:kern w:val="0"/>
          <w:sz w:val="22"/>
          <w:szCs w:val="22"/>
          <w14:ligatures w14:val="none"/>
        </w:rPr>
        <w:t> with EPI vaccines was well tolerated with most solicited and unsolicited AEs graded as mild or moderate in severity and short-lived. There were no SAEs. Antibody responses to R21/Matrix-M were lower in this age group, as expected, and responses to each EPI vaccine administered with or without R21/Matrix-M were largely unaffected: data will be presented. These data show that R21/Matrix-M is safe when administered together with early childhood vaccines in young infants but induces reduced immune responses.</w:t>
      </w:r>
    </w:p>
    <w:p w14:paraId="569F523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25-A-3092-ASTMH</w:t>
      </w:r>
    </w:p>
    <w:p w14:paraId="3922BED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Epidemiology and Vector Control</w:t>
      </w:r>
    </w:p>
    <w:p w14:paraId="0500C97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Integrated Vector Surveillance for Malaria and Lymphatic Filariasis in Mali, a Pilot Study</w:t>
      </w:r>
    </w:p>
    <w:p w14:paraId="0A3D1E3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Lymphatic filariasis (LF) and malaria are two parasitic diseases that are co-endemic in Mali and share the same vectors, </w:t>
      </w:r>
      <w:r w:rsidRPr="00EE434E">
        <w:rPr>
          <w:rFonts w:ascii="Calibri" w:eastAsia="Times New Roman" w:hAnsi="Calibri" w:cs="Calibri"/>
          <w:i/>
          <w:iCs/>
          <w:color w:val="000000"/>
          <w:kern w:val="0"/>
          <w:sz w:val="22"/>
          <w:szCs w:val="22"/>
          <w14:ligatures w14:val="none"/>
        </w:rPr>
        <w:t>Anopheles mosquitoes</w:t>
      </w:r>
      <w:r w:rsidRPr="00EE434E">
        <w:rPr>
          <w:rFonts w:ascii="Calibri" w:eastAsia="Times New Roman" w:hAnsi="Calibri" w:cs="Calibri"/>
          <w:color w:val="000000"/>
          <w:kern w:val="0"/>
          <w:sz w:val="22"/>
          <w:szCs w:val="22"/>
          <w14:ligatures w14:val="none"/>
        </w:rPr>
        <w:t>. Since 2020, Mali's 75 health districts have stopped mass drug administration targeting LF given previous monitoring results. The Programme National de Lutte contre le Paludisme (PNLP) has a strong surveillance and vector control component, unlike LF, hence the interest in integrated surveillance of these two diseases. This pilot study analyzed 37,776 mosquitoes collected between 2017 and 2023 as part of PNLP entomological surveillance in nine health districts in Mali. The specific species of the </w:t>
      </w:r>
      <w:r w:rsidRPr="00EE434E">
        <w:rPr>
          <w:rFonts w:ascii="Calibri" w:eastAsia="Times New Roman" w:hAnsi="Calibri" w:cs="Calibri"/>
          <w:i/>
          <w:iCs/>
          <w:color w:val="000000"/>
          <w:kern w:val="0"/>
          <w:sz w:val="22"/>
          <w:szCs w:val="22"/>
          <w14:ligatures w14:val="none"/>
        </w:rPr>
        <w:t>Anopheles gambiae</w:t>
      </w:r>
      <w:r w:rsidRPr="00EE434E">
        <w:rPr>
          <w:rFonts w:ascii="Calibri" w:eastAsia="Times New Roman" w:hAnsi="Calibri" w:cs="Calibri"/>
          <w:color w:val="000000"/>
          <w:kern w:val="0"/>
          <w:sz w:val="22"/>
          <w:szCs w:val="22"/>
          <w14:ligatures w14:val="none"/>
        </w:rPr>
        <w:t xml:space="preserve"> complex were identified using PCR. The real-time PCR was used for both parasites’ DNA identification in vector pools of 100 specimens. The PooltestR </w:t>
      </w:r>
      <w:r w:rsidRPr="00EE434E">
        <w:rPr>
          <w:rFonts w:ascii="Calibri" w:eastAsia="Times New Roman" w:hAnsi="Calibri" w:cs="Calibri"/>
          <w:color w:val="000000"/>
          <w:kern w:val="0"/>
          <w:sz w:val="22"/>
          <w:szCs w:val="22"/>
          <w14:ligatures w14:val="none"/>
        </w:rPr>
        <w:lastRenderedPageBreak/>
        <w:t>function of the R software was used for infection likelihood determination as well as its 95% confidence intervals for statistical inference. The results reveal that </w:t>
      </w:r>
      <w:r w:rsidRPr="00EE434E">
        <w:rPr>
          <w:rFonts w:ascii="Calibri" w:eastAsia="Times New Roman" w:hAnsi="Calibri" w:cs="Calibri"/>
          <w:i/>
          <w:iCs/>
          <w:color w:val="000000"/>
          <w:kern w:val="0"/>
          <w:sz w:val="22"/>
          <w:szCs w:val="22"/>
          <w14:ligatures w14:val="none"/>
        </w:rPr>
        <w:t>Anopheles coluzzii</w:t>
      </w:r>
      <w:r w:rsidRPr="00EE434E">
        <w:rPr>
          <w:rFonts w:ascii="Calibri" w:eastAsia="Times New Roman" w:hAnsi="Calibri" w:cs="Calibri"/>
          <w:color w:val="000000"/>
          <w:kern w:val="0"/>
          <w:sz w:val="22"/>
          <w:szCs w:val="22"/>
          <w14:ligatures w14:val="none"/>
        </w:rPr>
        <w:t> was more common in the Mopti and Koulikoro regions between 2017 and 2019, while </w:t>
      </w:r>
      <w:r w:rsidRPr="00EE434E">
        <w:rPr>
          <w:rFonts w:ascii="Calibri" w:eastAsia="Times New Roman" w:hAnsi="Calibri" w:cs="Calibri"/>
          <w:i/>
          <w:iCs/>
          <w:color w:val="000000"/>
          <w:kern w:val="0"/>
          <w:sz w:val="22"/>
          <w:szCs w:val="22"/>
          <w14:ligatures w14:val="none"/>
        </w:rPr>
        <w:t>Anopheles gambiae</w:t>
      </w:r>
      <w:r w:rsidRPr="00EE434E">
        <w:rPr>
          <w:rFonts w:ascii="Calibri" w:eastAsia="Times New Roman" w:hAnsi="Calibri" w:cs="Calibri"/>
          <w:color w:val="000000"/>
          <w:kern w:val="0"/>
          <w:sz w:val="22"/>
          <w:szCs w:val="22"/>
          <w14:ligatures w14:val="none"/>
        </w:rPr>
        <w:t> was more frequent in Sikasso from 2021 to 2023. </w:t>
      </w:r>
      <w:r w:rsidRPr="00EE434E">
        <w:rPr>
          <w:rFonts w:ascii="Calibri" w:eastAsia="Times New Roman" w:hAnsi="Calibri" w:cs="Calibri"/>
          <w:i/>
          <w:iCs/>
          <w:color w:val="000000"/>
          <w:kern w:val="0"/>
          <w:sz w:val="22"/>
          <w:szCs w:val="22"/>
          <w14:ligatures w14:val="none"/>
        </w:rPr>
        <w:t>Anopheles arabiensis</w:t>
      </w:r>
      <w:r w:rsidRPr="00EE434E">
        <w:rPr>
          <w:rFonts w:ascii="Calibri" w:eastAsia="Times New Roman" w:hAnsi="Calibri" w:cs="Calibri"/>
          <w:color w:val="000000"/>
          <w:kern w:val="0"/>
          <w:sz w:val="22"/>
          <w:szCs w:val="22"/>
          <w14:ligatures w14:val="none"/>
        </w:rPr>
        <w:t> accounted for less than 5% of processed specimens. For LF, annual infection likelihood with a peak observed in Kati in 2018 (3.1%) showed a decreasing trend. In the other sites, infection likelihood remained below 1%, which is the current alert threshold, although a few infected batches were detected in several localities. For malaria, the average prevalence was 1.221% [1.095-1.356], ranging from 0.8% [0.4-1.4] in Sélingué to over 3% in Badiangara and Baroueli. Finally, co-infections were rare, with a rate of 0.041% [0.024-0.065]. These data suggest a very low residual transmission rate for LF in post-treatment surveillance but call for increased vigilance in an area like Kati. The relatively high rates observed for </w:t>
      </w:r>
      <w:r w:rsidRPr="00EE434E">
        <w:rPr>
          <w:rFonts w:ascii="Calibri" w:eastAsia="Times New Roman" w:hAnsi="Calibri" w:cs="Calibri"/>
          <w:i/>
          <w:iCs/>
          <w:color w:val="000000"/>
          <w:kern w:val="0"/>
          <w:sz w:val="22"/>
          <w:szCs w:val="22"/>
          <w14:ligatures w14:val="none"/>
        </w:rPr>
        <w:t>P. falciparum</w:t>
      </w:r>
      <w:r w:rsidRPr="00EE434E">
        <w:rPr>
          <w:rFonts w:ascii="Calibri" w:eastAsia="Times New Roman" w:hAnsi="Calibri" w:cs="Calibri"/>
          <w:color w:val="000000"/>
          <w:kern w:val="0"/>
          <w:sz w:val="22"/>
          <w:szCs w:val="22"/>
          <w14:ligatures w14:val="none"/>
        </w:rPr>
        <w:t> call for reinforced control measures. The use of molecular xenomonitoring (MX) will be useful for malaria when data from several years will be generated and compared. MX shows promise for early detection of resurgences and optimization of resources in co-endemic regions.</w:t>
      </w:r>
    </w:p>
    <w:p w14:paraId="65BCEAD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25-A-3093-ASTMH</w:t>
      </w:r>
    </w:p>
    <w:p w14:paraId="1B8AF3A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Security/Emerging Infection Preparedness, Surveillance and Response(s)</w:t>
      </w:r>
    </w:p>
    <w:p w14:paraId="3CB33A6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Prioritizing high-consequence cyberbiosecurity risks in low-resource clinical and diagnostic laboratory settings</w:t>
      </w:r>
    </w:p>
    <w:p w14:paraId="42D4FD6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Clinical and diagnostic laboratories are increasingly vulnerable to cyberbiosecurity threats due to their handling of high-consequence pathogens and sensitive patient data. These threats involve risks to the security and integrity of genomic data, as well as the protection of personally identifiable information associated with sample storage and transport. To address these challenges, a cyberbiosecurity module was developed and integrated into the existing Laboratory Self-Assessment Tool (S-LAT). This improved tool was implemented in several laboratory facilities in Guinea and Morocco to assess vulnerabilities and current levels of cyberbiosecurity preparedness. The S-LAT cyberbiosecurity assessment focused on: (1) high-risk activities and risks associated with research collaborations; (2) cyberbiosecurity planning and management; (3) network and systems administration; (4) access controls at the physical-digital interface; (5) IT systems; (6) cloud and data storage; (7) data stewardship; and (8) institutional capacities to detect and respond to cyberbiosecurity incidents. Findings from the deployment of the tool revealed significant and widespread gaps in cyberbiosecurity awareness, infrastructure, and preparedness across facilities. The integration of cyberbiosecurity into self-assessment protocols has proven essential for identifying susceptibilities within laboratory environments and developing appropriate mitigation measures. The observed deficiencies underscore the urgent need for targeted investments in personnel training, policy development, and infrastructure - including information and communication technologies, access controls, and data storage systems. Strengthening these areas is critical to safeguarding sensitive genetic data, ensuring operational resilience, and maintaining public trust in laboratory systems handling high-consequence biological materials.</w:t>
      </w:r>
    </w:p>
    <w:p w14:paraId="000A2CC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25-A-3094-ASTMH</w:t>
      </w:r>
    </w:p>
    <w:p w14:paraId="2165091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Respiratory Infections</w:t>
      </w:r>
    </w:p>
    <w:p w14:paraId="3C1A8AA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Feasibility of Using Focused Ultrasound Technology for Rapid Release of </w:t>
      </w:r>
      <w:r w:rsidRPr="00EE434E">
        <w:rPr>
          <w:rFonts w:ascii="Calibri" w:eastAsia="Times New Roman" w:hAnsi="Calibri" w:cs="Calibri"/>
          <w:i/>
          <w:iCs/>
          <w:color w:val="000000"/>
          <w:kern w:val="0"/>
          <w:sz w:val="22"/>
          <w:szCs w:val="22"/>
          <w14:ligatures w14:val="none"/>
        </w:rPr>
        <w:t>Mycobacterium</w:t>
      </w:r>
      <w:r w:rsidRPr="00EE434E">
        <w:rPr>
          <w:rFonts w:ascii="Calibri" w:eastAsia="Times New Roman" w:hAnsi="Calibri" w:cs="Calibri"/>
          <w:color w:val="000000"/>
          <w:kern w:val="0"/>
          <w:sz w:val="22"/>
          <w:szCs w:val="22"/>
          <w14:ligatures w14:val="none"/>
        </w:rPr>
        <w:t> DNA in Suspension</w:t>
      </w:r>
    </w:p>
    <w:p w14:paraId="6146F5B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Introduction: Tuberculosis (TB) is the leading cause of death from a single infectious agent worldwide. Due to </w:t>
      </w:r>
      <w:r w:rsidRPr="00EE434E">
        <w:rPr>
          <w:rFonts w:ascii="Calibri" w:eastAsia="Times New Roman" w:hAnsi="Calibri" w:cs="Calibri"/>
          <w:i/>
          <w:iCs/>
          <w:color w:val="000000"/>
          <w:kern w:val="0"/>
          <w:sz w:val="22"/>
          <w:szCs w:val="22"/>
          <w14:ligatures w14:val="none"/>
        </w:rPr>
        <w:t>Mycobacterium’s </w:t>
      </w:r>
      <w:r w:rsidRPr="00EE434E">
        <w:rPr>
          <w:rFonts w:ascii="Calibri" w:eastAsia="Times New Roman" w:hAnsi="Calibri" w:cs="Calibri"/>
          <w:color w:val="000000"/>
          <w:kern w:val="0"/>
          <w:sz w:val="22"/>
          <w:szCs w:val="22"/>
          <w14:ligatures w14:val="none"/>
        </w:rPr>
        <w:t>complex cell well, point-of-care diagnostics are limited by a lack of extraction techniques that can rapidly provide sufficient DNA yield and quality. To address this challenge, the application of Focused Ultrasound Extraction (FUSE) is being explored. FUSE generates focused bubble clouds that mechanically lyse targeted samples and has previously demonstrated acceleration of DNA testing workflows with plant tissue. Objective: To determine the feasibility of focused ultrasound extraction for rapidly releasing </w:t>
      </w:r>
      <w:r w:rsidRPr="00EE434E">
        <w:rPr>
          <w:rFonts w:ascii="Calibri" w:eastAsia="Times New Roman" w:hAnsi="Calibri" w:cs="Calibri"/>
          <w:i/>
          <w:iCs/>
          <w:color w:val="000000"/>
          <w:kern w:val="0"/>
          <w:sz w:val="22"/>
          <w:szCs w:val="22"/>
          <w14:ligatures w14:val="none"/>
        </w:rPr>
        <w:t>Mycobacterium</w:t>
      </w:r>
      <w:r w:rsidRPr="00EE434E">
        <w:rPr>
          <w:rFonts w:ascii="Calibri" w:eastAsia="Times New Roman" w:hAnsi="Calibri" w:cs="Calibri"/>
          <w:color w:val="000000"/>
          <w:kern w:val="0"/>
          <w:sz w:val="22"/>
          <w:szCs w:val="22"/>
          <w14:ligatures w14:val="none"/>
        </w:rPr>
        <w:t> DNA. Methods: Cultured pellets of </w:t>
      </w:r>
      <w:r w:rsidRPr="00EE434E">
        <w:rPr>
          <w:rFonts w:ascii="Calibri" w:eastAsia="Times New Roman" w:hAnsi="Calibri" w:cs="Calibri"/>
          <w:i/>
          <w:iCs/>
          <w:color w:val="000000"/>
          <w:kern w:val="0"/>
          <w:sz w:val="22"/>
          <w:szCs w:val="22"/>
          <w14:ligatures w14:val="none"/>
        </w:rPr>
        <w:t xml:space="preserve">Mycobacterium </w:t>
      </w:r>
      <w:r w:rsidRPr="00EE434E">
        <w:rPr>
          <w:rFonts w:ascii="Calibri" w:eastAsia="Times New Roman" w:hAnsi="Calibri" w:cs="Calibri"/>
          <w:i/>
          <w:iCs/>
          <w:color w:val="000000"/>
          <w:kern w:val="0"/>
          <w:sz w:val="22"/>
          <w:szCs w:val="22"/>
          <w14:ligatures w14:val="none"/>
        </w:rPr>
        <w:lastRenderedPageBreak/>
        <w:t>smegmatis</w:t>
      </w:r>
      <w:r w:rsidRPr="00EE434E">
        <w:rPr>
          <w:rFonts w:ascii="Calibri" w:eastAsia="Times New Roman" w:hAnsi="Calibri" w:cs="Calibri"/>
          <w:color w:val="000000"/>
          <w:kern w:val="0"/>
          <w:sz w:val="22"/>
          <w:szCs w:val="22"/>
          <w14:ligatures w14:val="none"/>
        </w:rPr>
        <w:t> were treated by a 750kHz FUSE transducer at 200 pulses per second for 12.5, 25, 50, 125, and 250 seconds (n=3 at each dose).</w:t>
      </w:r>
      <w:r w:rsidRPr="00EE434E">
        <w:rPr>
          <w:rFonts w:ascii="Calibri" w:eastAsia="Times New Roman" w:hAnsi="Calibri" w:cs="Calibri"/>
          <w:i/>
          <w:iCs/>
          <w:color w:val="000000"/>
          <w:kern w:val="0"/>
          <w:sz w:val="22"/>
          <w:szCs w:val="22"/>
          <w14:ligatures w14:val="none"/>
        </w:rPr>
        <w:t> </w:t>
      </w:r>
      <w:r w:rsidRPr="00EE434E">
        <w:rPr>
          <w:rFonts w:ascii="Calibri" w:eastAsia="Times New Roman" w:hAnsi="Calibri" w:cs="Calibri"/>
          <w:color w:val="000000"/>
          <w:kern w:val="0"/>
          <w:sz w:val="22"/>
          <w:szCs w:val="22"/>
          <w14:ligatures w14:val="none"/>
        </w:rPr>
        <w:t>Samples were incubated for 30 minutes with RNAse and proteinase K and then in Qiagen B2 buffer for another 30 minutes. DNA was isolated using gravity flow columns, precipitated with 100% isopropanol, and purified with 70% ethanol. DNA yield (ng/mg) and purity ratios (260/280; 260/230) were measured using NanoDrop</w:t>
      </w:r>
      <w:r w:rsidRPr="00EE434E">
        <w:rPr>
          <w:rFonts w:ascii="Calibri" w:eastAsia="Times New Roman" w:hAnsi="Calibri" w:cs="Calibri"/>
          <w:color w:val="000000"/>
          <w:kern w:val="0"/>
          <w:sz w:val="22"/>
          <w:szCs w:val="22"/>
          <w:vertAlign w:val="superscript"/>
          <w14:ligatures w14:val="none"/>
        </w:rPr>
        <w:t>TM</w:t>
      </w:r>
      <w:r w:rsidRPr="00EE434E">
        <w:rPr>
          <w:rFonts w:ascii="Calibri" w:eastAsia="Times New Roman" w:hAnsi="Calibri" w:cs="Calibri"/>
          <w:color w:val="000000"/>
          <w:kern w:val="0"/>
          <w:sz w:val="22"/>
          <w:szCs w:val="22"/>
          <w14:ligatures w14:val="none"/>
        </w:rPr>
        <w:t xml:space="preserve"> spectrophotometer and visually represented on 1% agarose gel electrophoresis. Results: DNA release was observed across all pulse doses with increasing dose yielding more DNA (Spearman’s </w:t>
      </w:r>
      <w:r w:rsidRPr="00EE434E">
        <w:rPr>
          <w:rFonts w:ascii="Cambria Math" w:eastAsia="Times New Roman" w:hAnsi="Cambria Math" w:cs="Cambria Math"/>
          <w:color w:val="000000"/>
          <w:kern w:val="0"/>
          <w:sz w:val="22"/>
          <w:szCs w:val="22"/>
          <w14:ligatures w14:val="none"/>
        </w:rPr>
        <w:t>𝜌</w:t>
      </w:r>
      <w:r w:rsidRPr="00EE434E">
        <w:rPr>
          <w:rFonts w:ascii="Calibri" w:eastAsia="Times New Roman" w:hAnsi="Calibri" w:cs="Calibri"/>
          <w:color w:val="000000"/>
          <w:kern w:val="0"/>
          <w:sz w:val="22"/>
          <w:szCs w:val="22"/>
          <w14:ligatures w14:val="none"/>
        </w:rPr>
        <w:t>;=0.72, p-value 0.002). Pairwise comparison of outcomes between each dose category revealed no statistically significant differences in yield or purity ratios. Gel results demonstrated that increasing pulse doses resulted in higher DNA fragmentation. High molecular weight DNA and substantial DNA yield were observed at the 12.5 seconds treatment time, suggesting that this is the ideal dose for extracting </w:t>
      </w:r>
      <w:r w:rsidRPr="00EE434E">
        <w:rPr>
          <w:rFonts w:ascii="Calibri" w:eastAsia="Times New Roman" w:hAnsi="Calibri" w:cs="Calibri"/>
          <w:i/>
          <w:iCs/>
          <w:color w:val="000000"/>
          <w:kern w:val="0"/>
          <w:sz w:val="22"/>
          <w:szCs w:val="22"/>
          <w14:ligatures w14:val="none"/>
        </w:rPr>
        <w:t>Mycobacterium</w:t>
      </w:r>
      <w:r w:rsidRPr="00EE434E">
        <w:rPr>
          <w:rFonts w:ascii="Calibri" w:eastAsia="Times New Roman" w:hAnsi="Calibri" w:cs="Calibri"/>
          <w:color w:val="000000"/>
          <w:kern w:val="0"/>
          <w:sz w:val="22"/>
          <w:szCs w:val="22"/>
          <w14:ligatures w14:val="none"/>
        </w:rPr>
        <w:t> DNA. Conclusion: This study demonstrates that FUSE can successfully lyse </w:t>
      </w:r>
      <w:r w:rsidRPr="00EE434E">
        <w:rPr>
          <w:rFonts w:ascii="Calibri" w:eastAsia="Times New Roman" w:hAnsi="Calibri" w:cs="Calibri"/>
          <w:i/>
          <w:iCs/>
          <w:color w:val="000000"/>
          <w:kern w:val="0"/>
          <w:sz w:val="22"/>
          <w:szCs w:val="22"/>
          <w14:ligatures w14:val="none"/>
        </w:rPr>
        <w:t>Mycobacterium</w:t>
      </w:r>
      <w:r w:rsidRPr="00EE434E">
        <w:rPr>
          <w:rFonts w:ascii="Calibri" w:eastAsia="Times New Roman" w:hAnsi="Calibri" w:cs="Calibri"/>
          <w:color w:val="000000"/>
          <w:kern w:val="0"/>
          <w:sz w:val="22"/>
          <w:szCs w:val="22"/>
          <w14:ligatures w14:val="none"/>
        </w:rPr>
        <w:t> cell walls and release high molecular weight DNA. When combined with nucleic acid amplification tests, FUSE has the potential to transform point of care TB diagnostics. Future efforts are aimed at developing direct-to-PCR workflows for sputum samples with FUSE.</w:t>
      </w:r>
    </w:p>
    <w:p w14:paraId="7A4DA31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25-A-3095-ASTMH</w:t>
      </w:r>
    </w:p>
    <w:p w14:paraId="0F77280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Respiratory Infections</w:t>
      </w:r>
    </w:p>
    <w:p w14:paraId="6947CA6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Detection and clinical impact of influenza in a cohort of agricultural workers in Guatemala, 2020-2024</w:t>
      </w:r>
    </w:p>
    <w:p w14:paraId="022C587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Though respiratory viruses circulate year-round in Central America, the burden of influenza disease and potential impact of vaccination in essential worker populations is poorly understood, particularly as the vaccine is often limited to pregnant women and high-risk groups in the region. We aimed to evaluate the burden of Influenza (FLUV) among a cohort of agricultural workers in southwest Guatemala. We conducted active surveillance for influenza-like illness (ILI) in workers ≥18 years of age at a banana plantation from June 2020 - October 2024. Workers who reported cough, fever or shortness of breath in the previous 7 days provided a nasopharyngeal swab for influenza testing on the Roche Cobas Liat PCR platform. At the time of ILI notification, we collected symptom data. At days 7 and 28 after ILI notification we administered the Flu-iiQ questionnaire, a validated scale measuring clinical and well-being outcomes. Of the 2,800 agricultural workers who participated in surveillance (approximately 994 per year; 14.2% (400/2,800) ever reported an ILI episode; 7.2% (29/400) were influenza positive (18 FLUV A and 11 FLUV B). Of those participants reporting ILI, 0% (0/23) were FLUV(+) in 2020, 4.6% (7/151) were FLUV(+) in 2021, 8.3% (8/96) in 2022, 13.5% (8/59) in 2023, and 8.4% (6/71) in 2024; incidence 2020-2024 = 0.10 (95% CI 0.07 - 0.15) per 1000 persons (283274.71 person weeks). Of the FLUV(+) workers, 24 (82.8%) were male with a mean age of 29.9 years. FLUV(+) workers were more likely to report fever compared to FLUV(-) workers (96.6% vs. 65.9%, p=0.001). In 2023 and 2024, 1,760 and 1,786 workers in the cohort received influenza vaccination, respectively. The proportion of ILI cases that received an influenza vaccine in the 12 months prior to illness was 13.8% (4/29) in those who tested FLUV(+), vs. 15.3% (57/371) in those that tested FLUV(-) (p=1.0). Agricultural workers had a low incidence of ILI; however, FLUV was responsible for some proportion of ILI each year, marked most commonly by cough and fever. FLUV vaccination was offered to and accepted by workers in 2023 and 2024.</w:t>
      </w:r>
    </w:p>
    <w:p w14:paraId="7A4A838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25-A-3096-ASTMH</w:t>
      </w:r>
    </w:p>
    <w:p w14:paraId="17A5AC8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Antimalarial Resistance and Chemotherapy</w:t>
      </w:r>
    </w:p>
    <w:p w14:paraId="49D80AE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Artemether-lumefantrine or artemether-lumefantrine plus atovaquone-proguanil treatment reduces </w:t>
      </w:r>
      <w:r w:rsidRPr="00EE434E">
        <w:rPr>
          <w:rFonts w:ascii="Calibri" w:eastAsia="Times New Roman" w:hAnsi="Calibri" w:cs="Calibri"/>
          <w:i/>
          <w:iCs/>
          <w:color w:val="000000"/>
          <w:kern w:val="0"/>
          <w:sz w:val="22"/>
          <w:szCs w:val="22"/>
          <w14:ligatures w14:val="none"/>
        </w:rPr>
        <w:t>Plasmodium falciparum crt76T</w:t>
      </w:r>
      <w:r w:rsidRPr="00EE434E">
        <w:rPr>
          <w:rFonts w:ascii="Calibri" w:eastAsia="Times New Roman" w:hAnsi="Calibri" w:cs="Calibri"/>
          <w:color w:val="000000"/>
          <w:kern w:val="0"/>
          <w:sz w:val="22"/>
          <w:szCs w:val="22"/>
          <w14:ligatures w14:val="none"/>
        </w:rPr>
        <w:t> but selects </w:t>
      </w:r>
      <w:r w:rsidRPr="00EE434E">
        <w:rPr>
          <w:rFonts w:ascii="Calibri" w:eastAsia="Times New Roman" w:hAnsi="Calibri" w:cs="Calibri"/>
          <w:i/>
          <w:iCs/>
          <w:color w:val="000000"/>
          <w:kern w:val="0"/>
          <w:sz w:val="22"/>
          <w:szCs w:val="22"/>
          <w14:ligatures w14:val="none"/>
        </w:rPr>
        <w:t>dhfr(51, 59, and 108) </w:t>
      </w:r>
      <w:r w:rsidRPr="00EE434E">
        <w:rPr>
          <w:rFonts w:ascii="Calibri" w:eastAsia="Times New Roman" w:hAnsi="Calibri" w:cs="Calibri"/>
          <w:color w:val="000000"/>
          <w:kern w:val="0"/>
          <w:sz w:val="22"/>
          <w:szCs w:val="22"/>
          <w14:ligatures w14:val="none"/>
        </w:rPr>
        <w:t>triple mutant in Faladie, Mali</w:t>
      </w:r>
    </w:p>
    <w:p w14:paraId="0027670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falciparum</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Pf</w:t>
      </w:r>
      <w:r w:rsidRPr="00EE434E">
        <w:rPr>
          <w:rFonts w:ascii="Calibri" w:eastAsia="Times New Roman" w:hAnsi="Calibri" w:cs="Calibri"/>
          <w:color w:val="000000"/>
          <w:kern w:val="0"/>
          <w:sz w:val="22"/>
          <w:szCs w:val="22"/>
          <w14:ligatures w14:val="none"/>
        </w:rPr>
        <w:t>) has developed resistance to most available antimalarial drugs. New treatments or policies are needed to contain and eliminate drug-resistant parasites. Triple artemisinin-based combination therapy is a promising treatment for containing or slowing the spread of </w:t>
      </w:r>
      <w:r w:rsidRPr="00EE434E">
        <w:rPr>
          <w:rFonts w:ascii="Calibri" w:eastAsia="Times New Roman" w:hAnsi="Calibri" w:cs="Calibri"/>
          <w:i/>
          <w:iCs/>
          <w:color w:val="000000"/>
          <w:kern w:val="0"/>
          <w:sz w:val="22"/>
          <w:szCs w:val="22"/>
          <w14:ligatures w14:val="none"/>
        </w:rPr>
        <w:t>Pf</w:t>
      </w:r>
      <w:r w:rsidRPr="00EE434E">
        <w:rPr>
          <w:rFonts w:ascii="Calibri" w:eastAsia="Times New Roman" w:hAnsi="Calibri" w:cs="Calibri"/>
          <w:color w:val="000000"/>
          <w:kern w:val="0"/>
          <w:sz w:val="22"/>
          <w:szCs w:val="22"/>
          <w14:ligatures w14:val="none"/>
        </w:rPr>
        <w:t xml:space="preserve"> resistance to antimalarial drugs. This study aims to evaluate the impact of artemether-lumefantrine </w:t>
      </w:r>
      <w:r w:rsidRPr="00EE434E">
        <w:rPr>
          <w:rFonts w:ascii="Calibri" w:eastAsia="Times New Roman" w:hAnsi="Calibri" w:cs="Calibri"/>
          <w:color w:val="000000"/>
          <w:kern w:val="0"/>
          <w:sz w:val="22"/>
          <w:szCs w:val="22"/>
          <w14:ligatures w14:val="none"/>
        </w:rPr>
        <w:lastRenderedPageBreak/>
        <w:t>or artemether-lumefantrine plus atovaquone-proguanil treatment on the frequency of molecular markers of Pf resistance to antimalarial drugs. We have conducted a clinical trial in Faladie in Mali to evaluate the efficacy of AntimalarialS tri-therapy with AtovAquone-Proguanil (ASAAP). Each participant with uncomplicated </w:t>
      </w:r>
      <w:r w:rsidRPr="00EE434E">
        <w:rPr>
          <w:rFonts w:ascii="Calibri" w:eastAsia="Times New Roman" w:hAnsi="Calibri" w:cs="Calibri"/>
          <w:i/>
          <w:iCs/>
          <w:color w:val="000000"/>
          <w:kern w:val="0"/>
          <w:sz w:val="22"/>
          <w:szCs w:val="22"/>
          <w14:ligatures w14:val="none"/>
        </w:rPr>
        <w:t>Pf</w:t>
      </w:r>
      <w:r w:rsidRPr="00EE434E">
        <w:rPr>
          <w:rFonts w:ascii="Calibri" w:eastAsia="Times New Roman" w:hAnsi="Calibri" w:cs="Calibri"/>
          <w:color w:val="000000"/>
          <w:kern w:val="0"/>
          <w:sz w:val="22"/>
          <w:szCs w:val="22"/>
          <w14:ligatures w14:val="none"/>
        </w:rPr>
        <w:t> malaria, aged under 10 years, who met the inclusion criteria, received either artemether-lumefantrine plus placebo or artemether-lumefantrine plus atovaquone-proguanil standard treatment dose. Patients were followed up for 42 days, and clinical and parasitological parameters were recorded. Blood samples were collected before treatment, at different follow-up days, and on the day of treatment failure for genotyping the molecular markers of antimalarial drugs. We genotyped 573 samples before treatment and 167 samples of recurrent parasites by day 42 of follow-up. Pfcrt 76T mutation frequency decreased from 16.2% before treatment to 10.2% in the recurrent samples. Pfmdr1 86Y mutation was 3.6% (27/740). </w:t>
      </w:r>
      <w:r w:rsidRPr="00EE434E">
        <w:rPr>
          <w:rFonts w:ascii="Calibri" w:eastAsia="Times New Roman" w:hAnsi="Calibri" w:cs="Calibri"/>
          <w:i/>
          <w:iCs/>
          <w:color w:val="000000"/>
          <w:kern w:val="0"/>
          <w:sz w:val="22"/>
          <w:szCs w:val="22"/>
          <w14:ligatures w14:val="none"/>
        </w:rPr>
        <w:t>Dhfr</w:t>
      </w:r>
      <w:r w:rsidRPr="00EE434E">
        <w:rPr>
          <w:rFonts w:ascii="Calibri" w:eastAsia="Times New Roman" w:hAnsi="Calibri" w:cs="Calibri"/>
          <w:color w:val="000000"/>
          <w:kern w:val="0"/>
          <w:sz w:val="22"/>
          <w:szCs w:val="22"/>
          <w14:ligatures w14:val="none"/>
        </w:rPr>
        <w:t>(51I, 59R, and 108N) triple mutant increased from 82.9% at baseline to 91.6% in recurrent samples. The </w:t>
      </w:r>
      <w:r w:rsidRPr="00EE434E">
        <w:rPr>
          <w:rFonts w:ascii="Calibri" w:eastAsia="Times New Roman" w:hAnsi="Calibri" w:cs="Calibri"/>
          <w:i/>
          <w:iCs/>
          <w:color w:val="000000"/>
          <w:kern w:val="0"/>
          <w:sz w:val="22"/>
          <w:szCs w:val="22"/>
          <w14:ligatures w14:val="none"/>
        </w:rPr>
        <w:t>Pfdhfr</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Pfdhps</w:t>
      </w:r>
      <w:r w:rsidRPr="00EE434E">
        <w:rPr>
          <w:rFonts w:ascii="Calibri" w:eastAsia="Times New Roman" w:hAnsi="Calibri" w:cs="Calibri"/>
          <w:color w:val="000000"/>
          <w:kern w:val="0"/>
          <w:sz w:val="22"/>
          <w:szCs w:val="22"/>
          <w14:ligatures w14:val="none"/>
        </w:rPr>
        <w:t> quintuple mutant level was 2.4% (18/740). We recorded one missense (E605D) and one synonymous (N664N) on K13 on baseline samples. There was no change in </w:t>
      </w:r>
      <w:r w:rsidRPr="00EE434E">
        <w:rPr>
          <w:rFonts w:ascii="Calibri" w:eastAsia="Times New Roman" w:hAnsi="Calibri" w:cs="Calibri"/>
          <w:i/>
          <w:iCs/>
          <w:color w:val="000000"/>
          <w:kern w:val="0"/>
          <w:sz w:val="22"/>
          <w:szCs w:val="22"/>
          <w14:ligatures w14:val="none"/>
        </w:rPr>
        <w:t>Pfdhps</w:t>
      </w:r>
      <w:r w:rsidRPr="00EE434E">
        <w:rPr>
          <w:rFonts w:ascii="Calibri" w:eastAsia="Times New Roman" w:hAnsi="Calibri" w:cs="Calibri"/>
          <w:color w:val="000000"/>
          <w:kern w:val="0"/>
          <w:sz w:val="22"/>
          <w:szCs w:val="22"/>
          <w14:ligatures w14:val="none"/>
        </w:rPr>
        <w:t> mutations frequency. The full results by treatment arm will be available before the meeting after unblinding the clinical data. Our preliminary results showed a reduction of Pfcrt 76T mutation proportion after treatment with artemether-lumefantrine or artemether-lumefantrine plus atovaquone-proguanil and a selection of </w:t>
      </w:r>
      <w:r w:rsidRPr="00EE434E">
        <w:rPr>
          <w:rFonts w:ascii="Calibri" w:eastAsia="Times New Roman" w:hAnsi="Calibri" w:cs="Calibri"/>
          <w:i/>
          <w:iCs/>
          <w:color w:val="000000"/>
          <w:kern w:val="0"/>
          <w:sz w:val="22"/>
          <w:szCs w:val="22"/>
          <w14:ligatures w14:val="none"/>
        </w:rPr>
        <w:t>dhfr</w:t>
      </w:r>
      <w:r w:rsidRPr="00EE434E">
        <w:rPr>
          <w:rFonts w:ascii="Calibri" w:eastAsia="Times New Roman" w:hAnsi="Calibri" w:cs="Calibri"/>
          <w:color w:val="000000"/>
          <w:kern w:val="0"/>
          <w:sz w:val="22"/>
          <w:szCs w:val="22"/>
          <w14:ligatures w14:val="none"/>
        </w:rPr>
        <w:t> triple mutant. If this result is validated, this triple ACT can alleviate resistance to chloroquine.</w:t>
      </w:r>
    </w:p>
    <w:p w14:paraId="02A793D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25-A-3097-ASTMH</w:t>
      </w:r>
    </w:p>
    <w:p w14:paraId="71DE757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Other Bacterial Infections</w:t>
      </w:r>
    </w:p>
    <w:p w14:paraId="7E4D5BD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Functional role of LRR domain proteins LIC11051 and LIC11505 in </w:t>
      </w:r>
      <w:r w:rsidRPr="00EE434E">
        <w:rPr>
          <w:rFonts w:ascii="Calibri" w:eastAsia="Times New Roman" w:hAnsi="Calibri" w:cs="Calibri"/>
          <w:i/>
          <w:iCs/>
          <w:color w:val="000000"/>
          <w:kern w:val="0"/>
          <w:sz w:val="22"/>
          <w:szCs w:val="22"/>
          <w14:ligatures w14:val="none"/>
        </w:rPr>
        <w:t>Leptospira interrogans</w:t>
      </w:r>
      <w:r w:rsidRPr="00EE434E">
        <w:rPr>
          <w:rFonts w:ascii="Calibri" w:eastAsia="Times New Roman" w:hAnsi="Calibri" w:cs="Calibri"/>
          <w:color w:val="000000"/>
          <w:kern w:val="0"/>
          <w:sz w:val="22"/>
          <w:szCs w:val="22"/>
          <w14:ligatures w14:val="none"/>
        </w:rPr>
        <w:t> pathogenesis</w:t>
      </w:r>
    </w:p>
    <w:p w14:paraId="78C835D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Leptospirosis is a global zoonosis caused by pathogenic bacteria of the genus </w:t>
      </w:r>
      <w:r w:rsidRPr="00EE434E">
        <w:rPr>
          <w:rFonts w:ascii="Calibri" w:eastAsia="Times New Roman" w:hAnsi="Calibri" w:cs="Calibri"/>
          <w:i/>
          <w:iCs/>
          <w:color w:val="000000"/>
          <w:kern w:val="0"/>
          <w:sz w:val="22"/>
          <w:szCs w:val="22"/>
          <w14:ligatures w14:val="none"/>
        </w:rPr>
        <w:t>Leptospira</w:t>
      </w:r>
      <w:r w:rsidRPr="00EE434E">
        <w:rPr>
          <w:rFonts w:ascii="Calibri" w:eastAsia="Times New Roman" w:hAnsi="Calibri" w:cs="Calibri"/>
          <w:color w:val="000000"/>
          <w:kern w:val="0"/>
          <w:sz w:val="22"/>
          <w:szCs w:val="22"/>
          <w14:ligatures w14:val="none"/>
        </w:rPr>
        <w:t>. Humans are considered accidental and terminal hosts. Several cases are reported every year, especially in rural and peripheral regions with sanitation problems. Due to its wide range of symptoms and high incidence in developing regions, it is misdiagnosed, leading to a low rate of reported cases. Based on the results available in genomic databases, the comparison between pathogenic and saprophytic </w:t>
      </w:r>
      <w:r w:rsidRPr="00EE434E">
        <w:rPr>
          <w:rFonts w:ascii="Calibri" w:eastAsia="Times New Roman" w:hAnsi="Calibri" w:cs="Calibri"/>
          <w:i/>
          <w:iCs/>
          <w:color w:val="000000"/>
          <w:kern w:val="0"/>
          <w:sz w:val="22"/>
          <w:szCs w:val="22"/>
          <w14:ligatures w14:val="none"/>
        </w:rPr>
        <w:t>Leptospira</w:t>
      </w:r>
      <w:r w:rsidRPr="00EE434E">
        <w:rPr>
          <w:rFonts w:ascii="Calibri" w:eastAsia="Times New Roman" w:hAnsi="Calibri" w:cs="Calibri"/>
          <w:color w:val="000000"/>
          <w:kern w:val="0"/>
          <w:sz w:val="22"/>
          <w:szCs w:val="22"/>
          <w14:ligatures w14:val="none"/>
        </w:rPr>
        <w:t> species showed significant differences in the number of genes encoding proteins with leucine-rich repeat (LRR) domains, which may play a role in virulence. The LIC11051 and LIC11505 genes were selected, analyzed in silico and cloned into the expression vector, used to transform </w:t>
      </w:r>
      <w:r w:rsidRPr="00EE434E">
        <w:rPr>
          <w:rFonts w:ascii="Calibri" w:eastAsia="Times New Roman" w:hAnsi="Calibri" w:cs="Calibri"/>
          <w:i/>
          <w:iCs/>
          <w:color w:val="000000"/>
          <w:kern w:val="0"/>
          <w:sz w:val="22"/>
          <w:szCs w:val="22"/>
          <w14:ligatures w14:val="none"/>
        </w:rPr>
        <w:t>E. coli</w:t>
      </w:r>
      <w:r w:rsidRPr="00EE434E">
        <w:rPr>
          <w:rFonts w:ascii="Calibri" w:eastAsia="Times New Roman" w:hAnsi="Calibri" w:cs="Calibri"/>
          <w:color w:val="000000"/>
          <w:kern w:val="0"/>
          <w:sz w:val="22"/>
          <w:szCs w:val="22"/>
          <w14:ligatures w14:val="none"/>
        </w:rPr>
        <w:t>. Expression of recombinant proteins was induced and purification was performed by chromatography. Immunogenicity was evaluated in BALB/c mice. Native protein was detected in different fractions of </w:t>
      </w:r>
      <w:r w:rsidRPr="00EE434E">
        <w:rPr>
          <w:rFonts w:ascii="Calibri" w:eastAsia="Times New Roman" w:hAnsi="Calibri" w:cs="Calibri"/>
          <w:i/>
          <w:iCs/>
          <w:color w:val="000000"/>
          <w:kern w:val="0"/>
          <w:sz w:val="22"/>
          <w:szCs w:val="22"/>
          <w14:ligatures w14:val="none"/>
        </w:rPr>
        <w:t>L. interrogans</w:t>
      </w:r>
      <w:r w:rsidRPr="00EE434E">
        <w:rPr>
          <w:rFonts w:ascii="Calibri" w:eastAsia="Times New Roman" w:hAnsi="Calibri" w:cs="Calibri"/>
          <w:color w:val="000000"/>
          <w:kern w:val="0"/>
          <w:sz w:val="22"/>
          <w:szCs w:val="22"/>
          <w14:ligatures w14:val="none"/>
        </w:rPr>
        <w:t> cells and supernatant. The interactions of recombinant proteins with host macromolecules were evaluated by ELISA. The generation of a replicative plasmid in </w:t>
      </w:r>
      <w:r w:rsidRPr="00EE434E">
        <w:rPr>
          <w:rFonts w:ascii="Calibri" w:eastAsia="Times New Roman" w:hAnsi="Calibri" w:cs="Calibri"/>
          <w:i/>
          <w:iCs/>
          <w:color w:val="000000"/>
          <w:kern w:val="0"/>
          <w:sz w:val="22"/>
          <w:szCs w:val="22"/>
          <w14:ligatures w14:val="none"/>
        </w:rPr>
        <w:t>Leptospira</w:t>
      </w:r>
      <w:r w:rsidRPr="00EE434E">
        <w:rPr>
          <w:rFonts w:ascii="Calibri" w:eastAsia="Times New Roman" w:hAnsi="Calibri" w:cs="Calibri"/>
          <w:color w:val="000000"/>
          <w:kern w:val="0"/>
          <w:sz w:val="22"/>
          <w:szCs w:val="22"/>
          <w14:ligatures w14:val="none"/>
        </w:rPr>
        <w:t> species enabled the heterologous expression of proteins of interest in the saprophytic </w:t>
      </w:r>
      <w:r w:rsidRPr="00EE434E">
        <w:rPr>
          <w:rFonts w:ascii="Calibri" w:eastAsia="Times New Roman" w:hAnsi="Calibri" w:cs="Calibri"/>
          <w:i/>
          <w:iCs/>
          <w:color w:val="000000"/>
          <w:kern w:val="0"/>
          <w:sz w:val="22"/>
          <w:szCs w:val="22"/>
          <w14:ligatures w14:val="none"/>
        </w:rPr>
        <w:t>L. biflexa</w:t>
      </w:r>
      <w:r w:rsidRPr="00EE434E">
        <w:rPr>
          <w:rFonts w:ascii="Calibri" w:eastAsia="Times New Roman" w:hAnsi="Calibri" w:cs="Calibri"/>
          <w:color w:val="000000"/>
          <w:kern w:val="0"/>
          <w:sz w:val="22"/>
          <w:szCs w:val="22"/>
          <w14:ligatures w14:val="none"/>
        </w:rPr>
        <w:t> model, which was transformed by conjugation with conjugative </w:t>
      </w:r>
      <w:r w:rsidRPr="00EE434E">
        <w:rPr>
          <w:rFonts w:ascii="Calibri" w:eastAsia="Times New Roman" w:hAnsi="Calibri" w:cs="Calibri"/>
          <w:i/>
          <w:iCs/>
          <w:color w:val="000000"/>
          <w:kern w:val="0"/>
          <w:sz w:val="22"/>
          <w:szCs w:val="22"/>
          <w14:ligatures w14:val="none"/>
        </w:rPr>
        <w:t>E. coli</w:t>
      </w:r>
      <w:r w:rsidRPr="00EE434E">
        <w:rPr>
          <w:rFonts w:ascii="Calibri" w:eastAsia="Times New Roman" w:hAnsi="Calibri" w:cs="Calibri"/>
          <w:color w:val="000000"/>
          <w:kern w:val="0"/>
          <w:sz w:val="22"/>
          <w:szCs w:val="22"/>
          <w14:ligatures w14:val="none"/>
        </w:rPr>
        <w:t> cells. Conservation of the selected LRR proteins in the pathogenic, intermediate and saprophytic groups was evaluated, revealing that both proteins were conserved within the pathogenic clade. Both recombinant proteins were expressed and were immunogenic in mice. Native proteins were detected in </w:t>
      </w:r>
      <w:r w:rsidRPr="00EE434E">
        <w:rPr>
          <w:rFonts w:ascii="Calibri" w:eastAsia="Times New Roman" w:hAnsi="Calibri" w:cs="Calibri"/>
          <w:i/>
          <w:iCs/>
          <w:color w:val="000000"/>
          <w:kern w:val="0"/>
          <w:sz w:val="22"/>
          <w:szCs w:val="22"/>
          <w14:ligatures w14:val="none"/>
        </w:rPr>
        <w:t>L. interrogans</w:t>
      </w:r>
      <w:r w:rsidRPr="00EE434E">
        <w:rPr>
          <w:rFonts w:ascii="Calibri" w:eastAsia="Times New Roman" w:hAnsi="Calibri" w:cs="Calibri"/>
          <w:color w:val="000000"/>
          <w:kern w:val="0"/>
          <w:sz w:val="22"/>
          <w:szCs w:val="22"/>
          <w14:ligatures w14:val="none"/>
        </w:rPr>
        <w:t> whole-cell lysates, SDS-soluble membrane proteins, and the secreted fraction. Both recombinant proteins exhibited significant interaction with plasminogen, while rLIC11505 had a broader spectrum of binding, binding to plasma fibronectin, vitronectin, collagen 1, and glycosaminoglycans. Both proteins were expressed in the </w:t>
      </w:r>
      <w:r w:rsidRPr="00EE434E">
        <w:rPr>
          <w:rFonts w:ascii="Calibri" w:eastAsia="Times New Roman" w:hAnsi="Calibri" w:cs="Calibri"/>
          <w:i/>
          <w:iCs/>
          <w:color w:val="000000"/>
          <w:kern w:val="0"/>
          <w:sz w:val="22"/>
          <w:szCs w:val="22"/>
          <w14:ligatures w14:val="none"/>
        </w:rPr>
        <w:t>L. biflexa</w:t>
      </w:r>
      <w:r w:rsidRPr="00EE434E">
        <w:rPr>
          <w:rFonts w:ascii="Calibri" w:eastAsia="Times New Roman" w:hAnsi="Calibri" w:cs="Calibri"/>
          <w:color w:val="000000"/>
          <w:kern w:val="0"/>
          <w:sz w:val="22"/>
          <w:szCs w:val="22"/>
          <w14:ligatures w14:val="none"/>
        </w:rPr>
        <w:t> model, which will favor gain of function phenotype analysis. The functional characterization of their role in leptospiral pathogenesis is currently under investigation.</w:t>
      </w:r>
    </w:p>
    <w:p w14:paraId="33C58B7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25-A-3098-ASTMH</w:t>
      </w:r>
    </w:p>
    <w:p w14:paraId="3C84F7E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Other Bacterial Infections</w:t>
      </w:r>
    </w:p>
    <w:p w14:paraId="54281DC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Involvement of two novel </w:t>
      </w:r>
      <w:r w:rsidRPr="00EE434E">
        <w:rPr>
          <w:rFonts w:ascii="Calibri" w:eastAsia="Times New Roman" w:hAnsi="Calibri" w:cs="Calibri"/>
          <w:i/>
          <w:iCs/>
          <w:color w:val="000000"/>
          <w:kern w:val="0"/>
          <w:sz w:val="22"/>
          <w:szCs w:val="22"/>
          <w14:ligatures w14:val="none"/>
        </w:rPr>
        <w:t>Leptospira interrogans</w:t>
      </w:r>
      <w:r w:rsidRPr="00EE434E">
        <w:rPr>
          <w:rFonts w:ascii="Calibri" w:eastAsia="Times New Roman" w:hAnsi="Calibri" w:cs="Calibri"/>
          <w:color w:val="000000"/>
          <w:kern w:val="0"/>
          <w:sz w:val="22"/>
          <w:szCs w:val="22"/>
          <w14:ligatures w14:val="none"/>
        </w:rPr>
        <w:t> proteins in immune evasion</w:t>
      </w:r>
    </w:p>
    <w:p w14:paraId="220C587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Leptospirosis is an important zoonotic disease caused by pathogenic </w:t>
      </w:r>
      <w:r w:rsidRPr="00EE434E">
        <w:rPr>
          <w:rFonts w:ascii="Calibri" w:eastAsia="Times New Roman" w:hAnsi="Calibri" w:cs="Calibri"/>
          <w:i/>
          <w:iCs/>
          <w:color w:val="000000"/>
          <w:kern w:val="0"/>
          <w:sz w:val="22"/>
          <w:szCs w:val="22"/>
          <w14:ligatures w14:val="none"/>
        </w:rPr>
        <w:t>Leptospira</w:t>
      </w:r>
      <w:r w:rsidRPr="00EE434E">
        <w:rPr>
          <w:rFonts w:ascii="Calibri" w:eastAsia="Times New Roman" w:hAnsi="Calibri" w:cs="Calibri"/>
          <w:color w:val="000000"/>
          <w:kern w:val="0"/>
          <w:sz w:val="22"/>
          <w:szCs w:val="22"/>
          <w14:ligatures w14:val="none"/>
        </w:rPr>
        <w:t xml:space="preserve"> spp.. Leptospiral antigens exposed on the surface are involved in primary host-pathogen interaction and evasion </w:t>
      </w:r>
      <w:r w:rsidRPr="00EE434E">
        <w:rPr>
          <w:rFonts w:ascii="Calibri" w:eastAsia="Times New Roman" w:hAnsi="Calibri" w:cs="Calibri"/>
          <w:color w:val="000000"/>
          <w:kern w:val="0"/>
          <w:sz w:val="22"/>
          <w:szCs w:val="22"/>
          <w14:ligatures w14:val="none"/>
        </w:rPr>
        <w:lastRenderedPageBreak/>
        <w:t>strategies from the host immunity. It is known that </w:t>
      </w:r>
      <w:r w:rsidRPr="00EE434E">
        <w:rPr>
          <w:rFonts w:ascii="Calibri" w:eastAsia="Times New Roman" w:hAnsi="Calibri" w:cs="Calibri"/>
          <w:i/>
          <w:iCs/>
          <w:color w:val="000000"/>
          <w:kern w:val="0"/>
          <w:sz w:val="22"/>
          <w:szCs w:val="22"/>
          <w14:ligatures w14:val="none"/>
        </w:rPr>
        <w:t>L. interrogans</w:t>
      </w:r>
      <w:r w:rsidRPr="00EE434E">
        <w:rPr>
          <w:rFonts w:ascii="Calibri" w:eastAsia="Times New Roman" w:hAnsi="Calibri" w:cs="Calibri"/>
          <w:color w:val="000000"/>
          <w:kern w:val="0"/>
          <w:sz w:val="22"/>
          <w:szCs w:val="22"/>
          <w14:ligatures w14:val="none"/>
        </w:rPr>
        <w:t> can resist to complement mediated kill. This work aims to evaluate the interactions with host components and the role in immune evasion of two novel </w:t>
      </w:r>
      <w:r w:rsidRPr="00EE434E">
        <w:rPr>
          <w:rFonts w:ascii="Calibri" w:eastAsia="Times New Roman" w:hAnsi="Calibri" w:cs="Calibri"/>
          <w:i/>
          <w:iCs/>
          <w:color w:val="000000"/>
          <w:kern w:val="0"/>
          <w:sz w:val="22"/>
          <w:szCs w:val="22"/>
          <w14:ligatures w14:val="none"/>
        </w:rPr>
        <w:t>L. interrogans</w:t>
      </w:r>
      <w:r w:rsidRPr="00EE434E">
        <w:rPr>
          <w:rFonts w:ascii="Calibri" w:eastAsia="Times New Roman" w:hAnsi="Calibri" w:cs="Calibri"/>
          <w:color w:val="000000"/>
          <w:kern w:val="0"/>
          <w:sz w:val="22"/>
          <w:szCs w:val="22"/>
          <w14:ligatures w14:val="none"/>
        </w:rPr>
        <w:t> proteins, LIC_10499 and LIC_12339. Proteins coding sequences were cloned, expressed in </w:t>
      </w:r>
      <w:r w:rsidRPr="00EE434E">
        <w:rPr>
          <w:rFonts w:ascii="Calibri" w:eastAsia="Times New Roman" w:hAnsi="Calibri" w:cs="Calibri"/>
          <w:i/>
          <w:iCs/>
          <w:color w:val="000000"/>
          <w:kern w:val="0"/>
          <w:sz w:val="22"/>
          <w:szCs w:val="22"/>
          <w14:ligatures w14:val="none"/>
        </w:rPr>
        <w:t>Escherichia coli</w:t>
      </w:r>
      <w:r w:rsidRPr="00EE434E">
        <w:rPr>
          <w:rFonts w:ascii="Calibri" w:eastAsia="Times New Roman" w:hAnsi="Calibri" w:cs="Calibri"/>
          <w:color w:val="000000"/>
          <w:kern w:val="0"/>
          <w:sz w:val="22"/>
          <w:szCs w:val="22"/>
          <w14:ligatures w14:val="none"/>
        </w:rPr>
        <w:t> and the recombinant proteins were purified from inclusion-bodies by pellet washing followed by dialysis in PBS. Recombinant proteins binding to purified human molecules were tested by ELISA. It was found that they interacted with fibronectin, fibrinogen and plasminogen (PLG) from human plasma. The binding to PLG was further investigated, showing that this interaction is independent of PLG’s kringle domain. It was also seen that both proteins could sequester PLG from normal human serum (NHS). In the presence of an activator, bound PLG is converted to plasmin, a broad-spectrum protease with a role in pathogen immune evasion. Both proteins could bind to complement system regulators Factor H and C4b-binding protein and to C7, C8 and C9 components. The interaction with C9 could possibly indicate a role in inhibition of membrane attack complex formation. We found that the formation of C9 complexes was inhibited in the presence of recombinant proteins, visualized with gradient SDS-PAGE. To verify the protective effect against complement killing, live </w:t>
      </w:r>
      <w:r w:rsidRPr="00EE434E">
        <w:rPr>
          <w:rFonts w:ascii="Calibri" w:eastAsia="Times New Roman" w:hAnsi="Calibri" w:cs="Calibri"/>
          <w:i/>
          <w:iCs/>
          <w:color w:val="000000"/>
          <w:kern w:val="0"/>
          <w:sz w:val="22"/>
          <w:szCs w:val="22"/>
          <w14:ligatures w14:val="none"/>
        </w:rPr>
        <w:t>E. coli</w:t>
      </w:r>
      <w:r w:rsidRPr="00EE434E">
        <w:rPr>
          <w:rFonts w:ascii="Calibri" w:eastAsia="Times New Roman" w:hAnsi="Calibri" w:cs="Calibri"/>
          <w:color w:val="000000"/>
          <w:kern w:val="0"/>
          <w:sz w:val="22"/>
          <w:szCs w:val="22"/>
          <w14:ligatures w14:val="none"/>
        </w:rPr>
        <w:t> cells were exposed to NHS in the presence or absence of the recombinant proteins and survival was evaluated by counting colony forming units. It was seen that the incubation of NHS with recombinant proteins led to a higher survival rate of </w:t>
      </w:r>
      <w:r w:rsidRPr="00EE434E">
        <w:rPr>
          <w:rFonts w:ascii="Calibri" w:eastAsia="Times New Roman" w:hAnsi="Calibri" w:cs="Calibri"/>
          <w:i/>
          <w:iCs/>
          <w:color w:val="000000"/>
          <w:kern w:val="0"/>
          <w:sz w:val="22"/>
          <w:szCs w:val="22"/>
          <w14:ligatures w14:val="none"/>
        </w:rPr>
        <w:t>E. coli</w:t>
      </w:r>
      <w:r w:rsidRPr="00EE434E">
        <w:rPr>
          <w:rFonts w:ascii="Calibri" w:eastAsia="Times New Roman" w:hAnsi="Calibri" w:cs="Calibri"/>
          <w:color w:val="000000"/>
          <w:kern w:val="0"/>
          <w:sz w:val="22"/>
          <w:szCs w:val="22"/>
          <w14:ligatures w14:val="none"/>
        </w:rPr>
        <w:t> cells. The binding profile to plasma and complement system proteins, together with the ability of this proteins to block polyC9 formation and prevent complement killing of </w:t>
      </w:r>
      <w:r w:rsidRPr="00EE434E">
        <w:rPr>
          <w:rFonts w:ascii="Calibri" w:eastAsia="Times New Roman" w:hAnsi="Calibri" w:cs="Calibri"/>
          <w:i/>
          <w:iCs/>
          <w:color w:val="000000"/>
          <w:kern w:val="0"/>
          <w:sz w:val="22"/>
          <w:szCs w:val="22"/>
          <w14:ligatures w14:val="none"/>
        </w:rPr>
        <w:t>E. coli</w:t>
      </w:r>
      <w:r w:rsidRPr="00EE434E">
        <w:rPr>
          <w:rFonts w:ascii="Calibri" w:eastAsia="Times New Roman" w:hAnsi="Calibri" w:cs="Calibri"/>
          <w:color w:val="000000"/>
          <w:kern w:val="0"/>
          <w:sz w:val="22"/>
          <w:szCs w:val="22"/>
          <w14:ligatures w14:val="none"/>
        </w:rPr>
        <w:t> suggests that these proteins might participate in </w:t>
      </w:r>
      <w:r w:rsidRPr="00EE434E">
        <w:rPr>
          <w:rFonts w:ascii="Calibri" w:eastAsia="Times New Roman" w:hAnsi="Calibri" w:cs="Calibri"/>
          <w:i/>
          <w:iCs/>
          <w:color w:val="000000"/>
          <w:kern w:val="0"/>
          <w:sz w:val="22"/>
          <w:szCs w:val="22"/>
          <w14:ligatures w14:val="none"/>
        </w:rPr>
        <w:t>L. interrogans</w:t>
      </w:r>
      <w:r w:rsidRPr="00EE434E">
        <w:rPr>
          <w:rFonts w:ascii="Calibri" w:eastAsia="Times New Roman" w:hAnsi="Calibri" w:cs="Calibri"/>
          <w:color w:val="000000"/>
          <w:kern w:val="0"/>
          <w:sz w:val="22"/>
          <w:szCs w:val="22"/>
          <w14:ligatures w14:val="none"/>
        </w:rPr>
        <w:t> immune evasion.</w:t>
      </w:r>
    </w:p>
    <w:p w14:paraId="4EAA343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25-A-3099-ASTMH</w:t>
      </w:r>
    </w:p>
    <w:p w14:paraId="72A1957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Immunology</w:t>
      </w:r>
    </w:p>
    <w:p w14:paraId="3BEFE99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Changes in the bone marrow microenvironment following Plasmodium infection impair the generation and maintenance of long-lived plasma cells</w:t>
      </w:r>
    </w:p>
    <w:p w14:paraId="7DE2481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parasites are cleared from the blood in an antibody-dependent manner. These antibodies are generated by plasma cells (PCs) which develop in secondary lymphoid organs in response to the infection. After generation, PCs home to the bone marrow and if they receive proper signals from the bone marrow microenvironment they differentiate into long-lived PCs (LLPCs). LLPCs are hypothesized to be important in protection against reinfection with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parasites due to their ability to continuously secrete high affinity antibodies. Clinical immunity to malaria following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infection in humans requires years of repeated exposure, suggesting inefficiencies in the generation and maintenance of the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-specific LLPC population. We hypothesize that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infection disrupts the production and/or maintenance of LLPCs. In support of this hypothesis, we determined there is poor long-term accumulation of PCs in the bone marrow following </w:t>
      </w:r>
      <w:r w:rsidRPr="00EE434E">
        <w:rPr>
          <w:rFonts w:ascii="Calibri" w:eastAsia="Times New Roman" w:hAnsi="Calibri" w:cs="Calibri"/>
          <w:i/>
          <w:iCs/>
          <w:color w:val="000000"/>
          <w:kern w:val="0"/>
          <w:sz w:val="22"/>
          <w:szCs w:val="22"/>
          <w14:ligatures w14:val="none"/>
        </w:rPr>
        <w:t>P. yoelii</w:t>
      </w:r>
      <w:r w:rsidRPr="00EE434E">
        <w:rPr>
          <w:rFonts w:ascii="Calibri" w:eastAsia="Times New Roman" w:hAnsi="Calibri" w:cs="Calibri"/>
          <w:color w:val="000000"/>
          <w:kern w:val="0"/>
          <w:sz w:val="22"/>
          <w:szCs w:val="22"/>
          <w14:ligatures w14:val="none"/>
        </w:rPr>
        <w:t> infection in mice, and </w:t>
      </w:r>
      <w:r w:rsidRPr="00EE434E">
        <w:rPr>
          <w:rFonts w:ascii="Calibri" w:eastAsia="Times New Roman" w:hAnsi="Calibri" w:cs="Calibri"/>
          <w:i/>
          <w:iCs/>
          <w:color w:val="000000"/>
          <w:kern w:val="0"/>
          <w:sz w:val="22"/>
          <w:szCs w:val="22"/>
          <w14:ligatures w14:val="none"/>
        </w:rPr>
        <w:t>P. yoelii</w:t>
      </w:r>
      <w:r w:rsidRPr="00EE434E">
        <w:rPr>
          <w:rFonts w:ascii="Calibri" w:eastAsia="Times New Roman" w:hAnsi="Calibri" w:cs="Calibri"/>
          <w:color w:val="000000"/>
          <w:kern w:val="0"/>
          <w:sz w:val="22"/>
          <w:szCs w:val="22"/>
          <w14:ligatures w14:val="none"/>
        </w:rPr>
        <w:t>-induced GC B cells are inefficient at differentiating into LLPCs. Additionally, the bone marrow microenvironment is altered during </w:t>
      </w:r>
      <w:r w:rsidRPr="00EE434E">
        <w:rPr>
          <w:rFonts w:ascii="Calibri" w:eastAsia="Times New Roman" w:hAnsi="Calibri" w:cs="Calibri"/>
          <w:i/>
          <w:iCs/>
          <w:color w:val="000000"/>
          <w:kern w:val="0"/>
          <w:sz w:val="22"/>
          <w:szCs w:val="22"/>
          <w14:ligatures w14:val="none"/>
        </w:rPr>
        <w:t>P. yoelii</w:t>
      </w:r>
      <w:r w:rsidRPr="00EE434E">
        <w:rPr>
          <w:rFonts w:ascii="Calibri" w:eastAsia="Times New Roman" w:hAnsi="Calibri" w:cs="Calibri"/>
          <w:color w:val="000000"/>
          <w:kern w:val="0"/>
          <w:sz w:val="22"/>
          <w:szCs w:val="22"/>
          <w14:ligatures w14:val="none"/>
        </w:rPr>
        <w:t> infection including increases in pro-inflammatory cytokines, such as IFN-γ and TNF, and decreases in cell populations that are necessary to provide PCs with survival signals. When IFN-γR signaling was blocked, we partially restored the cellularity of the bone marrow microenvironment and improved accumulation of PCs, indicating that IFN-γ plays a role in modulating the PC niche in the bone marrow during </w:t>
      </w:r>
      <w:r w:rsidRPr="00EE434E">
        <w:rPr>
          <w:rFonts w:ascii="Calibri" w:eastAsia="Times New Roman" w:hAnsi="Calibri" w:cs="Calibri"/>
          <w:i/>
          <w:iCs/>
          <w:color w:val="000000"/>
          <w:kern w:val="0"/>
          <w:sz w:val="22"/>
          <w:szCs w:val="22"/>
          <w14:ligatures w14:val="none"/>
        </w:rPr>
        <w:t>P. yoelii</w:t>
      </w:r>
      <w:r w:rsidRPr="00EE434E">
        <w:rPr>
          <w:rFonts w:ascii="Calibri" w:eastAsia="Times New Roman" w:hAnsi="Calibri" w:cs="Calibri"/>
          <w:color w:val="000000"/>
          <w:kern w:val="0"/>
          <w:sz w:val="22"/>
          <w:szCs w:val="22"/>
          <w14:ligatures w14:val="none"/>
        </w:rPr>
        <w:t> infection. These findings demonstrate that </w:t>
      </w:r>
      <w:r w:rsidRPr="00EE434E">
        <w:rPr>
          <w:rFonts w:ascii="Calibri" w:eastAsia="Times New Roman" w:hAnsi="Calibri" w:cs="Calibri"/>
          <w:i/>
          <w:iCs/>
          <w:color w:val="000000"/>
          <w:kern w:val="0"/>
          <w:sz w:val="22"/>
          <w:szCs w:val="22"/>
          <w14:ligatures w14:val="none"/>
        </w:rPr>
        <w:t>P. yoelii</w:t>
      </w:r>
      <w:r w:rsidRPr="00EE434E">
        <w:rPr>
          <w:rFonts w:ascii="Calibri" w:eastAsia="Times New Roman" w:hAnsi="Calibri" w:cs="Calibri"/>
          <w:color w:val="000000"/>
          <w:kern w:val="0"/>
          <w:sz w:val="22"/>
          <w:szCs w:val="22"/>
          <w14:ligatures w14:val="none"/>
        </w:rPr>
        <w:t> infection influences the generation of LLPCs in the spleen and their longevity in the bone marrow.</w:t>
      </w:r>
    </w:p>
    <w:p w14:paraId="6CF541B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25-A-3100-ASTMH</w:t>
      </w:r>
    </w:p>
    <w:p w14:paraId="17E7313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Security/Emerging Infection Preparedness, Surveillance and Response(s)</w:t>
      </w:r>
    </w:p>
    <w:p w14:paraId="1B590C0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The Role of WHO Field Teams at the SubNational Level in Public Health Emergency Response in Uganda</w:t>
      </w:r>
    </w:p>
    <w:p w14:paraId="422FA06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Uganda faces a multitude of Public Health Emergencies (PHEs). To strengthen response at the operational level, the WHO established hub offices in 9 of the 14 regions in Uganda. These hubs serve as </w:t>
      </w:r>
      <w:r w:rsidRPr="00EE434E">
        <w:rPr>
          <w:rFonts w:ascii="Calibri" w:eastAsia="Times New Roman" w:hAnsi="Calibri" w:cs="Calibri"/>
          <w:color w:val="000000"/>
          <w:kern w:val="0"/>
          <w:sz w:val="22"/>
          <w:szCs w:val="22"/>
          <w14:ligatures w14:val="none"/>
        </w:rPr>
        <w:lastRenderedPageBreak/>
        <w:t>critical bridges between national and district-level implementation, bringing technical expertise closer to where emergencies unfold. We determined the types and proportions of PHEs responded to by the WHO hub region offices from January through March 2025; and the benefits of hub teams in responding to the PHEs. This was a retrospective study involving review of reports from the hubs on PHEs. We retrieved data on the nature, frequency, and WHO grading of PHEs across the regions. Key indicators included how quickly teams were deployed, the scope of technical support provided, the ability to mobilize resources, and how well emergency interventions were embedded into district health systems. We identified 10 PHEs in the 9 regions. Landslide and flooding disasters were reported in 2 (22%) regions of Mbale and Kasese. 9 infectious disease outbreaks were reported and, included 2 WHO-graded PHEs, which were also PHEs of international concern: Mpox in all regions and Ebola in 3 (33%) regions (Busoga, Kasese, and Mbale). The ungraded PHEs included measles in all regions, anthrax in 4 regions, malaria and yellow fever in 3 regions, and Crimean Congo hemorrhagic fever (CCHF) in 2 regions. The hub teams worked with the regional emergency operations center and district taskforces to make assessments within a median (IQR) of 2 (2-3) days of PHE declaration. Hub teams also provided surge capacity for responses to Ebola, Mpox, measles, and CCHF in Kampala metropolitan area, and Busoga, Mbale, and Kasese regions. The teams facilitated rapid risk assessments and technical guidance for responders, coordination with the response structures, prepositioning of essential resources, timely delivery to affected areas, and integration of PHE response into district health systems. The WHO hub model demonstrates that when rooted at the sub-national level, hub teams can act quickly, navigate local realities, and offer tailored technical support</w:t>
      </w:r>
    </w:p>
    <w:p w14:paraId="3829F8F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25-A-3101-ASTMH</w:t>
      </w:r>
    </w:p>
    <w:p w14:paraId="3D41229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Biology, Physiology and Immunity</w:t>
      </w:r>
    </w:p>
    <w:p w14:paraId="06D945F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Peripheral and dermal immune responses following sequential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 bite exposures</w:t>
      </w:r>
    </w:p>
    <w:p w14:paraId="585EBEC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have genus-specific feeding patterns. For example,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mosquitoes are nocturnal feeders, whereas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mosquitoes prefer diurnal feeding. This creates the potential for sequential mosquito bites, with an individual being bit by an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mosquito at night, followed by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during the day.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mosquitoes are the major vector for Zika virus (ZIKV). Importantly, exposure to salivary proteins from </w:t>
      </w:r>
      <w:r w:rsidRPr="00EE434E">
        <w:rPr>
          <w:rFonts w:ascii="Calibri" w:eastAsia="Times New Roman" w:hAnsi="Calibri" w:cs="Calibri"/>
          <w:i/>
          <w:iCs/>
          <w:color w:val="000000"/>
          <w:kern w:val="0"/>
          <w:sz w:val="22"/>
          <w:szCs w:val="22"/>
          <w14:ligatures w14:val="none"/>
        </w:rPr>
        <w:t>Aedes </w:t>
      </w:r>
      <w:r w:rsidRPr="00EE434E">
        <w:rPr>
          <w:rFonts w:ascii="Calibri" w:eastAsia="Times New Roman" w:hAnsi="Calibri" w:cs="Calibri"/>
          <w:color w:val="000000"/>
          <w:kern w:val="0"/>
          <w:sz w:val="22"/>
          <w:szCs w:val="22"/>
          <w14:ligatures w14:val="none"/>
        </w:rPr>
        <w:t>mosquitoes increases local ZIKV replication in macrophages by modulating neutrophil activation. Conversely,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mosquitoes contain a salivary protein which has been shown to decrease neutrophil chemotaxis. This supports a scenario wherein exposure to </w:t>
      </w:r>
      <w:r w:rsidRPr="00EE434E">
        <w:rPr>
          <w:rFonts w:ascii="Calibri" w:eastAsia="Times New Roman" w:hAnsi="Calibri" w:cs="Calibri"/>
          <w:i/>
          <w:iCs/>
          <w:color w:val="000000"/>
          <w:kern w:val="0"/>
          <w:sz w:val="22"/>
          <w:szCs w:val="22"/>
          <w14:ligatures w14:val="none"/>
        </w:rPr>
        <w:t>Anopheles </w:t>
      </w:r>
      <w:r w:rsidRPr="00EE434E">
        <w:rPr>
          <w:rFonts w:ascii="Calibri" w:eastAsia="Times New Roman" w:hAnsi="Calibri" w:cs="Calibri"/>
          <w:color w:val="000000"/>
          <w:kern w:val="0"/>
          <w:sz w:val="22"/>
          <w:szCs w:val="22"/>
          <w14:ligatures w14:val="none"/>
        </w:rPr>
        <w:t>salivary proteins inhibit neutrophil responses, while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salivary proteins reduce neutrophil-associated inflammation and inhibit virus replication. However, how sequential exposure to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followed by ZIKV-infected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mosquitoes affects peripheral and dermal innate immune responses is poorly understood. Here, we hypothesized that previous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exposure would result in an attenuated immune response as compared to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-only exposed mice . Using a mouse model of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mosquito exposures, followed by ZIKV-infected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 exposure (ZikaAn) compared to exposure to ZIKV-infected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mosquitoes only (ZikaOn), we found that 48 hours after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exposure, ZikaAn mice had greater evidence of dermal inflammation, characterized by the presence of melanocytes, which have been reported to play a role in mounting an innate immune response after viral exposure, when compared to ZikaOn mice. Additionally, ZikaAn mice had significantly decreased plasma levels of CXCL1, which is a potent neutrophil chemoattractant, but significantly increased levels of CCL2, which is involved in recruiting monocytes and macrophages, as compared to ZikaOn mice. Taken together, these data indicate that </w:t>
      </w:r>
      <w:r w:rsidRPr="00EE434E">
        <w:rPr>
          <w:rFonts w:ascii="Calibri" w:eastAsia="Times New Roman" w:hAnsi="Calibri" w:cs="Calibri"/>
          <w:i/>
          <w:iCs/>
          <w:color w:val="000000"/>
          <w:kern w:val="0"/>
          <w:sz w:val="22"/>
          <w:szCs w:val="22"/>
          <w14:ligatures w14:val="none"/>
        </w:rPr>
        <w:t>Anopheles </w:t>
      </w:r>
      <w:r w:rsidRPr="00EE434E">
        <w:rPr>
          <w:rFonts w:ascii="Calibri" w:eastAsia="Times New Roman" w:hAnsi="Calibri" w:cs="Calibri"/>
          <w:color w:val="000000"/>
          <w:kern w:val="0"/>
          <w:sz w:val="22"/>
          <w:szCs w:val="22"/>
          <w14:ligatures w14:val="none"/>
        </w:rPr>
        <w:t>exposure prior to ZIKV-infected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exposure alters the host immune response, which has implications for the development of ZIKV-specific therapeutics for areas in which both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mosquitoes are present.</w:t>
      </w:r>
    </w:p>
    <w:p w14:paraId="45CA615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25-A-3102-ASTMH</w:t>
      </w:r>
    </w:p>
    <w:p w14:paraId="000425A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Vaccines and Immunotherapeutics</w:t>
      </w:r>
    </w:p>
    <w:p w14:paraId="3A2597F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A genetically modified rodent malaria parasite expressing chimeric </w:t>
      </w:r>
      <w:r w:rsidRPr="00EE434E">
        <w:rPr>
          <w:rFonts w:ascii="Calibri" w:eastAsia="Times New Roman" w:hAnsi="Calibri" w:cs="Calibri"/>
          <w:i/>
          <w:iCs/>
          <w:color w:val="000000"/>
          <w:kern w:val="0"/>
          <w:sz w:val="22"/>
          <w:szCs w:val="22"/>
          <w14:ligatures w14:val="none"/>
        </w:rPr>
        <w:t>Plasmodium vivax</w:t>
      </w:r>
      <w:r w:rsidRPr="00EE434E">
        <w:rPr>
          <w:rFonts w:ascii="Calibri" w:eastAsia="Times New Roman" w:hAnsi="Calibri" w:cs="Calibri"/>
          <w:color w:val="000000"/>
          <w:kern w:val="0"/>
          <w:sz w:val="22"/>
          <w:szCs w:val="22"/>
          <w14:ligatures w14:val="none"/>
        </w:rPr>
        <w:t> circumsporozoite protein to broaden immune recognition of allelic variants</w:t>
      </w:r>
    </w:p>
    <w:p w14:paraId="4F42C05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Whole-sporozoite (WSp) vaccines are a promising strategy for malaria control, as they can induce sterilizing immunity by targeting the pre-erythrocytic stage of the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parasite life cycle. However, efforts to develop WSp vaccines against </w:t>
      </w:r>
      <w:r w:rsidRPr="00EE434E">
        <w:rPr>
          <w:rFonts w:ascii="Calibri" w:eastAsia="Times New Roman" w:hAnsi="Calibri" w:cs="Calibri"/>
          <w:i/>
          <w:iCs/>
          <w:color w:val="000000"/>
          <w:kern w:val="0"/>
          <w:sz w:val="22"/>
          <w:szCs w:val="22"/>
          <w14:ligatures w14:val="none"/>
        </w:rPr>
        <w:t>P. vivax</w:t>
      </w:r>
      <w:r w:rsidRPr="00EE434E">
        <w:rPr>
          <w:rFonts w:ascii="Calibri" w:eastAsia="Times New Roman" w:hAnsi="Calibri" w:cs="Calibri"/>
          <w:color w:val="000000"/>
          <w:kern w:val="0"/>
          <w:sz w:val="22"/>
          <w:szCs w:val="22"/>
          <w14:ligatures w14:val="none"/>
        </w:rPr>
        <w:t> (Pv) have been limited by the lack of a system for </w:t>
      </w:r>
      <w:r w:rsidRPr="00EE434E">
        <w:rPr>
          <w:rFonts w:ascii="Calibri" w:eastAsia="Times New Roman" w:hAnsi="Calibri" w:cs="Calibri"/>
          <w:i/>
          <w:iCs/>
          <w:color w:val="000000"/>
          <w:kern w:val="0"/>
          <w:sz w:val="22"/>
          <w:szCs w:val="22"/>
          <w14:ligatures w14:val="none"/>
        </w:rPr>
        <w:t>in vitro</w:t>
      </w:r>
      <w:r w:rsidRPr="00EE434E">
        <w:rPr>
          <w:rFonts w:ascii="Calibri" w:eastAsia="Times New Roman" w:hAnsi="Calibri" w:cs="Calibri"/>
          <w:color w:val="000000"/>
          <w:kern w:val="0"/>
          <w:sz w:val="22"/>
          <w:szCs w:val="22"/>
          <w14:ligatures w14:val="none"/>
        </w:rPr>
        <w:t> culture of this parasite. To overcome this challenge, we previously generated PbviVac, a transgenic rodent </w:t>
      </w:r>
      <w:r w:rsidRPr="00EE434E">
        <w:rPr>
          <w:rFonts w:ascii="Calibri" w:eastAsia="Times New Roman" w:hAnsi="Calibri" w:cs="Calibri"/>
          <w:i/>
          <w:iCs/>
          <w:color w:val="000000"/>
          <w:kern w:val="0"/>
          <w:sz w:val="22"/>
          <w:szCs w:val="22"/>
          <w14:ligatures w14:val="none"/>
        </w:rPr>
        <w:t>P. berghei</w:t>
      </w:r>
      <w:r w:rsidRPr="00EE434E">
        <w:rPr>
          <w:rFonts w:ascii="Calibri" w:eastAsia="Times New Roman" w:hAnsi="Calibri" w:cs="Calibri"/>
          <w:color w:val="000000"/>
          <w:kern w:val="0"/>
          <w:sz w:val="22"/>
          <w:szCs w:val="22"/>
          <w14:ligatures w14:val="none"/>
        </w:rPr>
        <w:t> (Pb) line expressing the Pv circumsporozoite protein (PvCSP), and showed that immunization of rodents with PbviVac elicits antibodies capable of recognizing native Pv sporozoites. Contrary to </w:t>
      </w:r>
      <w:r w:rsidRPr="00EE434E">
        <w:rPr>
          <w:rFonts w:ascii="Calibri" w:eastAsia="Times New Roman" w:hAnsi="Calibri" w:cs="Calibri"/>
          <w:i/>
          <w:iCs/>
          <w:color w:val="000000"/>
          <w:kern w:val="0"/>
          <w:sz w:val="22"/>
          <w:szCs w:val="22"/>
          <w14:ligatures w14:val="none"/>
        </w:rPr>
        <w:t>P. falciparum </w:t>
      </w:r>
      <w:r w:rsidRPr="00EE434E">
        <w:rPr>
          <w:rFonts w:ascii="Calibri" w:eastAsia="Times New Roman" w:hAnsi="Calibri" w:cs="Calibri"/>
          <w:color w:val="000000"/>
          <w:kern w:val="0"/>
          <w:sz w:val="22"/>
          <w:szCs w:val="22"/>
          <w14:ligatures w14:val="none"/>
        </w:rPr>
        <w:t>CSP, the repeat region of PvCSP exhibits genetic heterology, with VK210 and VK247 representing the most prevalent allelic forms of this protein. This diversity raises concerns that vaccines targeting a single PvCSP variant may elicit strain-specific immune responses, leaving individuals susceptible to infection by non-targeted variants. Consistent with this, previous studies have reported limited cross-reactivity between antibodies raised against VK210 or VK247. To overcome this limitation, we engineered PbviVac</w:t>
      </w:r>
      <w:r w:rsidRPr="00EE434E">
        <w:rPr>
          <w:rFonts w:ascii="Calibri" w:eastAsia="Times New Roman" w:hAnsi="Calibri" w:cs="Calibri"/>
          <w:color w:val="000000"/>
          <w:kern w:val="0"/>
          <w:sz w:val="22"/>
          <w:szCs w:val="22"/>
          <w:vertAlign w:val="subscript"/>
          <w14:ligatures w14:val="none"/>
        </w:rPr>
        <w:t>210/247</w:t>
      </w:r>
      <w:r w:rsidRPr="00EE434E">
        <w:rPr>
          <w:rFonts w:ascii="Calibri" w:eastAsia="Times New Roman" w:hAnsi="Calibri" w:cs="Calibri"/>
          <w:color w:val="000000"/>
          <w:kern w:val="0"/>
          <w:sz w:val="22"/>
          <w:szCs w:val="22"/>
          <w14:ligatures w14:val="none"/>
        </w:rPr>
        <w:t>, a transgenic Pb line expressing a chimeric version of PvCSP that incorporates repeat sequences from both variants. Immunofluorescence microscopy confirmed expression of repeats from both PvCSP variants by sporozoites and liver stages. PbviVac</w:t>
      </w:r>
      <w:r w:rsidRPr="00EE434E">
        <w:rPr>
          <w:rFonts w:ascii="Calibri" w:eastAsia="Times New Roman" w:hAnsi="Calibri" w:cs="Calibri"/>
          <w:color w:val="000000"/>
          <w:kern w:val="0"/>
          <w:sz w:val="22"/>
          <w:szCs w:val="22"/>
          <w:vertAlign w:val="subscript"/>
          <w14:ligatures w14:val="none"/>
        </w:rPr>
        <w:t>210/247</w:t>
      </w:r>
      <w:r w:rsidRPr="00EE434E">
        <w:rPr>
          <w:rFonts w:ascii="Calibri" w:eastAsia="Times New Roman" w:hAnsi="Calibri" w:cs="Calibri"/>
          <w:color w:val="000000"/>
          <w:kern w:val="0"/>
          <w:sz w:val="22"/>
          <w:szCs w:val="22"/>
          <w14:ligatures w14:val="none"/>
        </w:rPr>
        <w:t> also maintained infectivity and fitness comparable to the parental wild-type line. Importantly, immunization of rodents with PbviVac</w:t>
      </w:r>
      <w:r w:rsidRPr="00EE434E">
        <w:rPr>
          <w:rFonts w:ascii="Calibri" w:eastAsia="Times New Roman" w:hAnsi="Calibri" w:cs="Calibri"/>
          <w:color w:val="000000"/>
          <w:kern w:val="0"/>
          <w:sz w:val="22"/>
          <w:szCs w:val="22"/>
          <w:vertAlign w:val="subscript"/>
          <w14:ligatures w14:val="none"/>
        </w:rPr>
        <w:t>210/247</w:t>
      </w:r>
      <w:r w:rsidRPr="00EE434E">
        <w:rPr>
          <w:rFonts w:ascii="Calibri" w:eastAsia="Times New Roman" w:hAnsi="Calibri" w:cs="Calibri"/>
          <w:color w:val="000000"/>
          <w:kern w:val="0"/>
          <w:sz w:val="22"/>
          <w:szCs w:val="22"/>
          <w14:ligatures w14:val="none"/>
        </w:rPr>
        <w:t> elicited strong humoral responses against the VK210 sequence and detectable, albeit lower, titres of antibodies against the VK247 region. This likely reflects inherent differences in immunogenicity between the two epitopes, while underscoring the advantage of incorporating both sequences to broaden immune recognition in populations where PvCSP variants co-circulate. These findings validate PbviVac</w:t>
      </w:r>
      <w:r w:rsidRPr="00EE434E">
        <w:rPr>
          <w:rFonts w:ascii="Calibri" w:eastAsia="Times New Roman" w:hAnsi="Calibri" w:cs="Calibri"/>
          <w:color w:val="000000"/>
          <w:kern w:val="0"/>
          <w:sz w:val="22"/>
          <w:szCs w:val="22"/>
          <w:vertAlign w:val="subscript"/>
          <w14:ligatures w14:val="none"/>
        </w:rPr>
        <w:t>210/247</w:t>
      </w:r>
      <w:r w:rsidRPr="00EE434E">
        <w:rPr>
          <w:rFonts w:ascii="Calibri" w:eastAsia="Times New Roman" w:hAnsi="Calibri" w:cs="Calibri"/>
          <w:color w:val="000000"/>
          <w:kern w:val="0"/>
          <w:sz w:val="22"/>
          <w:szCs w:val="22"/>
          <w14:ligatures w14:val="none"/>
        </w:rPr>
        <w:t> as a promising surrogate for Pv WSp vaccination and highlight the potential of antigen engineering to broaden vaccine coverage against genetically diverse Pv strains.</w:t>
      </w:r>
    </w:p>
    <w:p w14:paraId="4ED9650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25-A-3103-ASTMH</w:t>
      </w:r>
    </w:p>
    <w:p w14:paraId="0505A9D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Immunology</w:t>
      </w:r>
    </w:p>
    <w:p w14:paraId="45507C7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Long-term immune memory response from Venezuelian equine encephalitis and Madariaga viruses survivors</w:t>
      </w:r>
    </w:p>
    <w:p w14:paraId="3BC383E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Alphaviruses from the </w:t>
      </w:r>
      <w:r w:rsidRPr="00EE434E">
        <w:rPr>
          <w:rFonts w:ascii="Calibri" w:eastAsia="Times New Roman" w:hAnsi="Calibri" w:cs="Calibri"/>
          <w:i/>
          <w:iCs/>
          <w:color w:val="000000"/>
          <w:kern w:val="0"/>
          <w:sz w:val="22"/>
          <w:szCs w:val="22"/>
          <w14:ligatures w14:val="none"/>
        </w:rPr>
        <w:t>Togaviridae</w:t>
      </w:r>
      <w:r w:rsidRPr="00EE434E">
        <w:rPr>
          <w:rFonts w:ascii="Calibri" w:eastAsia="Times New Roman" w:hAnsi="Calibri" w:cs="Calibri"/>
          <w:color w:val="000000"/>
          <w:kern w:val="0"/>
          <w:sz w:val="22"/>
          <w:szCs w:val="22"/>
          <w14:ligatures w14:val="none"/>
        </w:rPr>
        <w:t> family are composed of both New World (encephalitic) and Old World (arthritogenic) varieties. Encephalitic Venezuelan equine encephalitic viruses (VEEV) and Madariaga virus (MADV), formerly South American EEEV, circulate within Central America, particularly within the Darien region of Panama, and are a serious concern to public health. However, currently there is no current preventive vaccines nor specific treatments approved for humans. A better understanding of the long-term protective antibody response and, B and T cell immune memory response from survivors could help determine correlates of protection for future vaccines studies. Moreover, I would identify highly neutralizing antibodies that could be used for passive transfer treatments. Given the prevalence of circulating VEEV, genotype ID, and MADV in Panama, and heightened importance of finding efficacious prevention and clinical measures in the region, we have established a cohort of 47 alphavirus survivors from Darién, Panama, that were confirmed seropositive for either VEEV, MADV or both. ELISA assays with specific antigens from both viruses were used to detect alphavirus recognizing antibodies from survivor’s sera, whereas their neutralizing activity was analyzed by plaque-reduction neutralization test and by microneutralization assays. Other effector function activity of circulating antibodies was analyzed (ADCP, ADNP, ADCD). The immunological profile of T and B cells, and the cytokine response of CD4 and CD8 T cells after incubation with VEEV or MADV antigens were investigated using flow cytometry. We demonstrate potent neutralizing and effector function specific and cross-reactive activity in circulating antibodies, as well as define the specificity and phenotype of circulating memory T cell populations. We aim to provide benchmarks for the evaluation of protective efficacy of future encephalitic alphavirus medical countermeasures like monoclonal antibodies, guide future vaccine design, and establish ties with the impacted community to build a framework for future clinical trials.</w:t>
      </w:r>
    </w:p>
    <w:p w14:paraId="56A8D26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25-A-3104-ASTMH</w:t>
      </w:r>
    </w:p>
    <w:p w14:paraId="259C487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Immunology</w:t>
      </w:r>
    </w:p>
    <w:p w14:paraId="77955DB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Magnitude and long-term persistence of homotypic and heterotypic dengue virus antibodies across viral antigens and antibody isotypes</w:t>
      </w:r>
    </w:p>
    <w:p w14:paraId="383916D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Infections with the four dengue virus serotypes (DENV1-4) elicit diverse and dynamic antibody (Ab) responses, shaping protection and risk. It is widely thought that waning cross-reactive Abs after primary (1°) DENV infection mediate risk for subsequent infection, whereas high cross-neutralizing Abs after secondary (2°) DENV infection confer protection. However, recent evidence suggests that DENV cross-reactive Abs after 1° infection do not wane. Here, we characterized Ab kinetics longitudinally after 1° and 2° DENV1 or DENV3 infections in a pediatric hospital-based study in Managua, Nicaragua. Using multiplex bead-based immunoassays, we measured Ab responses by antigen specificity (envelope [E], E domain III [EDIII], nonstructural protein 1 [NS1]), isotype, (IgG, IgM, IgA), IgG subclass (IgG1-4), and serotype cross-reactivity at &lt;1, 3, 6, and 18 months post-infection. We found that 2° infections elicited earlier and higher IgG responses—especially IgG1 and IgG2—with sustained levels through 18 months. In contrast, 1° infections showed delayed peaks and an increase in serotype cross-reactive IgG and IgA anti-E Abs from 6 to 18 months, while homotypic responses remained stable. EDIII-specific Abs rose in parallel with E-specific responses post-1° infection but waned faster than anti-E antibodies in 2° infections. IgG responses to NS1 were higher but declined for homotypic antigens, while cross-reactive anti-NS1 IgG remained low and stable over time. IgG3 responses were transient, while IgG4 modestly increased over time, suggesting long-term exposure of antigens. Overall, we find striking differences in Ab magnitude and durability across antigens, Ab isotype and subclass, and immune status. Our findings suggest that: 1) post-1° cross-reactive Ab levels rise, not wane, over time; 2) Ab subsets demonstrate different early and long-term kinetics; and 3) DENV-reactive IgA and IgM Abs are long-lasting through 18 months post-infection. Our findings offer a high-resolution profiling of Ab subpopulations, advancing understanding of dengue immunity and informing vaccine design, serosurveillance, and modelling efforts.</w:t>
      </w:r>
    </w:p>
    <w:p w14:paraId="012D019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25-A-3106-ASTMH</w:t>
      </w:r>
    </w:p>
    <w:p w14:paraId="36A35B3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Pathogenesis</w:t>
      </w:r>
    </w:p>
    <w:p w14:paraId="33EE565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Blackwater fever incidence in Ugandan children may in part be attributed to hemolytic uremic syndrome</w:t>
      </w:r>
    </w:p>
    <w:p w14:paraId="59744B3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Blackwater fever (BWF) is a complication of severe malaria (SM) that is drastically increasing in incidence in Ugandan children. Presenting with dark urine, BWF often occurs with severe anemia, acute kidney injury (AKI), and jaundice, and high rates of post-discharge mortality. It is likely due to excess intravascular hemolysis, yet the mechanisms of BWF and its sudden rise are incompletely understood. We present a novel hypothesis that hemolytic uremic syndrome (HUS), clinically defined by the triad of AKI, thrombocytopenia (platelets &lt; 150,000), and anemia (hemoglobin &lt;10 dg/mL), may contribute to the pathogenesis of BWF. In a separate study, we demonstrated an increased relative abundance of </w:t>
      </w:r>
      <w:r w:rsidRPr="00EE434E">
        <w:rPr>
          <w:rFonts w:ascii="Calibri" w:eastAsia="Times New Roman" w:hAnsi="Calibri" w:cs="Calibri"/>
          <w:i/>
          <w:iCs/>
          <w:color w:val="000000"/>
          <w:kern w:val="0"/>
          <w:sz w:val="22"/>
          <w:szCs w:val="22"/>
          <w14:ligatures w14:val="none"/>
        </w:rPr>
        <w:t>Enterobacteriaceae</w:t>
      </w:r>
      <w:r w:rsidRPr="00EE434E">
        <w:rPr>
          <w:rFonts w:ascii="Calibri" w:eastAsia="Times New Roman" w:hAnsi="Calibri" w:cs="Calibri"/>
          <w:color w:val="000000"/>
          <w:kern w:val="0"/>
          <w:sz w:val="22"/>
          <w:szCs w:val="22"/>
          <w14:ligatures w14:val="none"/>
        </w:rPr>
        <w:t>, including </w:t>
      </w:r>
      <w:r w:rsidRPr="00EE434E">
        <w:rPr>
          <w:rFonts w:ascii="Calibri" w:eastAsia="Times New Roman" w:hAnsi="Calibri" w:cs="Calibri"/>
          <w:i/>
          <w:iCs/>
          <w:color w:val="000000"/>
          <w:kern w:val="0"/>
          <w:sz w:val="22"/>
          <w:szCs w:val="22"/>
          <w14:ligatures w14:val="none"/>
        </w:rPr>
        <w:t>Escherichia</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in the gut microbiome of Ugandan children with SM. These bacteria can produce Shiga-toxin causing HUS through endothelial damage. To investigate the prevalence of BWF and potential connection to HUS, we assessed a cohort of 600 Ugandan children with SM from two study sites and found a BWF prevalence of 24% (141). Demographic and pre-admission risk factors for BWF included eastern study site location, male sex, older age, and receipt of pre-admission artemether-lumefantrine or amoxicillin. Clinical features associated with BWF included severe anemia, intravascular hemolysis, AKI, and endothelial activation. Clinical HUS was present in 135 (23%) children with SM; while among the 141 children with BWF, 38 (27%) had HUS. Children with BWF or HUS also had a greater relative abundance of gut </w:t>
      </w:r>
      <w:r w:rsidRPr="00EE434E">
        <w:rPr>
          <w:rFonts w:ascii="Calibri" w:eastAsia="Times New Roman" w:hAnsi="Calibri" w:cs="Calibri"/>
          <w:i/>
          <w:iCs/>
          <w:color w:val="000000"/>
          <w:kern w:val="0"/>
          <w:sz w:val="22"/>
          <w:szCs w:val="22"/>
          <w14:ligatures w14:val="none"/>
        </w:rPr>
        <w:t>Escherichia</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xml:space="preserve">, and PCR analysis of stool samples revealed 12 of the 158 children (8%) with BWF or HUS harbored bacteria capable of producing Shiga toxin. Exploration of atypical HUS mutations through a genome-wide variant analysis did not reveal significant association with BWF or HUS in this cohort. These results indicate the cause of BWF in Ugandan children is likely multifactorial, with HUS as potential contributor. Further </w:t>
      </w:r>
      <w:r w:rsidRPr="00EE434E">
        <w:rPr>
          <w:rFonts w:ascii="Calibri" w:eastAsia="Times New Roman" w:hAnsi="Calibri" w:cs="Calibri"/>
          <w:color w:val="000000"/>
          <w:kern w:val="0"/>
          <w:sz w:val="22"/>
          <w:szCs w:val="22"/>
          <w14:ligatures w14:val="none"/>
        </w:rPr>
        <w:lastRenderedPageBreak/>
        <w:t>studies are needed to better understand the increasing incidence and the potential contribution of HUS to BWF in this region.</w:t>
      </w:r>
    </w:p>
    <w:p w14:paraId="5D76222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25-A-3108-ASTMH</w:t>
      </w:r>
    </w:p>
    <w:p w14:paraId="1808C2E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2328F89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Geographic Distribution of Microcephaly by Zika Virus Ascertainment Definition in Brazil</w:t>
      </w:r>
    </w:p>
    <w:p w14:paraId="75D6BF2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2016, Zika virus (ZIKV) was declared a public health emergency of international concern given its association with microcephaly in infants born to infected pregnant individuals in Brazil. Despite established guidelines using different diagnostic tools, there is not a single gold-standard method for ZIKV ascertainment. Hence, attributing clinical outcomes, such as microcephaly to ZIKV and obtaining reliable estimates of ZIKV-related microcephaly remains challenging. To assess the spatial distribution of ZIKV-related microcephaly in Brazil, we used data from 2015-2023, in the </w:t>
      </w:r>
      <w:r w:rsidRPr="00EE434E">
        <w:rPr>
          <w:rFonts w:ascii="Calibri" w:eastAsia="Times New Roman" w:hAnsi="Calibri" w:cs="Calibri"/>
          <w:i/>
          <w:iCs/>
          <w:color w:val="000000"/>
          <w:kern w:val="0"/>
          <w:sz w:val="22"/>
          <w:szCs w:val="22"/>
          <w14:ligatures w14:val="none"/>
        </w:rPr>
        <w:t>Registro de Eventos em Saúde Pública</w:t>
      </w:r>
      <w:r w:rsidRPr="00EE434E">
        <w:rPr>
          <w:rFonts w:ascii="Calibri" w:eastAsia="Times New Roman" w:hAnsi="Calibri" w:cs="Calibri"/>
          <w:color w:val="000000"/>
          <w:kern w:val="0"/>
          <w:sz w:val="22"/>
          <w:szCs w:val="22"/>
          <w14:ligatures w14:val="none"/>
        </w:rPr>
        <w:t> (RESP). We applied various ZIKV ascertainment definitions including the WHO definition, the RESP official definition and a modified definition based on the hierarchical classification given the level of evidence proposed by Ximenes et al. in 2019. We fit Bayesian Poisson models for each definition, to estimate the incidence rate of ZIKV-related microcephaly, allowing for spatial dependence at the region/municipality level. Models are fit with microcephaly counts as the outcome (based on the ZIKV ascertainment), and live birth counts as the offset. The spatial random effects are mapped to visualize any geographic variations by ZIKV ascertainment definition. From 2015-2023, 3,592 confirmed cases of microcephaly were documented among live births in the RESP. Preliminary modelling of confirmed microcephaly cases from 2015-2017 revealed spatial heterogeneity across regions. The mean baseline rate, not accounting for spatial variation, indicated that about 2 per 10,000 live births were born with microcephaly during this period. Most of the spatial variation (latent effects of the model) appeared to follow regional patterns as neighboring regions tended to have similar microcephaly rates, indicating spatial dependence. The most pronounced latent effects were observed in the Northeast, where the epidemic originated. Our analyses will apply the same spatial modeling framework to each definition to compare geographic patterns, and to identify potential misclassification in ZIKV ascertainment.</w:t>
      </w:r>
    </w:p>
    <w:p w14:paraId="4A7041B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25-A-3109-ASTMH</w:t>
      </w:r>
    </w:p>
    <w:p w14:paraId="4F96D23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Ectoparasite-Borne Disease - Babesiosis and Lyme Disease</w:t>
      </w:r>
    </w:p>
    <w:p w14:paraId="680A762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Extravasation of </w:t>
      </w:r>
      <w:r w:rsidRPr="00EE434E">
        <w:rPr>
          <w:rFonts w:ascii="Calibri" w:eastAsia="Times New Roman" w:hAnsi="Calibri" w:cs="Calibri"/>
          <w:i/>
          <w:iCs/>
          <w:color w:val="000000"/>
          <w:kern w:val="0"/>
          <w:sz w:val="22"/>
          <w:szCs w:val="22"/>
          <w14:ligatures w14:val="none"/>
        </w:rPr>
        <w:t>Borrelia burgdorferi</w:t>
      </w:r>
      <w:r w:rsidRPr="00EE434E">
        <w:rPr>
          <w:rFonts w:ascii="Calibri" w:eastAsia="Times New Roman" w:hAnsi="Calibri" w:cs="Calibri"/>
          <w:color w:val="000000"/>
          <w:kern w:val="0"/>
          <w:sz w:val="22"/>
          <w:szCs w:val="22"/>
          <w14:ligatures w14:val="none"/>
        </w:rPr>
        <w:t> in a 3D Tissue-Engineered Microvessel Model</w:t>
      </w:r>
    </w:p>
    <w:p w14:paraId="74643DB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Lyme disease, the most widespread tick-borne disease in North America, is caused by the bacterium </w:t>
      </w:r>
      <w:r w:rsidRPr="00EE434E">
        <w:rPr>
          <w:rFonts w:ascii="Calibri" w:eastAsia="Times New Roman" w:hAnsi="Calibri" w:cs="Calibri"/>
          <w:i/>
          <w:iCs/>
          <w:color w:val="000000"/>
          <w:kern w:val="0"/>
          <w:sz w:val="22"/>
          <w:szCs w:val="22"/>
          <w14:ligatures w14:val="none"/>
        </w:rPr>
        <w:t>Borrelia burgdorferi</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Approximately 10-15% of infections result in neuroborreliosis, common symptoms of which include headaches, facial palsy, and long-term cognitive impairment. Though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dissemination is an important step in disease progression, the biological and microenvironmental factors that govern this process remain poorly understood. Previous</w:t>
      </w:r>
      <w:r w:rsidRPr="00EE434E">
        <w:rPr>
          <w:rFonts w:ascii="Calibri" w:eastAsia="Times New Roman" w:hAnsi="Calibri" w:cs="Calibri"/>
          <w:i/>
          <w:iCs/>
          <w:color w:val="000000"/>
          <w:kern w:val="0"/>
          <w:sz w:val="22"/>
          <w:szCs w:val="22"/>
          <w14:ligatures w14:val="none"/>
        </w:rPr>
        <w:t> </w:t>
      </w:r>
      <w:r w:rsidRPr="00EE434E">
        <w:rPr>
          <w:rFonts w:ascii="Calibri" w:eastAsia="Times New Roman" w:hAnsi="Calibri" w:cs="Calibri"/>
          <w:color w:val="000000"/>
          <w:kern w:val="0"/>
          <w:sz w:val="22"/>
          <w:szCs w:val="22"/>
          <w14:ligatures w14:val="none"/>
        </w:rPr>
        <w:t>studies of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dissemination focus on assessing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transmigration at static time points rather than analyzing the inherently complex dynamic process of extravasation. Furthermore, current </w:t>
      </w:r>
      <w:r w:rsidRPr="00EE434E">
        <w:rPr>
          <w:rFonts w:ascii="Calibri" w:eastAsia="Times New Roman" w:hAnsi="Calibri" w:cs="Calibri"/>
          <w:i/>
          <w:iCs/>
          <w:color w:val="000000"/>
          <w:kern w:val="0"/>
          <w:sz w:val="22"/>
          <w:szCs w:val="22"/>
          <w14:ligatures w14:val="none"/>
        </w:rPr>
        <w:t>in vitro </w:t>
      </w:r>
      <w:r w:rsidRPr="00EE434E">
        <w:rPr>
          <w:rFonts w:ascii="Calibri" w:eastAsia="Times New Roman" w:hAnsi="Calibri" w:cs="Calibri"/>
          <w:color w:val="000000"/>
          <w:kern w:val="0"/>
          <w:sz w:val="22"/>
          <w:szCs w:val="22"/>
          <w14:ligatures w14:val="none"/>
        </w:rPr>
        <w:t>models lack crucial physiological factors such as flow, demonstrating a need for more robust models to study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dissemination and understand its dynamics and mechanisms. Here, we use a 3D tissue-engineered microvessel model and perfuse fluorescently-labeled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to model vascular dissemination in non-tissue-specific (iEC) and brain-specific (iBMEC) microvessels while acquiring time-lapse images in real time using confocal microscopy. In iECs, extravasation involves two steps: adhesion to the endothelium and transmigration into the extracellular matrix, which can be modulated through glycocalyx degradation or inflammation. In contrast, </w:t>
      </w:r>
      <w:r w:rsidRPr="00EE434E">
        <w:rPr>
          <w:rFonts w:ascii="Calibri" w:eastAsia="Times New Roman" w:hAnsi="Calibri" w:cs="Calibri"/>
          <w:i/>
          <w:iCs/>
          <w:color w:val="000000"/>
          <w:kern w:val="0"/>
          <w:sz w:val="22"/>
          <w:szCs w:val="22"/>
          <w14:ligatures w14:val="none"/>
        </w:rPr>
        <w:t>Bb</w:t>
      </w:r>
      <w:r w:rsidRPr="00EE434E">
        <w:rPr>
          <w:rFonts w:ascii="Calibri" w:eastAsia="Times New Roman" w:hAnsi="Calibri" w:cs="Calibri"/>
          <w:color w:val="000000"/>
          <w:kern w:val="0"/>
          <w:sz w:val="22"/>
          <w:szCs w:val="22"/>
          <w14:ligatures w14:val="none"/>
        </w:rPr>
        <w:t> extravasation in iBMECs is an extremely rare event regardless of glycocalyx degradation or inflammation. In addition, circulating </w:t>
      </w:r>
      <w:r w:rsidRPr="00EE434E">
        <w:rPr>
          <w:rFonts w:ascii="Calibri" w:eastAsia="Times New Roman" w:hAnsi="Calibri" w:cs="Calibri"/>
          <w:i/>
          <w:iCs/>
          <w:color w:val="000000"/>
          <w:kern w:val="0"/>
          <w:sz w:val="22"/>
          <w:szCs w:val="22"/>
          <w14:ligatures w14:val="none"/>
        </w:rPr>
        <w:t>Bb </w:t>
      </w:r>
      <w:r w:rsidRPr="00EE434E">
        <w:rPr>
          <w:rFonts w:ascii="Calibri" w:eastAsia="Times New Roman" w:hAnsi="Calibri" w:cs="Calibri"/>
          <w:color w:val="000000"/>
          <w:kern w:val="0"/>
          <w:sz w:val="22"/>
          <w:szCs w:val="22"/>
          <w14:ligatures w14:val="none"/>
        </w:rPr>
        <w:t>do not induce endothelial activation in iECs or iBMECs, but induce barrier dysfunction in iECs. These findings provide a further understanding of </w:t>
      </w:r>
      <w:r w:rsidRPr="00EE434E">
        <w:rPr>
          <w:rFonts w:ascii="Calibri" w:eastAsia="Times New Roman" w:hAnsi="Calibri" w:cs="Calibri"/>
          <w:i/>
          <w:iCs/>
          <w:color w:val="000000"/>
          <w:kern w:val="0"/>
          <w:sz w:val="22"/>
          <w:szCs w:val="22"/>
          <w14:ligatures w14:val="none"/>
        </w:rPr>
        <w:t>Bb </w:t>
      </w:r>
      <w:r w:rsidRPr="00EE434E">
        <w:rPr>
          <w:rFonts w:ascii="Calibri" w:eastAsia="Times New Roman" w:hAnsi="Calibri" w:cs="Calibri"/>
          <w:color w:val="000000"/>
          <w:kern w:val="0"/>
          <w:sz w:val="22"/>
          <w:szCs w:val="22"/>
          <w14:ligatures w14:val="none"/>
        </w:rPr>
        <w:t>vascular dissemination and demonstrate the use of a novel model to study infectious disease.</w:t>
      </w:r>
    </w:p>
    <w:p w14:paraId="449F829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25-A-3110-ASTMH</w:t>
      </w:r>
    </w:p>
    <w:p w14:paraId="3662E70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Pathogenesis</w:t>
      </w:r>
    </w:p>
    <w:p w14:paraId="0B44D1A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Bacterial dysbiosis during severe malaria predicts post-discharge mortality</w:t>
      </w:r>
    </w:p>
    <w:p w14:paraId="6A2BC7A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gut microbiome has been implicated in severe malaria (SM) in murine models although if it contributes to the pathogenesis of SM in children is unknown. We analyzed gut bacteria in stool samples from Ugandan children &lt;5 years-old with SM and community children. Children with SM had gut bacteria dysbiosis, including increased abundance of </w:t>
      </w:r>
      <w:r w:rsidRPr="00EE434E">
        <w:rPr>
          <w:rFonts w:ascii="Calibri" w:eastAsia="Times New Roman" w:hAnsi="Calibri" w:cs="Calibri"/>
          <w:i/>
          <w:iCs/>
          <w:color w:val="000000"/>
          <w:kern w:val="0"/>
          <w:sz w:val="22"/>
          <w:szCs w:val="22"/>
          <w14:ligatures w14:val="none"/>
        </w:rPr>
        <w:t>Enterobacteriaceae</w:t>
      </w:r>
      <w:r w:rsidRPr="00EE434E">
        <w:rPr>
          <w:rFonts w:ascii="Calibri" w:eastAsia="Times New Roman" w:hAnsi="Calibri" w:cs="Calibri"/>
          <w:color w:val="000000"/>
          <w:kern w:val="0"/>
          <w:sz w:val="22"/>
          <w:szCs w:val="22"/>
          <w14:ligatures w14:val="none"/>
        </w:rPr>
        <w:t> that was associated with multiple clinical complications of SM and increased abundance of </w:t>
      </w:r>
      <w:r w:rsidRPr="00EE434E">
        <w:rPr>
          <w:rFonts w:ascii="Calibri" w:eastAsia="Times New Roman" w:hAnsi="Calibri" w:cs="Calibri"/>
          <w:i/>
          <w:iCs/>
          <w:color w:val="000000"/>
          <w:kern w:val="0"/>
          <w:sz w:val="22"/>
          <w:szCs w:val="22"/>
          <w14:ligatures w14:val="none"/>
        </w:rPr>
        <w:t>Escherichia coli</w:t>
      </w:r>
      <w:r w:rsidRPr="00EE434E">
        <w:rPr>
          <w:rFonts w:ascii="Calibri" w:eastAsia="Times New Roman" w:hAnsi="Calibri" w:cs="Calibri"/>
          <w:color w:val="000000"/>
          <w:kern w:val="0"/>
          <w:sz w:val="22"/>
          <w:szCs w:val="22"/>
          <w14:ligatures w14:val="none"/>
        </w:rPr>
        <w:t> was a predictor of post-discharge mortality. Metagenome analysis identified elevated metabolic pathways and genes supporting the utilization of host-derived molecules in children with SM that have the potential to promote the survival and growth of </w:t>
      </w:r>
      <w:r w:rsidRPr="00EE434E">
        <w:rPr>
          <w:rFonts w:ascii="Calibri" w:eastAsia="Times New Roman" w:hAnsi="Calibri" w:cs="Calibri"/>
          <w:i/>
          <w:iCs/>
          <w:color w:val="000000"/>
          <w:kern w:val="0"/>
          <w:sz w:val="22"/>
          <w:szCs w:val="22"/>
          <w14:ligatures w14:val="none"/>
        </w:rPr>
        <w:t>Enterobacteriaceae</w:t>
      </w:r>
      <w:r w:rsidRPr="00EE434E">
        <w:rPr>
          <w:rFonts w:ascii="Calibri" w:eastAsia="Times New Roman" w:hAnsi="Calibri" w:cs="Calibri"/>
          <w:color w:val="000000"/>
          <w:kern w:val="0"/>
          <w:sz w:val="22"/>
          <w:szCs w:val="22"/>
          <w14:ligatures w14:val="none"/>
        </w:rPr>
        <w:t>. Treatments that target </w:t>
      </w:r>
      <w:r w:rsidRPr="00EE434E">
        <w:rPr>
          <w:rFonts w:ascii="Calibri" w:eastAsia="Times New Roman" w:hAnsi="Calibri" w:cs="Calibri"/>
          <w:i/>
          <w:iCs/>
          <w:color w:val="000000"/>
          <w:kern w:val="0"/>
          <w:sz w:val="22"/>
          <w:szCs w:val="22"/>
          <w14:ligatures w14:val="none"/>
        </w:rPr>
        <w:t>Enterobacteriaceae</w:t>
      </w:r>
      <w:r w:rsidRPr="00EE434E">
        <w:rPr>
          <w:rFonts w:ascii="Calibri" w:eastAsia="Times New Roman" w:hAnsi="Calibri" w:cs="Calibri"/>
          <w:color w:val="000000"/>
          <w:kern w:val="0"/>
          <w:sz w:val="22"/>
          <w:szCs w:val="22"/>
          <w14:ligatures w14:val="none"/>
        </w:rPr>
        <w:t> may have the potential to reduce post-discharge mortality in children with SM.</w:t>
      </w:r>
    </w:p>
    <w:p w14:paraId="2C978FF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25-A-3111-ASTMH</w:t>
      </w:r>
    </w:p>
    <w:p w14:paraId="4D7B9E7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Emerging Viral Diseases</w:t>
      </w:r>
    </w:p>
    <w:p w14:paraId="1A7B5F5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Seroprevalence-Based Assessment of Arboviral Burden in Peri-Urban Karachi, Pakistan: Results from the PRISMA Study</w:t>
      </w:r>
    </w:p>
    <w:p w14:paraId="0A04C50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Arboviruses such as Zika, chikungunya (CHIKV), and dengue are considered emerging pathogens due to their expanding geographic distribution, overlapping clinical manifestations, and potential for long-term, serious health impacts—particularly among vulnerable populations. Pregnant women are especially at risk, given the potential for vertical transmission and adverse pregnancy outcomes. Despite these risks, population-level data on arboviral exposure among pregnant women in Pakistan remain scarce. This study aimed to estimate the seroprevalence of these arboviruses among pregnant women in peri-urban Karachi. As part of the Pregnancy Risk Infant Surveillance and Measurement Alliance (PRISMA)—a multi-country, open cohort study—1,000 pregnant women were enrolled from two peri-urban communities in Karachi, Pakistan, between March 2024 and February 2025. All participants underwent Zika, chikungunya, and dengue (ZCD) IgM and IgG antibody testing using the combined Chembio ZCD rapid diagnostic test at three timepoints: enrollment (&lt;20 weeks gestation), 32 weeks gestation, and 6 weeks postpartum, with 1605 total samples tested. Zika virus had the lowest IgM positivity at 1.2%, with 31% IgG positivity. CHIKV had the highest IgM positivity at 12%, with 42% IgG positive. Dengue had 3.2% IgM positivity and the highest IgG seroprevalence at 75% positivity. Rates of IgM co-positivity in this cohort were low. Only 17 participants (1%) were IgM positive for both dengue and CHIKV, and 2 participants were positive for all three arboviruses. Previous exposure to multiple arboviruses was much more common in this cohort, with 16% IgG positive for all three arboviruses. Further, 30% were both dengue and Zika IgG positive, 38% both dengue and CHIKV IgG positive, and 16.4% both Zika and CHIKV IgG positive. These findings highlight a high burden of arboviral exposure among pregnant women in peri-urban Karachi. Strengthened antenatal screening, public health surveillance, and integrated vector control strategies are urgently needed to mitigate risks in this vulnerable population.</w:t>
      </w:r>
    </w:p>
    <w:p w14:paraId="74084B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25-A-3112-ASTMH</w:t>
      </w:r>
    </w:p>
    <w:p w14:paraId="7D4B2DE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Therapeutics and Antiviral Drugs</w:t>
      </w:r>
    </w:p>
    <w:p w14:paraId="482C772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Adverse Effects and SARS-CoV-2 Infection After COVID-19 Vaccination Among the People of Bangabandhu Sheikh Mujib Medical University Hospital in Dhaka, Bangladesh: A Pilot Study</w:t>
      </w:r>
    </w:p>
    <w:p w14:paraId="6CE38EE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Background</w:t>
      </w:r>
      <w:r w:rsidRPr="00EE434E">
        <w:rPr>
          <w:rFonts w:ascii="Calibri" w:eastAsia="Times New Roman" w:hAnsi="Calibri" w:cs="Calibri"/>
          <w:color w:val="000000"/>
          <w:kern w:val="0"/>
          <w:sz w:val="22"/>
          <w:szCs w:val="22"/>
          <w14:ligatures w14:val="none"/>
        </w:rPr>
        <w:br/>
        <w:t>The Pfizer, Moderna, AstraZeneca, and Sinopharm COVID-19 vaccines have</w:t>
      </w:r>
      <w:r w:rsidRPr="00EE434E">
        <w:rPr>
          <w:rFonts w:ascii="Calibri" w:eastAsia="Times New Roman" w:hAnsi="Calibri" w:cs="Calibri"/>
          <w:color w:val="000000"/>
          <w:kern w:val="0"/>
          <w:sz w:val="22"/>
          <w:szCs w:val="22"/>
          <w14:ligatures w14:val="none"/>
        </w:rPr>
        <w:br/>
        <w:t>demonstrated robust safety and efficacy in Phase II clinical trials.</w:t>
      </w:r>
      <w:r w:rsidRPr="00EE434E">
        <w:rPr>
          <w:rFonts w:ascii="Calibri" w:eastAsia="Times New Roman" w:hAnsi="Calibri" w:cs="Calibri"/>
          <w:color w:val="000000"/>
          <w:kern w:val="0"/>
          <w:sz w:val="22"/>
          <w:szCs w:val="22"/>
          <w14:ligatures w14:val="none"/>
        </w:rPr>
        <w:br/>
        <w:t xml:space="preserve">Objectives:To assess the prevalence and nature of adverse effects and post vaccination SARS-CoV-2 </w:t>
      </w:r>
      <w:r w:rsidRPr="00EE434E">
        <w:rPr>
          <w:rFonts w:ascii="Calibri" w:eastAsia="Times New Roman" w:hAnsi="Calibri" w:cs="Calibri"/>
          <w:color w:val="000000"/>
          <w:kern w:val="0"/>
          <w:sz w:val="22"/>
          <w:szCs w:val="22"/>
          <w14:ligatures w14:val="none"/>
        </w:rPr>
        <w:lastRenderedPageBreak/>
        <w:t>infection among recipients of four different COVID-19 vaccines—Pfizer, Moderna, AstraZeneca, and Sinopharm—administered at Bangabandhu Sheikh Mujib Medical University (BSMMU), Dhaka, Bangladesh.Study Design:Prospective observational follow-up pilot study.Methods:A total of 2,534 adults aged 18 years and older who received two doses of COVID-19 vaccines (Pfizer, Moderna, AstraZeneca, or Sinopharm) at BSMMU between June and November 2021 were included. Data on local and systemic adverse effects were collected using structured interviews up to 28 days post-vaccination. Infection rates were assessed via self reported RT-PCR or rapid antigen test results collected up to 8 weeks post-vaccination. Statistical analysis was performed using SPSS (v25), with descriptive statistics and 95% confidence intervals.Results:Systemic side effects were reported by 14.9% after the first dose and 10.4% after the second dose, while local side effects were reported by 12.9% and 8.2%, respectively. Moderna recipients experienced the highest rate ofside effects, with local reactions in 45.5% after the first dose and systemic reactions in 42%. Sinopharm and AstraZeneca had the fewest and shortest-lasting side effects. The mean duration of side effects was highest for Moderna (1.80 days) and lowest for AstraZeneca (0.40 days). Post-vaccination COVID-19 infection rates were low across all vaccine groups (0.1-0.3%).Conclusions:All four COVID-19 vaccines were associated with mild, short-term adverse effects, most of which resolved within 1-2 days. Side effects were more common in younger individuals and healthcare workers. Post-vaccination infection rates were minimal, supporting the safety and efficacy of the vaccines in the Bangladeshi population.</w:t>
      </w:r>
    </w:p>
    <w:p w14:paraId="70EDD9D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25-A-3113-ASTMH</w:t>
      </w:r>
    </w:p>
    <w:p w14:paraId="6FCA96E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Epidemiology and Vector Control</w:t>
      </w:r>
    </w:p>
    <w:p w14:paraId="4A0CADC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Ecological and insecticide free simple mosquito trapping-device against resistant malaria vectors: first evidence from experimental hut trial</w:t>
      </w:r>
    </w:p>
    <w:p w14:paraId="6373A79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spread of insecticide resistance in malaria vectors threatens to reverse the substantial gains made in malaria control over the past two decades. Concurrently, there is a worrying decline in adherence to proper and consistent usage of insecticide-treated bed nets (ITNs) which further undermine vector control efforts. These trends highlight the need to develop innovative strategies that not only enhance vector control efficacy, but also mitigate the selection pressure for resistance mechanisms and improve user compliance. Building on the natural host-seeking behavior of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mosquitoes – over 80% of which attempt to enter bed nets via the roof – we developed TrapNet, a novel mosquito trapping system designed to be mounted on the roof of any standard mosquito nets. TrapNet adds a mechanical trapping and killing function to existing insecticidal properties, thereby enhancing overall net effectiveness. The upward flow of human odor plumes acts as an attractant, drawing mosquitoes into the trap regardless of their resistance status. We successfully evaluated our concept in hut trials in an insecticide-resistant region of Côte d'Ivoire: ITNs augmented with a trapping function resulted in a mass-killing effect 58% greater than that of the PN2.0, 38% greater than that of the Tsara Boost (PBO net) and 31.5% greater than that of the IG2 (dual insecticide net), both of which are recommended for insecticide-resistant areas. Around 47% of mortality was directly attributable to trapping. Additional TrapNet hut trials will be held in Côte d'Ivoire and Bénin in May–June 2025 to evaluate its effectiveness in different environments and resistance conditions. Results from these trials, which will be presented at the meeting, represent a key step in evaluating TrapNet as a novel malaria prevention tool ahead of a larger randomized controlled trial in 40 villages in Korhogo, Côte d’Ivoire. TrapNet’s potential to enhance malaria vector control along with its implications for resistance management, user adherence, and long-term sustainability, will be discussed.</w:t>
      </w:r>
    </w:p>
    <w:p w14:paraId="66F17F8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25-A-3114-ASTMH</w:t>
      </w:r>
    </w:p>
    <w:p w14:paraId="59B6744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Pathogenesis</w:t>
      </w:r>
    </w:p>
    <w:p w14:paraId="4797828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Severe malaria in Malawian children is associated with gut bacteria dysbiosis and metabolic potential for pathogenic bacteria to thrive in an inflamed gut</w:t>
      </w:r>
    </w:p>
    <w:p w14:paraId="1A77AB3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A growing body of literature has demonstrated the composition of gut microbiota in mice can cause susceptibility to severe malaria. Importantly, several studies have established associations between the gut microbiome and malaria in humans, including a demonstration that pre-transmission season gut bacteria composition correlated with susceptibility to febrile malaria in Malian children. Whether gut bacteria contribute to the severe malaria in African children remains unclear. We performed metagenome sequencing and analysis on stool samples from Malawian children with severe malaria (n=63) and asymptomatic </w:t>
      </w:r>
      <w:r w:rsidRPr="00EE434E">
        <w:rPr>
          <w:rFonts w:ascii="Calibri" w:eastAsia="Times New Roman" w:hAnsi="Calibri" w:cs="Calibri"/>
          <w:i/>
          <w:iCs/>
          <w:color w:val="000000"/>
          <w:kern w:val="0"/>
          <w:sz w:val="22"/>
          <w:szCs w:val="22"/>
          <w14:ligatures w14:val="none"/>
        </w:rPr>
        <w:t>Plasmodium falciparum</w:t>
      </w:r>
      <w:r w:rsidRPr="00EE434E">
        <w:rPr>
          <w:rFonts w:ascii="Calibri" w:eastAsia="Times New Roman" w:hAnsi="Calibri" w:cs="Calibri"/>
          <w:color w:val="000000"/>
          <w:kern w:val="0"/>
          <w:sz w:val="22"/>
          <w:szCs w:val="22"/>
          <w14:ligatures w14:val="none"/>
        </w:rPr>
        <w:t> infections (n=60). Bacterial community analysis revealed stool from children with severe malaria had significantly lower alpha diversity and increased relative abundance of </w:t>
      </w:r>
      <w:r w:rsidRPr="00EE434E">
        <w:rPr>
          <w:rFonts w:ascii="Calibri" w:eastAsia="Times New Roman" w:hAnsi="Calibri" w:cs="Calibri"/>
          <w:i/>
          <w:iCs/>
          <w:color w:val="000000"/>
          <w:kern w:val="0"/>
          <w:sz w:val="22"/>
          <w:szCs w:val="22"/>
          <w14:ligatures w14:val="none"/>
        </w:rPr>
        <w:t>Enterobacteriaceae</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Bacteroidaceae</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Enterococcaceae </w:t>
      </w:r>
      <w:r w:rsidRPr="00EE434E">
        <w:rPr>
          <w:rFonts w:ascii="Calibri" w:eastAsia="Times New Roman" w:hAnsi="Calibri" w:cs="Calibri"/>
          <w:color w:val="000000"/>
          <w:kern w:val="0"/>
          <w:sz w:val="22"/>
          <w:szCs w:val="22"/>
          <w14:ligatures w14:val="none"/>
        </w:rPr>
        <w:t>families compared to children with asymptomatic infections.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infections have been shown to cause intestinal inflammation and reduced barrier integrity in mice and associate with intestinal damage in children with severe malaria. Metabolic pathway analysis identified numerous pathways in the genomes of bacteria in children with severe malaria that favor the survival and growth of pathogenic facultative anaerobic bacteria including members of the </w:t>
      </w:r>
      <w:r w:rsidRPr="00EE434E">
        <w:rPr>
          <w:rFonts w:ascii="Calibri" w:eastAsia="Times New Roman" w:hAnsi="Calibri" w:cs="Calibri"/>
          <w:i/>
          <w:iCs/>
          <w:color w:val="000000"/>
          <w:kern w:val="0"/>
          <w:sz w:val="22"/>
          <w:szCs w:val="22"/>
          <w14:ligatures w14:val="none"/>
        </w:rPr>
        <w:t>Enterobacteriaceae</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Enterococcaceae </w:t>
      </w:r>
      <w:r w:rsidRPr="00EE434E">
        <w:rPr>
          <w:rFonts w:ascii="Calibri" w:eastAsia="Times New Roman" w:hAnsi="Calibri" w:cs="Calibri"/>
          <w:color w:val="000000"/>
          <w:kern w:val="0"/>
          <w:sz w:val="22"/>
          <w:szCs w:val="22"/>
          <w14:ligatures w14:val="none"/>
        </w:rPr>
        <w:t>families that have previously been shown to expand in the context of gut inflammation and damage. Ongoing analysis is investigating the contribution of gut dysbiosis in the pathogenesis of severe malaria in children living in malaria endemic areas.</w:t>
      </w:r>
    </w:p>
    <w:p w14:paraId="7BEF667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25-A-3115-ASTMH</w:t>
      </w:r>
    </w:p>
    <w:p w14:paraId="2A39EF9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Epidemiology</w:t>
      </w:r>
    </w:p>
    <w:p w14:paraId="0BAA4FE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Malaria morbidity indicators among children aged 0 to 15 years in Dioro, a rice growing area in Mali.</w:t>
      </w:r>
    </w:p>
    <w:p w14:paraId="1FC7F9A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Malaria morbidity indicators among children aged 0 to 15 years in Dioro, a rice growing area in Mali.</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b/>
          <w:bCs/>
          <w:color w:val="000000"/>
          <w:kern w:val="0"/>
          <w:sz w:val="22"/>
          <w:szCs w:val="22"/>
          <w14:ligatures w14:val="none"/>
        </w:rPr>
        <w:t>Abstract</w:t>
      </w:r>
      <w:r w:rsidRPr="00EE434E">
        <w:rPr>
          <w:rFonts w:ascii="Calibri" w:eastAsia="Times New Roman" w:hAnsi="Calibri" w:cs="Calibri"/>
          <w:color w:val="000000"/>
          <w:kern w:val="0"/>
          <w:sz w:val="22"/>
          <w:szCs w:val="22"/>
          <w14:ligatures w14:val="none"/>
        </w:rPr>
        <w:t> Malaria is one of the priorities of Mali’s national health policy with a national malaria prevalence of 19% among children under 5 years old. It is the leading cause of morbidity and mortality in children under 5 years of age and constitutes the first reason for consultation in health facilities with 39%. Malaria indicators in Mali are mainly: the use of insecticide-treated bed nets (ITNs), intermittent preventive treatment of pregnant women, early diagnosis, and treatment of children with fever. We conducted a prospective cross-sectional study focused on malaria indicators in </w:t>
      </w:r>
      <w:r w:rsidRPr="00EE434E">
        <w:rPr>
          <w:rFonts w:ascii="Calibri" w:eastAsia="Times New Roman" w:hAnsi="Calibri" w:cs="Calibri"/>
          <w:b/>
          <w:bCs/>
          <w:color w:val="000000"/>
          <w:kern w:val="0"/>
          <w:sz w:val="22"/>
          <w:szCs w:val="22"/>
          <w14:ligatures w14:val="none"/>
        </w:rPr>
        <w:t>Dioro </w:t>
      </w:r>
      <w:r w:rsidRPr="00EE434E">
        <w:rPr>
          <w:rFonts w:ascii="Calibri" w:eastAsia="Times New Roman" w:hAnsi="Calibri" w:cs="Calibri"/>
          <w:color w:val="000000"/>
          <w:kern w:val="0"/>
          <w:sz w:val="22"/>
          <w:szCs w:val="22"/>
          <w14:ligatures w14:val="none"/>
        </w:rPr>
        <w:t>a rice growing area between 2018 and 2021 using data from patients aged 0 to 15 years in the ICEMR program database to evaluate interventions in control and malaria prevention ongoing in Mali. A total of 2527 patients aged 0-15 living in </w:t>
      </w:r>
      <w:r w:rsidRPr="00EE434E">
        <w:rPr>
          <w:rFonts w:ascii="Calibri" w:eastAsia="Times New Roman" w:hAnsi="Calibri" w:cs="Calibri"/>
          <w:b/>
          <w:bCs/>
          <w:color w:val="000000"/>
          <w:kern w:val="0"/>
          <w:sz w:val="22"/>
          <w:szCs w:val="22"/>
          <w14:ligatures w14:val="none"/>
        </w:rPr>
        <w:t>Dioro</w:t>
      </w:r>
      <w:r w:rsidRPr="00EE434E">
        <w:rPr>
          <w:rFonts w:ascii="Calibri" w:eastAsia="Times New Roman" w:hAnsi="Calibri" w:cs="Calibri"/>
          <w:color w:val="000000"/>
          <w:kern w:val="0"/>
          <w:sz w:val="22"/>
          <w:szCs w:val="22"/>
          <w14:ligatures w14:val="none"/>
        </w:rPr>
        <w:t> were included in this study. The overall prevalence of malaria was 80.5%, long-lasting insecticide-treated nets (LLINs) use rate 96.9%, fever 39.9% and anemia 59.7%. We observed 86.1% fever and 82.7 anemia in patients with malaria in </w:t>
      </w:r>
      <w:r w:rsidRPr="00EE434E">
        <w:rPr>
          <w:rFonts w:ascii="Calibri" w:eastAsia="Times New Roman" w:hAnsi="Calibri" w:cs="Calibri"/>
          <w:b/>
          <w:bCs/>
          <w:color w:val="000000"/>
          <w:kern w:val="0"/>
          <w:sz w:val="22"/>
          <w:szCs w:val="22"/>
          <w14:ligatures w14:val="none"/>
        </w:rPr>
        <w:t>Dioro between</w:t>
      </w:r>
      <w:r w:rsidRPr="00EE434E">
        <w:rPr>
          <w:rFonts w:ascii="Calibri" w:eastAsia="Times New Roman" w:hAnsi="Calibri" w:cs="Calibri"/>
          <w:color w:val="000000"/>
          <w:kern w:val="0"/>
          <w:sz w:val="22"/>
          <w:szCs w:val="22"/>
          <w14:ligatures w14:val="none"/>
        </w:rPr>
        <w:t> 2018 and 2021 at the same time 13.3% fever and 17.3 anemia were not due to malaria. The prevalence of malaria decreased significantly between 2018 vs. 2020 (p=0.0001) and 2018 vs. 2021 (p=0.004) among children aged 0 to 15 years. Our study shows a significant reduction in the prevalence of malaria, anemia, and fever in </w:t>
      </w:r>
      <w:r w:rsidRPr="00EE434E">
        <w:rPr>
          <w:rFonts w:ascii="Calibri" w:eastAsia="Times New Roman" w:hAnsi="Calibri" w:cs="Calibri"/>
          <w:b/>
          <w:bCs/>
          <w:color w:val="000000"/>
          <w:kern w:val="0"/>
          <w:sz w:val="22"/>
          <w:szCs w:val="22"/>
          <w14:ligatures w14:val="none"/>
        </w:rPr>
        <w:t>Dioro </w:t>
      </w:r>
      <w:r w:rsidRPr="00EE434E">
        <w:rPr>
          <w:rFonts w:ascii="Calibri" w:eastAsia="Times New Roman" w:hAnsi="Calibri" w:cs="Calibri"/>
          <w:color w:val="000000"/>
          <w:kern w:val="0"/>
          <w:sz w:val="22"/>
          <w:szCs w:val="22"/>
          <w14:ligatures w14:val="none"/>
        </w:rPr>
        <w:t>between 2018 and 2021. There was no statistically significant change in LLINs use rates by year. Despite these strategies implementation, malaria prevalence remains high in our study area. </w:t>
      </w:r>
      <w:r w:rsidRPr="00EE434E">
        <w:rPr>
          <w:rFonts w:ascii="Calibri" w:eastAsia="Times New Roman" w:hAnsi="Calibri" w:cs="Calibri"/>
          <w:b/>
          <w:bCs/>
          <w:color w:val="000000"/>
          <w:kern w:val="0"/>
          <w:sz w:val="22"/>
          <w:szCs w:val="22"/>
          <w14:ligatures w14:val="none"/>
        </w:rPr>
        <w:t>Keywords:</w:t>
      </w:r>
      <w:r w:rsidRPr="00EE434E">
        <w:rPr>
          <w:rFonts w:ascii="Calibri" w:eastAsia="Times New Roman" w:hAnsi="Calibri" w:cs="Calibri"/>
          <w:color w:val="000000"/>
          <w:kern w:val="0"/>
          <w:sz w:val="22"/>
          <w:szCs w:val="22"/>
          <w14:ligatures w14:val="none"/>
        </w:rPr>
        <w:t> Malaria, Anemia, Fever prevalence, Mali</w:t>
      </w:r>
    </w:p>
    <w:p w14:paraId="55C25AD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25-A-3116-ASTMH</w:t>
      </w:r>
    </w:p>
    <w:p w14:paraId="1C246AD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Epidemiology and Vector Control</w:t>
      </w:r>
    </w:p>
    <w:p w14:paraId="3C226C94" w14:textId="5ABB78B1"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Influence of Anthropogenic Land Modification on Mosquito Communities in Uganda</w:t>
      </w:r>
    </w:p>
    <w:p w14:paraId="0FAC3A6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Anthropogenic landscape modification alters mosquito community composition, potentially contributing to increased human exposure to and geographical expansion of infectious mosquito-borne viruses. However, these effects are not generalizable across all regions and remain poorly understood in Uganda. We aim to characterize mosquito assemblages and ecology as they relate to viral exposure across a varying forest-to-urban landscape in southwest Uganda. Adult mosquitoes were collected using CO</w:t>
      </w:r>
      <w:r w:rsidRPr="00EE434E">
        <w:rPr>
          <w:rFonts w:ascii="Calibri" w:eastAsia="Times New Roman" w:hAnsi="Calibri" w:cs="Calibri"/>
          <w:color w:val="000000"/>
          <w:kern w:val="0"/>
          <w:sz w:val="22"/>
          <w:szCs w:val="22"/>
          <w:vertAlign w:val="subscript"/>
          <w14:ligatures w14:val="none"/>
        </w:rPr>
        <w:t>2</w:t>
      </w:r>
      <w:r w:rsidRPr="00EE434E">
        <w:rPr>
          <w:rFonts w:ascii="Calibri" w:eastAsia="Times New Roman" w:hAnsi="Calibri" w:cs="Calibri"/>
          <w:color w:val="000000"/>
          <w:kern w:val="0"/>
          <w:sz w:val="22"/>
          <w:szCs w:val="22"/>
          <w14:ligatures w14:val="none"/>
        </w:rPr>
        <w:t>-baited CDC light traps, and females were sorted into pools for arboviral testing, which is currently ongoing. Preliminary results will focus on 10,544 female mosquitoes collected. </w:t>
      </w:r>
      <w:r w:rsidRPr="00EE434E">
        <w:rPr>
          <w:rFonts w:ascii="Calibri" w:eastAsia="Times New Roman" w:hAnsi="Calibri" w:cs="Calibri"/>
          <w:i/>
          <w:iCs/>
          <w:color w:val="000000"/>
          <w:kern w:val="0"/>
          <w:sz w:val="22"/>
          <w:szCs w:val="22"/>
          <w14:ligatures w14:val="none"/>
        </w:rPr>
        <w:t>Culex</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Aedes</w:t>
      </w:r>
      <w:r w:rsidRPr="00EE434E">
        <w:rPr>
          <w:rFonts w:ascii="Calibri" w:eastAsia="Times New Roman" w:hAnsi="Calibri" w:cs="Calibri"/>
          <w:color w:val="000000"/>
          <w:kern w:val="0"/>
          <w:sz w:val="22"/>
          <w:szCs w:val="22"/>
          <w14:ligatures w14:val="none"/>
        </w:rPr>
        <w:t xml:space="preserve"> had the </w:t>
      </w:r>
      <w:r w:rsidRPr="00EE434E">
        <w:rPr>
          <w:rFonts w:ascii="Calibri" w:eastAsia="Times New Roman" w:hAnsi="Calibri" w:cs="Calibri"/>
          <w:color w:val="000000"/>
          <w:kern w:val="0"/>
          <w:sz w:val="22"/>
          <w:szCs w:val="22"/>
          <w14:ligatures w14:val="none"/>
        </w:rPr>
        <w:lastRenderedPageBreak/>
        <w:t>greatest diversity overall, and </w:t>
      </w:r>
      <w:r w:rsidRPr="00EE434E">
        <w:rPr>
          <w:rFonts w:ascii="Calibri" w:eastAsia="Times New Roman" w:hAnsi="Calibri" w:cs="Calibri"/>
          <w:i/>
          <w:iCs/>
          <w:color w:val="000000"/>
          <w:kern w:val="0"/>
          <w:sz w:val="22"/>
          <w:szCs w:val="22"/>
          <w14:ligatures w14:val="none"/>
        </w:rPr>
        <w:t>Culex</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Coquillettidia</w:t>
      </w:r>
      <w:r w:rsidRPr="00EE434E">
        <w:rPr>
          <w:rFonts w:ascii="Calibri" w:eastAsia="Times New Roman" w:hAnsi="Calibri" w:cs="Calibri"/>
          <w:color w:val="000000"/>
          <w:kern w:val="0"/>
          <w:sz w:val="22"/>
          <w:szCs w:val="22"/>
          <w14:ligatures w14:val="none"/>
        </w:rPr>
        <w:t> were most abundant. The most abundant vector species of public health concern was </w:t>
      </w:r>
      <w:r w:rsidRPr="00EE434E">
        <w:rPr>
          <w:rFonts w:ascii="Calibri" w:eastAsia="Times New Roman" w:hAnsi="Calibri" w:cs="Calibri"/>
          <w:i/>
          <w:iCs/>
          <w:color w:val="000000"/>
          <w:kern w:val="0"/>
          <w:sz w:val="22"/>
          <w:szCs w:val="22"/>
          <w14:ligatures w14:val="none"/>
        </w:rPr>
        <w:t>Cx. antennatus</w:t>
      </w:r>
      <w:r w:rsidRPr="00EE434E">
        <w:rPr>
          <w:rFonts w:ascii="Calibri" w:eastAsia="Times New Roman" w:hAnsi="Calibri" w:cs="Calibri"/>
          <w:color w:val="000000"/>
          <w:kern w:val="0"/>
          <w:sz w:val="22"/>
          <w:szCs w:val="22"/>
          <w14:ligatures w14:val="none"/>
        </w:rPr>
        <w:t>, a suspected vector of West Nile (WNV) and Rift Valley Fever (RVFV) viruses. Mosquito assemblages were compared between the rural and urban areas and among the forest, forest edge, and residential sites. Mosquito assemblages at forest, forest edge, and residential sites demonstrated 41-58% pairwise dissimilarity. Residential areas had the highest abundance of suspected vectors of public health concern, including the </w:t>
      </w:r>
      <w:r w:rsidRPr="00EE434E">
        <w:rPr>
          <w:rFonts w:ascii="Calibri" w:eastAsia="Times New Roman" w:hAnsi="Calibri" w:cs="Calibri"/>
          <w:i/>
          <w:iCs/>
          <w:color w:val="000000"/>
          <w:kern w:val="0"/>
          <w:sz w:val="22"/>
          <w:szCs w:val="22"/>
          <w14:ligatures w14:val="none"/>
        </w:rPr>
        <w:t>Cx. pipiens </w:t>
      </w:r>
      <w:r w:rsidRPr="00EE434E">
        <w:rPr>
          <w:rFonts w:ascii="Calibri" w:eastAsia="Times New Roman" w:hAnsi="Calibri" w:cs="Calibri"/>
          <w:color w:val="000000"/>
          <w:kern w:val="0"/>
          <w:sz w:val="22"/>
          <w:szCs w:val="22"/>
          <w14:ligatures w14:val="none"/>
        </w:rPr>
        <w:t>complex (WNV, CHIKV)</w:t>
      </w:r>
      <w:r w:rsidRPr="00EE434E">
        <w:rPr>
          <w:rFonts w:ascii="Calibri" w:eastAsia="Times New Roman" w:hAnsi="Calibri" w:cs="Calibri"/>
          <w:i/>
          <w:iCs/>
          <w:color w:val="000000"/>
          <w:kern w:val="0"/>
          <w:sz w:val="22"/>
          <w:szCs w:val="22"/>
          <w14:ligatures w14:val="none"/>
        </w:rPr>
        <w:t> and Cx. antennatus </w:t>
      </w:r>
      <w:r w:rsidRPr="00EE434E">
        <w:rPr>
          <w:rFonts w:ascii="Calibri" w:eastAsia="Times New Roman" w:hAnsi="Calibri" w:cs="Calibri"/>
          <w:color w:val="000000"/>
          <w:kern w:val="0"/>
          <w:sz w:val="22"/>
          <w:szCs w:val="22"/>
          <w14:ligatures w14:val="none"/>
        </w:rPr>
        <w:t>(WNV, RVFV), suggesting higher potential for human-vector contact in this area compared to the forest or forest edge. Binomial regression showed that the odds of trapping vectors in a residential area was approximately 1.5 times the odds of doing so in the forest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 &lt; 0.0001). The </w:t>
      </w:r>
      <w:r w:rsidRPr="00EE434E">
        <w:rPr>
          <w:rFonts w:ascii="Calibri" w:eastAsia="Times New Roman" w:hAnsi="Calibri" w:cs="Calibri"/>
          <w:i/>
          <w:iCs/>
          <w:color w:val="000000"/>
          <w:kern w:val="0"/>
          <w:sz w:val="22"/>
          <w:szCs w:val="22"/>
          <w14:ligatures w14:val="none"/>
        </w:rPr>
        <w:t>Culex pipiens</w:t>
      </w:r>
      <w:r w:rsidRPr="00EE434E">
        <w:rPr>
          <w:rFonts w:ascii="Calibri" w:eastAsia="Times New Roman" w:hAnsi="Calibri" w:cs="Calibri"/>
          <w:color w:val="000000"/>
          <w:kern w:val="0"/>
          <w:sz w:val="22"/>
          <w:szCs w:val="22"/>
          <w14:ligatures w14:val="none"/>
        </w:rPr>
        <w:t> complex and </w:t>
      </w:r>
      <w:r w:rsidRPr="00EE434E">
        <w:rPr>
          <w:rFonts w:ascii="Calibri" w:eastAsia="Times New Roman" w:hAnsi="Calibri" w:cs="Calibri"/>
          <w:i/>
          <w:iCs/>
          <w:color w:val="000000"/>
          <w:kern w:val="0"/>
          <w:sz w:val="22"/>
          <w:szCs w:val="22"/>
          <w14:ligatures w14:val="none"/>
        </w:rPr>
        <w:t>Cx. anntenatus</w:t>
      </w:r>
      <w:r w:rsidRPr="00EE434E">
        <w:rPr>
          <w:rFonts w:ascii="Calibri" w:eastAsia="Times New Roman" w:hAnsi="Calibri" w:cs="Calibri"/>
          <w:color w:val="000000"/>
          <w:kern w:val="0"/>
          <w:sz w:val="22"/>
          <w:szCs w:val="22"/>
          <w14:ligatures w14:val="none"/>
        </w:rPr>
        <w:t> were also the most dominant species in urban areas compared to rural areas. Findings demonstrate that human-modified landscapes influence mosquito community composition, potentially increasing exposure to vectors in residential and urbanized areas. The findings are informing ecological niche models for current and projected vector distributions and models exploring how vector ecology relates to CHIKV seroprevalence in the region. Models are in development with expected completion by summer 2025.</w:t>
      </w:r>
    </w:p>
    <w:p w14:paraId="5D48D2E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25-A-3117-ASTMH</w:t>
      </w:r>
    </w:p>
    <w:p w14:paraId="4DCF300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Vaccines and Immunotherapeutics</w:t>
      </w:r>
    </w:p>
    <w:p w14:paraId="20721CB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Blood patency during </w:t>
      </w:r>
      <w:r w:rsidRPr="00EE434E">
        <w:rPr>
          <w:rFonts w:ascii="Calibri" w:eastAsia="Times New Roman" w:hAnsi="Calibri" w:cs="Calibri"/>
          <w:i/>
          <w:iCs/>
          <w:color w:val="000000"/>
          <w:kern w:val="0"/>
          <w:sz w:val="22"/>
          <w:szCs w:val="22"/>
          <w14:ligatures w14:val="none"/>
        </w:rPr>
        <w:t>Plasmodium falciparum</w:t>
      </w:r>
      <w:r w:rsidRPr="00EE434E">
        <w:rPr>
          <w:rFonts w:ascii="Calibri" w:eastAsia="Times New Roman" w:hAnsi="Calibri" w:cs="Calibri"/>
          <w:color w:val="000000"/>
          <w:kern w:val="0"/>
          <w:sz w:val="22"/>
          <w:szCs w:val="22"/>
          <w14:ligatures w14:val="none"/>
        </w:rPr>
        <w:t>sporozoite vaccination with concurrent anti-malarial chemoprophylaxis (PfSPZ-CVac) is associated with reduction in post-challenge protective immune responses</w:t>
      </w:r>
    </w:p>
    <w:p w14:paraId="54C362D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Development of a highly effective, durable malaria vaccine remains a global health priority. The PfSPZ-CVac uses infectious </w:t>
      </w:r>
      <w:r w:rsidRPr="00EE434E">
        <w:rPr>
          <w:rFonts w:ascii="Calibri" w:eastAsia="Times New Roman" w:hAnsi="Calibri" w:cs="Calibri"/>
          <w:i/>
          <w:iCs/>
          <w:color w:val="000000"/>
          <w:kern w:val="0"/>
          <w:sz w:val="22"/>
          <w:szCs w:val="22"/>
          <w14:ligatures w14:val="none"/>
        </w:rPr>
        <w:t>Plasmodium falciparum</w:t>
      </w:r>
      <w:r w:rsidRPr="00EE434E">
        <w:rPr>
          <w:rFonts w:ascii="Calibri" w:eastAsia="Times New Roman" w:hAnsi="Calibri" w:cs="Calibri"/>
          <w:color w:val="000000"/>
          <w:kern w:val="0"/>
          <w:sz w:val="22"/>
          <w:szCs w:val="22"/>
          <w14:ligatures w14:val="none"/>
        </w:rPr>
        <w:t> sporozoites (PfSPZ) co-administered with an anti-malarial drug like chloroquine, which abrogates blood-stage progression while still inducing immune responses against liver-stage antigens. This approach has proven to be protective against subsequent PfSPZ challenge in clinical trials. Here, we analyzed whole-blood RNAseq data from malaria-naïve adults enrolled in a PfSPZ-CVac challenge trial (NCT02773979) at pre-vaccination baseline, two days after each of three vaccine doses (V1D2, V2D2, V3D2) and two days post-challenge. Two of three groups in the original study were included. Group 1 (n=7) received the three vaccine doses at seven-day intervals and had patent parasitemia at V2 and V3. Group 3 (n=8) received vaccine doses at five-day intervals and had no parasitemia at the time of each dose. None of the Group 1 participants were protected post-challenge (vaccine efficacy 0%, “not protected” or “NP”) while 6/8 in Group 3 remained protected (vaccine efficacy 75%, “protected” or “P”). In the protected group, we observed strong enrichment of innate immune signatures corresponding to monocytes, neutrophils and γδ T cells relative to baseline at V1D2 and V2D2 and enrichment of CD4 and CD8 naïve and memory T cell signatures at V3D2. In contrast, signatures corresponding to T and B cells; interferon-α and γ response; and heme metabolism were upregulated at V2D2 in the NP group. These findings suggest that early immunogenicity in P and NP groups differ and that lack of protection in the NP group may be associated with ongoing inflammatory processes and parasitemia during vaccination. At two days post-challenge, monocytes and inflammatory signatures were enriched in P versus NP, consistent with prior training of monocytes during vaccination in protected individuals. Ongoing analyses of whole-blood and single cell RNAseq of liver from </w:t>
      </w:r>
      <w:r w:rsidRPr="00EE434E">
        <w:rPr>
          <w:rFonts w:ascii="Calibri" w:eastAsia="Times New Roman" w:hAnsi="Calibri" w:cs="Calibri"/>
          <w:i/>
          <w:iCs/>
          <w:color w:val="000000"/>
          <w:kern w:val="0"/>
          <w:sz w:val="22"/>
          <w:szCs w:val="22"/>
          <w14:ligatures w14:val="none"/>
        </w:rPr>
        <w:t>P. knowlesi</w:t>
      </w:r>
      <w:r w:rsidRPr="00EE434E">
        <w:rPr>
          <w:rFonts w:ascii="Calibri" w:eastAsia="Times New Roman" w:hAnsi="Calibri" w:cs="Calibri"/>
          <w:color w:val="000000"/>
          <w:kern w:val="0"/>
          <w:sz w:val="22"/>
          <w:szCs w:val="22"/>
          <w14:ligatures w14:val="none"/>
        </w:rPr>
        <w:t> SPZ-CVac studies in rhesus macaques will allow us to understand whether tissue-specific immunogenic and protective signatures are shared across primates.</w:t>
      </w:r>
    </w:p>
    <w:p w14:paraId="66B43A0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25-A-3118-ASTMH</w:t>
      </w:r>
    </w:p>
    <w:p w14:paraId="2B223F6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Ectoparasite-Borne Disease - Other</w:t>
      </w:r>
    </w:p>
    <w:p w14:paraId="5BE6789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Efficacy Evaluation of Fluralaner administered to </w:t>
      </w:r>
      <w:r w:rsidRPr="00EE434E">
        <w:rPr>
          <w:rFonts w:ascii="Calibri" w:eastAsia="Times New Roman" w:hAnsi="Calibri" w:cs="Calibri"/>
          <w:i/>
          <w:iCs/>
          <w:color w:val="000000"/>
          <w:kern w:val="0"/>
          <w:sz w:val="22"/>
          <w:szCs w:val="22"/>
          <w14:ligatures w14:val="none"/>
        </w:rPr>
        <w:t>Rattus rattus</w:t>
      </w:r>
      <w:r w:rsidRPr="00EE434E">
        <w:rPr>
          <w:rFonts w:ascii="Calibri" w:eastAsia="Times New Roman" w:hAnsi="Calibri" w:cs="Calibri"/>
          <w:color w:val="000000"/>
          <w:kern w:val="0"/>
          <w:sz w:val="22"/>
          <w:szCs w:val="22"/>
          <w14:ligatures w14:val="none"/>
        </w:rPr>
        <w:t> against </w:t>
      </w:r>
      <w:r w:rsidRPr="00EE434E">
        <w:rPr>
          <w:rFonts w:ascii="Calibri" w:eastAsia="Times New Roman" w:hAnsi="Calibri" w:cs="Calibri"/>
          <w:i/>
          <w:iCs/>
          <w:color w:val="000000"/>
          <w:kern w:val="0"/>
          <w:sz w:val="22"/>
          <w:szCs w:val="22"/>
          <w14:ligatures w14:val="none"/>
        </w:rPr>
        <w:t>Xenospylla cheopis</w:t>
      </w:r>
      <w:r w:rsidRPr="00EE434E">
        <w:rPr>
          <w:rFonts w:ascii="Calibri" w:eastAsia="Times New Roman" w:hAnsi="Calibri" w:cs="Calibri"/>
          <w:color w:val="000000"/>
          <w:kern w:val="0"/>
          <w:sz w:val="22"/>
          <w:szCs w:val="22"/>
          <w14:ligatures w14:val="none"/>
        </w:rPr>
        <w:t>, the vector flea of </w:t>
      </w:r>
      <w:r w:rsidRPr="00EE434E">
        <w:rPr>
          <w:rFonts w:ascii="Calibri" w:eastAsia="Times New Roman" w:hAnsi="Calibri" w:cs="Calibri"/>
          <w:i/>
          <w:iCs/>
          <w:color w:val="000000"/>
          <w:kern w:val="0"/>
          <w:sz w:val="22"/>
          <w:szCs w:val="22"/>
          <w14:ligatures w14:val="none"/>
        </w:rPr>
        <w:t>Yersinia pestis</w:t>
      </w:r>
      <w:r w:rsidRPr="00EE434E">
        <w:rPr>
          <w:rFonts w:ascii="Calibri" w:eastAsia="Times New Roman" w:hAnsi="Calibri" w:cs="Calibri"/>
          <w:color w:val="000000"/>
          <w:kern w:val="0"/>
          <w:sz w:val="22"/>
          <w:szCs w:val="22"/>
          <w14:ligatures w14:val="none"/>
        </w:rPr>
        <w:t> in Madagascar</w:t>
      </w:r>
    </w:p>
    <w:p w14:paraId="33ACA7C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Madagascar, plague remains a major public health issue. The causative agent, the bacterium </w:t>
      </w:r>
      <w:r w:rsidRPr="00EE434E">
        <w:rPr>
          <w:rFonts w:ascii="Calibri" w:eastAsia="Times New Roman" w:hAnsi="Calibri" w:cs="Calibri"/>
          <w:i/>
          <w:iCs/>
          <w:color w:val="000000"/>
          <w:kern w:val="0"/>
          <w:sz w:val="22"/>
          <w:szCs w:val="22"/>
          <w14:ligatures w14:val="none"/>
        </w:rPr>
        <w:t>Yersinia pestis</w:t>
      </w:r>
      <w:r w:rsidRPr="00EE434E">
        <w:rPr>
          <w:rFonts w:ascii="Calibri" w:eastAsia="Times New Roman" w:hAnsi="Calibri" w:cs="Calibri"/>
          <w:color w:val="000000"/>
          <w:kern w:val="0"/>
          <w:sz w:val="22"/>
          <w:szCs w:val="22"/>
          <w14:ligatures w14:val="none"/>
        </w:rPr>
        <w:t>, is primarily transmitted by </w:t>
      </w:r>
      <w:r w:rsidRPr="00EE434E">
        <w:rPr>
          <w:rFonts w:ascii="Calibri" w:eastAsia="Times New Roman" w:hAnsi="Calibri" w:cs="Calibri"/>
          <w:i/>
          <w:iCs/>
          <w:color w:val="000000"/>
          <w:kern w:val="0"/>
          <w:sz w:val="22"/>
          <w:szCs w:val="22"/>
          <w14:ligatures w14:val="none"/>
        </w:rPr>
        <w:t>Xenopsylla cheopis</w:t>
      </w:r>
      <w:r w:rsidRPr="00EE434E">
        <w:rPr>
          <w:rFonts w:ascii="Calibri" w:eastAsia="Times New Roman" w:hAnsi="Calibri" w:cs="Calibri"/>
          <w:color w:val="000000"/>
          <w:kern w:val="0"/>
          <w:sz w:val="22"/>
          <w:szCs w:val="22"/>
          <w14:ligatures w14:val="none"/>
        </w:rPr>
        <w:t xml:space="preserve">, commonly found on black rats (Rattus rattus), </w:t>
      </w:r>
      <w:r w:rsidRPr="00EE434E">
        <w:rPr>
          <w:rFonts w:ascii="Calibri" w:eastAsia="Times New Roman" w:hAnsi="Calibri" w:cs="Calibri"/>
          <w:color w:val="000000"/>
          <w:kern w:val="0"/>
          <w:sz w:val="22"/>
          <w:szCs w:val="22"/>
          <w14:ligatures w14:val="none"/>
        </w:rPr>
        <w:lastRenderedPageBreak/>
        <w:t>which are central to the disease’s eco-epidemiology. These fleas are becoming resistant to the insecticides routinely used for control, exacerbating the need to develop alternative approaches to prevent plague outbreaks. The EctoPeste project aims to explore the relevance of administering Fluralaner orally to reservoir rats to induce a systemic toxic effect on the blood-feeding fleas. This molecule, from the isoxazoline family, is effective up to three months in companion animals (cats, dogs). Its mode of action differs from that of other insecticides, which could help circumvent resistance mechanisms. Furthermore, the oral administration method involves targeted spreading, thus minimizing the risk of environmental toxicity. This study aims to evaluate the persistence (from day 1 to day 90) and efficacy (measured as flea-induced mortality) of Fluralaner when fleas feed directly on black rats (F1 offspring of wild-caught individuals) that have fully consumed bait spiked with a known dose of 25, 125, or 250 mg/kg of Fluralaner. Controls were fleas fed on rats given unspiked bait. Rodent feces were collected to quantify Fluralaner concentrations and estimate proxy LC50 and LC90 values. The most effective dose will be tested in urban rodent observatory sites in Antananarivo, Madagascar (June-July 2025). At each site, flea indices will be compared between rodents that consumed Fluralaner-treated vs. untreated baits. Laboratory results show that Fluralaner induces significant flea mortality, though its persistence was shorter than expected. The 25 mg/kg dose was effective for up to 7 days. Increasing the dose five- and tenfold extended efficacy to 14 days, with hazard ratios exceeding 4. The 250 mg/kg (10×) dose maintained significant flea-killing activity for up to 35 days post-treatment. Based on these findings, the 250 mg/kg dose has been selected for field implementation. Results from the upcoming field trial will also be presented.</w:t>
      </w:r>
    </w:p>
    <w:p w14:paraId="01AD20E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25-A-3119-ASTMH</w:t>
      </w:r>
    </w:p>
    <w:p w14:paraId="69D362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Helminths – Nematodes – Filariasis (Clinical)</w:t>
      </w:r>
    </w:p>
    <w:p w14:paraId="6D7C97B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Sustained clearance of </w:t>
      </w:r>
      <w:r w:rsidRPr="00EE434E">
        <w:rPr>
          <w:rFonts w:ascii="Calibri" w:eastAsia="Times New Roman" w:hAnsi="Calibri" w:cs="Calibri"/>
          <w:i/>
          <w:iCs/>
          <w:color w:val="000000"/>
          <w:kern w:val="0"/>
          <w:sz w:val="22"/>
          <w:szCs w:val="22"/>
          <w14:ligatures w14:val="none"/>
        </w:rPr>
        <w:t>Onchocerca volvulus</w:t>
      </w:r>
      <w:r w:rsidRPr="00EE434E">
        <w:rPr>
          <w:rFonts w:ascii="Calibri" w:eastAsia="Times New Roman" w:hAnsi="Calibri" w:cs="Calibri"/>
          <w:color w:val="000000"/>
          <w:kern w:val="0"/>
          <w:sz w:val="22"/>
          <w:szCs w:val="22"/>
          <w14:ligatures w14:val="none"/>
        </w:rPr>
        <w:t> skin microfilariae six months after ivermectin or moxidectin combination treatments</w:t>
      </w:r>
    </w:p>
    <w:p w14:paraId="5FD5C37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Onchocerciasis (river blindness) is targeted for elimination by mass drug administration (MDA), but treatment options are suboptimal. Prior studies have shown that a single dose of moxidectin (Mox) is superior to ivermectin for clearance of skin microfilariae (Mf). We are comparing ivermectin or Mox combination treatments in a randomized, observer masked, hospital-based trial. Participants (all Mf positive) were pretreated with ivermectin 6 months before randomization to one of four experimental treatments. So far, we followed-up 209 persons after one round of experimental treatment. Treatment arms included standard doses of ivermectin plus albendazole (IA, N=50), IA plus diethylcarbamazine (IDA, 55), Mox plus albendazole (MoxA, 50) and MoxA plus diethylcarbamazine (MoxDA, 54). Skin Mf (4 snips per person) were not detected just prior to the first experimental treatment in 78% of persons randomized to receive IA and in 40%, 30%, and 24% of persons randomized to receive IDA, MoxA, or MoxDA, respectively. Skin Mf were not detected in snips taken 6 months after experimental treatment with IA, IDA, MoxA or MoxDA in 78%, 80%, 89%, and 92% of study participants, respectively. Mf densities were low in all treatment groups at that time (</w:t>
      </w:r>
      <w:r w:rsidRPr="00EE434E">
        <w:rPr>
          <w:rFonts w:ascii="Calibri" w:eastAsia="Times New Roman" w:hAnsi="Calibri" w:cs="Calibri"/>
          <w:color w:val="000000"/>
          <w:kern w:val="0"/>
          <w:sz w:val="22"/>
          <w:szCs w:val="22"/>
          <w:u w:val="single"/>
          <w14:ligatures w14:val="none"/>
        </w:rPr>
        <w:t>&lt;</w:t>
      </w:r>
      <w:r w:rsidRPr="00EE434E">
        <w:rPr>
          <w:rFonts w:ascii="Calibri" w:eastAsia="Times New Roman" w:hAnsi="Calibri" w:cs="Calibri"/>
          <w:color w:val="000000"/>
          <w:kern w:val="0"/>
          <w:sz w:val="22"/>
          <w:szCs w:val="22"/>
          <w14:ligatures w14:val="none"/>
        </w:rPr>
        <w:t> 5 Mf/mg). Among 39 patients that had cleared Mf after pretreatment in the IA group, 6 (15%) were Mf positive 6 months after IA. This contrasts with results from the other groups where only 3 of 50 (6%) of persons with no skin Mf detected at the time of experimental treatment were Mf-positive 6 months later. These preliminary results suggest that single doses of IDA, MoxA or MoxDA are as effective as IA for achieving clearance of skin Mf 6 months after treatment in persons who had been pretreated with ivermectin. Primary study outcomes (skin Mf and female worm fertility assessed by nodulectomy) will be assessed 18 months after a second dose of experimental treatment. Any feasible oral treatment that is superior to ivermectin or IA for achieving sustained Mf clearance or sterilization of adult worms could significantly accelerate onchocerciasis elimination in Africa.</w:t>
      </w:r>
    </w:p>
    <w:p w14:paraId="26B880A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25-A-3121-ASTMH</w:t>
      </w:r>
    </w:p>
    <w:p w14:paraId="0F2D3B8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Genetics, Genomics and Evolution</w:t>
      </w:r>
    </w:p>
    <w:p w14:paraId="555152E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Multi-omic profiling reveals molecular markers associated with artemisinin tolerance in </w:t>
      </w:r>
      <w:r w:rsidRPr="00EE434E">
        <w:rPr>
          <w:rFonts w:ascii="Calibri" w:eastAsia="Times New Roman" w:hAnsi="Calibri" w:cs="Calibri"/>
          <w:i/>
          <w:iCs/>
          <w:color w:val="000000"/>
          <w:kern w:val="0"/>
          <w:sz w:val="22"/>
          <w:szCs w:val="22"/>
          <w14:ligatures w14:val="none"/>
        </w:rPr>
        <w:t>Plasmodium falciparum</w:t>
      </w:r>
      <w:r w:rsidRPr="00EE434E">
        <w:rPr>
          <w:rFonts w:ascii="Calibri" w:eastAsia="Times New Roman" w:hAnsi="Calibri" w:cs="Calibri"/>
          <w:color w:val="000000"/>
          <w:kern w:val="0"/>
          <w:sz w:val="22"/>
          <w:szCs w:val="22"/>
          <w14:ligatures w14:val="none"/>
        </w:rPr>
        <w:t> Kelch13</w:t>
      </w:r>
      <w:r w:rsidRPr="00EE434E">
        <w:rPr>
          <w:rFonts w:ascii="Calibri" w:eastAsia="Times New Roman" w:hAnsi="Calibri" w:cs="Calibri"/>
          <w:color w:val="000000"/>
          <w:kern w:val="0"/>
          <w:sz w:val="22"/>
          <w:szCs w:val="22"/>
          <w:vertAlign w:val="superscript"/>
          <w14:ligatures w14:val="none"/>
        </w:rPr>
        <w:t>C580Y </w:t>
      </w:r>
      <w:r w:rsidRPr="00EE434E">
        <w:rPr>
          <w:rFonts w:ascii="Calibri" w:eastAsia="Times New Roman" w:hAnsi="Calibri" w:cs="Calibri"/>
          <w:color w:val="000000"/>
          <w:kern w:val="0"/>
          <w:sz w:val="22"/>
          <w:szCs w:val="22"/>
          <w14:ligatures w14:val="none"/>
        </w:rPr>
        <w:t>mutant parasites with different ring survival phenotypes</w:t>
      </w:r>
    </w:p>
    <w:p w14:paraId="2BE55B5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Artemisinin and its derivatives are critical components in therapies to treat malaria, but the reduced susceptibility to these drugs in some </w:t>
      </w:r>
      <w:r w:rsidRPr="00EE434E">
        <w:rPr>
          <w:rFonts w:ascii="Calibri" w:eastAsia="Times New Roman" w:hAnsi="Calibri" w:cs="Calibri"/>
          <w:i/>
          <w:iCs/>
          <w:color w:val="000000"/>
          <w:kern w:val="0"/>
          <w:sz w:val="22"/>
          <w:szCs w:val="22"/>
          <w14:ligatures w14:val="none"/>
        </w:rPr>
        <w:t>Plasmodium </w:t>
      </w:r>
      <w:r w:rsidRPr="00EE434E">
        <w:rPr>
          <w:rFonts w:ascii="Calibri" w:eastAsia="Times New Roman" w:hAnsi="Calibri" w:cs="Calibri"/>
          <w:color w:val="000000"/>
          <w:kern w:val="0"/>
          <w:sz w:val="22"/>
          <w:szCs w:val="22"/>
          <w14:ligatures w14:val="none"/>
        </w:rPr>
        <w:t>parasites complicates disease control efforts. </w:t>
      </w:r>
      <w:r w:rsidRPr="00EE434E">
        <w:rPr>
          <w:rFonts w:ascii="Calibri" w:eastAsia="Times New Roman" w:hAnsi="Calibri" w:cs="Calibri"/>
          <w:i/>
          <w:iCs/>
          <w:color w:val="000000"/>
          <w:kern w:val="0"/>
          <w:sz w:val="22"/>
          <w:szCs w:val="22"/>
          <w14:ligatures w14:val="none"/>
        </w:rPr>
        <w:t>Plasmodium falciparum</w:t>
      </w:r>
      <w:r w:rsidRPr="00EE434E">
        <w:rPr>
          <w:rFonts w:ascii="Calibri" w:eastAsia="Times New Roman" w:hAnsi="Calibri" w:cs="Calibri"/>
          <w:color w:val="000000"/>
          <w:kern w:val="0"/>
          <w:sz w:val="22"/>
          <w:szCs w:val="22"/>
          <w14:ligatures w14:val="none"/>
        </w:rPr>
        <w:t> parasites harboring mutations in the β-propeller domain of the Kelch13 protein (K13) are associated with artemisinin resistance. </w:t>
      </w:r>
      <w:r w:rsidRPr="00EE434E">
        <w:rPr>
          <w:rFonts w:ascii="Calibri" w:eastAsia="Times New Roman" w:hAnsi="Calibri" w:cs="Calibri"/>
          <w:i/>
          <w:iCs/>
          <w:color w:val="000000"/>
          <w:kern w:val="0"/>
          <w:sz w:val="22"/>
          <w:szCs w:val="22"/>
          <w14:ligatures w14:val="none"/>
        </w:rPr>
        <w:t>P. falciparum </w:t>
      </w:r>
      <w:r w:rsidRPr="00EE434E">
        <w:rPr>
          <w:rFonts w:ascii="Calibri" w:eastAsia="Times New Roman" w:hAnsi="Calibri" w:cs="Calibri"/>
          <w:color w:val="000000"/>
          <w:kern w:val="0"/>
          <w:sz w:val="22"/>
          <w:szCs w:val="22"/>
          <w14:ligatures w14:val="none"/>
        </w:rPr>
        <w:t>parasites harboring a K13 C580Y mutation are among the most prevalent in Southeast Asia. We performed a comparative analysis of a K13</w:t>
      </w:r>
      <w:r w:rsidRPr="00EE434E">
        <w:rPr>
          <w:rFonts w:ascii="Calibri" w:eastAsia="Times New Roman" w:hAnsi="Calibri" w:cs="Calibri"/>
          <w:color w:val="000000"/>
          <w:kern w:val="0"/>
          <w:sz w:val="22"/>
          <w:szCs w:val="22"/>
          <w:vertAlign w:val="superscript"/>
          <w14:ligatures w14:val="none"/>
        </w:rPr>
        <w:t>C580Y</w:t>
      </w:r>
      <w:r w:rsidRPr="00EE434E">
        <w:rPr>
          <w:rFonts w:ascii="Calibri" w:eastAsia="Times New Roman" w:hAnsi="Calibri" w:cs="Calibri"/>
          <w:color w:val="000000"/>
          <w:kern w:val="0"/>
          <w:sz w:val="22"/>
          <w:szCs w:val="22"/>
          <w14:ligatures w14:val="none"/>
        </w:rPr>
        <w:t> isolate at 3 different collection points: immediately after isolate collection (INITIAL), 8 months after continuous culture (DERIVED), and 13 months after continuous culture with intermittent exposure to dihydroartemisinin (DHA) from months 8 to 13 (PRESSURED). Ring survival assays revealed increased susceptibility to artemisinin in DERIVED parasites and a partial regain of tolerance to the drug in PRESSURED parasites. At each collection point the K13</w:t>
      </w:r>
      <w:r w:rsidRPr="00EE434E">
        <w:rPr>
          <w:rFonts w:ascii="Calibri" w:eastAsia="Times New Roman" w:hAnsi="Calibri" w:cs="Calibri"/>
          <w:color w:val="000000"/>
          <w:kern w:val="0"/>
          <w:sz w:val="22"/>
          <w:szCs w:val="22"/>
          <w:vertAlign w:val="superscript"/>
          <w14:ligatures w14:val="none"/>
        </w:rPr>
        <w:t>C580Y </w:t>
      </w:r>
      <w:r w:rsidRPr="00EE434E">
        <w:rPr>
          <w:rFonts w:ascii="Calibri" w:eastAsia="Times New Roman" w:hAnsi="Calibri" w:cs="Calibri"/>
          <w:color w:val="000000"/>
          <w:kern w:val="0"/>
          <w:sz w:val="22"/>
          <w:szCs w:val="22"/>
          <w14:ligatures w14:val="none"/>
        </w:rPr>
        <w:t>mutation remained present, indicating that tolerance to artemisinin is supported by factors outside of K13. To identify the transcriptional signatures associated with the variable ring survival phenotypes, we performed single-cell RNA sequencing. We identified transcriptomic signatures unique to INITIAL and PRESSURED parasites, shedding light on a conserved expression programs linked to artemisinin tolerance. We also compared the transcriptional responses of parasites at each collection point after 6-hour treatment with DHA. We identified a minor population of parasites with a distinct transcriptional profile potentially representative of forms capable of entering a dormancy-like state to mitigate artemisinin-induced stress. Whole-genome analysis linked the transcriptomic differences to specific genomic alterations. By integrating the scRNA-seq data with the long-read DNA sequencing data, we deepen our understanding of the molecular mechanisms behind artemisinin tolerance. This work offers insights into genetic loci outside of K13 contributing to tolerance in </w:t>
      </w:r>
      <w:r w:rsidRPr="00EE434E">
        <w:rPr>
          <w:rFonts w:ascii="Calibri" w:eastAsia="Times New Roman" w:hAnsi="Calibri" w:cs="Calibri"/>
          <w:i/>
          <w:iCs/>
          <w:color w:val="000000"/>
          <w:kern w:val="0"/>
          <w:sz w:val="22"/>
          <w:szCs w:val="22"/>
          <w14:ligatures w14:val="none"/>
        </w:rPr>
        <w:t>P. falciparum</w:t>
      </w:r>
      <w:r w:rsidRPr="00EE434E">
        <w:rPr>
          <w:rFonts w:ascii="Calibri" w:eastAsia="Times New Roman" w:hAnsi="Calibri" w:cs="Calibri"/>
          <w:color w:val="000000"/>
          <w:kern w:val="0"/>
          <w:sz w:val="22"/>
          <w:szCs w:val="22"/>
          <w14:ligatures w14:val="none"/>
        </w:rPr>
        <w:t> K13</w:t>
      </w:r>
      <w:r w:rsidRPr="00EE434E">
        <w:rPr>
          <w:rFonts w:ascii="Calibri" w:eastAsia="Times New Roman" w:hAnsi="Calibri" w:cs="Calibri"/>
          <w:color w:val="000000"/>
          <w:kern w:val="0"/>
          <w:sz w:val="22"/>
          <w:szCs w:val="22"/>
          <w:vertAlign w:val="superscript"/>
          <w14:ligatures w14:val="none"/>
        </w:rPr>
        <w:t>C580Y</w:t>
      </w:r>
      <w:r w:rsidRPr="00EE434E">
        <w:rPr>
          <w:rFonts w:ascii="Calibri" w:eastAsia="Times New Roman" w:hAnsi="Calibri" w:cs="Calibri"/>
          <w:color w:val="000000"/>
          <w:kern w:val="0"/>
          <w:sz w:val="22"/>
          <w:szCs w:val="22"/>
          <w14:ligatures w14:val="none"/>
        </w:rPr>
        <w:t> mutant parasites.</w:t>
      </w:r>
    </w:p>
    <w:p w14:paraId="18EE6ED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25-A-3122-ASTMH</w:t>
      </w:r>
    </w:p>
    <w:p w14:paraId="0E1E7A6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Water, Sanitation, Hygiene and Environmental Health</w:t>
      </w:r>
    </w:p>
    <w:p w14:paraId="424AB4E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Assessment of infrastructure hygiene behaviours and management of Early Childhood Development Centres in Malawi</w:t>
      </w:r>
    </w:p>
    <w:p w14:paraId="470A186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Early childhood development centers (ECDCs), or pre-primary education centers, provide vital educational and social development to young children and frequently operate feeding programmes to support national nutrition targets. However, there has been little effort to understand possible exposure pathways for common infectious diseases in low-resource, high-burden settings. To ensure healthy and safe learning environment, a holistic approach to understand exposure pathways is needed. In Malawi, 54% of children 3 - 5 years old attend ECDCs. We conducted a formative study to examine management structures, hygienic behaviours and their determinants in ECDCs in Blantyre, Malawi from September to December 2024, using a mixed-methods approach. We collected data from kitchen staff, caregivers, and learners in 30 ECDCs from rural, urban and peri-urban areas. Data included checklist observations based on government ECDC Water, Sanitation and Hygiene (WASH) standards, focus group discussions and key informant interviews. Only 17% of ECDCs met the required environmental standard standards. Facilities operated by the community (80% of sampled ECDCs) had reduced essential materials and facilities for hygienic practices compared to privately managed ECDCs. Only 37% (mainly from urban) of ECDC staff had received basic training on hygiene practices; training which was based on didactic information transfer and not behavior change. Despite availability of safe water points, unhygienic drinking water practices were observed among the learners (28%). Only half of the toilets in the ECDCs were improved pit latrines; however anal cleansing materials were almost absent (14%) and open defecation was observed in rural ECDCs (19%). Few learners and staff (21%) were observed washing hands with soap and water at critical times of handwashing. The study highlights inadequate policies for managing various stakeholders operating ECDCs. Operational standards for the ECDC should be established for effective coordination and functioning. Theory driven hygiene interventions should be incorporated in daily operation of the ECDCs.</w:t>
      </w:r>
    </w:p>
    <w:p w14:paraId="6957A44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25-A-3123-ASTMH</w:t>
      </w:r>
    </w:p>
    <w:p w14:paraId="6246F93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Measures for Control and Elimination of Neglected Tropical Diseases (NTDs)</w:t>
      </w:r>
    </w:p>
    <w:p w14:paraId="57D455C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Integrated assessment of lymphatic filariasis in the Mali-Guinea border zone using combined xenomonitoring and serosurveillance after cessation of mass treatment in the Bougouni-Yanfolila unit</w:t>
      </w:r>
    </w:p>
    <w:p w14:paraId="07EB8B1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Introduction:</w:t>
      </w:r>
      <w:r w:rsidRPr="00EE434E">
        <w:rPr>
          <w:rFonts w:ascii="Calibri" w:eastAsia="Times New Roman" w:hAnsi="Calibri" w:cs="Calibri"/>
          <w:color w:val="000000"/>
          <w:kern w:val="0"/>
          <w:sz w:val="22"/>
          <w:szCs w:val="22"/>
          <w14:ligatures w14:val="none"/>
        </w:rPr>
        <w:t> Mali and Guinea border each other and are both endemic for lymphatic filariasis (LF). While Mali is in the LF transmission assessment phase (TAS), Guinea continues with mass treatment. In the Bougouni-Yanfolila evaluation unit (EU), a bording area in Mali side, this study evaluated LF by combining xenomonitoring and serosurveillance (XenoFil) in health centers as a surveillance tool to detect LF transmission in cross-border areas after the third transmission assessment survey (TAS3) in Mali. </w:t>
      </w:r>
      <w:r w:rsidRPr="00EE434E">
        <w:rPr>
          <w:rFonts w:ascii="Calibri" w:eastAsia="Times New Roman" w:hAnsi="Calibri" w:cs="Calibri"/>
          <w:b/>
          <w:bCs/>
          <w:color w:val="000000"/>
          <w:kern w:val="0"/>
          <w:sz w:val="22"/>
          <w:szCs w:val="22"/>
          <w14:ligatures w14:val="none"/>
        </w:rPr>
        <w:t>Methods</w:t>
      </w:r>
      <w:r w:rsidRPr="00EE434E">
        <w:rPr>
          <w:rFonts w:ascii="Calibri" w:eastAsia="Times New Roman" w:hAnsi="Calibri" w:cs="Calibri"/>
          <w:color w:val="000000"/>
          <w:kern w:val="0"/>
          <w:sz w:val="22"/>
          <w:szCs w:val="22"/>
          <w14:ligatures w14:val="none"/>
        </w:rPr>
        <w:t>: In the Bougouni-Yanfolila EU, we conducted a cross-sectional study to collect </w:t>
      </w:r>
      <w:r w:rsidRPr="00EE434E">
        <w:rPr>
          <w:rFonts w:ascii="Calibri" w:eastAsia="Times New Roman" w:hAnsi="Calibri" w:cs="Calibri"/>
          <w:i/>
          <w:iCs/>
          <w:color w:val="000000"/>
          <w:kern w:val="0"/>
          <w:sz w:val="22"/>
          <w:szCs w:val="22"/>
          <w14:ligatures w14:val="none"/>
        </w:rPr>
        <w:t>Anopheles gambiae</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Culex</w:t>
      </w:r>
      <w:r w:rsidRPr="00EE434E">
        <w:rPr>
          <w:rFonts w:ascii="Calibri" w:eastAsia="Times New Roman" w:hAnsi="Calibri" w:cs="Calibri"/>
          <w:color w:val="000000"/>
          <w:kern w:val="0"/>
          <w:sz w:val="22"/>
          <w:szCs w:val="22"/>
          <w14:ligatures w14:val="none"/>
        </w:rPr>
        <w:t> complex members mosquitoes in two ecologically distinct villages in June, August 2022 and January 2023. Ifakara type C trap tents, gravid trap and pyrethrum spray were used for mosquito collection. Specimens were processed using qPCR and infection likelihood estimated using PoolScreen 2. At the same time, in 41 health sub-districts, trained local health workers collected and tested blood samples from volunteer patients aged six and above, using filariasis test strips (FTS). </w:t>
      </w:r>
      <w:r w:rsidRPr="00EE434E">
        <w:rPr>
          <w:rFonts w:ascii="Calibri" w:eastAsia="Times New Roman" w:hAnsi="Calibri" w:cs="Calibri"/>
          <w:b/>
          <w:bCs/>
          <w:color w:val="000000"/>
          <w:kern w:val="0"/>
          <w:sz w:val="22"/>
          <w:szCs w:val="22"/>
          <w14:ligatures w14:val="none"/>
        </w:rPr>
        <w:t>Results</w:t>
      </w:r>
      <w:r w:rsidRPr="00EE434E">
        <w:rPr>
          <w:rFonts w:ascii="Calibri" w:eastAsia="Times New Roman" w:hAnsi="Calibri" w:cs="Calibri"/>
          <w:color w:val="000000"/>
          <w:kern w:val="0"/>
          <w:sz w:val="22"/>
          <w:szCs w:val="22"/>
          <w14:ligatures w14:val="none"/>
        </w:rPr>
        <w:t>: In both villages, we collected 4,732 mosquitoes, including 989 members of the </w:t>
      </w:r>
      <w:r w:rsidRPr="00EE434E">
        <w:rPr>
          <w:rFonts w:ascii="Calibri" w:eastAsia="Times New Roman" w:hAnsi="Calibri" w:cs="Calibri"/>
          <w:i/>
          <w:iCs/>
          <w:color w:val="000000"/>
          <w:kern w:val="0"/>
          <w:sz w:val="22"/>
          <w:szCs w:val="22"/>
          <w14:ligatures w14:val="none"/>
        </w:rPr>
        <w:t>Anopheles gambiae</w:t>
      </w:r>
      <w:r w:rsidRPr="00EE434E">
        <w:rPr>
          <w:rFonts w:ascii="Calibri" w:eastAsia="Times New Roman" w:hAnsi="Calibri" w:cs="Calibri"/>
          <w:color w:val="000000"/>
          <w:kern w:val="0"/>
          <w:sz w:val="22"/>
          <w:szCs w:val="22"/>
          <w14:ligatures w14:val="none"/>
        </w:rPr>
        <w:t> and 3,743 members of the </w:t>
      </w:r>
      <w:r w:rsidRPr="00EE434E">
        <w:rPr>
          <w:rFonts w:ascii="Calibri" w:eastAsia="Times New Roman" w:hAnsi="Calibri" w:cs="Calibri"/>
          <w:i/>
          <w:iCs/>
          <w:color w:val="000000"/>
          <w:kern w:val="0"/>
          <w:sz w:val="22"/>
          <w:szCs w:val="22"/>
          <w14:ligatures w14:val="none"/>
        </w:rPr>
        <w:t>Culex</w:t>
      </w:r>
      <w:r w:rsidRPr="00EE434E">
        <w:rPr>
          <w:rFonts w:ascii="Calibri" w:eastAsia="Times New Roman" w:hAnsi="Calibri" w:cs="Calibri"/>
          <w:color w:val="000000"/>
          <w:kern w:val="0"/>
          <w:sz w:val="22"/>
          <w:szCs w:val="22"/>
          <w14:ligatures w14:val="none"/>
        </w:rPr>
        <w:t> complexes. </w:t>
      </w:r>
      <w:r w:rsidRPr="00EE434E">
        <w:rPr>
          <w:rFonts w:ascii="Calibri" w:eastAsia="Times New Roman" w:hAnsi="Calibri" w:cs="Calibri"/>
          <w:i/>
          <w:iCs/>
          <w:color w:val="000000"/>
          <w:kern w:val="0"/>
          <w:sz w:val="22"/>
          <w:szCs w:val="22"/>
          <w14:ligatures w14:val="none"/>
        </w:rPr>
        <w:t>Culex spp</w:t>
      </w:r>
      <w:r w:rsidRPr="00EE434E">
        <w:rPr>
          <w:rFonts w:ascii="Calibri" w:eastAsia="Times New Roman" w:hAnsi="Calibri" w:cs="Calibri"/>
          <w:color w:val="000000"/>
          <w:kern w:val="0"/>
          <w:sz w:val="22"/>
          <w:szCs w:val="22"/>
          <w14:ligatures w14:val="none"/>
        </w:rPr>
        <w:t> accounted for 79.92% (211/264) of the 264 pools ranging from 2 to 20 mosquitoes. Only one </w:t>
      </w:r>
      <w:r w:rsidRPr="00EE434E">
        <w:rPr>
          <w:rFonts w:ascii="Calibri" w:eastAsia="Times New Roman" w:hAnsi="Calibri" w:cs="Calibri"/>
          <w:i/>
          <w:iCs/>
          <w:color w:val="000000"/>
          <w:kern w:val="0"/>
          <w:sz w:val="22"/>
          <w:szCs w:val="22"/>
          <w14:ligatures w14:val="none"/>
        </w:rPr>
        <w:t>Culex spp</w:t>
      </w:r>
      <w:r w:rsidRPr="00EE434E">
        <w:rPr>
          <w:rFonts w:ascii="Calibri" w:eastAsia="Times New Roman" w:hAnsi="Calibri" w:cs="Calibri"/>
          <w:color w:val="000000"/>
          <w:kern w:val="0"/>
          <w:sz w:val="22"/>
          <w:szCs w:val="22"/>
          <w14:ligatures w14:val="none"/>
        </w:rPr>
        <w:t> pool tested positive (0.53%) (95% CI: 0.01-2.89) and no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pools were found positive. In the 41 health areas, 2056 volunteers were tested, 10 of whom were positive (0.49%). Of these positives, one was in the 6-7 age group, two in the 8-17 age group, and seven in the 18 years age group. Of the positive volunteers, 0.6% (6/996) were from the Yanfolila bordering area on the Mali side. Conclusion: The new XenoFil approach proved to be an easy and effective method for integrated LF surveillance (entomological and serological) in rural areas. LF endemcity level evaluation in other cross-border areas between two countries at different stages of elimination using this integrated LF surveillance would be useful.</w:t>
      </w:r>
    </w:p>
    <w:p w14:paraId="7244868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25-A-3124-ASTMH</w:t>
      </w:r>
    </w:p>
    <w:p w14:paraId="49E94B8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160317F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Cost-Effectiveness Analysis of the Use of Spatial Repellents for Malaria Control in Sub-Saharan Africa</w:t>
      </w:r>
    </w:p>
    <w:p w14:paraId="0FBA3E3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Despite extensive control efforts, malaria remains a leading cause of death in sub-Saharan Africa, leaving millions at risk. Innovative vector control interventions are needed to complement existing malaria control strategies. In this study, we project the public health impact and cost-effectiveness of a novel intervention class for vector control - spatial repellents (SRs). We integrate optimal control and climate-driven mosquito development dynamics into two SEIS-SEI human-mosquito transmission models to assess the economic viability of SR deployment across sub-Saharan Africa. The analysis proceeded in two stages. First, we calibrated the models without control to estimate the mean rainfall anomaly level at which 50% egg-to-adult mosquito survival is expected. Next, we applied optimal control theory to determine the cost-minimizing SR deployment strategy for each 5×5 km raster cell, computing the resulting cost-savings and malaria cases averted. Our calibration results show strong agreement between model-predicted malaria prevalence and estimates from the Malaria Atlas Project (MAP), to which the model was calibrated. Cost-effectiveness analysis reveals a positive correlation between malaria prevalence and SR deployment coverage, cases averted, and cost-savings. Notably, countries with higher malaria-related costs experience greater reductions in cases and larger economic savings from SR use compared to lower-cost regions. These findings underscore the cost-effectiveness of SRs and their potential to enhance malaria control efforts in sub-Saharan Africa. The results provide valuable insights for policy-makers regarding SR product registration, and large-scale implementation as part of an integrated national malaria control strategy.</w:t>
      </w:r>
    </w:p>
    <w:p w14:paraId="76F25AC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25-A-3125-ASTMH</w:t>
      </w:r>
    </w:p>
    <w:p w14:paraId="4A91CCC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Immunology</w:t>
      </w:r>
    </w:p>
    <w:p w14:paraId="566AB10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Assessing the impact of vaccination against dengue viruses using long-term antibody measurements</w:t>
      </w:r>
    </w:p>
    <w:p w14:paraId="5615801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Dengue is a mosquito-borne infection caused by any of the four dengue virus serotypes (DENV1-4). This disease represents a significant global public health burden, with millions of infections occurring each year, resulting in several thousand deaths. Vaccination has long been recognised as a cornerstone of a multifaceted approach to mitigating the impact of the disease. However, for more than 75 years, developing a safe and effective dengue vaccine has been challenging, with only live-attenuated virus vaccines achieving licensure or reaching advanced clinical development. Progress in this area has been hampered by an incomplete understanding of immune responses following vaccination. To further complicate matters, reports of reinfections with the same serotype have challenged the paradigm that infections induce lifelong homotypic immunity. Here, we present the results of an analysis integrating data from a cohort study with a probabilistic framework that enables the evaluation of hypotheses regarding the level of protection against dengue virus infection conferred by vaccination. The cohort study data come from a long-term follow-up of individuals (N = 611) in a phase III vaccine study, which included annual blood draws and active disease surveillance in Cebu, Philippines, where DENV1-4 co-circulate. All participants, most of whom were dengue-experienced, received three doses of either Dengvaxia or a placebo. In this study, the degree of protection was defined as the number of serotypes against which the vaccine prevents infection, accounting for the individual's infection history and the possibility that the vaccine elicits immune responses to specific serotypes. The results suggest that the vaccine's protection is skewed towards a single dominant serotype, and this protection is of shorter duration compared to natural infection. These preliminary findings align with previous evidence suggesting that Dengvaxia's effectiveness may be limited by immunodominance and interference.</w:t>
      </w:r>
    </w:p>
    <w:p w14:paraId="11DF5DC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25-A-3126-ASTMH</w:t>
      </w:r>
    </w:p>
    <w:p w14:paraId="411C6A7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7A2D174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Data Quality Gaps Threaten Visceral Leishmaniasis Elimination Efforts in Kenya: Findings from a Multi-County Assessment</w:t>
      </w:r>
    </w:p>
    <w:p w14:paraId="2EE37DB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Accurate and timely data are critical for the surveillance, response, and elimination of visceral leishmaniasis (VL) in Kenya. To establish baseline data quality indicators, we conducted a data quality assessment (DQA) across 43 health facilities in 11 VL-endemic counties between November 2024 and February 2025. Standardized tools were used to review MOH outpatient and inpatient registers, VL case management forms, VL laboratory registers, and Kenya Health Information System (KHIS) reports. Results showed that 65% (28/43) of facilities had VL case management forms available, with only 37% (16/43) having fully completed forms. VL laboratory registers were present in 70% (30/43) of facilities, but only 47% (14/30) were up-to-date. HIV testing among VL patients was inconsistently documented, with only 41% (153/374) of reviewed case forms recording HIV test results. Stock-outs of rK39 test kits were reported in 57% (24/43) of facilities, while all facilities (43/43) lacked DAT reagents during the assessment period. Drug stock-outs, particularly Liposomal Amphotericin B and paromomycin, were reported in 39% (17/43) of facilities. Discrepancies between source data and KHIS reporting were identified in 67% (29/43) of facilities, with the highest under-reporting in Mandera County (0/49 confirmed cases reported in KHIS). Additionally, only 46% (20/43) of facilities had at least one laboratory staff trained on VL diagnostic procedures, and 51% (22/43) had staff trained on VL case management. These findings highlight critical data quality gaps that may hinder Kenya's progress towards VL elimination. Strengthening training, improving data systems, ensuring availability of diagnostics and medicines, and conducting routine data quality audits are essential to enhance surveillance, response, and patient management for VL elimination.</w:t>
      </w:r>
    </w:p>
    <w:p w14:paraId="685A13C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25-A-3127-ASTMH</w:t>
      </w:r>
    </w:p>
    <w:p w14:paraId="62B53AF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5DA3093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Assessing chikungunya exposure in Zambia across province, age and sex</w:t>
      </w:r>
    </w:p>
    <w:p w14:paraId="52A6534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The transmission of arboviruses such as chikungunya has not been well characterized in many African countries, including Zambia. Previously conducted serosurveys suggest that chikungunya has circulated in specific provinces within Zambia; however, there has been no nationally or provincially representative evidence by age groups available to assess previous population-level exposure. This study aimed to use serologic assays to assess chikungunya exposure in Zambia by province, sex and age group, and to examine evidence for endemic transmission. We accessed nationally representative samples stored in a biorepository collected during the 2016 Zambia Population-based HIV Impact Assessment (ZAMPHIA) study. 1,350 samples were selected for inclusion by province, sex and age group adjusted by survey weight. Samples were tested for chikungunya IgG antibodies using an enzyme-linked immunosorbent assay. Antibody responses were standardized using a four-point logistic regression and seropositivity was determined using an internationally recognized threshold. Serologic results for chikungunya were analyzed by age group and province to compute seroprevalence. Fitting these data to sero-catalytic models suggests differential exposure history across time, suggesting historic outbreaks in specific provinces. Since it is known that exposure to other antigenically related alphaviruses that may co-circulate in the same area may induce cross-reactive responses, we also analyzed the quantitative antibody data to identify subsets of low responders that, alongside additional epidemiological data, could be consistent with non-specific responses. Broadly, this study illustrates how serologic data can be used to evaluate historical population-level exposure to chikungunya. This approach could be applied to other pathogens and hence optimize serosurveillance for infectious diseases.</w:t>
      </w:r>
    </w:p>
    <w:p w14:paraId="51D4EC9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25-A-3128-ASTMH</w:t>
      </w:r>
    </w:p>
    <w:p w14:paraId="7085EA2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5C74869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Application of Machine Learning and mechanistic approaches to analyse and cluster multipathogen serological data</w:t>
      </w:r>
    </w:p>
    <w:p w14:paraId="7D5C90D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There is a growing interest in the use of high throughput multiplex serology to understand historic exposure patterns in parallel. In theory, with a single drop of blood, we can understand whether or not an individual has been exposed to many different infectious diseases. However, it remains unclear how to interpret the readouts from multiplex assays. In particular, there is frequently substantial cross-reactivity between antigenically similar pathogens which can result in false positive signals if ignored. Specifically in regions with coendemically circulating pathogens, cross reactive responses against pathogens can increase antibody titre signal for another pathogen. For example, structural and immunological similarities between dengue and Zika can lead to false positive serological tests, as well as an overestimation of Zika outbreaks in dengue endemic regions. Taking this into account, we apply a suite of models, from unsupervised Machine Learning techniques to mechanistic approaches on multiplex serology data that comprise of antibody titre responses for multiple pathogens. Using both simulated data and cross-sectional seroprevalence studies, we evaluate model performance to recover unique clusters that represent signatures of infection history. We further validate model performance with known epidemiology from the region. Further advancement of these methods will help in the development of analysis pipelines to help the processing and analysis of multiplex serology.</w:t>
      </w:r>
    </w:p>
    <w:p w14:paraId="632D929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25-A-3129-ASTMH</w:t>
      </w:r>
    </w:p>
    <w:p w14:paraId="665CDE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Enteric Infections</w:t>
      </w:r>
    </w:p>
    <w:p w14:paraId="13D690E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Enteric Fever Seroconversions in a Longitudinal Serosurvey from Bangladesh, Nepal, and Pakistan</w:t>
      </w:r>
    </w:p>
    <w:p w14:paraId="298288E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Enteric fever, caused by </w:t>
      </w:r>
      <w:r w:rsidRPr="00EE434E">
        <w:rPr>
          <w:rFonts w:ascii="Calibri" w:eastAsia="Times New Roman" w:hAnsi="Calibri" w:cs="Calibri"/>
          <w:i/>
          <w:iCs/>
          <w:color w:val="000000"/>
          <w:kern w:val="0"/>
          <w:sz w:val="22"/>
          <w:szCs w:val="22"/>
          <w14:ligatures w14:val="none"/>
        </w:rPr>
        <w:t>Salmonella enterica</w:t>
      </w:r>
      <w:r w:rsidRPr="00EE434E">
        <w:rPr>
          <w:rFonts w:ascii="Calibri" w:eastAsia="Times New Roman" w:hAnsi="Calibri" w:cs="Calibri"/>
          <w:color w:val="000000"/>
          <w:kern w:val="0"/>
          <w:sz w:val="22"/>
          <w:szCs w:val="22"/>
          <w14:ligatures w14:val="none"/>
        </w:rPr>
        <w:t xml:space="preserve"> serovars Typhi and Paratyphi, remains a major public health issue in South Asia, Southeast Asia, and sub-Saharan Africa, particularly among children under five. From 2019 to 2021, the SeroEpidemiology and Environmental Surveillance (SEES) study collected longitudinal, population-based, serologic samples from Bangladesh, Nepal, and Pakistan to evaluate whether novel serologic markers could reliably estimate population-level incidence. Our previous analyses focused on baseline samples, but longitudinal seroconversions have not yet been analyzed to assess population-level transmission events. This analysis estimates the percentage of individuals who experienced a </w:t>
      </w:r>
      <w:r w:rsidRPr="00EE434E">
        <w:rPr>
          <w:rFonts w:ascii="Calibri" w:eastAsia="Times New Roman" w:hAnsi="Calibri" w:cs="Calibri"/>
          <w:color w:val="000000"/>
          <w:kern w:val="0"/>
          <w:sz w:val="22"/>
          <w:szCs w:val="22"/>
          <w14:ligatures w14:val="none"/>
        </w:rPr>
        <w:lastRenderedPageBreak/>
        <w:t>seroconversion using longitudinal serologic data. Households were selected via single-stage cluster random sampling, and participants were followed up to four times roughly 3-6 months apart. Dry blood spots were collected at each visit and quantitative IgA and IgG responses to HlyE and LPS antigens were measured via kinetic ELISA. Individuals with ≥2 samples above the lower limit of detection were included. Seroconversion was defined as a ≥3-fold rise in antibody levels for at least one antigen-isotype pairs, with a minimum absolute increase of 1 ELISA unit. Of the 2649 participants, 1437 had ≥2 specimens for the same antigen-isotype pair (173 from Bangladesh, 609 from Nepal, 655 from Pakistan). Median observation time was 96 days in Bangladesh, 193 in Nepal, and 192 in Pakistan. Seroconversion occurred in 22.5%of participants in Bangladesh, 5.6% in Nepal, and 5.0% in Pakistan. Age-specific percentages ranged from 2.6% (≥25 years) to 9.8% (&lt;5 years). Compared to recent clinical blood culture surveillance in the same locations, these population-based seroconversion percentages followed similar patterns by geographic location but revealed frequent community-level exposures to </w:t>
      </w:r>
      <w:r w:rsidRPr="00EE434E">
        <w:rPr>
          <w:rFonts w:ascii="Calibri" w:eastAsia="Times New Roman" w:hAnsi="Calibri" w:cs="Calibri"/>
          <w:i/>
          <w:iCs/>
          <w:color w:val="000000"/>
          <w:kern w:val="0"/>
          <w:sz w:val="22"/>
          <w:szCs w:val="22"/>
          <w14:ligatures w14:val="none"/>
        </w:rPr>
        <w:t>S.</w:t>
      </w:r>
      <w:r w:rsidRPr="00EE434E">
        <w:rPr>
          <w:rFonts w:ascii="Calibri" w:eastAsia="Times New Roman" w:hAnsi="Calibri" w:cs="Calibri"/>
          <w:color w:val="000000"/>
          <w:kern w:val="0"/>
          <w:sz w:val="22"/>
          <w:szCs w:val="22"/>
          <w14:ligatures w14:val="none"/>
        </w:rPr>
        <w:t> Typhi and </w:t>
      </w:r>
      <w:r w:rsidRPr="00EE434E">
        <w:rPr>
          <w:rFonts w:ascii="Calibri" w:eastAsia="Times New Roman" w:hAnsi="Calibri" w:cs="Calibri"/>
          <w:i/>
          <w:iCs/>
          <w:color w:val="000000"/>
          <w:kern w:val="0"/>
          <w:sz w:val="22"/>
          <w:szCs w:val="22"/>
          <w14:ligatures w14:val="none"/>
        </w:rPr>
        <w:t>S.</w:t>
      </w:r>
      <w:r w:rsidRPr="00EE434E">
        <w:rPr>
          <w:rFonts w:ascii="Calibri" w:eastAsia="Times New Roman" w:hAnsi="Calibri" w:cs="Calibri"/>
          <w:color w:val="000000"/>
          <w:kern w:val="0"/>
          <w:sz w:val="22"/>
          <w:szCs w:val="22"/>
          <w14:ligatures w14:val="none"/>
        </w:rPr>
        <w:t> Paratyphi. These findings underscore the value of serologic surveillance in capturing the burden of enteric fever, revealing hidden transmission patterns, and guiding more effective prevention and control strategies.</w:t>
      </w:r>
    </w:p>
    <w:p w14:paraId="0FCBA1C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25-A-3130-ASTMH</w:t>
      </w:r>
    </w:p>
    <w:p w14:paraId="1208F85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Antimalarial Resistance and Chemotherapy</w:t>
      </w:r>
    </w:p>
    <w:p w14:paraId="7D2B5D1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Emergence of a validated </w:t>
      </w:r>
      <w:r w:rsidRPr="00EE434E">
        <w:rPr>
          <w:rFonts w:ascii="Calibri" w:eastAsia="Times New Roman" w:hAnsi="Calibri" w:cs="Calibri"/>
          <w:b/>
          <w:bCs/>
          <w:i/>
          <w:iCs/>
          <w:color w:val="000000"/>
          <w:kern w:val="0"/>
          <w:sz w:val="22"/>
          <w:szCs w:val="22"/>
          <w14:ligatures w14:val="none"/>
        </w:rPr>
        <w:t>Plasmodium falciparum</w:t>
      </w:r>
      <w:r w:rsidRPr="00EE434E">
        <w:rPr>
          <w:rFonts w:ascii="Calibri" w:eastAsia="Times New Roman" w:hAnsi="Calibri" w:cs="Calibri"/>
          <w:b/>
          <w:bCs/>
          <w:color w:val="000000"/>
          <w:kern w:val="0"/>
          <w:sz w:val="22"/>
          <w:szCs w:val="22"/>
          <w14:ligatures w14:val="none"/>
        </w:rPr>
        <w:t> Kelch 13 mutation (A675V) associated with artemisinin partial resistance and low prevalence of </w:t>
      </w:r>
      <w:r w:rsidRPr="00EE434E">
        <w:rPr>
          <w:rFonts w:ascii="Calibri" w:eastAsia="Times New Roman" w:hAnsi="Calibri" w:cs="Calibri"/>
          <w:b/>
          <w:bCs/>
          <w:i/>
          <w:iCs/>
          <w:color w:val="000000"/>
          <w:kern w:val="0"/>
          <w:sz w:val="22"/>
          <w:szCs w:val="22"/>
          <w14:ligatures w14:val="none"/>
        </w:rPr>
        <w:t>pfhrp2</w:t>
      </w:r>
      <w:r w:rsidRPr="00EE434E">
        <w:rPr>
          <w:rFonts w:ascii="Calibri" w:eastAsia="Times New Roman" w:hAnsi="Calibri" w:cs="Calibri"/>
          <w:b/>
          <w:bCs/>
          <w:color w:val="000000"/>
          <w:kern w:val="0"/>
          <w:sz w:val="22"/>
          <w:szCs w:val="22"/>
          <w14:ligatures w14:val="none"/>
        </w:rPr>
        <w:t>/3 deletions in Cameroon</w:t>
      </w:r>
    </w:p>
    <w:p w14:paraId="03A0475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Rapid and accurate malaria diagnosis through rapid diagnostic tests (RDTs) and effective treatment with artemisinin-based combination therapies are vital in combating the global burden of malaria. However, the emergence of</w:t>
      </w:r>
      <w:r w:rsidRPr="00EE434E">
        <w:rPr>
          <w:rFonts w:ascii="Calibri" w:eastAsia="Times New Roman" w:hAnsi="Calibri" w:cs="Calibri"/>
          <w:i/>
          <w:iCs/>
          <w:color w:val="000000"/>
          <w:kern w:val="0"/>
          <w:sz w:val="22"/>
          <w:szCs w:val="22"/>
          <w14:ligatures w14:val="none"/>
        </w:rPr>
        <w:t> Plasmodium falciparum</w:t>
      </w:r>
      <w:r w:rsidRPr="00EE434E">
        <w:rPr>
          <w:rFonts w:ascii="Calibri" w:eastAsia="Times New Roman" w:hAnsi="Calibri" w:cs="Calibri"/>
          <w:color w:val="000000"/>
          <w:kern w:val="0"/>
          <w:sz w:val="22"/>
          <w:szCs w:val="22"/>
          <w14:ligatures w14:val="none"/>
        </w:rPr>
        <w:t> variants associated with artemisinin and diagnostic resistance [</w:t>
      </w:r>
      <w:r w:rsidRPr="00EE434E">
        <w:rPr>
          <w:rFonts w:ascii="Calibri" w:eastAsia="Times New Roman" w:hAnsi="Calibri" w:cs="Calibri"/>
          <w:i/>
          <w:iCs/>
          <w:color w:val="000000"/>
          <w:kern w:val="0"/>
          <w:sz w:val="22"/>
          <w:szCs w:val="22"/>
          <w14:ligatures w14:val="none"/>
        </w:rPr>
        <w:t>P. falciparum kelch</w:t>
      </w:r>
      <w:r w:rsidRPr="00EE434E">
        <w:rPr>
          <w:rFonts w:ascii="Calibri" w:eastAsia="Times New Roman" w:hAnsi="Calibri" w:cs="Calibri"/>
          <w:color w:val="000000"/>
          <w:kern w:val="0"/>
          <w:sz w:val="22"/>
          <w:szCs w:val="22"/>
          <w14:ligatures w14:val="none"/>
        </w:rPr>
        <w:t> protein(</w:t>
      </w:r>
      <w:r w:rsidRPr="00EE434E">
        <w:rPr>
          <w:rFonts w:ascii="Calibri" w:eastAsia="Times New Roman" w:hAnsi="Calibri" w:cs="Calibri"/>
          <w:i/>
          <w:iCs/>
          <w:color w:val="000000"/>
          <w:kern w:val="0"/>
          <w:sz w:val="22"/>
          <w:szCs w:val="22"/>
          <w14:ligatures w14:val="none"/>
        </w:rPr>
        <w:t>pfk13</w:t>
      </w:r>
      <w:r w:rsidRPr="00EE434E">
        <w:rPr>
          <w:rFonts w:ascii="Calibri" w:eastAsia="Times New Roman" w:hAnsi="Calibri" w:cs="Calibri"/>
          <w:color w:val="000000"/>
          <w:kern w:val="0"/>
          <w:sz w:val="22"/>
          <w:szCs w:val="22"/>
          <w14:ligatures w14:val="none"/>
        </w:rPr>
        <w:t>)] and/or</w:t>
      </w:r>
      <w:r w:rsidRPr="00EE434E">
        <w:rPr>
          <w:rFonts w:ascii="Calibri" w:eastAsia="Times New Roman" w:hAnsi="Calibri" w:cs="Calibri"/>
          <w:i/>
          <w:iCs/>
          <w:color w:val="000000"/>
          <w:kern w:val="0"/>
          <w:sz w:val="22"/>
          <w:szCs w:val="22"/>
          <w14:ligatures w14:val="none"/>
        </w:rPr>
        <w:t> pfhrp2/3</w:t>
      </w:r>
      <w:r w:rsidRPr="00EE434E">
        <w:rPr>
          <w:rFonts w:ascii="Calibri" w:eastAsia="Times New Roman" w:hAnsi="Calibri" w:cs="Calibri"/>
          <w:color w:val="000000"/>
          <w:kern w:val="0"/>
          <w:sz w:val="22"/>
          <w:szCs w:val="22"/>
          <w14:ligatures w14:val="none"/>
        </w:rPr>
        <w:t> gene deletions, poses a significant threat to malaria controlefforts. As part of ongoing efforts to investigate the occurrence and extent of these bio-logical threats in Cameroon and inform early mitigation responses this study investigated the presence of these variants in Cameroon. A total of 424 samples from five regions in Cameroon, collected as part of a malaria research capacity development (MARCAD) consortium and as well as 162 prospectively collected samples from Littoral region of Cameroon were analysed. Targeted next-generation sequencing was used to genotype</w:t>
      </w:r>
      <w:r w:rsidRPr="00EE434E">
        <w:rPr>
          <w:rFonts w:ascii="Calibri" w:eastAsia="Times New Roman" w:hAnsi="Calibri" w:cs="Calibri"/>
          <w:i/>
          <w:iCs/>
          <w:color w:val="000000"/>
          <w:kern w:val="0"/>
          <w:sz w:val="22"/>
          <w:szCs w:val="22"/>
          <w14:ligatures w14:val="none"/>
        </w:rPr>
        <w:t> pfk13</w:t>
      </w:r>
      <w:r w:rsidRPr="00EE434E">
        <w:rPr>
          <w:rFonts w:ascii="Calibri" w:eastAsia="Times New Roman" w:hAnsi="Calibri" w:cs="Calibri"/>
          <w:color w:val="000000"/>
          <w:kern w:val="0"/>
          <w:sz w:val="22"/>
          <w:szCs w:val="22"/>
          <w14:ligatures w14:val="none"/>
        </w:rPr>
        <w:t> mutations associated with artemisinin par-tial resistance. Additionally, highly sensitive quantitative PCR assays were employed toconfirm</w:t>
      </w:r>
      <w:r w:rsidRPr="00EE434E">
        <w:rPr>
          <w:rFonts w:ascii="Calibri" w:eastAsia="Times New Roman" w:hAnsi="Calibri" w:cs="Calibri"/>
          <w:i/>
          <w:iCs/>
          <w:color w:val="000000"/>
          <w:kern w:val="0"/>
          <w:sz w:val="22"/>
          <w:szCs w:val="22"/>
          <w14:ligatures w14:val="none"/>
        </w:rPr>
        <w:t> P. falciparum</w:t>
      </w:r>
      <w:r w:rsidRPr="00EE434E">
        <w:rPr>
          <w:rFonts w:ascii="Calibri" w:eastAsia="Times New Roman" w:hAnsi="Calibri" w:cs="Calibri"/>
          <w:color w:val="000000"/>
          <w:kern w:val="0"/>
          <w:sz w:val="22"/>
          <w:szCs w:val="22"/>
          <w14:ligatures w14:val="none"/>
        </w:rPr>
        <w:t> infection and identify</w:t>
      </w:r>
      <w:r w:rsidRPr="00EE434E">
        <w:rPr>
          <w:rFonts w:ascii="Calibri" w:eastAsia="Times New Roman" w:hAnsi="Calibri" w:cs="Calibri"/>
          <w:i/>
          <w:iCs/>
          <w:color w:val="000000"/>
          <w:kern w:val="0"/>
          <w:sz w:val="22"/>
          <w:szCs w:val="22"/>
          <w14:ligatures w14:val="none"/>
        </w:rPr>
        <w:t> pfhrp2</w:t>
      </w:r>
      <w:r w:rsidRPr="00EE434E">
        <w:rPr>
          <w:rFonts w:ascii="Calibri" w:eastAsia="Times New Roman" w:hAnsi="Calibri" w:cs="Calibri"/>
          <w:color w:val="000000"/>
          <w:kern w:val="0"/>
          <w:sz w:val="22"/>
          <w:szCs w:val="22"/>
          <w14:ligatures w14:val="none"/>
        </w:rPr>
        <w:t>/</w:t>
      </w:r>
      <w:r w:rsidRPr="00EE434E">
        <w:rPr>
          <w:rFonts w:ascii="Calibri" w:eastAsia="Times New Roman" w:hAnsi="Calibri" w:cs="Calibri"/>
          <w:i/>
          <w:iCs/>
          <w:color w:val="000000"/>
          <w:kern w:val="0"/>
          <w:sz w:val="22"/>
          <w:szCs w:val="22"/>
          <w14:ligatures w14:val="none"/>
        </w:rPr>
        <w:t>3</w:t>
      </w:r>
      <w:r w:rsidRPr="00EE434E">
        <w:rPr>
          <w:rFonts w:ascii="Calibri" w:eastAsia="Times New Roman" w:hAnsi="Calibri" w:cs="Calibri"/>
          <w:color w:val="000000"/>
          <w:kern w:val="0"/>
          <w:sz w:val="22"/>
          <w:szCs w:val="22"/>
          <w14:ligatures w14:val="none"/>
        </w:rPr>
        <w:t> gene deletions.Among the 424 samples, sequencing of</w:t>
      </w:r>
      <w:r w:rsidRPr="00EE434E">
        <w:rPr>
          <w:rFonts w:ascii="Calibri" w:eastAsia="Times New Roman" w:hAnsi="Calibri" w:cs="Calibri"/>
          <w:i/>
          <w:iCs/>
          <w:color w:val="000000"/>
          <w:kern w:val="0"/>
          <w:sz w:val="22"/>
          <w:szCs w:val="22"/>
          <w14:ligatures w14:val="none"/>
        </w:rPr>
        <w:t> pfk13</w:t>
      </w:r>
      <w:r w:rsidRPr="00EE434E">
        <w:rPr>
          <w:rFonts w:ascii="Calibri" w:eastAsia="Times New Roman" w:hAnsi="Calibri" w:cs="Calibri"/>
          <w:color w:val="000000"/>
          <w:kern w:val="0"/>
          <w:sz w:val="22"/>
          <w:szCs w:val="22"/>
          <w14:ligatures w14:val="none"/>
        </w:rPr>
        <w:t> gene revealed the presence of</w:t>
      </w:r>
      <w:r w:rsidRPr="00EE434E">
        <w:rPr>
          <w:rFonts w:ascii="Calibri" w:eastAsia="Times New Roman" w:hAnsi="Calibri" w:cs="Calibri"/>
          <w:b/>
          <w:bCs/>
          <w:color w:val="000000"/>
          <w:kern w:val="0"/>
          <w:sz w:val="22"/>
          <w:szCs w:val="22"/>
          <w14:ligatures w14:val="none"/>
        </w:rPr>
        <w:t> A675V</w:t>
      </w:r>
      <w:r w:rsidRPr="00EE434E">
        <w:rPr>
          <w:rFonts w:ascii="Calibri" w:eastAsia="Times New Roman" w:hAnsi="Calibri" w:cs="Calibri"/>
          <w:color w:val="000000"/>
          <w:kern w:val="0"/>
          <w:sz w:val="22"/>
          <w:szCs w:val="22"/>
          <w14:ligatures w14:val="none"/>
        </w:rPr>
        <w:t> mutation in a single sample from a community in the North of Cameroon. Other known low-frequency mutations, including the</w:t>
      </w:r>
      <w:r w:rsidRPr="00EE434E">
        <w:rPr>
          <w:rFonts w:ascii="Calibri" w:eastAsia="Times New Roman" w:hAnsi="Calibri" w:cs="Calibri"/>
          <w:b/>
          <w:bCs/>
          <w:color w:val="000000"/>
          <w:kern w:val="0"/>
          <w:sz w:val="22"/>
          <w:szCs w:val="22"/>
          <w14:ligatures w14:val="none"/>
        </w:rPr>
        <w:t> A578S -</w:t>
      </w:r>
      <w:r w:rsidRPr="00EE434E">
        <w:rPr>
          <w:rFonts w:ascii="Calibri" w:eastAsia="Times New Roman" w:hAnsi="Calibri" w:cs="Calibri"/>
          <w:color w:val="000000"/>
          <w:kern w:val="0"/>
          <w:sz w:val="22"/>
          <w:szCs w:val="22"/>
          <w14:ligatures w14:val="none"/>
        </w:rPr>
        <w:t> associated with delayed parasite clearance- were also identified. In the 162 samples from Douala, the qPCR data revealed one</w:t>
      </w:r>
      <w:r w:rsidRPr="00EE434E">
        <w:rPr>
          <w:rFonts w:ascii="Calibri" w:eastAsia="Times New Roman" w:hAnsi="Calibri" w:cs="Calibri"/>
          <w:i/>
          <w:iCs/>
          <w:color w:val="000000"/>
          <w:kern w:val="0"/>
          <w:sz w:val="22"/>
          <w:szCs w:val="22"/>
          <w14:ligatures w14:val="none"/>
        </w:rPr>
        <w:t> pfhrp2</w:t>
      </w:r>
      <w:r w:rsidRPr="00EE434E">
        <w:rPr>
          <w:rFonts w:ascii="Calibri" w:eastAsia="Times New Roman" w:hAnsi="Calibri" w:cs="Calibri"/>
          <w:color w:val="000000"/>
          <w:kern w:val="0"/>
          <w:sz w:val="22"/>
          <w:szCs w:val="22"/>
          <w14:ligatures w14:val="none"/>
        </w:rPr>
        <w:t> deletion in multiclonal infections. One </w:t>
      </w:r>
      <w:r w:rsidRPr="00EE434E">
        <w:rPr>
          <w:rFonts w:ascii="Calibri" w:eastAsia="Times New Roman" w:hAnsi="Calibri" w:cs="Calibri"/>
          <w:i/>
          <w:iCs/>
          <w:color w:val="000000"/>
          <w:kern w:val="0"/>
          <w:sz w:val="22"/>
          <w:szCs w:val="22"/>
          <w14:ligatures w14:val="none"/>
        </w:rPr>
        <w:t>pfhrp3</w:t>
      </w:r>
      <w:r w:rsidRPr="00EE434E">
        <w:rPr>
          <w:rFonts w:ascii="Calibri" w:eastAsia="Times New Roman" w:hAnsi="Calibri" w:cs="Calibri"/>
          <w:color w:val="000000"/>
          <w:kern w:val="0"/>
          <w:sz w:val="22"/>
          <w:szCs w:val="22"/>
          <w14:ligatures w14:val="none"/>
        </w:rPr>
        <w:t> deletion was identified in the MARCAD samples. No parasites lacking both</w:t>
      </w:r>
      <w:r w:rsidRPr="00EE434E">
        <w:rPr>
          <w:rFonts w:ascii="Calibri" w:eastAsia="Times New Roman" w:hAnsi="Calibri" w:cs="Calibri"/>
          <w:i/>
          <w:iCs/>
          <w:color w:val="000000"/>
          <w:kern w:val="0"/>
          <w:sz w:val="22"/>
          <w:szCs w:val="22"/>
          <w14:ligatures w14:val="none"/>
        </w:rPr>
        <w:t> pfhrp2 </w:t>
      </w:r>
      <w:r w:rsidRPr="00EE434E">
        <w:rPr>
          <w:rFonts w:ascii="Calibri" w:eastAsia="Times New Roman" w:hAnsi="Calibri" w:cs="Calibri"/>
          <w:color w:val="000000"/>
          <w:kern w:val="0"/>
          <w:sz w:val="22"/>
          <w:szCs w:val="22"/>
          <w14:ligatures w14:val="none"/>
        </w:rPr>
        <w:t>and</w:t>
      </w:r>
      <w:r w:rsidRPr="00EE434E">
        <w:rPr>
          <w:rFonts w:ascii="Calibri" w:eastAsia="Times New Roman" w:hAnsi="Calibri" w:cs="Calibri"/>
          <w:i/>
          <w:iCs/>
          <w:color w:val="000000"/>
          <w:kern w:val="0"/>
          <w:sz w:val="22"/>
          <w:szCs w:val="22"/>
          <w14:ligatures w14:val="none"/>
        </w:rPr>
        <w:t> pfhrp3</w:t>
      </w:r>
      <w:r w:rsidRPr="00EE434E">
        <w:rPr>
          <w:rFonts w:ascii="Calibri" w:eastAsia="Times New Roman" w:hAnsi="Calibri" w:cs="Calibri"/>
          <w:color w:val="000000"/>
          <w:kern w:val="0"/>
          <w:sz w:val="22"/>
          <w:szCs w:val="22"/>
          <w14:ligatures w14:val="none"/>
        </w:rPr>
        <w:t> were found. Crucially, all samples classified as carrying</w:t>
      </w:r>
      <w:r w:rsidRPr="00EE434E">
        <w:rPr>
          <w:rFonts w:ascii="Calibri" w:eastAsia="Times New Roman" w:hAnsi="Calibri" w:cs="Calibri"/>
          <w:i/>
          <w:iCs/>
          <w:color w:val="000000"/>
          <w:kern w:val="0"/>
          <w:sz w:val="22"/>
          <w:szCs w:val="22"/>
          <w14:ligatures w14:val="none"/>
        </w:rPr>
        <w:t> pfhrp2</w:t>
      </w:r>
      <w:r w:rsidRPr="00EE434E">
        <w:rPr>
          <w:rFonts w:ascii="Calibri" w:eastAsia="Times New Roman" w:hAnsi="Calibri" w:cs="Calibri"/>
          <w:color w:val="000000"/>
          <w:kern w:val="0"/>
          <w:sz w:val="22"/>
          <w:szCs w:val="22"/>
          <w14:ligatures w14:val="none"/>
        </w:rPr>
        <w:t> or</w:t>
      </w:r>
      <w:r w:rsidRPr="00EE434E">
        <w:rPr>
          <w:rFonts w:ascii="Calibri" w:eastAsia="Times New Roman" w:hAnsi="Calibri" w:cs="Calibri"/>
          <w:i/>
          <w:iCs/>
          <w:color w:val="000000"/>
          <w:kern w:val="0"/>
          <w:sz w:val="22"/>
          <w:szCs w:val="22"/>
          <w14:ligatures w14:val="none"/>
        </w:rPr>
        <w:t> pfhrp3 </w:t>
      </w:r>
      <w:r w:rsidRPr="00EE434E">
        <w:rPr>
          <w:rFonts w:ascii="Calibri" w:eastAsia="Times New Roman" w:hAnsi="Calibri" w:cs="Calibri"/>
          <w:color w:val="000000"/>
          <w:kern w:val="0"/>
          <w:sz w:val="22"/>
          <w:szCs w:val="22"/>
          <w14:ligatures w14:val="none"/>
        </w:rPr>
        <w:t>deletions remained positive by HRP2-based RDT. This is the first report of a WHO validated mutation(</w:t>
      </w:r>
      <w:r w:rsidRPr="00EE434E">
        <w:rPr>
          <w:rFonts w:ascii="Calibri" w:eastAsia="Times New Roman" w:hAnsi="Calibri" w:cs="Calibri"/>
          <w:b/>
          <w:bCs/>
          <w:color w:val="000000"/>
          <w:kern w:val="0"/>
          <w:sz w:val="22"/>
          <w:szCs w:val="22"/>
          <w14:ligatures w14:val="none"/>
        </w:rPr>
        <w:t>A675V)</w:t>
      </w:r>
      <w:r w:rsidRPr="00EE434E">
        <w:rPr>
          <w:rFonts w:ascii="Calibri" w:eastAsia="Times New Roman" w:hAnsi="Calibri" w:cs="Calibri"/>
          <w:color w:val="000000"/>
          <w:kern w:val="0"/>
          <w:sz w:val="22"/>
          <w:szCs w:val="22"/>
          <w14:ligatures w14:val="none"/>
        </w:rPr>
        <w:t> associated with artemisinin partial resistance, and a candidate mutation (</w:t>
      </w:r>
      <w:r w:rsidRPr="00EE434E">
        <w:rPr>
          <w:rFonts w:ascii="Calibri" w:eastAsia="Times New Roman" w:hAnsi="Calibri" w:cs="Calibri"/>
          <w:b/>
          <w:bCs/>
          <w:color w:val="000000"/>
          <w:kern w:val="0"/>
          <w:sz w:val="22"/>
          <w:szCs w:val="22"/>
          <w14:ligatures w14:val="none"/>
        </w:rPr>
        <w:t>A578S</w:t>
      </w:r>
      <w:r w:rsidRPr="00EE434E">
        <w:rPr>
          <w:rFonts w:ascii="Calibri" w:eastAsia="Times New Roman" w:hAnsi="Calibri" w:cs="Calibri"/>
          <w:color w:val="000000"/>
          <w:kern w:val="0"/>
          <w:sz w:val="22"/>
          <w:szCs w:val="22"/>
          <w14:ligatures w14:val="none"/>
        </w:rPr>
        <w:t>) in Cameroon. It remains to be shown if this is sporadic or a local emergence. Improved tools have allowed the identification of the two HRP2/3 variants in multigenomic infections, warranting well-designed national molecular surveys for biological threats in Cameroon.</w:t>
      </w:r>
    </w:p>
    <w:p w14:paraId="36DE207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25-A-3132-ASTMH</w:t>
      </w:r>
    </w:p>
    <w:p w14:paraId="0291184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135C3BF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Detection and Genomic Characterization of Ndumu Virus in Coastal Kenya from </w:t>
      </w:r>
      <w:r w:rsidRPr="00EE434E">
        <w:rPr>
          <w:rFonts w:ascii="Calibri" w:eastAsia="Times New Roman" w:hAnsi="Calibri" w:cs="Calibri"/>
          <w:b/>
          <w:bCs/>
          <w:i/>
          <w:iCs/>
          <w:color w:val="000000"/>
          <w:kern w:val="0"/>
          <w:sz w:val="22"/>
          <w:szCs w:val="22"/>
          <w14:ligatures w14:val="none"/>
        </w:rPr>
        <w:t>Culex</w:t>
      </w:r>
      <w:r w:rsidRPr="00EE434E">
        <w:rPr>
          <w:rFonts w:ascii="Calibri" w:eastAsia="Times New Roman" w:hAnsi="Calibri" w:cs="Calibri"/>
          <w:b/>
          <w:bCs/>
          <w:color w:val="000000"/>
          <w:kern w:val="0"/>
          <w:sz w:val="22"/>
          <w:szCs w:val="22"/>
          <w14:ligatures w14:val="none"/>
        </w:rPr>
        <w:t> and </w:t>
      </w:r>
      <w:r w:rsidRPr="00EE434E">
        <w:rPr>
          <w:rFonts w:ascii="Calibri" w:eastAsia="Times New Roman" w:hAnsi="Calibri" w:cs="Calibri"/>
          <w:b/>
          <w:bCs/>
          <w:i/>
          <w:iCs/>
          <w:color w:val="000000"/>
          <w:kern w:val="0"/>
          <w:sz w:val="22"/>
          <w:szCs w:val="22"/>
          <w14:ligatures w14:val="none"/>
        </w:rPr>
        <w:t>Mansonia africana</w:t>
      </w:r>
      <w:r w:rsidRPr="00EE434E">
        <w:rPr>
          <w:rFonts w:ascii="Calibri" w:eastAsia="Times New Roman" w:hAnsi="Calibri" w:cs="Calibri"/>
          <w:b/>
          <w:bCs/>
          <w:color w:val="000000"/>
          <w:kern w:val="0"/>
          <w:sz w:val="22"/>
          <w:szCs w:val="22"/>
          <w14:ligatures w14:val="none"/>
        </w:rPr>
        <w:t> Mosquitoes</w:t>
      </w:r>
    </w:p>
    <w:p w14:paraId="5475887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Alphaviruses, belonging to the family </w:t>
      </w:r>
      <w:r w:rsidRPr="00EE434E">
        <w:rPr>
          <w:rFonts w:ascii="Calibri" w:eastAsia="Times New Roman" w:hAnsi="Calibri" w:cs="Calibri"/>
          <w:i/>
          <w:iCs/>
          <w:color w:val="000000"/>
          <w:kern w:val="0"/>
          <w:sz w:val="22"/>
          <w:szCs w:val="22"/>
          <w14:ligatures w14:val="none"/>
        </w:rPr>
        <w:t>Togaviridae</w:t>
      </w:r>
      <w:r w:rsidRPr="00EE434E">
        <w:rPr>
          <w:rFonts w:ascii="Calibri" w:eastAsia="Times New Roman" w:hAnsi="Calibri" w:cs="Calibri"/>
          <w:color w:val="000000"/>
          <w:kern w:val="0"/>
          <w:sz w:val="22"/>
          <w:szCs w:val="22"/>
          <w14:ligatures w14:val="none"/>
        </w:rPr>
        <w:t>, are globally distributed arboviruses that include several medically important pathogens such as </w:t>
      </w:r>
      <w:r w:rsidRPr="00EE434E">
        <w:rPr>
          <w:rFonts w:ascii="Calibri" w:eastAsia="Times New Roman" w:hAnsi="Calibri" w:cs="Calibri"/>
          <w:i/>
          <w:iCs/>
          <w:color w:val="000000"/>
          <w:kern w:val="0"/>
          <w:sz w:val="22"/>
          <w:szCs w:val="22"/>
          <w14:ligatures w14:val="none"/>
        </w:rPr>
        <w:t>Chikungunya</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Sindbis</w:t>
      </w:r>
      <w:r w:rsidRPr="00EE434E">
        <w:rPr>
          <w:rFonts w:ascii="Calibri" w:eastAsia="Times New Roman" w:hAnsi="Calibri" w:cs="Calibri"/>
          <w:color w:val="000000"/>
          <w:kern w:val="0"/>
          <w:sz w:val="22"/>
          <w:szCs w:val="22"/>
          <w14:ligatures w14:val="none"/>
        </w:rPr>
        <w:t xml:space="preserve"> viruses. These mosquito-borne viruses can cause a range of illnesses, from self-limiting febrile episodes to severe neurological disease. </w:t>
      </w:r>
      <w:r w:rsidRPr="00EE434E">
        <w:rPr>
          <w:rFonts w:ascii="Calibri" w:eastAsia="Times New Roman" w:hAnsi="Calibri" w:cs="Calibri"/>
          <w:color w:val="000000"/>
          <w:kern w:val="0"/>
          <w:sz w:val="22"/>
          <w:szCs w:val="22"/>
          <w14:ligatures w14:val="none"/>
        </w:rPr>
        <w:lastRenderedPageBreak/>
        <w:t>While many alphaviruses are well-characterized, others like </w:t>
      </w:r>
      <w:r w:rsidRPr="00EE434E">
        <w:rPr>
          <w:rFonts w:ascii="Calibri" w:eastAsia="Times New Roman" w:hAnsi="Calibri" w:cs="Calibri"/>
          <w:i/>
          <w:iCs/>
          <w:color w:val="000000"/>
          <w:kern w:val="0"/>
          <w:sz w:val="22"/>
          <w:szCs w:val="22"/>
          <w14:ligatures w14:val="none"/>
        </w:rPr>
        <w:t>Ndumu virus</w:t>
      </w:r>
      <w:r w:rsidRPr="00EE434E">
        <w:rPr>
          <w:rFonts w:ascii="Calibri" w:eastAsia="Times New Roman" w:hAnsi="Calibri" w:cs="Calibri"/>
          <w:color w:val="000000"/>
          <w:kern w:val="0"/>
          <w:sz w:val="22"/>
          <w:szCs w:val="22"/>
          <w14:ligatures w14:val="none"/>
        </w:rPr>
        <w:t> (NDUV) remain poorly understood. This study conducted arbovirus surveillance in mosquito populations from North-eastern and Coastal Kenya, during which NDUV was detected and characterized. Adult mosquitoes were collected using light traps from Kwale, Malindi, Mombasa, and Isiolo counties. Virus isolation was performed on Vero E6 cells, followed by RNA extraction, Illumina MiSeq sequencing, and analysis on the CZ-ID platform. Quality control, de novo assembly, and annotation were done using PrinseqLite, MEGAHIT, and BLASTn, respectively. Phylogenetic analysis was conducted using the Maximum Likelihood method. Cytopathic effects were observed in three pools—two from Malindi and one from Kwale—after three passages. NDUV was confirmed in pools containing </w:t>
      </w:r>
      <w:r w:rsidRPr="00EE434E">
        <w:rPr>
          <w:rFonts w:ascii="Calibri" w:eastAsia="Times New Roman" w:hAnsi="Calibri" w:cs="Calibri"/>
          <w:i/>
          <w:iCs/>
          <w:color w:val="000000"/>
          <w:kern w:val="0"/>
          <w:sz w:val="22"/>
          <w:szCs w:val="22"/>
          <w14:ligatures w14:val="none"/>
        </w:rPr>
        <w:t>Culex annulioris</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Mansonia africana</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Culex univittatus</w:t>
      </w:r>
      <w:r w:rsidRPr="00EE434E">
        <w:rPr>
          <w:rFonts w:ascii="Calibri" w:eastAsia="Times New Roman" w:hAnsi="Calibri" w:cs="Calibri"/>
          <w:color w:val="000000"/>
          <w:kern w:val="0"/>
          <w:sz w:val="22"/>
          <w:szCs w:val="22"/>
          <w14:ligatures w14:val="none"/>
        </w:rPr>
        <w:t>, with genome lengths of 11,769, 11,666, and 11,521 nt, respectively. Phylogenetic analysis showed that these isolates clustered closely with a Ugandan NDUV strain but branched distinctly from </w:t>
      </w:r>
      <w:r w:rsidRPr="00EE434E">
        <w:rPr>
          <w:rFonts w:ascii="Calibri" w:eastAsia="Times New Roman" w:hAnsi="Calibri" w:cs="Calibri"/>
          <w:i/>
          <w:iCs/>
          <w:color w:val="000000"/>
          <w:kern w:val="0"/>
          <w:sz w:val="22"/>
          <w:szCs w:val="22"/>
          <w14:ligatures w14:val="none"/>
        </w:rPr>
        <w:t>Middelburg virus</w:t>
      </w:r>
      <w:r w:rsidRPr="00EE434E">
        <w:rPr>
          <w:rFonts w:ascii="Calibri" w:eastAsia="Times New Roman" w:hAnsi="Calibri" w:cs="Calibri"/>
          <w:color w:val="000000"/>
          <w:kern w:val="0"/>
          <w:sz w:val="22"/>
          <w:szCs w:val="22"/>
          <w14:ligatures w14:val="none"/>
        </w:rPr>
        <w:t>, highlighting their unique evolutionary position. The detection of NDUV in diverse mosquito species in Coastal Kenya extends its known geographic and vector range. These findings underscore the importance of continued arbovirus surveillance to uncover neglected viruses and assess their zoonotic potential.</w:t>
      </w:r>
    </w:p>
    <w:p w14:paraId="3C001E6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25-A-3133-ASTMH</w:t>
      </w:r>
    </w:p>
    <w:p w14:paraId="6B9A6C7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1E3F18E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Beyond disease incidence: a toolkit for characterising and classifying disease transmission patterns</w:t>
      </w:r>
    </w:p>
    <w:p w14:paraId="75AAEE1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Disease incidence and prevalence are widely used epidemiological indicators, but disease time series data contain even richer information. To facilitate the comparison of transmission dynamics among different areas, we developed a time series classification protocol, the Epidynamics-REGIME toolkit. This toolkit introduces a novel classification method for disease transmission patterns based on fourteen epidemic time series descriptors, including timing and amplitude of peak case numbers, length of case-free or case-detection periods, seasonality, and incidence. These descriptors are input into a k-means clustering algorithm to identify transmission patterns. The classification protocol has applications in different types of analyses, including in disease determinant studies, to compare disease patterns across different areas, as a baseline for predictive models, and as a guide in decision-making processes. When applied to classify dengue patterns across Brazil, Brazilian municipalities were classified into five patterns: no transmission, episodic, episodic/epidemic, epidemic, and persistent transmission. The generalisable toolkit has been designed to be applicable to several infectious diseases in different geographical settings. Through a co-creation process, the protocol will be enhanced with new epidemiological descriptors. The Epidynamics-REGIME toolkit will be openly available through public repositories in a tutorial format to ensure reproducibility and support health surveillance and modelling efforts across Latin America.</w:t>
      </w:r>
    </w:p>
    <w:p w14:paraId="397DE87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25-A-3134-ASTMH</w:t>
      </w:r>
    </w:p>
    <w:p w14:paraId="2E4AEE2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Epidemiology</w:t>
      </w:r>
    </w:p>
    <w:p w14:paraId="0B9E0883" w14:textId="6511F6F0"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Epidemiology and Dynamics in the Mampong Municipality of Ghana, (2015-2023)</w:t>
      </w:r>
    </w:p>
    <w:p w14:paraId="48B9369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A malaria-free Ghana is the goal, and knowing the current trajectory and elimination status is imperative. With a retrospective cross-sectional design, this study analyzed malaria epidemiology over nine years. Data from 21 health facilities (Total OPD attendance = 1135493, Total cases = 174625) was used in the Mampong Municipality of the Ashanti Region. It focused on trends, patterns, dynamics, and forecasting using the Holt-Winters Exponential Smoothing method and prevalence among geographical clusters (rural, peri-urban, urban). The malaria prevalence cumulatively stood at 15.38% and exhibited significant year-on-year increases, with children under five and those aged 5-14 being the most affected groups (29.67% and 32.77%), respectively, far above the national prevalence (8.36%). The young and working population, aged 15-49 accounted for 32.24% of the overall cases recorded. Malaria prevalence peaked in 2020 (19.73%), with a significant reduction in 2021 (15.70%) and 2022 (14.88%), spiking in 2023 (17.15%). Geographical cluster analysis revealed substantial differences in malaria risk, with towns </w:t>
      </w:r>
      <w:r w:rsidRPr="00EE434E">
        <w:rPr>
          <w:rFonts w:ascii="Calibri" w:eastAsia="Times New Roman" w:hAnsi="Calibri" w:cs="Calibri"/>
          <w:color w:val="000000"/>
          <w:kern w:val="0"/>
          <w:sz w:val="22"/>
          <w:szCs w:val="22"/>
          <w14:ligatures w14:val="none"/>
        </w:rPr>
        <w:lastRenderedPageBreak/>
        <w:t>in the Ejura cluster (Rural) having the highest relative risk (RR = 10.99), followed by the Kofiase cluster (Peri-urban) (RR = 5.93) and the Jamasi cluster (Peri-urban) (RR = 4.22), compared to Asante Mampong (Urban) (RR = 1.00), the reference cluster. Gender disparities were also significant, with females showing higher incidence (55.93%) but lower prevalence (12.77%) compared to (20.76%) for males. Seasonal variation analysis indicated higher malaria prevalence, peaking during the rainy season (May-July). The findings also revealed a strong association between environmental factors, such as topography and human activities, and malaria transmission. Projections for 2024-2026 predicted a continued increase in malaria prevalence, with rates rising from 15.69% in 2024 to 16.30% in 2026 if current intervention strategies remain unchanged. These findings underscore the urgent need for targeted interventions in predictive modelling, vector control and management initiatives.</w:t>
      </w:r>
    </w:p>
    <w:p w14:paraId="047151F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25-A-3135-ASTMH</w:t>
      </w:r>
    </w:p>
    <w:p w14:paraId="0A6279A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Maternal, Newborn and Child Health and Nutrition</w:t>
      </w:r>
    </w:p>
    <w:p w14:paraId="7EE0C37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Prevalence, Pattern and Data Quality of Congenital Anomalies Ascertainment in a Prospective Cohort Study in Rural Burkina Faso</w:t>
      </w:r>
    </w:p>
    <w:p w14:paraId="0FB8A6D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Congenital anomalies (CAs) remain a global public health concern, particularly in low-resource settings where there is a lack of quality CA data. Reliable background rates of CAs are crucial for pharmacovigilance to differentiate true teratogenic risks from natural variations, enabling robust risk assessment of medication safety during pregnancy. This study aimed to estimate the prevalence of CAs and assess data quality using a Data Quality Indicators (DQI) tool developed for CA surveillance, which assesses ascertainment, description, coding and classification. This was an ancillary study using data from the ongoing MiMBa Pregnancy Exposure Registry, which was established to evaluate the safety of antimalarials used for treatment during pregnancy in Kenya and Burkina Faso. This preliminary analysis included documented births from 2022 to 2024 in Nanoro Health District, Burkina Faso. CAs were ascertained at delivery, 6-8 weeks post-partum and, for a sub-cohort, at 6 and 12 months by study clinicians using the Global Birth Defects Description and Coding App. A paediatrician triaged the CAs into major and minor. An independent expert panel adjudicated CAs classified as major. 524 CAs were recorded among 4,144 births, including 23 major and 501 minor cases. The overall prevalence of major CAs was 5.5 per 1,000 births. Data quality was assessed in 48 cases using 26 of the 40 indicators from the DQI tool. The quality targets were met for cleft lip and palate, neural tube defects, abdominal wall defects, hypospadias, club feet, congenital heart defects, and trisomy. However, targets were not achieved for oral clefts, combined spina bifida and anencephaly, and critical congenital heart defects. The relatively small sample size may have limited the ability to detect rare CAs, and the absence of specific diagnostic procedures could have led to underreporting. These findings underscore the challenges and opportunities in CA surveillance in low-resource settings. Variable performance across DQI metrics indicates methodological refinement is needed to support pharmacovigilance and promote safer use of medicines in pregnancy.</w:t>
      </w:r>
    </w:p>
    <w:p w14:paraId="39E57FD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25-A-3136-ASTMH</w:t>
      </w:r>
    </w:p>
    <w:p w14:paraId="3467217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737CC14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Urbanization of Chagas Disease in Bolivia</w:t>
      </w:r>
    </w:p>
    <w:p w14:paraId="1410A1B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Migrations have occurred throughout history. These population movements, caused by extreme poverty and climate change, among other factors, have carried pathogens with them, displacing them to other parts of the world and producing new foci of disease such as Chagas disease. In Bolivia, internal migrations from other departments to Santa Cruz, considered Bolivia's largest economic hub, have occurred and continue to occur. From May 2016 to June 2023, an analysis was conducted of the characteristics of the birthplace and place of residence of women with Chagas disease and their newborns in Santa Cruz, as well as the migratory flows of women who gave birth at the Percy Boland Women's Hospital. Epi Info 7.2 was used for data analysis, and Red CAP was used for data collection. </w:t>
      </w:r>
      <w:r w:rsidRPr="00EE434E">
        <w:rPr>
          <w:rFonts w:ascii="Calibri" w:eastAsia="Times New Roman" w:hAnsi="Calibri" w:cs="Calibri"/>
          <w:color w:val="000000"/>
          <w:kern w:val="0"/>
          <w:sz w:val="22"/>
          <w:szCs w:val="22"/>
          <w14:ligatures w14:val="none"/>
        </w:rPr>
        <w:lastRenderedPageBreak/>
        <w:t>Data on housing and place of birth, among other factors, were also collected. Of all women with Chagas disease, 83.79% currently live in the city of Santa Cruz. Of the 5% of women who transmitted Chagas disease to their newborns, 66.6% were born in the city of Santa Cruz, 16.6% in San Julián, and another 16.6% in Potosí, specifically in the José María Linares province. 83.79% of mothers live in rental housing in Santa Cruz. The data presented show the urbanization of Chagas disease in Bolivia. The majority are in the city of Santa Cruz. Internal migration from 2016 to 2023 is evident but, is still associated with poverty.</w:t>
      </w:r>
    </w:p>
    <w:p w14:paraId="5D18649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25-A-3138-ASTMH</w:t>
      </w:r>
    </w:p>
    <w:p w14:paraId="0BD895E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Clinical Tropical Medicine</w:t>
      </w:r>
    </w:p>
    <w:p w14:paraId="0EFC9C7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Nationwide variation of Snakebite Incidence In Kenya: An integrated Community Based Approach</w:t>
      </w:r>
    </w:p>
    <w:p w14:paraId="0C0B1BE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Snakebite envenomation (SBE) is a neglected tropical disease that poses a significant public health challenge in tropical regions, Kenya included. SBE remains elusive, hindering effective resource allocation and public health interventions. Unraveling the true extent of the burden remains a challenge with an over-reliance on health facility- based data. This study aimed to clarify the incidence of snakebites in communities and to investigate regional variations across the country. Survey data was collected using a cross-sectional community survey from July 2022 to August 2023, integrated into mass drug administration (MDA) campaigns targeting trachoma, schistosomiasis, and soil-transmitted helminths. Findings from the community survey were compared with data from the Kenya Health Information System (KHIS). The results showed that a total of 13,117,754 individuals from 17 counties participated in the MDA surveys, representing 28.3% of Kenya's population. During the survey period, 4,667 snakebite cases were reported, with a higher incidence among males (39.3 cases per 100,000) than females (32.2 cases per 100,000). Incidence rates varied significantly by county, with Turkana County experiencing the highest incidence (412.9 cases per 100,000) and Vihiga County the lowest (3.7 cases per 100,000). There were notable discrepancies between community reports of health facility attendance and KHIS data, with differences ranging from 0.9% to 250%. This study demonstrated that Integrating snakebite surveillance within MDA campaigns enabled efficient data collection for a significant portion of the Kenyan population at a low cost. Additionally, substantial regional variations in snakebite incidence and revealed discrepancies with hospital-based data were observed, underscoring the need strengthening health system in relation to SBE management. Therefore, innovative approaches are essential for accurately assessing the burden of snakebite envenoming which could inform policy makers in resource allocation.</w:t>
      </w:r>
    </w:p>
    <w:p w14:paraId="213A603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25-A-3139-ASTMH</w:t>
      </w:r>
    </w:p>
    <w:p w14:paraId="578AA62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7D15F80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Longitudinal seropositivity of antibodies against arboviruses among an agricultural worker cohort [AGRI] in southwest Guatemala</w:t>
      </w:r>
    </w:p>
    <w:p w14:paraId="4ED8B25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Zika virus (ZIKV), dengue virus (DENV) and chikungunya virus (CHIKV) are arboviruses transmitted by Aedes mosquitoes. While DENVserotypes 1 and 2 (DENV1 and DENV2) are the most prevalent in Guatemala, serotypes 3 and 4 (DENV3 and DENV4) have caused recentepidemics. In 2024, a public health emergency was declared by the Ministry of Health due to the rise in dengue cases. CHIKV and ZIKVoutbreaks were reported between 2014-2017. We aimed to identify CHIKV, DENV and ZIKV seropositivity among participants enrolled in AGRI,a cohort of banana plantation workers, who had serum samples available over multiple years. Mean Fluorescence Intensity (MFI) from anti-CHIKV/ZIKV/DENV1-4 antibodies was obtained using an IgG-based multiplex bead assay. Flavivirus-specific beads were coupled with theEDIII protein of ZIKV/DENV1-4. CHIKV beads were coupled with CHIKV E2 protein. A set of 15 samples from children born between 2018-2022 were used as regionally appropriate samples to calculate the positivity cutoffs (mean MFI + 3SD). A previously described algorithm foranalyzing flavivirus MFI signals was used to discriminate between naive samples and primary/multitypic infections. We tested 1136 samplesfrom 478 individuals, collected in 2020 (n=478), </w:t>
      </w:r>
      <w:r w:rsidRPr="00EE434E">
        <w:rPr>
          <w:rFonts w:ascii="Calibri" w:eastAsia="Times New Roman" w:hAnsi="Calibri" w:cs="Calibri"/>
          <w:color w:val="000000"/>
          <w:kern w:val="0"/>
          <w:sz w:val="22"/>
          <w:szCs w:val="22"/>
          <w14:ligatures w14:val="none"/>
        </w:rPr>
        <w:lastRenderedPageBreak/>
        <w:t>2021 (n=338) and 2022 (n=320). CHIKV seropositivity was 56.9%, 51.5% and 53.4% for 2020,2021 and 2022. During the follow up, 12 individuals had a negative-to-positive seroconversion against CHIKV. For 2020, 2021, and 2022, wedetected seropositivity for primary infections of DENV1 (16.9%, 9.17%, 10.6%), DENV2 (9.41%, 21.0%, 11.2%), DENV3 (1.88%, 0.30%,0.00%) and ZIKV (11.9%, 6.51%, 4.38%). Naïve-to-primary seroconversions were found for DENV1 in 2022 (n=12), for DENV2 in 2021 (n=14)and 2022 (n=10), and for ZIKV in 2021 (n=1) and 2022 (n=3). Flavivirus-naive prevalence went from 15.7% in 2020 to 7.8% in 2022. Ongoingtesting will characterize DENV, ZIKV, and CHIKV seroprevalence and incidence through 2024. Though confirmatory testing is needed, thesefindings suggest that active DENV1/2, ZIKV and CHIKV transmission was ongoing in the region for this period.</w:t>
      </w:r>
    </w:p>
    <w:p w14:paraId="6A3E2A8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25-A-3140-ASTMH</w:t>
      </w:r>
    </w:p>
    <w:p w14:paraId="6DF2CAC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Kinetoplastida and Other Protozoa - Diagnosis and New Detection Tools (Including Leishmania and Trypanosomes)</w:t>
      </w:r>
    </w:p>
    <w:p w14:paraId="165AC5B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Identifying antibody biomarkers that predict progression of Chagas Cardiomyopathy</w:t>
      </w:r>
    </w:p>
    <w:p w14:paraId="335F834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Chagas disease (ChD), caused by </w:t>
      </w:r>
      <w:r w:rsidRPr="00EE434E">
        <w:rPr>
          <w:rFonts w:ascii="Calibri" w:eastAsia="Times New Roman" w:hAnsi="Calibri" w:cs="Calibri"/>
          <w:i/>
          <w:iCs/>
          <w:color w:val="000000"/>
          <w:kern w:val="0"/>
          <w:sz w:val="22"/>
          <w:szCs w:val="22"/>
          <w14:ligatures w14:val="none"/>
        </w:rPr>
        <w:t>Trypanosoma cruzi</w:t>
      </w:r>
      <w:r w:rsidRPr="00EE434E">
        <w:rPr>
          <w:rFonts w:ascii="Calibri" w:eastAsia="Times New Roman" w:hAnsi="Calibri" w:cs="Calibri"/>
          <w:color w:val="000000"/>
          <w:kern w:val="0"/>
          <w:sz w:val="22"/>
          <w:szCs w:val="22"/>
          <w14:ligatures w14:val="none"/>
        </w:rPr>
        <w:t>, is a neglected tropical disease endemic to South America with cases also reported in Canada, the U.S., and 21 other countries. Transmission mainly occurs from bites by infected triatomine insects but can also be spread from mother-to-child and via blood transfusions. Initially, </w:t>
      </w:r>
      <w:r w:rsidRPr="00EE434E">
        <w:rPr>
          <w:rFonts w:ascii="Calibri" w:eastAsia="Times New Roman" w:hAnsi="Calibri" w:cs="Calibri"/>
          <w:i/>
          <w:iCs/>
          <w:color w:val="000000"/>
          <w:kern w:val="0"/>
          <w:sz w:val="22"/>
          <w:szCs w:val="22"/>
          <w14:ligatures w14:val="none"/>
        </w:rPr>
        <w:t>T. cruzi</w:t>
      </w:r>
      <w:r w:rsidRPr="00EE434E">
        <w:rPr>
          <w:rFonts w:ascii="Calibri" w:eastAsia="Times New Roman" w:hAnsi="Calibri" w:cs="Calibri"/>
          <w:color w:val="000000"/>
          <w:kern w:val="0"/>
          <w:sz w:val="22"/>
          <w:szCs w:val="22"/>
          <w14:ligatures w14:val="none"/>
        </w:rPr>
        <w:t> causes acute ChD that progresses to an asymptomatic chronic phase, with ~30% developing Chagas cardiomyopathy (ChCM) complicated by congestive heart failure, arrythmias, and sudden death years later. This phenomenon has been attributed to a combination of parasite persistence, immune evasion, and humoral autoimmunity. Currently, there is no reliable way to predict which individuals will develop ChCM. This study aims to identify a specific combination of anti-cardiac antibodies that can predict the progression of chronic ChCM. To characterize the anti-cardiac antibody profiles of different ChCM stages, serum samples from ChCM patients were analyzed by 2D gel electrophoresis and mass spectrometry revealing 137 cardiac target proteins. Bioinformatic analysis confirming cardiac-specific expression and relevance to ChCM pathology led to the selection of fifteen key proteins as potential biomarkers critical for heart rate regulation in ChCM. Subsequent ELISA on additional serum samples identified six promising candidates involved in ATP metabolism, sarcomere organization, and myosin filament formation as potential biomarkers for predicting ChCM progression. Notably, the combined targets achieved an AUC of 0.923 in distinguishing stage A ChCM (indeterminate form) from stage C/D patients (severe cardiomyopathy). In summary, this study has reinforced the idea of a differential anti-cardiac antibody profile sensitive for ChCM progression. Moving forward, we aim to expand these findings and develop cost-effective, clinically translatable ELISAs and LFAs for diagnosis, prognostication, and risk stratification of patients regarding future cardiac involvement.</w:t>
      </w:r>
    </w:p>
    <w:p w14:paraId="723B079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25-A-3141-ASTMH</w:t>
      </w:r>
    </w:p>
    <w:p w14:paraId="5D9E0CE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Pathogenesis and Animal Models</w:t>
      </w:r>
    </w:p>
    <w:p w14:paraId="1362FCC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Assessing differences among susceptibility and pathogenesis in pigs to Japanese encephalitis virus genotypes I-IV</w:t>
      </w:r>
    </w:p>
    <w:p w14:paraId="57880A8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Japanese encephalitis virus (JEV), a vector borne flavivirus, remains a significant threat to both human and animal health. Children and weanling piglets can develop severe neurological signs while older pigs can succumb to reproductive disease. The recent spread of JEV to the mainland of Australia, among other areas, demonstrates concern for the encroachment into new regions such as the United States. Although pigs and wading birds are known amplifying hosts for JEV, the suspectibility and pathogenesis of domestic swine to date has yielded varying results, and genotypes II and IV have not been evaluated despite their recent spread to new territories. Therefore, groups of four domestic weaned pigs from North America were experimentally infected via a half subcutaneous/intradermal inoculation containing one of the four most prevalent genotypes of JEV worldwide (GI-GIV). Viremia spiked on days 3-5 post-inoculation (p.i.) in 25-50% (1-2/4) of pigs infected with isolates of JEV G1, GII, and GIV. JEV was detected in the tonsils of the infected GII pig on day 21 p.i., demonstrating persistent infection. No </w:t>
      </w:r>
      <w:r w:rsidRPr="00EE434E">
        <w:rPr>
          <w:rFonts w:ascii="Calibri" w:eastAsia="Times New Roman" w:hAnsi="Calibri" w:cs="Calibri"/>
          <w:color w:val="000000"/>
          <w:kern w:val="0"/>
          <w:sz w:val="22"/>
          <w:szCs w:val="22"/>
          <w14:ligatures w14:val="none"/>
        </w:rPr>
        <w:lastRenderedPageBreak/>
        <w:t>clinical signs were noted other than a transient pyrexia in all infected pigs starting on day 3 p.i. Infectious virus was not detected in any of the oral swabs, and histopathological analyses are currently pending. Neutralizing JEV antibodies were observed in all infected pigs. Interestingly, 13/16 pigs exhibited low levels of suspected maternal antibody to West Nile virus (WNV) prior to inoculation. WNV antibodies have shown to be cross protective for JEV in other species and may explain the low levels of infection seen in this study. Future studies in specific pathogen-free pigs without WNV antibodies will be performed to test this theory. Nevertheless, these data will be useful for comparative pathogenesis studies among the different JEV genotypes and evaluating JEV vaccines to protect domestic swine in North America.</w:t>
      </w:r>
    </w:p>
    <w:p w14:paraId="1907B0C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25-A-3143-ASTMH</w:t>
      </w:r>
    </w:p>
    <w:p w14:paraId="5715D22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Biology, Physiology and Immunity</w:t>
      </w:r>
    </w:p>
    <w:p w14:paraId="7B2C18C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Latitudinal Clines in Regulation of the Circadian Output Neuropeptide </w:t>
      </w:r>
      <w:r w:rsidRPr="00EE434E">
        <w:rPr>
          <w:rFonts w:ascii="Calibri" w:eastAsia="Times New Roman" w:hAnsi="Calibri" w:cs="Calibri"/>
          <w:b/>
          <w:bCs/>
          <w:i/>
          <w:iCs/>
          <w:color w:val="000000"/>
          <w:kern w:val="0"/>
          <w:sz w:val="22"/>
          <w:szCs w:val="22"/>
          <w14:ligatures w14:val="none"/>
        </w:rPr>
        <w:t>pdf </w:t>
      </w:r>
      <w:r w:rsidRPr="00EE434E">
        <w:rPr>
          <w:rFonts w:ascii="Calibri" w:eastAsia="Times New Roman" w:hAnsi="Calibri" w:cs="Calibri"/>
          <w:b/>
          <w:bCs/>
          <w:color w:val="000000"/>
          <w:kern w:val="0"/>
          <w:sz w:val="22"/>
          <w:szCs w:val="22"/>
          <w14:ligatures w14:val="none"/>
        </w:rPr>
        <w:t>Drive Diapause Divergence in the </w:t>
      </w:r>
      <w:r w:rsidRPr="00EE434E">
        <w:rPr>
          <w:rFonts w:ascii="Calibri" w:eastAsia="Times New Roman" w:hAnsi="Calibri" w:cs="Calibri"/>
          <w:b/>
          <w:bCs/>
          <w:i/>
          <w:iCs/>
          <w:color w:val="000000"/>
          <w:kern w:val="0"/>
          <w:sz w:val="22"/>
          <w:szCs w:val="22"/>
          <w14:ligatures w14:val="none"/>
        </w:rPr>
        <w:t>Culex pipiens</w:t>
      </w:r>
      <w:r w:rsidRPr="00EE434E">
        <w:rPr>
          <w:rFonts w:ascii="Calibri" w:eastAsia="Times New Roman" w:hAnsi="Calibri" w:cs="Calibri"/>
          <w:b/>
          <w:bCs/>
          <w:color w:val="000000"/>
          <w:kern w:val="0"/>
          <w:sz w:val="22"/>
          <w:szCs w:val="22"/>
          <w14:ligatures w14:val="none"/>
        </w:rPr>
        <w:t> Complex</w:t>
      </w:r>
    </w:p>
    <w:p w14:paraId="65BF78B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temperate insects, photoperiod provides a reliable cue for anticipating seasonal change. The mosquito </w:t>
      </w:r>
      <w:r w:rsidRPr="00EE434E">
        <w:rPr>
          <w:rFonts w:ascii="Calibri" w:eastAsia="Times New Roman" w:hAnsi="Calibri" w:cs="Calibri"/>
          <w:i/>
          <w:iCs/>
          <w:color w:val="000000"/>
          <w:kern w:val="0"/>
          <w:sz w:val="22"/>
          <w:szCs w:val="22"/>
          <w14:ligatures w14:val="none"/>
        </w:rPr>
        <w:t>Culex pipiens</w:t>
      </w:r>
      <w:r w:rsidRPr="00EE434E">
        <w:rPr>
          <w:rFonts w:ascii="Calibri" w:eastAsia="Times New Roman" w:hAnsi="Calibri" w:cs="Calibri"/>
          <w:color w:val="000000"/>
          <w:kern w:val="0"/>
          <w:sz w:val="22"/>
          <w:szCs w:val="22"/>
          <w14:ligatures w14:val="none"/>
        </w:rPr>
        <w:t>, a major vector of West Nile Virus, enters an adult overwintering state known as diapause in response to shorten days of early fall. It is suggested that the circadian clock measures daylength, allowing individual circadian transcription factors to pleiotropically regulate genes necessary for diapause onset under proper photoperiod. However, how circadian outputs trigger physiological transitions is largely unresolved. Taxa within the </w:t>
      </w:r>
      <w:r w:rsidRPr="00EE434E">
        <w:rPr>
          <w:rFonts w:ascii="Calibri" w:eastAsia="Times New Roman" w:hAnsi="Calibri" w:cs="Calibri"/>
          <w:i/>
          <w:iCs/>
          <w:color w:val="000000"/>
          <w:kern w:val="0"/>
          <w:sz w:val="22"/>
          <w:szCs w:val="22"/>
          <w14:ligatures w14:val="none"/>
        </w:rPr>
        <w:t>Culex pipiens</w:t>
      </w:r>
      <w:r w:rsidRPr="00EE434E">
        <w:rPr>
          <w:rFonts w:ascii="Calibri" w:eastAsia="Times New Roman" w:hAnsi="Calibri" w:cs="Calibri"/>
          <w:color w:val="000000"/>
          <w:kern w:val="0"/>
          <w:sz w:val="22"/>
          <w:szCs w:val="22"/>
          <w14:ligatures w14:val="none"/>
        </w:rPr>
        <w:t> complex differ in the capacity for adult reproductive diapause, with </w:t>
      </w:r>
      <w:r w:rsidRPr="00EE434E">
        <w:rPr>
          <w:rFonts w:ascii="Calibri" w:eastAsia="Times New Roman" w:hAnsi="Calibri" w:cs="Calibri"/>
          <w:i/>
          <w:iCs/>
          <w:color w:val="000000"/>
          <w:kern w:val="0"/>
          <w:sz w:val="22"/>
          <w:szCs w:val="22"/>
          <w14:ligatures w14:val="none"/>
        </w:rPr>
        <w:t>Cx. pipiens </w:t>
      </w:r>
      <w:r w:rsidRPr="00EE434E">
        <w:rPr>
          <w:rFonts w:ascii="Calibri" w:eastAsia="Times New Roman" w:hAnsi="Calibri" w:cs="Calibri"/>
          <w:color w:val="000000"/>
          <w:kern w:val="0"/>
          <w:sz w:val="22"/>
          <w:szCs w:val="22"/>
          <w14:ligatures w14:val="none"/>
        </w:rPr>
        <w:t>capable of diapause, and </w:t>
      </w:r>
      <w:r w:rsidRPr="00EE434E">
        <w:rPr>
          <w:rFonts w:ascii="Calibri" w:eastAsia="Times New Roman" w:hAnsi="Calibri" w:cs="Calibri"/>
          <w:i/>
          <w:iCs/>
          <w:color w:val="000000"/>
          <w:kern w:val="0"/>
          <w:sz w:val="22"/>
          <w:szCs w:val="22"/>
          <w14:ligatures w14:val="none"/>
        </w:rPr>
        <w:t>Cx. quinquefasciatus</w:t>
      </w:r>
      <w:r w:rsidRPr="00EE434E">
        <w:rPr>
          <w:rFonts w:ascii="Calibri" w:eastAsia="Times New Roman" w:hAnsi="Calibri" w:cs="Calibri"/>
          <w:color w:val="000000"/>
          <w:kern w:val="0"/>
          <w:sz w:val="22"/>
          <w:szCs w:val="22"/>
          <w14:ligatures w14:val="none"/>
        </w:rPr>
        <w:t> remaining reproductively active year-round. This species-specific divergence in diapause capacity may reflect latitudinal clines in the regulation of circadian output genes. The neuropeptide </w:t>
      </w:r>
      <w:r w:rsidRPr="00EE434E">
        <w:rPr>
          <w:rFonts w:ascii="Calibri" w:eastAsia="Times New Roman" w:hAnsi="Calibri" w:cs="Calibri"/>
          <w:i/>
          <w:iCs/>
          <w:color w:val="000000"/>
          <w:kern w:val="0"/>
          <w:sz w:val="22"/>
          <w:szCs w:val="22"/>
          <w14:ligatures w14:val="none"/>
        </w:rPr>
        <w:t>pigment-dispersing factor</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pdf</w:t>
      </w:r>
      <w:r w:rsidRPr="00EE434E">
        <w:rPr>
          <w:rFonts w:ascii="Calibri" w:eastAsia="Times New Roman" w:hAnsi="Calibri" w:cs="Calibri"/>
          <w:color w:val="000000"/>
          <w:kern w:val="0"/>
          <w:sz w:val="22"/>
          <w:szCs w:val="22"/>
          <w14:ligatures w14:val="none"/>
        </w:rPr>
        <w:t>), a key circadian output, modulates both behavioral cycles and photoperiodic sensitivity. In </w:t>
      </w:r>
      <w:r w:rsidRPr="00EE434E">
        <w:rPr>
          <w:rFonts w:ascii="Calibri" w:eastAsia="Times New Roman" w:hAnsi="Calibri" w:cs="Calibri"/>
          <w:i/>
          <w:iCs/>
          <w:color w:val="000000"/>
          <w:kern w:val="0"/>
          <w:sz w:val="22"/>
          <w:szCs w:val="22"/>
          <w14:ligatures w14:val="none"/>
        </w:rPr>
        <w:t>Cx. pipiens</w:t>
      </w:r>
      <w:r w:rsidRPr="00EE434E">
        <w:rPr>
          <w:rFonts w:ascii="Calibri" w:eastAsia="Times New Roman" w:hAnsi="Calibri" w:cs="Calibri"/>
          <w:color w:val="000000"/>
          <w:kern w:val="0"/>
          <w:sz w:val="22"/>
          <w:szCs w:val="22"/>
          <w14:ligatures w14:val="none"/>
        </w:rPr>
        <w:t>, RNA interference targeting </w:t>
      </w:r>
      <w:r w:rsidRPr="00EE434E">
        <w:rPr>
          <w:rFonts w:ascii="Calibri" w:eastAsia="Times New Roman" w:hAnsi="Calibri" w:cs="Calibri"/>
          <w:i/>
          <w:iCs/>
          <w:color w:val="000000"/>
          <w:kern w:val="0"/>
          <w:sz w:val="22"/>
          <w:szCs w:val="22"/>
          <w14:ligatures w14:val="none"/>
        </w:rPr>
        <w:t>pdf</w:t>
      </w:r>
      <w:r w:rsidRPr="00EE434E">
        <w:rPr>
          <w:rFonts w:ascii="Calibri" w:eastAsia="Times New Roman" w:hAnsi="Calibri" w:cs="Calibri"/>
          <w:color w:val="000000"/>
          <w:kern w:val="0"/>
          <w:sz w:val="22"/>
          <w:szCs w:val="22"/>
          <w14:ligatures w14:val="none"/>
        </w:rPr>
        <w:t> induces diapause despite circumstances that typically prevent it. Within </w:t>
      </w:r>
      <w:r w:rsidRPr="00EE434E">
        <w:rPr>
          <w:rFonts w:ascii="Calibri" w:eastAsia="Times New Roman" w:hAnsi="Calibri" w:cs="Calibri"/>
          <w:i/>
          <w:iCs/>
          <w:color w:val="000000"/>
          <w:kern w:val="0"/>
          <w:sz w:val="22"/>
          <w:szCs w:val="22"/>
          <w14:ligatures w14:val="none"/>
        </w:rPr>
        <w:t>Drosophila</w:t>
      </w:r>
      <w:r w:rsidRPr="00EE434E">
        <w:rPr>
          <w:rFonts w:ascii="Calibri" w:eastAsia="Times New Roman" w:hAnsi="Calibri" w:cs="Calibri"/>
          <w:color w:val="000000"/>
          <w:kern w:val="0"/>
          <w:sz w:val="22"/>
          <w:szCs w:val="22"/>
          <w14:ligatures w14:val="none"/>
        </w:rPr>
        <w:t>, the </w:t>
      </w:r>
      <w:r w:rsidRPr="00EE434E">
        <w:rPr>
          <w:rFonts w:ascii="Calibri" w:eastAsia="Times New Roman" w:hAnsi="Calibri" w:cs="Calibri"/>
          <w:i/>
          <w:iCs/>
          <w:color w:val="000000"/>
          <w:kern w:val="0"/>
          <w:sz w:val="22"/>
          <w:szCs w:val="22"/>
          <w14:ligatures w14:val="none"/>
        </w:rPr>
        <w:t>pdf</w:t>
      </w:r>
      <w:r w:rsidRPr="00EE434E">
        <w:rPr>
          <w:rFonts w:ascii="Calibri" w:eastAsia="Times New Roman" w:hAnsi="Calibri" w:cs="Calibri"/>
          <w:color w:val="000000"/>
          <w:kern w:val="0"/>
          <w:sz w:val="22"/>
          <w:szCs w:val="22"/>
          <w14:ligatures w14:val="none"/>
        </w:rPr>
        <w:t> regulatory region demonstrates high variability and signs of selection across latitudinal gradients. This study examines species-specific divergence in </w:t>
      </w:r>
      <w:r w:rsidRPr="00EE434E">
        <w:rPr>
          <w:rFonts w:ascii="Calibri" w:eastAsia="Times New Roman" w:hAnsi="Calibri" w:cs="Calibri"/>
          <w:i/>
          <w:iCs/>
          <w:color w:val="000000"/>
          <w:kern w:val="0"/>
          <w:sz w:val="22"/>
          <w:szCs w:val="22"/>
          <w14:ligatures w14:val="none"/>
        </w:rPr>
        <w:t>pdf</w:t>
      </w:r>
      <w:r w:rsidRPr="00EE434E">
        <w:rPr>
          <w:rFonts w:ascii="Calibri" w:eastAsia="Times New Roman" w:hAnsi="Calibri" w:cs="Calibri"/>
          <w:color w:val="000000"/>
          <w:kern w:val="0"/>
          <w:sz w:val="22"/>
          <w:szCs w:val="22"/>
          <w14:ligatures w14:val="none"/>
        </w:rPr>
        <w:t> regulation to determine its role in the differences in photoperiodic plasticity and diapause capacity within the </w:t>
      </w:r>
      <w:r w:rsidRPr="00EE434E">
        <w:rPr>
          <w:rFonts w:ascii="Calibri" w:eastAsia="Times New Roman" w:hAnsi="Calibri" w:cs="Calibri"/>
          <w:i/>
          <w:iCs/>
          <w:color w:val="000000"/>
          <w:kern w:val="0"/>
          <w:sz w:val="22"/>
          <w:szCs w:val="22"/>
          <w14:ligatures w14:val="none"/>
        </w:rPr>
        <w:t>Cx. pipiens</w:t>
      </w:r>
      <w:r w:rsidRPr="00EE434E">
        <w:rPr>
          <w:rFonts w:ascii="Calibri" w:eastAsia="Times New Roman" w:hAnsi="Calibri" w:cs="Calibri"/>
          <w:color w:val="000000"/>
          <w:kern w:val="0"/>
          <w:sz w:val="22"/>
          <w:szCs w:val="22"/>
          <w14:ligatures w14:val="none"/>
        </w:rPr>
        <w:t> complex. It compares diel activity and </w:t>
      </w:r>
      <w:r w:rsidRPr="00EE434E">
        <w:rPr>
          <w:rFonts w:ascii="Calibri" w:eastAsia="Times New Roman" w:hAnsi="Calibri" w:cs="Calibri"/>
          <w:i/>
          <w:iCs/>
          <w:color w:val="000000"/>
          <w:kern w:val="0"/>
          <w:sz w:val="22"/>
          <w:szCs w:val="22"/>
          <w14:ligatures w14:val="none"/>
        </w:rPr>
        <w:t>pdf</w:t>
      </w:r>
      <w:r w:rsidRPr="00EE434E">
        <w:rPr>
          <w:rFonts w:ascii="Calibri" w:eastAsia="Times New Roman" w:hAnsi="Calibri" w:cs="Calibri"/>
          <w:color w:val="000000"/>
          <w:kern w:val="0"/>
          <w:sz w:val="22"/>
          <w:szCs w:val="22"/>
          <w14:ligatures w14:val="none"/>
        </w:rPr>
        <w:t> expression between </w:t>
      </w:r>
      <w:r w:rsidRPr="00EE434E">
        <w:rPr>
          <w:rFonts w:ascii="Calibri" w:eastAsia="Times New Roman" w:hAnsi="Calibri" w:cs="Calibri"/>
          <w:i/>
          <w:iCs/>
          <w:color w:val="000000"/>
          <w:kern w:val="0"/>
          <w:sz w:val="22"/>
          <w:szCs w:val="22"/>
          <w14:ligatures w14:val="none"/>
        </w:rPr>
        <w:t>Cx. pipiens</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Cx. quinquefasciatus</w:t>
      </w:r>
      <w:r w:rsidRPr="00EE434E">
        <w:rPr>
          <w:rFonts w:ascii="Calibri" w:eastAsia="Times New Roman" w:hAnsi="Calibri" w:cs="Calibri"/>
          <w:color w:val="000000"/>
          <w:kern w:val="0"/>
          <w:sz w:val="22"/>
          <w:szCs w:val="22"/>
          <w14:ligatures w14:val="none"/>
        </w:rPr>
        <w:t>, investigates upstream regulatory variation, and evaluates trait inheritance through reciprocal hybrid crosses.Diel activity under long- and short-day photoperiods was recorded using a Locomotor Activity Monitor, while temporal </w:t>
      </w:r>
      <w:r w:rsidRPr="00EE434E">
        <w:rPr>
          <w:rFonts w:ascii="Calibri" w:eastAsia="Times New Roman" w:hAnsi="Calibri" w:cs="Calibri"/>
          <w:i/>
          <w:iCs/>
          <w:color w:val="000000"/>
          <w:kern w:val="0"/>
          <w:sz w:val="22"/>
          <w:szCs w:val="22"/>
          <w14:ligatures w14:val="none"/>
        </w:rPr>
        <w:t>pdf </w:t>
      </w:r>
      <w:r w:rsidRPr="00EE434E">
        <w:rPr>
          <w:rFonts w:ascii="Calibri" w:eastAsia="Times New Roman" w:hAnsi="Calibri" w:cs="Calibri"/>
          <w:color w:val="000000"/>
          <w:kern w:val="0"/>
          <w:sz w:val="22"/>
          <w:szCs w:val="22"/>
          <w14:ligatures w14:val="none"/>
        </w:rPr>
        <w:t>expression has been quantified by qRT-PCR and immunohistochemistry across a 24-hour cycle. Our research has shown how alterations in circadian neuropeptide modulation along latitudinal gradients lead to ecological difference within vector species complexes and identifies new targets for disrupting the seasonal persistence of mosquito populations.</w:t>
      </w:r>
    </w:p>
    <w:p w14:paraId="7D87BA9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25-A-3144-ASTMH</w:t>
      </w:r>
    </w:p>
    <w:p w14:paraId="5B0EC53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Prevention</w:t>
      </w:r>
    </w:p>
    <w:p w14:paraId="60B1BBF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Assessment of Knowledge Gains among Implementers during the Pilot of Post-Discharge Malaria Chemoprevention in Ghana 2024</w:t>
      </w:r>
    </w:p>
    <w:p w14:paraId="1D84771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Post-Discharge Malaria Chemoprevention (PDMC) is the administration of full therapeutic doses of antimalarial medicines to children with severe anaemia after hospital discharge to prevent malaria infections, reinfections and rebound anaemia. Ghana is currently piloting this intervention in six health facilities. Training frontline implementers is critical to the success of this pilot and assessing their knowledge before and after training helps identify gaps and improve future training approaches. A pre-test and post-test were conducted during PDMC training sessions involving 114 implementers. Demographic data were collected, and descriptive statistics were used to summarize participant characteristics. Knowledge scores before and after training were compared using paired t-tests. Of the 114 participants, 52% (59/114) were male, 73% (83/114) were aged 30-39 years, and 45% (51/114) had 1-5 years of professional experience. At baseline, 81% (92/114) of implementers demonstrated good </w:t>
      </w:r>
      <w:r w:rsidRPr="00EE434E">
        <w:rPr>
          <w:rFonts w:ascii="Calibri" w:eastAsia="Times New Roman" w:hAnsi="Calibri" w:cs="Calibri"/>
          <w:color w:val="000000"/>
          <w:kern w:val="0"/>
          <w:sz w:val="22"/>
          <w:szCs w:val="22"/>
          <w14:ligatures w14:val="none"/>
        </w:rPr>
        <w:lastRenderedPageBreak/>
        <w:t>knowledge of PDMC, increasing to 99% (113/114) after training. The mean knowledge score increased significantly from 61.4% (pre-test) to 82.8% (post-test), with a mean difference of 21.4 percentage points (p &lt; 0.001, 95% CI: 18.6-24.1). These findings demonstrate that the PDMC training significantly improved implementer knowledge, supporting the effectiveness of the current training approach. Routine use of pre- and post-tests can enhance training evaluation and inform scale-up of the intervention.</w:t>
      </w:r>
    </w:p>
    <w:p w14:paraId="7DD9024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25-A-3145-ASTMH</w:t>
      </w:r>
    </w:p>
    <w:p w14:paraId="0939004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Molecular Biology, Population Genetics and Genomics</w:t>
      </w:r>
    </w:p>
    <w:p w14:paraId="6ACBD31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Molecular Surveillance of Anopheline Vectors Through Metabarcoding of the D2 rDNA Marker to Support Malaria Elimination in Brazil</w:t>
      </w:r>
    </w:p>
    <w:p w14:paraId="286E27D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2022, the Brazilian Ministry of Health launched a Malaria Elimination Plan for Brazil. To support this initiative, rapid and cost-effective monitoring of the country's primary malaria vectors is essential for understanding mosquito population dynamics and planning timely vector control actions. In this study, we analyzed spatial and temporal variations in mosquito populations before and after the application of the biolarvicide VectoMax in fish farming ponds located in a malaria-endemic area of the Juruá Valley, Acre State, in the Amazon region of Brazil. Our approach employed metabarcoding of the D2 rDNA marker. The collected specimens were preserved in absolute alcohol and stored at room temperature. Subsequently, third- (L3) and fourth-stage (L4) larvae were separated and grouped into 161 pools, each containing up to 100 individuals. The grouping criteria were based on: (1) biolarvicide intervention period (pre-intervention, during intervention, and post-intervention); (2) type of breeding site (natural, artificial, or mixed); and (3) seasonal collection period (rainy, dry, rainy-dry, and dry-rainy transitions). For analysis and sequence processing, we used MOTHUR v1.36.1 to process the sequencing data obtained from the Illumina MiSeq platform. Preliminary results indicate that during the pre-intervention phase, 2,016 monthly collections of Anopheles immature forms were carried out in 170 different fishponds, with the presence of approximately 16,000 different larval stages (L3 to L4). Sequence data from all 161 pools analyzed in this study have been included in the NCBI Sequence Read Archive. The diversity of Anopheles species in the study area exhibited both spatial and temporal heterogeneity. This research is aims to contribute toward the development of a practical metabarcoding protocol, that can be implemented at state and municipal levels to support entomological surveillance of Anopheline vectors and advance malaria elimination efforts in Brazil.</w:t>
      </w:r>
    </w:p>
    <w:p w14:paraId="24FC5C1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25-A-3146-ASTMH</w:t>
      </w:r>
    </w:p>
    <w:p w14:paraId="0064F20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3BA51DE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dynamics of dengue virus strain invasion, co-existence, and replacement</w:t>
      </w:r>
    </w:p>
    <w:p w14:paraId="4879055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As global dengue fever distribution expands and outbreak magnitudes intensify, understanding changing dengue virus ecology is vital to predicting changing epidemiological patterns. Dengue is composed of four antigenically distinct serotypes with primary infection providing short-term pan-serotype protection. However, waning heterotypic immunity can lead to antibody-dependent enhancement (ADE), where secondary infections result in more severe disease and possibly enhanced transmission. These complex eco-evolutionary relationships suggest serotype co-circulation can have important effects on the public health burden of dengue, raising questions about the conditions that facilitate serotype invasion (the emergence and spread of a new viral lineage), co-existence (the co-circulation of multiple viral lineages) and replacement (the outcompeting of one serotype over another). Understanding these relationships is especially important for predicting the impact of rolling out new dengue vaccines. We developed multi-strain transmission dynamic models to simulate dengue serotype invasion under a variety of conditions – including varying durations of cross-immunity, estimates of the effective reproductive number, enhancement in the transmission of secondary infections, and seasonal forcing –to understand conditions that lead to successful co-circulation or replacement events. Further, we ask how the introduction of vaccination with differential protection by serotype may alter these </w:t>
      </w:r>
      <w:r w:rsidRPr="00EE434E">
        <w:rPr>
          <w:rFonts w:ascii="Calibri" w:eastAsia="Times New Roman" w:hAnsi="Calibri" w:cs="Calibri"/>
          <w:color w:val="000000"/>
          <w:kern w:val="0"/>
          <w:sz w:val="22"/>
          <w:szCs w:val="22"/>
          <w14:ligatures w14:val="none"/>
        </w:rPr>
        <w:lastRenderedPageBreak/>
        <w:t>invasion dynamics. We demonstrate population immunity, seasonality, and the timing of the seeding of a new serotype interact to impact the trajectory of this multi-strain system. We evaluate whether introducing vaccination to our model allows poorly protected serotypes to invade and establish in human populations, even at relatively low levels of transmissibility, and the epidemiologic consequences.</w:t>
      </w:r>
    </w:p>
    <w:p w14:paraId="65CE4AA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25-A-3147-ASTMH</w:t>
      </w:r>
    </w:p>
    <w:p w14:paraId="361281B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Biology and Genetics of Insecticide Resistance</w:t>
      </w:r>
    </w:p>
    <w:p w14:paraId="7F0656C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CYP6Z-pyrethroid resistance genes confers cross-resistance to a range of insecticides in the primary African malaria vector </w:t>
      </w:r>
      <w:r w:rsidRPr="00EE434E">
        <w:rPr>
          <w:rFonts w:ascii="Calibri" w:eastAsia="Times New Roman" w:hAnsi="Calibri" w:cs="Calibri"/>
          <w:b/>
          <w:bCs/>
          <w:i/>
          <w:iCs/>
          <w:color w:val="000000"/>
          <w:kern w:val="0"/>
          <w:sz w:val="22"/>
          <w:szCs w:val="22"/>
          <w14:ligatures w14:val="none"/>
        </w:rPr>
        <w:t>Anopheles gambiae</w:t>
      </w:r>
      <w:r w:rsidRPr="00EE434E">
        <w:rPr>
          <w:rFonts w:ascii="Calibri" w:eastAsia="Times New Roman" w:hAnsi="Calibri" w:cs="Calibri"/>
          <w:b/>
          <w:bCs/>
          <w:color w:val="000000"/>
          <w:kern w:val="0"/>
          <w:sz w:val="22"/>
          <w:szCs w:val="22"/>
          <w14:ligatures w14:val="none"/>
        </w:rPr>
        <w:t> reducing the efficacy of vector control tools</w:t>
      </w:r>
    </w:p>
    <w:p w14:paraId="313B738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Introduction:</w:t>
      </w:r>
      <w:r w:rsidRPr="00EE434E">
        <w:rPr>
          <w:rFonts w:ascii="Calibri" w:eastAsia="Times New Roman" w:hAnsi="Calibri" w:cs="Calibri"/>
          <w:color w:val="000000"/>
          <w:kern w:val="0"/>
          <w:sz w:val="22"/>
          <w:szCs w:val="22"/>
          <w14:ligatures w14:val="none"/>
        </w:rPr>
        <w:t> Resistance to insecticides, particularly to pyrethroids has escalated and is now threatening the continued effectiveness of malaria vector control tools. This has led to efforts to elucidate the mechanisms of resistance and the design of diagnostic tools to easily detect, track and assess the impact on new interventions. In this study, we assessed the role of overexpression of cytochrome 6Z1, 6Z2, 6Z3 and 6Z4 in insecticide resistance in the major malaria vector </w:t>
      </w:r>
      <w:r w:rsidRPr="00EE434E">
        <w:rPr>
          <w:rFonts w:ascii="Calibri" w:eastAsia="Times New Roman" w:hAnsi="Calibri" w:cs="Calibri"/>
          <w:i/>
          <w:iCs/>
          <w:color w:val="000000"/>
          <w:kern w:val="0"/>
          <w:sz w:val="22"/>
          <w:szCs w:val="22"/>
          <w14:ligatures w14:val="none"/>
        </w:rPr>
        <w:t>Anopheles gambiae</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b/>
          <w:bCs/>
          <w:color w:val="000000"/>
          <w:kern w:val="0"/>
          <w:sz w:val="22"/>
          <w:szCs w:val="22"/>
          <w14:ligatures w14:val="none"/>
        </w:rPr>
        <w:t>Methods:</w:t>
      </w:r>
      <w:r w:rsidRPr="00EE434E">
        <w:rPr>
          <w:rFonts w:ascii="Calibri" w:eastAsia="Times New Roman" w:hAnsi="Calibri" w:cs="Calibri"/>
          <w:color w:val="000000"/>
          <w:kern w:val="0"/>
          <w:sz w:val="22"/>
          <w:szCs w:val="22"/>
          <w14:ligatures w14:val="none"/>
        </w:rPr>
        <w:t> Using F1 permethrin-surviving mosquitoes from Mangoum-Cameroon, the four genes were amplified, sequenced, and analyzed for amino acid changes linked to resistance. Transgenic Drosophila expressing dominant alleles of </w:t>
      </w:r>
      <w:r w:rsidRPr="00EE434E">
        <w:rPr>
          <w:rFonts w:ascii="Calibri" w:eastAsia="Times New Roman" w:hAnsi="Calibri" w:cs="Calibri"/>
          <w:i/>
          <w:iCs/>
          <w:color w:val="000000"/>
          <w:kern w:val="0"/>
          <w:sz w:val="22"/>
          <w:szCs w:val="22"/>
          <w14:ligatures w14:val="none"/>
        </w:rPr>
        <w:t>CYP6Z1</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6Z3</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6Z4</w:t>
      </w:r>
      <w:r w:rsidRPr="00EE434E">
        <w:rPr>
          <w:rFonts w:ascii="Calibri" w:eastAsia="Times New Roman" w:hAnsi="Calibri" w:cs="Calibri"/>
          <w:color w:val="000000"/>
          <w:kern w:val="0"/>
          <w:sz w:val="22"/>
          <w:szCs w:val="22"/>
          <w14:ligatures w14:val="none"/>
        </w:rPr>
        <w:t> were generated and exposed to pyrethroids, carbamates, organophosphates, and neonicotinoids to assess resistance. RNAi knockdown in mosquitoes was also used to evaluate the impact of silencing single or dual genes after exposure to permethrin, deltamethrin, and alphacypermethrin. </w:t>
      </w:r>
      <w:r w:rsidRPr="00EE434E">
        <w:rPr>
          <w:rFonts w:ascii="Calibri" w:eastAsia="Times New Roman" w:hAnsi="Calibri" w:cs="Calibri"/>
          <w:b/>
          <w:bCs/>
          <w:color w:val="000000"/>
          <w:kern w:val="0"/>
          <w:sz w:val="22"/>
          <w:szCs w:val="22"/>
          <w14:ligatures w14:val="none"/>
        </w:rPr>
        <w:t>Results:</w:t>
      </w:r>
      <w:r w:rsidRPr="00EE434E">
        <w:rPr>
          <w:rFonts w:ascii="Calibri" w:eastAsia="Times New Roman" w:hAnsi="Calibri" w:cs="Calibri"/>
          <w:color w:val="000000"/>
          <w:kern w:val="0"/>
          <w:sz w:val="22"/>
          <w:szCs w:val="22"/>
          <w14:ligatures w14:val="none"/>
        </w:rPr>
        <w:t> Polymorphism analysis revealed that there is no amino acid change link to resistance phenotype meaning that overexpression of </w:t>
      </w:r>
      <w:r w:rsidRPr="00EE434E">
        <w:rPr>
          <w:rFonts w:ascii="Calibri" w:eastAsia="Times New Roman" w:hAnsi="Calibri" w:cs="Calibri"/>
          <w:i/>
          <w:iCs/>
          <w:color w:val="000000"/>
          <w:kern w:val="0"/>
          <w:sz w:val="22"/>
          <w:szCs w:val="22"/>
          <w14:ligatures w14:val="none"/>
        </w:rPr>
        <w:t>CYP6Z1</w:t>
      </w:r>
      <w:r w:rsidRPr="00EE434E">
        <w:rPr>
          <w:rFonts w:ascii="Calibri" w:eastAsia="Times New Roman" w:hAnsi="Calibri" w:cs="Calibri"/>
          <w:color w:val="000000"/>
          <w:kern w:val="0"/>
          <w:sz w:val="22"/>
          <w:szCs w:val="22"/>
          <w14:ligatures w14:val="none"/>
        </w:rPr>
        <w:t> genes is a key resistance factor. Transgenic expression in Drosophila conferred cross-resistance to multiple insecticide classes, with reduced mortality (&lt;50%) after exposure to pyrethroids and carbamates, and ~70% for DDT and neonicotinoids, compared to 100% in controls. RNAi knockdown of </w:t>
      </w:r>
      <w:r w:rsidRPr="00EE434E">
        <w:rPr>
          <w:rFonts w:ascii="Calibri" w:eastAsia="Times New Roman" w:hAnsi="Calibri" w:cs="Calibri"/>
          <w:i/>
          <w:iCs/>
          <w:color w:val="000000"/>
          <w:kern w:val="0"/>
          <w:sz w:val="22"/>
          <w:szCs w:val="22"/>
          <w14:ligatures w14:val="none"/>
        </w:rPr>
        <w:t>CYP6Z1-4</w:t>
      </w:r>
      <w:r w:rsidRPr="00EE434E">
        <w:rPr>
          <w:rFonts w:ascii="Calibri" w:eastAsia="Times New Roman" w:hAnsi="Calibri" w:cs="Calibri"/>
          <w:color w:val="000000"/>
          <w:kern w:val="0"/>
          <w:sz w:val="22"/>
          <w:szCs w:val="22"/>
          <w14:ligatures w14:val="none"/>
        </w:rPr>
        <w:t> significantly restored susceptibility. Moreover, mosquitoes with a dual gene knockdown of ds6Z2+Z1, ds6Z2+Z3 and ds6Z2+Z4 were more susceptible than those where a single gene was silenced showing that combined expression of CYP6Z gene family increase resistance observed on the field. </w:t>
      </w:r>
      <w:r w:rsidRPr="00EE434E">
        <w:rPr>
          <w:rFonts w:ascii="Calibri" w:eastAsia="Times New Roman" w:hAnsi="Calibri" w:cs="Calibri"/>
          <w:b/>
          <w:bCs/>
          <w:color w:val="000000"/>
          <w:kern w:val="0"/>
          <w:sz w:val="22"/>
          <w:szCs w:val="22"/>
          <w14:ligatures w14:val="none"/>
        </w:rPr>
        <w:t>Conclusion: </w:t>
      </w:r>
      <w:r w:rsidRPr="00EE434E">
        <w:rPr>
          <w:rFonts w:ascii="Calibri" w:eastAsia="Times New Roman" w:hAnsi="Calibri" w:cs="Calibri"/>
          <w:color w:val="000000"/>
          <w:kern w:val="0"/>
          <w:sz w:val="22"/>
          <w:szCs w:val="22"/>
          <w14:ligatures w14:val="none"/>
        </w:rPr>
        <w:t>This study supports the role of cytochrome 6Z genes in conferring resistance to main insecticide classes, which could impact the efficacy of LLINs in areas where these genes are over-expressed. This result can help the decision-maker to implement more effective malaria vector control strategies, particularly in central Africa.</w:t>
      </w:r>
    </w:p>
    <w:p w14:paraId="50CB98B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25-A-3149-ASTMH</w:t>
      </w:r>
    </w:p>
    <w:p w14:paraId="2DAFB2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Security/Emerging Infection Preparedness, Surveillance and Response(s)</w:t>
      </w:r>
    </w:p>
    <w:p w14:paraId="48656D4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Incidence of Influenza in Agricultural Workers: The Agricultural Worker COVID-19 Asymptomatic and Symptomatic Transmission in the Home and Workplace (AGRI-CASA) Study, 2023-2024</w:t>
      </w:r>
    </w:p>
    <w:p w14:paraId="761E615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Influenza virus infections can lead to substantial productivity losses among agricultural workers essential to food security throughout the Americas including the United States and may impact household health and economic wellbeing through transmission to family members. From January 2023 - August 2024, we estimated the burden of influenza infection among a cohort of 170 households in a rural, agricultural community in southwest Guatemala. Households underwent active twice weekly surveillance for influenza-like illness (ILI), defined as ≥ 1 day of fever AND either cough or sore throat. Upon respiratory symptom onset, a respiratory swab was collected and tested for influenza using RT-PCR using the Roche cobas Liat instrument. Influenza vaccination status was collected upon vaccine administration for agricultural workers or via self-report for household members. Among 247 ILI cases, 112 occurred in 2023 and 135 in 2024; 95 (38%) tested positive for flu, including 80 (84%) with flu A and 15 (16%) with flu B viruses. Flu incidence in 2023 was 3.0 per 1000 persons-weeks [PW] (95% confidence interval [CI]: 2.2-4.0; flu A 2.6 [95% CI: 1.8-3.5]; flu B 0.5 [95% CI: 0.2-0.9]) and in 2024 3.3 per 1000 PW. (95% CI: 2.4-4.4; flu A 2.8 [95% CI 2.0-3.7], flu B 0.5 [95% CI 0.2-1.1]). Flu incidence did not differ significantly by sex or age. Only 3 (3%) flu cases received flu vaccine in the year prior to illness onset; 92 (97%) did not. The </w:t>
      </w:r>
      <w:r w:rsidRPr="00EE434E">
        <w:rPr>
          <w:rFonts w:ascii="Calibri" w:eastAsia="Times New Roman" w:hAnsi="Calibri" w:cs="Calibri"/>
          <w:color w:val="000000"/>
          <w:kern w:val="0"/>
          <w:sz w:val="22"/>
          <w:szCs w:val="22"/>
          <w14:ligatures w14:val="none"/>
        </w:rPr>
        <w:lastRenderedPageBreak/>
        <w:t>flu season in Guatemala peaks in early summer; most flu cases occurred between April and July (2023: 89%, 2024: 96%) and most cases (n = 92) were unvaccinated. In an agricultural community with low vaccination coverage, we observed a substantial annual burden of influenza, largely driven by flu A viruses, which peaked during the early summer months. Economic stakeholders may consider influenza vaccination programs to ensure worker health, productivity, and sustainability of food supply throughout the Americas.</w:t>
      </w:r>
    </w:p>
    <w:p w14:paraId="0688F59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25-A-3150-ASTMH</w:t>
      </w:r>
    </w:p>
    <w:p w14:paraId="4F42512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Enteric Infections</w:t>
      </w:r>
    </w:p>
    <w:p w14:paraId="3E2F76C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Multi-model comparison of the impact and cost-effectiveness of typhoid conjugate vaccine schedules</w:t>
      </w:r>
    </w:p>
    <w:p w14:paraId="3DED23B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2018, the WHO recommended typhoid conjugate vaccines (TCVs) for routine immunization in endemic regions. Emerging evidence suggests that vaccine efficacy may wane substantially after five years in some settings. To inform deliberations of the WHO Strategic Advisory Group of Experts typhoid working group, the predicted impact and cost-effectiveness of updated TCV schedules and booster dose strategies were evaluated in a multi-model comparison following best-practice guidelines. To identify optimal vaccination strategies across different endemic settings and vaccine waning assumptions, we compared two agent-based and two compartmental dynamic models of typhoid transmission. All models were fitted to age-specific case distributions across three incidence archetypes: medium, high, and very high. We assessed TCV strategies under slow- and fast-waning scenarios to evaluate the best age for routine vaccination and the potential need for booster doses and catch-up campaigns. Cost-effectiveness analyses were conducted for the African and Asian/Western Pacific regions over different time horizons. Key drivers of uncertainty were identified. Preliminary results suggest that routine vaccination at 9 months with a catch-up campaign and booster doses at ages 5 and 10 yields the greatest impact and is preferred at higher willingness-to-pay thresholds in the fast-waning scenario and over a long time horizon. In contrast, booster doses are predicted to be less cost-effective under slow-waning assumptions and shorter time horizons, where routine early vaccination with a catch-up campaign provides a similar impact at a lower cost. All models consistently find that vaccination is cost-saving in very high incidence settings, while cost-effectiveness thresholds vary at medium and high incidence. Regional differences in optimal strategies are modest and likely driven by antimicrobial resistance burden. Our findings can inform policy recommendations specific to the unique epidemiological context. Results are being finalized and will be shared with the WHO SAGE typhoid working group in anticipation of the October 2025 SAGE meeting.</w:t>
      </w:r>
    </w:p>
    <w:p w14:paraId="4D80C2E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25-A-3151-ASTMH</w:t>
      </w:r>
    </w:p>
    <w:p w14:paraId="5FC20F6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Evolution and Genomic Epidemiology</w:t>
      </w:r>
    </w:p>
    <w:p w14:paraId="32D6BDF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Phylogenetic Characterization of the 2023-2024 Western Equine Encephalitis Virus Outbreak in Southern South America</w:t>
      </w:r>
    </w:p>
    <w:p w14:paraId="734164E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Western equine encephalitis virus (WEEV) is a mosquito-borne arbovirus (genus Alphavirus, family Togaviridae) historically restricted to the Americas. Its activity has not been reported in North America since 1998. Surprisingly, it re-emerged during a large outbreak in horses and humans across 17 provinces in late 2023 in Argentina, with additional cases in southern Brazil and Uruguay. This study aimed to investigate the phylogenetic relationships among WEEV strains isolated from horses during the epizootic. To this end, a partial fragment of the NSP4 region (450 bp) was amplified and sequenced from encephalon samples of ten symptomatic horses. A dataset of 81 WEEV sequences from across the Americas available in GenBank up to October 2024—including three from past Argentine outbreaks—was analyzed using maximum likelihood. The best-fit nucleotide substitution model (TIM2e+I) was selected using the Bayesian Information Criterion. Phylogenetic analysis was conducted in IQ-Tree2 with support assessed via 10,000 ultrafast bootstrap and 1,000 SH-aLRT replicates. Phylogenetic analysis revealed that sequences from the recent outbreak clustered together and formed a clade encompassing all strains circulating during the 2023-2024 regional outbreak, including those from Uruguay and Brazil. </w:t>
      </w:r>
      <w:r w:rsidRPr="00EE434E">
        <w:rPr>
          <w:rFonts w:ascii="Calibri" w:eastAsia="Times New Roman" w:hAnsi="Calibri" w:cs="Calibri"/>
          <w:color w:val="000000"/>
          <w:kern w:val="0"/>
          <w:sz w:val="22"/>
          <w:szCs w:val="22"/>
          <w14:ligatures w14:val="none"/>
        </w:rPr>
        <w:lastRenderedPageBreak/>
        <w:t>The closest sequence to this clade was CBA87, isolated during a local outbreak in 1958 in Oncativo (center area of Argentina). These findings suggest a single common origin for the 2023-2024 outbreak in southern South America, likely linked to the epizootic CBA87 strain. The observed phylogenetic pattern indicates greater similarity to northern hemisphere strains than to the earliest Argentine isolate from 1933 (Ar-Enc-MV) or to the only strain isolated during an enzootic period (AG-80-646). This provides evidence that local strains with epidemic potential may have been silently circulating in nature, while the possibility of viral movements between regions of the continent cannot be excluded.</w:t>
      </w:r>
    </w:p>
    <w:p w14:paraId="2EC894B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25-A-3152-ASTMH</w:t>
      </w:r>
    </w:p>
    <w:p w14:paraId="5FFCE23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Water, Sanitation, Hygiene and Environmental Health</w:t>
      </w:r>
    </w:p>
    <w:p w14:paraId="037EBC9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High Blood Lead Levels in Children Living Near Abandoned Lead-Acid Battery Recycling Sites in Bangladesh</w:t>
      </w:r>
    </w:p>
    <w:p w14:paraId="3014815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Lead is a potent neurotoxin; there are many environmental toxins, and lead is particularly bad. Lead affects the heart and directly affects blood pressure. Lead affects the brain; it affects the mother's brain, but it also affects the brain of developing children, which is a particular concern. Lead exposure affects roughly 800 million children globally, and recycling of used lead-acid batteries (ULAB) is a major source, primarily in low and middle-income countries such as Bangladesh. This study aimed to assess environmental lead contamination and children’s blood lead levels (BLLs) at 0-12 years of age. We analyzed baseline data from a quasi-experimental study on lead pollution and BLLs in children living within a 700-meter radius of abandoned ULAB sites in Tangail district, Bangladesh. Two sites exposed to ULAB and one non-exposed site were situated at least 5km away, and 200 participants were randomly selected from these sites. A trained field team collected blood and environmental samples and analyzed lead using graphite furnace atomic absorption spectroscopy and handheld X-ray fluorescence. Children residing in ULAB-exposed sites had a median BLL of 88 µg/L (IQR=62.8- 166.8 µg/L), with 99% exceeding the 35 µg/L reference set by the US CDC. Conversely, in non-exposed ULAB sites, the median was 46.6 µg/L (IQR=35.7- 53.7 µg/L) with 78% exceeding this reference value. Environmental samples from ULAB-exposed sites consistently exhibited higher lead levels compared to non-exposed sites. The highest concentrations of lead were detected in the child play area (4249 ppm), followed by courtyard soil (1088 ppm), roadside soil (773 ppm), and sleeping dwelling floor dust (389 ppm). Individuals residing in proximity to ULAB sites face an increased risk of lead poisoning. Therefore, soil remediation in ULAB sites could reduce the risk of Lead exposure to residents, particularly vulnerable groups like women and children.</w:t>
      </w:r>
    </w:p>
    <w:p w14:paraId="1DB35DD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25-A-3155-ASTMH</w:t>
      </w:r>
    </w:p>
    <w:p w14:paraId="0524F76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Helminths – Nematodes – Intestinal Nematodes</w:t>
      </w:r>
    </w:p>
    <w:p w14:paraId="7632DCA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Efficacy of Anthelmintics and Genetic Resistance Markers of Benzimidazoles in Human and Canine Hookworms in Bono East Region, Ghana</w:t>
      </w:r>
    </w:p>
    <w:p w14:paraId="184847D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Hookworm infections, caused by </w:t>
      </w:r>
      <w:r w:rsidRPr="00EE434E">
        <w:rPr>
          <w:rFonts w:ascii="Calibri" w:eastAsia="Times New Roman" w:hAnsi="Calibri" w:cs="Calibri"/>
          <w:i/>
          <w:iCs/>
          <w:color w:val="000000"/>
          <w:kern w:val="0"/>
          <w:sz w:val="22"/>
          <w:szCs w:val="22"/>
          <w14:ligatures w14:val="none"/>
        </w:rPr>
        <w:t>Necator americanus</w:t>
      </w:r>
      <w:r w:rsidRPr="00EE434E">
        <w:rPr>
          <w:rFonts w:ascii="Calibri" w:eastAsia="Times New Roman" w:hAnsi="Calibri" w:cs="Calibri"/>
          <w:color w:val="000000"/>
          <w:kern w:val="0"/>
          <w:sz w:val="22"/>
          <w:szCs w:val="22"/>
          <w14:ligatures w14:val="none"/>
        </w:rPr>
        <w:t> in humans and </w:t>
      </w:r>
      <w:r w:rsidRPr="00EE434E">
        <w:rPr>
          <w:rFonts w:ascii="Calibri" w:eastAsia="Times New Roman" w:hAnsi="Calibri" w:cs="Calibri"/>
          <w:i/>
          <w:iCs/>
          <w:color w:val="000000"/>
          <w:kern w:val="0"/>
          <w:sz w:val="22"/>
          <w:szCs w:val="22"/>
          <w14:ligatures w14:val="none"/>
        </w:rPr>
        <w:t>Ancylostoma caninum</w:t>
      </w:r>
      <w:r w:rsidRPr="00EE434E">
        <w:rPr>
          <w:rFonts w:ascii="Calibri" w:eastAsia="Times New Roman" w:hAnsi="Calibri" w:cs="Calibri"/>
          <w:color w:val="000000"/>
          <w:kern w:val="0"/>
          <w:sz w:val="22"/>
          <w:szCs w:val="22"/>
          <w14:ligatures w14:val="none"/>
        </w:rPr>
        <w:t> in dogs, remain prevalent in Ghana. This study assessed the efficacy of commonly used anthelmintics and investigated genetic markers of benzimidazole resistance in human and canine hookworm populations in the Bono East Region of Ghana. Stool samples were collected from 254 humans and 491 dogs. Parasitological analysis was performed using McMaster flotation techniques. Polymerase chain reaction (PCR) was employed to identify hookworm species. In humans, benzimidazole efficacy was evaluated by measuring fecal egg count reduction (FECR). In dogs, the efficacy of benzimidazole, pyrantel, and niclosamide was assessed comparatively. In vitro egg hatch assays were used to determine the half-maximal inhibitory concentration (IC</w:t>
      </w:r>
      <w:r w:rsidRPr="00EE434E">
        <w:rPr>
          <w:rFonts w:ascii="Calibri" w:eastAsia="Times New Roman" w:hAnsi="Calibri" w:cs="Calibri"/>
          <w:color w:val="000000"/>
          <w:kern w:val="0"/>
          <w:sz w:val="22"/>
          <w:szCs w:val="22"/>
          <w:vertAlign w:val="superscript"/>
          <w14:ligatures w14:val="none"/>
        </w:rPr>
        <w:t>50</w:t>
      </w:r>
      <w:r w:rsidRPr="00EE434E">
        <w:rPr>
          <w:rFonts w:ascii="Calibri" w:eastAsia="Times New Roman" w:hAnsi="Calibri" w:cs="Calibri"/>
          <w:color w:val="000000"/>
          <w:kern w:val="0"/>
          <w:sz w:val="22"/>
          <w:szCs w:val="22"/>
          <w14:ligatures w14:val="none"/>
        </w:rPr>
        <w:t xml:space="preserve">) for each drug. Genetic resistance markers were examined by PCR amplification and sequencing of beta-tubulin codons 167, 198, and 200. Among humans, the prevalence of hookworm infection was 30.7% (78/254), with 12.8% of these infections harboring the F167Y mutation associated with benzimidazole resistance. In dogs, the overall prevalence was 54.2% (266/491), with the highest rates observed in puppies (69.8%) and rural dogs (84.2%). Benzimidazoles </w:t>
      </w:r>
      <w:r w:rsidRPr="00EE434E">
        <w:rPr>
          <w:rFonts w:ascii="Calibri" w:eastAsia="Times New Roman" w:hAnsi="Calibri" w:cs="Calibri"/>
          <w:color w:val="000000"/>
          <w:kern w:val="0"/>
          <w:sz w:val="22"/>
          <w:szCs w:val="22"/>
          <w14:ligatures w14:val="none"/>
        </w:rPr>
        <w:lastRenderedPageBreak/>
        <w:t>exhibited poor efficacy (-69% FECR) and niclosamide demonstrated the highest efficacy (95% FECR). In vitro results supported these findings, with benzimidazoles exhibiting an IC</w:t>
      </w:r>
      <w:r w:rsidRPr="00EE434E">
        <w:rPr>
          <w:rFonts w:ascii="Calibri" w:eastAsia="Times New Roman" w:hAnsi="Calibri" w:cs="Calibri"/>
          <w:color w:val="000000"/>
          <w:kern w:val="0"/>
          <w:sz w:val="22"/>
          <w:szCs w:val="22"/>
          <w:vertAlign w:val="superscript"/>
          <w14:ligatures w14:val="none"/>
        </w:rPr>
        <w:t>50 </w:t>
      </w:r>
      <w:r w:rsidRPr="00EE434E">
        <w:rPr>
          <w:rFonts w:ascii="Calibri" w:eastAsia="Times New Roman" w:hAnsi="Calibri" w:cs="Calibri"/>
          <w:color w:val="000000"/>
          <w:kern w:val="0"/>
          <w:sz w:val="22"/>
          <w:szCs w:val="22"/>
          <w14:ligatures w14:val="none"/>
        </w:rPr>
        <w:t>&gt;100 µg/mL, compared to 29.19 µg/mL for niclosamide. The F167Y mutation was also detected in 15.5% canine hookworms. Clinically, infected dogs shown anemia, hypoalbuminemia, and eosinophilia, which improved significantly following niclosamide treatment. Niclosamide showed superior efficacy and may serve as a viable alternative treatment. This evidence calls for immediate action to overhaul current treatment protocols, incorporate resistance monitoring strategies, and adopt a One Health approach to controlling hookworm infections in both human and animal populations.</w:t>
      </w:r>
    </w:p>
    <w:p w14:paraId="27F8D41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25-A-3156-ASTMH</w:t>
      </w:r>
    </w:p>
    <w:p w14:paraId="0FEDD0D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Other Bacterial Infections</w:t>
      </w:r>
    </w:p>
    <w:p w14:paraId="3171E1C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Diagnostic and treatment practices for bacterial meningitis among healthcare providers in Ghana</w:t>
      </w:r>
    </w:p>
    <w:p w14:paraId="78EFA46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Bacterial meningitis (BM) is a life-threatening condition that requires prompt diagnosis and treatment. People with symptoms of BM may receive a lumbar puncture to obtain a cerebrospinal fluid (CSF) sample, which is often sent for Gram staining, culture, PCR, complete cell count (CBC), and glucose and protein levels. The CSF white cell counts are particularly important for ruling out disease and avoiding unnecessary antibiotics. Owing to the high morbidity and mortality associated with BM, timely administration of antibiotics is essential. We assessed health care providers’ diagnostic and treatment practices for suspected bacterial meningitis cases. Providers with experience in handling BM cases were randomly sampled from 53 health facilities from three ecological zones in Ghana, stratified by remoteness and population density. Interviews using hypothetical scenarios were used to assess providers’ diagnostic and treatment practices. A descriptive analysis characterized heath care providers’ treatment practices for patients with presumptive bacterial meningitis.For patient management, 93% of providers indicated that lumbar puncture would be ordered for new patients presenting with clinical symptoms of possible meningitis. Nearly one-third (30%) of surveyed providers used CSF cell counts as a diagnostic test for patients with possible bacterial meningitis. In hypothetical case studies, providers in the northern ecological zone were more likely to perform lumbar puncture. Providers estimate that CSF cell counts, when available, reduce antibiotic usage 30% of the time, with a dependence on turn-around time. Providers estimated 7 days (IQR 7-10) as the duration for which intravenous antibiotics would be prescribed for BM, along with subsequent oral medication.</w:t>
      </w:r>
      <w:r w:rsidRPr="00EE434E">
        <w:rPr>
          <w:rFonts w:ascii="Calibri" w:eastAsia="Times New Roman" w:hAnsi="Calibri" w:cs="Calibri"/>
          <w:color w:val="000000"/>
          <w:kern w:val="0"/>
          <w:sz w:val="22"/>
          <w:szCs w:val="22"/>
          <w14:ligatures w14:val="none"/>
        </w:rPr>
        <w:br/>
        <w:t>Lumbar puncture was ordered to receive CSF cell counts which was used to diagnose new cases presenting with clinical symptoms of possible meningitis. Intravenous antibiotics were also prescribed for BM patients along with the oral antibiotics for a week. Timely diagnosis, aided by lumbar puncture, can guide antibiotic management.</w:t>
      </w:r>
    </w:p>
    <w:p w14:paraId="1C82C8B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25-A-3157-ASTMH</w:t>
      </w:r>
    </w:p>
    <w:p w14:paraId="605B622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Epidemiology and Vector Control</w:t>
      </w:r>
    </w:p>
    <w:p w14:paraId="2CD1898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Higher abundance of </w:t>
      </w:r>
      <w:r w:rsidRPr="00EE434E">
        <w:rPr>
          <w:rFonts w:ascii="Calibri" w:eastAsia="Times New Roman" w:hAnsi="Calibri" w:cs="Calibri"/>
          <w:b/>
          <w:bCs/>
          <w:i/>
          <w:iCs/>
          <w:color w:val="000000"/>
          <w:kern w:val="0"/>
          <w:sz w:val="22"/>
          <w:szCs w:val="22"/>
          <w14:ligatures w14:val="none"/>
        </w:rPr>
        <w:t>Aedes aegypti</w:t>
      </w:r>
      <w:r w:rsidRPr="00EE434E">
        <w:rPr>
          <w:rFonts w:ascii="Calibri" w:eastAsia="Times New Roman" w:hAnsi="Calibri" w:cs="Calibri"/>
          <w:b/>
          <w:bCs/>
          <w:color w:val="000000"/>
          <w:kern w:val="0"/>
          <w:sz w:val="22"/>
          <w:szCs w:val="22"/>
          <w14:ligatures w14:val="none"/>
        </w:rPr>
        <w:t> mosquitoes in rural areas compared to urban areas in Managua, Nicaragua</w:t>
      </w:r>
    </w:p>
    <w:p w14:paraId="7D95B03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Aedes aegypti</w:t>
      </w:r>
      <w:r w:rsidRPr="00EE434E">
        <w:rPr>
          <w:rFonts w:ascii="Calibri" w:eastAsia="Times New Roman" w:hAnsi="Calibri" w:cs="Calibri"/>
          <w:color w:val="000000"/>
          <w:kern w:val="0"/>
          <w:sz w:val="22"/>
          <w:szCs w:val="22"/>
          <w14:ligatures w14:val="none"/>
        </w:rPr>
        <w:t> is the primary vector of dengue, chikungunya, and Zika viruses, traditionally associated with urban environments. However, its presence and abundance in rural settings remain understudied. This study compares </w:t>
      </w:r>
      <w:r w:rsidRPr="00EE434E">
        <w:rPr>
          <w:rFonts w:ascii="Calibri" w:eastAsia="Times New Roman" w:hAnsi="Calibri" w:cs="Calibri"/>
          <w:i/>
          <w:iCs/>
          <w:color w:val="000000"/>
          <w:kern w:val="0"/>
          <w:sz w:val="22"/>
          <w:szCs w:val="22"/>
          <w14:ligatures w14:val="none"/>
        </w:rPr>
        <w:t>Ae. aegypti</w:t>
      </w:r>
      <w:r w:rsidRPr="00EE434E">
        <w:rPr>
          <w:rFonts w:ascii="Calibri" w:eastAsia="Times New Roman" w:hAnsi="Calibri" w:cs="Calibri"/>
          <w:color w:val="000000"/>
          <w:kern w:val="0"/>
          <w:sz w:val="22"/>
          <w:szCs w:val="22"/>
          <w14:ligatures w14:val="none"/>
        </w:rPr>
        <w:t> populations between rural and urban communities in Managua, Nicaragua, across different seasons over multiple years. Entomological surveys were conducted in 500 randomly selected households (250 rural, 250 urban) during the dry and rainy seasons of 2022 and 2023. Immature mosquitoes were collected from water-holding containers, and adult mosquitoes were sampled using aspirators. Entomological indices, including </w:t>
      </w:r>
      <w:r w:rsidRPr="00EE434E">
        <w:rPr>
          <w:rFonts w:ascii="Calibri" w:eastAsia="Times New Roman" w:hAnsi="Calibri" w:cs="Calibri"/>
          <w:i/>
          <w:iCs/>
          <w:color w:val="000000"/>
          <w:kern w:val="0"/>
          <w:sz w:val="22"/>
          <w:szCs w:val="22"/>
          <w14:ligatures w14:val="none"/>
        </w:rPr>
        <w:t>Stegomyia</w:t>
      </w:r>
      <w:r w:rsidRPr="00EE434E">
        <w:rPr>
          <w:rFonts w:ascii="Calibri" w:eastAsia="Times New Roman" w:hAnsi="Calibri" w:cs="Calibri"/>
          <w:color w:val="000000"/>
          <w:kern w:val="0"/>
          <w:sz w:val="22"/>
          <w:szCs w:val="22"/>
          <w14:ligatures w14:val="none"/>
        </w:rPr>
        <w:t>, pupal, and adult indices, were compared across seasons and localities. All entomological indices were significantly higher in rural communities than in urban areas across both years and seasons. Rural households had greater mosquito densities, with pupal productivity concentrated in large water storage containers. Adult mosquito collections confirmed a greater </w:t>
      </w:r>
      <w:r w:rsidRPr="00EE434E">
        <w:rPr>
          <w:rFonts w:ascii="Calibri" w:eastAsia="Times New Roman" w:hAnsi="Calibri" w:cs="Calibri"/>
          <w:i/>
          <w:iCs/>
          <w:color w:val="000000"/>
          <w:kern w:val="0"/>
          <w:sz w:val="22"/>
          <w:szCs w:val="22"/>
          <w14:ligatures w14:val="none"/>
        </w:rPr>
        <w:t>Ae. aegypti</w:t>
      </w:r>
      <w:r w:rsidRPr="00EE434E">
        <w:rPr>
          <w:rFonts w:ascii="Calibri" w:eastAsia="Times New Roman" w:hAnsi="Calibri" w:cs="Calibri"/>
          <w:color w:val="000000"/>
          <w:kern w:val="0"/>
          <w:sz w:val="22"/>
          <w:szCs w:val="22"/>
          <w14:ligatures w14:val="none"/>
        </w:rPr>
        <w:t xml:space="preserve"> presence in rural areas, suggesting sustained transmission </w:t>
      </w:r>
      <w:r w:rsidRPr="00EE434E">
        <w:rPr>
          <w:rFonts w:ascii="Calibri" w:eastAsia="Times New Roman" w:hAnsi="Calibri" w:cs="Calibri"/>
          <w:color w:val="000000"/>
          <w:kern w:val="0"/>
          <w:sz w:val="22"/>
          <w:szCs w:val="22"/>
          <w14:ligatures w14:val="none"/>
        </w:rPr>
        <w:lastRenderedPageBreak/>
        <w:t>risk. For example, a higher density of female </w:t>
      </w:r>
      <w:r w:rsidRPr="00EE434E">
        <w:rPr>
          <w:rFonts w:ascii="Calibri" w:eastAsia="Times New Roman" w:hAnsi="Calibri" w:cs="Calibri"/>
          <w:i/>
          <w:iCs/>
          <w:color w:val="000000"/>
          <w:kern w:val="0"/>
          <w:sz w:val="22"/>
          <w:szCs w:val="22"/>
          <w14:ligatures w14:val="none"/>
        </w:rPr>
        <w:t>Ae. aegypti</w:t>
      </w:r>
      <w:r w:rsidRPr="00EE434E">
        <w:rPr>
          <w:rFonts w:ascii="Calibri" w:eastAsia="Times New Roman" w:hAnsi="Calibri" w:cs="Calibri"/>
          <w:color w:val="000000"/>
          <w:kern w:val="0"/>
          <w:sz w:val="22"/>
          <w:szCs w:val="22"/>
          <w14:ligatures w14:val="none"/>
        </w:rPr>
        <w:t> per person was detected in rural communities compared to urban communities during the dry seasons of 2022 (2.1, 95%CI = 1.20-3.86, p = 0.009) and 2023 (2.2; 95%CI = 1.53-3.15, p &lt; 0.0001) and the rainy seasons of 2022 (2.8; 95%CI = 2.04-3.08, p&lt;0.0001) and 2023 (1.4; 95%CI = 1.11-1.70, p=0.004), respectively. We observed pupal thresholds in water-holding containers for female adult collections. Contrary to the conventional view of </w:t>
      </w:r>
      <w:r w:rsidRPr="00EE434E">
        <w:rPr>
          <w:rFonts w:ascii="Calibri" w:eastAsia="Times New Roman" w:hAnsi="Calibri" w:cs="Calibri"/>
          <w:i/>
          <w:iCs/>
          <w:color w:val="000000"/>
          <w:kern w:val="0"/>
          <w:sz w:val="22"/>
          <w:szCs w:val="22"/>
          <w14:ligatures w14:val="none"/>
        </w:rPr>
        <w:t>Ae. aegypti</w:t>
      </w:r>
      <w:r w:rsidRPr="00EE434E">
        <w:rPr>
          <w:rFonts w:ascii="Calibri" w:eastAsia="Times New Roman" w:hAnsi="Calibri" w:cs="Calibri"/>
          <w:color w:val="000000"/>
          <w:kern w:val="0"/>
          <w:sz w:val="22"/>
          <w:szCs w:val="22"/>
          <w14:ligatures w14:val="none"/>
        </w:rPr>
        <w:t> as an urban mosquito, our findings highlight its substantial presence in rural settings, likely driven by water storage practices and environmental conditions. These results align with findings from other regions reporting high mosquito abundance in rural areas, challenging assumptions about urban dominance. Rural areas play a crucial role in sustaining </w:t>
      </w:r>
      <w:r w:rsidRPr="00EE434E">
        <w:rPr>
          <w:rFonts w:ascii="Calibri" w:eastAsia="Times New Roman" w:hAnsi="Calibri" w:cs="Calibri"/>
          <w:i/>
          <w:iCs/>
          <w:color w:val="000000"/>
          <w:kern w:val="0"/>
          <w:sz w:val="22"/>
          <w:szCs w:val="22"/>
          <w14:ligatures w14:val="none"/>
        </w:rPr>
        <w:t>Ae. aegypti</w:t>
      </w:r>
      <w:r w:rsidRPr="00EE434E">
        <w:rPr>
          <w:rFonts w:ascii="Calibri" w:eastAsia="Times New Roman" w:hAnsi="Calibri" w:cs="Calibri"/>
          <w:color w:val="000000"/>
          <w:kern w:val="0"/>
          <w:sz w:val="22"/>
          <w:szCs w:val="22"/>
          <w14:ligatures w14:val="none"/>
        </w:rPr>
        <w:t> populations. Vector control strategies should target both rural and urban communities, with seasonally tailored interventions to mitigate disease transmission risks.</w:t>
      </w:r>
    </w:p>
    <w:p w14:paraId="72964CA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25-A-3158-ASTMH</w:t>
      </w:r>
    </w:p>
    <w:p w14:paraId="0B087E4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Helminths – Nematodes – Filariasis (Clinical)</w:t>
      </w:r>
    </w:p>
    <w:p w14:paraId="5FE09C1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Tolerability of novel drug combination treatments for onchocerciasis (two doses, 6 months apart)</w:t>
      </w:r>
    </w:p>
    <w:p w14:paraId="46D110B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Onchocerciasis has been targeted for elimination with mass drug administration of ivermectin as key strategy. This approach has been successful to temporarily clear microfilaria (Mf) from the skin and reduce morbidity, but interruption of transmission is a challenge in many parts of Africa. A previous trial in Ghana showed that a co-administration of ivermectin (I), diethylcarbamazine (D) and albendazole (A) reduces the number of viable adults by about 40%. In a new randomized, blinded trial we compare the safety and efficacy of two standard doses of IA with IDA, moxidectin (Mox)A and MoxDA 6 months apart. Study participants from Bong County, Liberia, with at least one nodule and 1 Mf/mg skin were pre-treated with ivermectin. Six months later, they were hospitalized and treated with one of the 4 study regimens. So far 209 of the 300 participants have been treated a second time. At enrollment participants received a thorough clinical exam including extensive ophthalmology before treatment and at day 7 and adverse events (AEs) were recorded daily. AEs were graded from mild (grade 1) to severe (grade 3). A total of 144 AEs were recorded in 121(40.3%) participants. Only mild (77) or moderate (3, grade 2) AEs were observed. Most frequent was itching skin (36%), followed by local swelling (5%), elevated liver enzymes, skin rash and headache (4% each). All AEs resolved quickly, and no ocular AEs were observed. After the 6-month treatment only 25 mild AEs were recorded in 25 (12%) individuals. Again itching (5%) was the most frequent AE. There were no significant differences in the frequency or severity of AEs by study arm after either round of treatment. From this ongoing study it can be concluded that after pre-treatment with ivermectin two doses of IDA, MoxA or MoxDA are as safe as IA, the standard treatment for onchocerciasis in areas co-endemic for lymphatic filariasis. The macrofilaricidal effects of these treatments will be assessed 18 months after the second experimental treatment.</w:t>
      </w:r>
    </w:p>
    <w:p w14:paraId="5D7A5D8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25-A-3159-ASTMH</w:t>
      </w:r>
    </w:p>
    <w:p w14:paraId="3A63986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Biology, Physiology and Immunity</w:t>
      </w:r>
    </w:p>
    <w:p w14:paraId="19D996E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Identification and Characterization of Gene Targets Linked to H3K27me3 in the Fat Body of Diapausing </w:t>
      </w:r>
      <w:r w:rsidRPr="00EE434E">
        <w:rPr>
          <w:rFonts w:ascii="Calibri" w:eastAsia="Times New Roman" w:hAnsi="Calibri" w:cs="Calibri"/>
          <w:b/>
          <w:bCs/>
          <w:i/>
          <w:iCs/>
          <w:color w:val="000000"/>
          <w:kern w:val="0"/>
          <w:sz w:val="22"/>
          <w:szCs w:val="22"/>
          <w14:ligatures w14:val="none"/>
        </w:rPr>
        <w:t>Culex pipiens</w:t>
      </w:r>
    </w:p>
    <w:p w14:paraId="4B7E272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Culex pipiens</w:t>
      </w:r>
      <w:r w:rsidRPr="00EE434E">
        <w:rPr>
          <w:rFonts w:ascii="Calibri" w:eastAsia="Times New Roman" w:hAnsi="Calibri" w:cs="Calibri"/>
          <w:color w:val="000000"/>
          <w:kern w:val="0"/>
          <w:sz w:val="22"/>
          <w:szCs w:val="22"/>
          <w14:ligatures w14:val="none"/>
        </w:rPr>
        <w:t>, a principal vector of significant arboviruses, survives winter through diapause, a hormonally controlled inactive phase that enhances endurance under severe cold circumstances. Recent data suggests that epigenetic processes, namely histone post-translational modifications (hPTMs), play a crucial role in regulating seasonal dormancy. Prior studies from our laboratory indicated a decrease in H3K27me3 levels in diapausing fat body tissue, associated with elevated expression of the histone demethylase UTX. Nonetheless, the precise genomic areas impacted by these chromatin alterations remained unidentified. We used chromatin immunoprecipitation coupled with high-throughput sequencing (ChIP-seq) to delineate H3K27me3 distribution in the fat bodies of diapausing (D) and non-diapausing (ND) female </w:t>
      </w:r>
      <w:r w:rsidRPr="00EE434E">
        <w:rPr>
          <w:rFonts w:ascii="Calibri" w:eastAsia="Times New Roman" w:hAnsi="Calibri" w:cs="Calibri"/>
          <w:i/>
          <w:iCs/>
          <w:color w:val="000000"/>
          <w:kern w:val="0"/>
          <w:sz w:val="22"/>
          <w:szCs w:val="22"/>
          <w14:ligatures w14:val="none"/>
        </w:rPr>
        <w:t>Cx. pipiens</w:t>
      </w:r>
      <w:r w:rsidRPr="00EE434E">
        <w:rPr>
          <w:rFonts w:ascii="Calibri" w:eastAsia="Times New Roman" w:hAnsi="Calibri" w:cs="Calibri"/>
          <w:color w:val="000000"/>
          <w:kern w:val="0"/>
          <w:sz w:val="22"/>
          <w:szCs w:val="22"/>
          <w14:ligatures w14:val="none"/>
        </w:rPr>
        <w:t xml:space="preserve">. Notably, we detected heightened average H3K27me3 enrichment </w:t>
      </w:r>
      <w:r w:rsidRPr="00EE434E">
        <w:rPr>
          <w:rFonts w:ascii="Calibri" w:eastAsia="Times New Roman" w:hAnsi="Calibri" w:cs="Calibri"/>
          <w:color w:val="000000"/>
          <w:kern w:val="0"/>
          <w:sz w:val="22"/>
          <w:szCs w:val="22"/>
          <w14:ligatures w14:val="none"/>
        </w:rPr>
        <w:lastRenderedPageBreak/>
        <w:t>next to transcription start sites (TSSs) in diapausing mosquitoes, suggesting possible repression of certain diapause-related genes. To investigate the functional significance of these chromatin alterations, we confirmed a number of target loci via ChIP-qPCR and assessed gene expression with qRT-PCR. We identified many critical genes that were markedly increased in diapausing mosquitoes, exhibiting an inverse relation to H3K27me3 enrichment. Our data demonstrates different H3K27me3 chromatin landscapes between diapausing and non-diapausing </w:t>
      </w:r>
      <w:r w:rsidRPr="00EE434E">
        <w:rPr>
          <w:rFonts w:ascii="Calibri" w:eastAsia="Times New Roman" w:hAnsi="Calibri" w:cs="Calibri"/>
          <w:i/>
          <w:iCs/>
          <w:color w:val="000000"/>
          <w:kern w:val="0"/>
          <w:sz w:val="22"/>
          <w:szCs w:val="22"/>
          <w14:ligatures w14:val="none"/>
        </w:rPr>
        <w:t>Cx. pipiens</w:t>
      </w:r>
      <w:r w:rsidRPr="00EE434E">
        <w:rPr>
          <w:rFonts w:ascii="Calibri" w:eastAsia="Times New Roman" w:hAnsi="Calibri" w:cs="Calibri"/>
          <w:color w:val="000000"/>
          <w:kern w:val="0"/>
          <w:sz w:val="22"/>
          <w:szCs w:val="22"/>
          <w14:ligatures w14:val="none"/>
        </w:rPr>
        <w:t>, corroborating a hypothesis of selective, locus-specific repression that regulates gene expression during dormancy. These targets may be crucial in governing overwintering physiology and seasonal variations in mosquito reproductive behavior.</w:t>
      </w:r>
    </w:p>
    <w:p w14:paraId="41B1E9B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25-A-3160-ASTMH</w:t>
      </w:r>
    </w:p>
    <w:p w14:paraId="615F57A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Genetics, Genomics and Evolution</w:t>
      </w:r>
    </w:p>
    <w:p w14:paraId="21B1D95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Using genetics to assess sub-national malaria transmission intensity and incidence in Senegal</w:t>
      </w:r>
    </w:p>
    <w:p w14:paraId="3EEC93C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Molecular malaria surveillance provides a rich data source to evaluate transmission intensity. Previously, we developed a model (a Poisson generalized linear mixed-effects model) to predict genetics-based incidence (cases/thousand/year) using several genetic metrics obtained from a 24 SNP molecular barcode. This model was calibrated to 3,142 clinical malaria isolates collected between 2012-2020 from 16 health facility posts in Senegal. Here, we used this model to predict genetics-based incidences from 1,112 samples collected from 11 Senegal health facility posts in 2024. To validate these model predictions, we compared them against historical National Malaria Control Program (NMCP, 2019-2020) and Malaria Atlas Program (MAP)-predicted incidences (2020-2022). We observed a high degree of concordance between the NMCP-reported incidences, the MAP-predicted incidences, and the genetics-based incidences for 8 of the 11 health posts. Deviations were observed at three sites. In Nianao (NIA), the 2024 genetics-based incidence was 45.79 (CI: 34.42, 53.19), which is significantly lower than the MAP estimates (~400 [CI: 150, 620]), the NMCP reported incidences (~700), and the historical 2019 genetics-based incidence for a nearby site, Ouassadau (528.49 [CI: 396.36, 778.07]). In Gabou (GAB) and Sinthiou Bamambé (SIN), the 2024 genetics-based incidences (263.72 [CI: 186.84, 336.95] and 758.67 [CI; 426.08, 1221.70]) were higher than the historical MAP (~40-50) and NMCP (~63.08) incidences for these regions. The 2024 genetics-based estimate for GAB was also higher than the 2019 genetics-based incidence (49.94 [CI: 33.15, 63.30]). These elevated estimates could reflect 1) increases in local transmission, or 2) importation from Senegal nomadic pastoral communities traveling from the high transmission Southern Kolda-Kédougou-Tambacounda region. This study shows that malaria molecular surveillance data can efficiently estimate transmission levels with relatively few resources and generate predictions similar to those reported by NMCPs and epidemiology-based models such as MAP.</w:t>
      </w:r>
    </w:p>
    <w:p w14:paraId="14ED648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25-A-3163-ASTMH</w:t>
      </w:r>
    </w:p>
    <w:p w14:paraId="72373E5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Clinical Tropical Medicine</w:t>
      </w:r>
    </w:p>
    <w:p w14:paraId="4C5FE75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Evolution of fluid management improves dengue outcome over 20 years in two studies in Nicaragua</w:t>
      </w:r>
    </w:p>
    <w:p w14:paraId="163A32E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Dengue is the most prevalent mosquito-borne viral disease worldwide, with increasing case counts and geographic dissemination. Dengue ranges from self-limited febrile disease to more severe, potentially life-threatening illness. Therapeutic interventions rely primarily on fluid resuscitation. Leveraging over 20 years of data from 2 pediatric dengue studies in Nicaragua, we evaluated the impact of 4 fluid resuscitation strategies on the risk of severe dengue in children aged 6 months to 17 years with laboratory-confirmed dengue who received fluid resuscitation. Participants were prospectively followed during hospitalization, with daily monitoring of clinical signs and symptoms and fluid intake and output. Four interventions were defined based on changes in clinical management. From 2004-2008, care followed the 1997 WHO guidelines. In 2009-2015, the updated 2009 WHO-PAHO guidelines were adopted. In 2016-2020, local modifications were introduced to the 2009 guidelines, and febrile care units (Unidades de Atención a Febriles, UAFs) were established nationwide to improve early case management. Since 2021, further local adaptations were implemented, including reduced fluid volumes and expanded UAF coverage. Since 2005, 3,654 participants were enrolled; 1,572 (43%) received </w:t>
      </w:r>
      <w:r w:rsidRPr="00EE434E">
        <w:rPr>
          <w:rFonts w:ascii="Calibri" w:eastAsia="Times New Roman" w:hAnsi="Calibri" w:cs="Calibri"/>
          <w:color w:val="000000"/>
          <w:kern w:val="0"/>
          <w:sz w:val="22"/>
          <w:szCs w:val="22"/>
          <w14:ligatures w14:val="none"/>
        </w:rPr>
        <w:lastRenderedPageBreak/>
        <w:t>intravenous (IV) fluids. Fluid administration was initiated earlier over time. Across periods, disease severity decreased: shock was observed in 53.7% of fluid-treated cases in the 1</w:t>
      </w:r>
      <w:r w:rsidRPr="00EE434E">
        <w:rPr>
          <w:rFonts w:ascii="Calibri" w:eastAsia="Times New Roman" w:hAnsi="Calibri" w:cs="Calibri"/>
          <w:color w:val="000000"/>
          <w:kern w:val="0"/>
          <w:sz w:val="22"/>
          <w:szCs w:val="22"/>
          <w:vertAlign w:val="superscript"/>
          <w14:ligatures w14:val="none"/>
        </w:rPr>
        <w:t>st</w:t>
      </w:r>
      <w:r w:rsidRPr="00EE434E">
        <w:rPr>
          <w:rFonts w:ascii="Calibri" w:eastAsia="Times New Roman" w:hAnsi="Calibri" w:cs="Calibri"/>
          <w:color w:val="000000"/>
          <w:kern w:val="0"/>
          <w:sz w:val="22"/>
          <w:szCs w:val="22"/>
          <w14:ligatures w14:val="none"/>
        </w:rPr>
        <w:t> period, 40.7% in the 2</w:t>
      </w:r>
      <w:r w:rsidRPr="00EE434E">
        <w:rPr>
          <w:rFonts w:ascii="Calibri" w:eastAsia="Times New Roman" w:hAnsi="Calibri" w:cs="Calibri"/>
          <w:color w:val="000000"/>
          <w:kern w:val="0"/>
          <w:sz w:val="22"/>
          <w:szCs w:val="22"/>
          <w:vertAlign w:val="superscript"/>
          <w14:ligatures w14:val="none"/>
        </w:rPr>
        <w:t>nd</w:t>
      </w:r>
      <w:r w:rsidRPr="00EE434E">
        <w:rPr>
          <w:rFonts w:ascii="Calibri" w:eastAsia="Times New Roman" w:hAnsi="Calibri" w:cs="Calibri"/>
          <w:color w:val="000000"/>
          <w:kern w:val="0"/>
          <w:sz w:val="22"/>
          <w:szCs w:val="22"/>
          <w14:ligatures w14:val="none"/>
        </w:rPr>
        <w:t>, 9% in the 3</w:t>
      </w:r>
      <w:r w:rsidRPr="00EE434E">
        <w:rPr>
          <w:rFonts w:ascii="Calibri" w:eastAsia="Times New Roman" w:hAnsi="Calibri" w:cs="Calibri"/>
          <w:color w:val="000000"/>
          <w:kern w:val="0"/>
          <w:sz w:val="22"/>
          <w:szCs w:val="22"/>
          <w:vertAlign w:val="superscript"/>
          <w14:ligatures w14:val="none"/>
        </w:rPr>
        <w:t>rd</w:t>
      </w:r>
      <w:r w:rsidRPr="00EE434E">
        <w:rPr>
          <w:rFonts w:ascii="Calibri" w:eastAsia="Times New Roman" w:hAnsi="Calibri" w:cs="Calibri"/>
          <w:color w:val="000000"/>
          <w:kern w:val="0"/>
          <w:sz w:val="22"/>
          <w:szCs w:val="22"/>
          <w14:ligatures w14:val="none"/>
        </w:rPr>
        <w:t>, and 1.4% in the last. Interventions aligned with the WHO 2009 guidelines significantly reduced risk of progression to severe dengue (Hazard Ratio [HR]: 0.51, 95% CI: 0.35-0.73,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 &lt; 0.001), after adjusting by infection history, infecting serotype, age and sex. The introduction of UAFs further enhanced effectiveness (HR: 0.06, 95% CI: 0.04-0.11,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 &lt; 0.001). Hence, changes in dengue fluid management, including earlier intervention and reduced fluid volumes, led to decreased risk of severe dengue with fewer management-related complications. This highlights the impact of evolving guidelines and the implementation of UAFs on patient care.</w:t>
      </w:r>
    </w:p>
    <w:p w14:paraId="51BF499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25-A-3164-ASTMH</w:t>
      </w:r>
    </w:p>
    <w:p w14:paraId="3276195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Evolution and Genomic Epidemiology</w:t>
      </w:r>
    </w:p>
    <w:p w14:paraId="77B7EEE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Co-circulating genotypes and lineage shifts shape ongoing emergence of multiple serotypes in Nicaragua 2023-2024</w:t>
      </w:r>
    </w:p>
    <w:p w14:paraId="665435B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Dengue virus (DENV) remains a major public health concern in Nicaragua, with ongoing co-circulation of all 4 serotypes. Changes in the dominance of serotypes and their sublineages can influence transmission, virulence, and disease control. This study analyzes the phylogenetic evolution and genetic diversity of DENV1-4 during the 2023-2024 epidemic in Nicaragua. We conducted genomic surveillance that documented the co-circulation of all 4 serotypes and the presence of multiple genotypes and lineages within serotypes. For DENV1, genotype IV was first reported in Nicaragua in 2024, followed by the reemergence of genotype V, which had been found in prior outbreaks. DENV2 experienced a large expansion of genetic diversity, with genotypes II (Cosmopolitan), III (Asian-American), and V (Asian II) co-circulating in 2024. Genotype II became more common than genotype III, which had dominated from 2013 to 2022. DENV3 circulation consisted of a single genotype, III, dominated by lineage III_A derived from previously circulating strains, but also included a new minor lineage, III_B. DENV4 maintained ongoing circulation of genotype II with little diversification. The detection of multiple recently introduced genotypes co-circulating alongside persistent local lineages is notable and highlights the complex viral landscape shaping transmission in Nicaragua. Together with the coexistence of distinct lineages within multiple genotypes and serotypes, hyperendemicity appears to be intensifying in Nicaragua, and raises important questions about phylogeographic dynamics that could reflect local evolution, regional introductions, or both. Persistent co-circulation of all 4 serotypes, each with 1-3 genotypes, can impact the cross-reactive immunity-based disease syndromes that define dengue. Further investigation of viral diversity is essential to gain insight into the modern drivers of DENV evolution and understand its implications for population immunity. This study contributes valuable genomic data that enhances our understanding of dengue dynamics in Nicaragua and is relevant to regions with similar epidemiological settings.</w:t>
      </w:r>
    </w:p>
    <w:p w14:paraId="479E3AD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25-A-3165-ASTMH</w:t>
      </w:r>
    </w:p>
    <w:p w14:paraId="1C44709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08A0684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The changing epidemiology of dengue in Nicaragua in the post-pandemic period</w:t>
      </w:r>
    </w:p>
    <w:p w14:paraId="0CCD960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Dengue is the most prevalent arboviral disease and a major global public health concern. In Nicaragua, dengue epidemiology has shifted from the pre- to the post-pandemic period, with all four dengue virus (DENV) serotypes circulating annually and introduction of new genotypes and lineages. Using data from the Nicaraguan Pediatric Dengue Cohort Study (n≈4000 active participants), ongoing since 2004, we analyzed sequential infections. Participants with suspected dengue or undifferentiated febrile illness were tested for dengue, chikungunya, and Zika viruses via real-time RT-PCR and serological assays. Survival analysis revealed a significantly faster rate of second infections in the post-pandemic period (after 2021) compared to previous years (p&lt;0.01). Sequential symptomatic infections increased markedly, with 25 cases occurring within 1-15 months (mean=8.5 months), a stark contrast to the pre-pandemic average of 52 months (p&lt;0.01). The likelihood of experiencing sequential symptomatic </w:t>
      </w:r>
      <w:r w:rsidRPr="00EE434E">
        <w:rPr>
          <w:rFonts w:ascii="Calibri" w:eastAsia="Times New Roman" w:hAnsi="Calibri" w:cs="Calibri"/>
          <w:color w:val="000000"/>
          <w:kern w:val="0"/>
          <w:sz w:val="22"/>
          <w:szCs w:val="22"/>
          <w14:ligatures w14:val="none"/>
        </w:rPr>
        <w:lastRenderedPageBreak/>
        <w:t>infections was 8.6 times higher in the post-pandemic period. The most frequent infection sequence was DENV1-DENV4, with DENV4 accounting for 75% of cases. Notably, DENV4 had not been detected in symptomatic infections in previous years. Interestingly, we observed a decline in severe cases, with the pre-pandemic period exhibiting a 6.9-fold higher risk of severe disease. Altogether, these findings signal a significant departure from historical epidemiological patterns in Nicaragua, where longer intervals between infections were the norm. Several factors may contribute to this shift: increased DENV serotype circulation after border reopening, emergence of new DENV1-4 lineages, order and timing of infections, and potential changes in cross-reactive immunity. The increased prevalence of DENV4 in symptomatic cases further suggests an evolving immune landscape. Understanding these changes is critical for refining vaccine strategies and implementing effective public health interventions. Ongoing surveillance and research are essential to monitor the evolving epidemiology of dengue and its long-term implications.</w:t>
      </w:r>
    </w:p>
    <w:p w14:paraId="46017EC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25-A-3166-ASTMH</w:t>
      </w:r>
    </w:p>
    <w:p w14:paraId="4268A7C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43F8515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Hepatitis E Prevalence among Acute Febrile Jaundice Patients in Senegal, 2008-2020</w:t>
      </w:r>
    </w:p>
    <w:p w14:paraId="285508E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Hepatitis E, caused by Hepatitis E Virus (HEV), is a highly endemic disease with a major public health impact. In Senegal, the first HEV outbreak was notified in 2014 in Kedougou and a recent study focused on pregnant women showed a seroprevalence of 7.8%. Apart from these data, very little is know about its burden in Senegal and there is no specific surveillance program. Here we describe HEV prevalence among acute febrile jaundice patients in Senegal. A retrospective analysis using jaundice samples (2008-2020) collected through the national Yellow Fever surveillance program were tested for HEV by IgM/IgG ELISA and RT-PCR. Sequencing and phylogenetic analyses were performed on RT-PCR positive samples. Statistical tools were also used to analyse the HEV prevalence. In total, 2387 samples were tested and 174 IgG, 135 IgM/IgG and 29 IgM positive samples were detected. Among the IgM positive samples, 74 were positive by RT-PCR. The results showed an overall HEV prevalence of 14% in Senegal. Phylogenetic analyses showed the circulation of the genotype 2b. Our data confirmed the HEV outbreak in Kedougou in 2014 and showed for the first time, the detection of acute cases in other regions. We also detected in these regions, the genotype 2b usually associated with large outbreaks in many African countries, suggesting a high risk of HEV outbreak occurrence in Senegal. Finally, our data showed that the Yellow fever surveillance program, based on jaundice and already existing in many countries, could be a valuable tool for HEV surveillance.</w:t>
      </w:r>
    </w:p>
    <w:p w14:paraId="6142D29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25-A-3167-ASTMH</w:t>
      </w:r>
    </w:p>
    <w:p w14:paraId="5B95DAC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Prevention</w:t>
      </w:r>
    </w:p>
    <w:p w14:paraId="1EF7AC30" w14:textId="7D3B50D1"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Understanding cohort retention: findings from a seasonal malaria chemoprevention efficacy study in Niassa, Mozambique</w:t>
      </w:r>
    </w:p>
    <w:p w14:paraId="1E956C6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As part of efforts to understand the suitability of seasonal malaria chemoprevention in new geographies, a chemoprevention efficacy study (CPES) was conducted in northern Mozambique, where antimalarial drug resistance is a concern. This study evaluated participant retention, attrition patterns, and dropout reasons, as sustained retention is critical for assessing drug efficacy and resistance. This analysis utilised data from a CPES in which a cohort of children were prospectively recruited in four communities, underwent a baseline assessment, received a three-day course of sulfadoxine-pyrimethamine plus amodiaquine (SPAQ) and were followed up for up to 28 days to monitor incidence of malaria infection. Study visits occurred at days 0, 7, 14, 21, and 28, with malaria slides and dried blood spots collected at each time point. Attrition cascade analysis and Kaplan-Meier survival analysis estimated dropout probability over time, while Cox proportional hazards models identified factors influencing dropout timing. Reasons for attrition were categorized and analysed. In April 2024,1,164 children (aged 3-59 months) received SPAQ, with 383 enrolled on day 0 (16% aged 3-12 months, 80% aged 12-59 months; 51% male, 49% female). Retention declined to 227 children by day 28 (59.3%), with </w:t>
      </w:r>
      <w:r w:rsidRPr="00EE434E">
        <w:rPr>
          <w:rFonts w:ascii="Calibri" w:eastAsia="Times New Roman" w:hAnsi="Calibri" w:cs="Calibri"/>
          <w:color w:val="000000"/>
          <w:kern w:val="0"/>
          <w:sz w:val="22"/>
          <w:szCs w:val="22"/>
          <w14:ligatures w14:val="none"/>
        </w:rPr>
        <w:lastRenderedPageBreak/>
        <w:t>the highest dropout rate (29.1%) occurring between day 7 and day 14. Dropout was non-random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&lt;0.000), and attrition varied significantly by community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 &lt; 0.0001). Cox regression identified residing in one community as a protective factor against dropout (HR=0.49,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=0.002). Receiving the lower SPAQ dose appeared to be marginally associated with a higher dropout risk (HR=1.53, </w:t>
      </w:r>
      <w:r w:rsidRPr="00EE434E">
        <w:rPr>
          <w:rFonts w:ascii="Calibri" w:eastAsia="Times New Roman" w:hAnsi="Calibri" w:cs="Calibri"/>
          <w:i/>
          <w:iCs/>
          <w:color w:val="000000"/>
          <w:kern w:val="0"/>
          <w:sz w:val="22"/>
          <w:szCs w:val="22"/>
          <w14:ligatures w14:val="none"/>
        </w:rPr>
        <w:t>p</w:t>
      </w:r>
      <w:r w:rsidRPr="00EE434E">
        <w:rPr>
          <w:rFonts w:ascii="Calibri" w:eastAsia="Times New Roman" w:hAnsi="Calibri" w:cs="Calibri"/>
          <w:color w:val="000000"/>
          <w:kern w:val="0"/>
          <w:sz w:val="22"/>
          <w:szCs w:val="22"/>
          <w14:ligatures w14:val="none"/>
        </w:rPr>
        <w:t>=0.076). There was substantial attrition in the study. Dropout rates varied across study communities, suggesting the influence of individual and contextual factors.</w:t>
      </w:r>
    </w:p>
    <w:p w14:paraId="656B8EE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25-A-3168-ASTMH</w:t>
      </w:r>
    </w:p>
    <w:p w14:paraId="6A55AFD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Other Bacterial Infections</w:t>
      </w:r>
    </w:p>
    <w:p w14:paraId="7448DF3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Analysis of commonalities across the mucosal pathogens, </w:t>
      </w:r>
      <w:r w:rsidRPr="00EE434E">
        <w:rPr>
          <w:rFonts w:ascii="Calibri" w:eastAsia="Times New Roman" w:hAnsi="Calibri" w:cs="Calibri"/>
          <w:i/>
          <w:iCs/>
          <w:color w:val="000000"/>
          <w:kern w:val="0"/>
          <w:sz w:val="22"/>
          <w:szCs w:val="22"/>
          <w14:ligatures w14:val="none"/>
        </w:rPr>
        <w:t>Streptococcus agalactiae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Streptococcus pneumoniae.</w:t>
      </w:r>
    </w:p>
    <w:p w14:paraId="2AA74B3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Streptococcus agalactiae</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Streptococcus pneumoniae</w:t>
      </w:r>
      <w:r w:rsidRPr="00EE434E">
        <w:rPr>
          <w:rFonts w:ascii="Calibri" w:eastAsia="Times New Roman" w:hAnsi="Calibri" w:cs="Calibri"/>
          <w:color w:val="000000"/>
          <w:kern w:val="0"/>
          <w:sz w:val="22"/>
          <w:szCs w:val="22"/>
          <w14:ligatures w14:val="none"/>
        </w:rPr>
        <w:t> are implicated in pneumonia, sepsis, and meningitis, mostly in children. Serotype replacement/switching has been a bane on pneumococcal conjugate vaccines. None of the </w:t>
      </w:r>
      <w:r w:rsidRPr="00EE434E">
        <w:rPr>
          <w:rFonts w:ascii="Calibri" w:eastAsia="Times New Roman" w:hAnsi="Calibri" w:cs="Calibri"/>
          <w:i/>
          <w:iCs/>
          <w:color w:val="000000"/>
          <w:kern w:val="0"/>
          <w:sz w:val="22"/>
          <w:szCs w:val="22"/>
          <w14:ligatures w14:val="none"/>
        </w:rPr>
        <w:t>S. agalactiae</w:t>
      </w:r>
      <w:r w:rsidRPr="00EE434E">
        <w:rPr>
          <w:rFonts w:ascii="Calibri" w:eastAsia="Times New Roman" w:hAnsi="Calibri" w:cs="Calibri"/>
          <w:color w:val="000000"/>
          <w:kern w:val="0"/>
          <w:sz w:val="22"/>
          <w:szCs w:val="22"/>
          <w14:ligatures w14:val="none"/>
        </w:rPr>
        <w:t> vaccines in clinical trials is licensed yet. Looking at previous studies by Jarva et al (2004) and Guttormsen et al (2002), we proposed to look for similarities within their surface proteins sequences for vaccine targets. 2001 African genomes were used in this study, 7 from whole genome sequencing and 1994 public African genomes. Amino acid sequence analysis was performed on the linux command line by constructing a BLAST database using the bacterial genomes. Pangenome analysis was performed using the Prokka and roary command line software. Amino acid similarity check showed that cbpA, cbpE, hylA, nanB, pavA, rlrA, rrgA, rrgC, pcsB, prtA, srtB, srtC and srtD from </w:t>
      </w:r>
      <w:r w:rsidRPr="00EE434E">
        <w:rPr>
          <w:rFonts w:ascii="Calibri" w:eastAsia="Times New Roman" w:hAnsi="Calibri" w:cs="Calibri"/>
          <w:i/>
          <w:iCs/>
          <w:color w:val="000000"/>
          <w:kern w:val="0"/>
          <w:sz w:val="22"/>
          <w:szCs w:val="22"/>
          <w14:ligatures w14:val="none"/>
        </w:rPr>
        <w:t>S. pneumoniae</w:t>
      </w:r>
      <w:r w:rsidRPr="00EE434E">
        <w:rPr>
          <w:rFonts w:ascii="Calibri" w:eastAsia="Times New Roman" w:hAnsi="Calibri" w:cs="Calibri"/>
          <w:color w:val="000000"/>
          <w:kern w:val="0"/>
          <w:sz w:val="22"/>
          <w:szCs w:val="22"/>
          <w14:ligatures w14:val="none"/>
        </w:rPr>
        <w:t> found good matches with the </w:t>
      </w:r>
      <w:r w:rsidRPr="00EE434E">
        <w:rPr>
          <w:rFonts w:ascii="Calibri" w:eastAsia="Times New Roman" w:hAnsi="Calibri" w:cs="Calibri"/>
          <w:i/>
          <w:iCs/>
          <w:color w:val="000000"/>
          <w:kern w:val="0"/>
          <w:sz w:val="22"/>
          <w:szCs w:val="22"/>
          <w14:ligatures w14:val="none"/>
        </w:rPr>
        <w:t>S. agalactiae</w:t>
      </w:r>
      <w:r w:rsidRPr="00EE434E">
        <w:rPr>
          <w:rFonts w:ascii="Calibri" w:eastAsia="Times New Roman" w:hAnsi="Calibri" w:cs="Calibri"/>
          <w:color w:val="000000"/>
          <w:kern w:val="0"/>
          <w:sz w:val="22"/>
          <w:szCs w:val="22"/>
          <w14:ligatures w14:val="none"/>
        </w:rPr>
        <w:t>. Similarly, Alp2, Alp3, Rib and bca from </w:t>
      </w:r>
      <w:r w:rsidRPr="00EE434E">
        <w:rPr>
          <w:rFonts w:ascii="Calibri" w:eastAsia="Times New Roman" w:hAnsi="Calibri" w:cs="Calibri"/>
          <w:i/>
          <w:iCs/>
          <w:color w:val="000000"/>
          <w:kern w:val="0"/>
          <w:sz w:val="22"/>
          <w:szCs w:val="22"/>
          <w14:ligatures w14:val="none"/>
        </w:rPr>
        <w:t>S. agalactiae</w:t>
      </w:r>
      <w:r w:rsidRPr="00EE434E">
        <w:rPr>
          <w:rFonts w:ascii="Calibri" w:eastAsia="Times New Roman" w:hAnsi="Calibri" w:cs="Calibri"/>
          <w:color w:val="000000"/>
          <w:kern w:val="0"/>
          <w:sz w:val="22"/>
          <w:szCs w:val="22"/>
          <w14:ligatures w14:val="none"/>
        </w:rPr>
        <w:t> found good matches with the </w:t>
      </w:r>
      <w:r w:rsidRPr="00EE434E">
        <w:rPr>
          <w:rFonts w:ascii="Calibri" w:eastAsia="Times New Roman" w:hAnsi="Calibri" w:cs="Calibri"/>
          <w:i/>
          <w:iCs/>
          <w:color w:val="000000"/>
          <w:kern w:val="0"/>
          <w:sz w:val="22"/>
          <w:szCs w:val="22"/>
          <w14:ligatures w14:val="none"/>
        </w:rPr>
        <w:t>S. pneumoniae</w:t>
      </w:r>
      <w:r w:rsidRPr="00EE434E">
        <w:rPr>
          <w:rFonts w:ascii="Calibri" w:eastAsia="Times New Roman" w:hAnsi="Calibri" w:cs="Calibri"/>
          <w:color w:val="000000"/>
          <w:kern w:val="0"/>
          <w:sz w:val="22"/>
          <w:szCs w:val="22"/>
          <w14:ligatures w14:val="none"/>
        </w:rPr>
        <w:t>. Most of these proteins with good matches from the two </w:t>
      </w:r>
      <w:r w:rsidRPr="00EE434E">
        <w:rPr>
          <w:rFonts w:ascii="Calibri" w:eastAsia="Times New Roman" w:hAnsi="Calibri" w:cs="Calibri"/>
          <w:i/>
          <w:iCs/>
          <w:color w:val="000000"/>
          <w:kern w:val="0"/>
          <w:sz w:val="22"/>
          <w:szCs w:val="22"/>
          <w14:ligatures w14:val="none"/>
        </w:rPr>
        <w:t>Streptococcal spp</w:t>
      </w:r>
      <w:r w:rsidRPr="00EE434E">
        <w:rPr>
          <w:rFonts w:ascii="Calibri" w:eastAsia="Times New Roman" w:hAnsi="Calibri" w:cs="Calibri"/>
          <w:color w:val="000000"/>
          <w:kern w:val="0"/>
          <w:sz w:val="22"/>
          <w:szCs w:val="22"/>
          <w14:ligatures w14:val="none"/>
        </w:rPr>
        <w:t>. have been found to have good immunogenic properties. The core genome analysis showed mainly genes involved in metabolic processes. There is a possibility of finding common vaccine targets between the two </w:t>
      </w:r>
      <w:r w:rsidRPr="00EE434E">
        <w:rPr>
          <w:rFonts w:ascii="Calibri" w:eastAsia="Times New Roman" w:hAnsi="Calibri" w:cs="Calibri"/>
          <w:i/>
          <w:iCs/>
          <w:color w:val="000000"/>
          <w:kern w:val="0"/>
          <w:sz w:val="22"/>
          <w:szCs w:val="22"/>
          <w14:ligatures w14:val="none"/>
        </w:rPr>
        <w:t>Streptococcal spp</w:t>
      </w:r>
      <w:r w:rsidRPr="00EE434E">
        <w:rPr>
          <w:rFonts w:ascii="Calibri" w:eastAsia="Times New Roman" w:hAnsi="Calibri" w:cs="Calibri"/>
          <w:color w:val="000000"/>
          <w:kern w:val="0"/>
          <w:sz w:val="22"/>
          <w:szCs w:val="22"/>
          <w14:ligatures w14:val="none"/>
        </w:rPr>
        <w:t>. However, this will require more in vitro and in vivo studies.</w:t>
      </w:r>
    </w:p>
    <w:p w14:paraId="6EFC825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25-A-3169-ASTMH</w:t>
      </w:r>
    </w:p>
    <w:p w14:paraId="682076B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Cestodes (including taeniasis and cysticercosis, echinococcosis/hydatid disease, and others)</w:t>
      </w:r>
    </w:p>
    <w:p w14:paraId="4077AFF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i/>
          <w:iCs/>
          <w:color w:val="000000"/>
          <w:kern w:val="0"/>
          <w:sz w:val="22"/>
          <w:szCs w:val="22"/>
          <w14:ligatures w14:val="none"/>
        </w:rPr>
        <w:t>Taenia solium </w:t>
      </w:r>
      <w:r w:rsidRPr="00EE434E">
        <w:rPr>
          <w:rFonts w:ascii="Calibri" w:eastAsia="Times New Roman" w:hAnsi="Calibri" w:cs="Calibri"/>
          <w:b/>
          <w:bCs/>
          <w:color w:val="000000"/>
          <w:kern w:val="0"/>
          <w:sz w:val="22"/>
          <w:szCs w:val="22"/>
          <w14:ligatures w14:val="none"/>
        </w:rPr>
        <w:t>Crude Lysate Suppresses </w:t>
      </w:r>
      <w:r w:rsidRPr="00EE434E">
        <w:rPr>
          <w:rFonts w:ascii="Calibri" w:eastAsia="Times New Roman" w:hAnsi="Calibri" w:cs="Calibri"/>
          <w:b/>
          <w:bCs/>
          <w:i/>
          <w:iCs/>
          <w:color w:val="000000"/>
          <w:kern w:val="0"/>
          <w:sz w:val="22"/>
          <w:szCs w:val="22"/>
          <w14:ligatures w14:val="none"/>
        </w:rPr>
        <w:t>Helicobacter pylori</w:t>
      </w:r>
      <w:r w:rsidRPr="00EE434E">
        <w:rPr>
          <w:rFonts w:ascii="Calibri" w:eastAsia="Times New Roman" w:hAnsi="Calibri" w:cs="Calibri"/>
          <w:b/>
          <w:bCs/>
          <w:color w:val="000000"/>
          <w:kern w:val="0"/>
          <w:sz w:val="22"/>
          <w:szCs w:val="22"/>
          <w14:ligatures w14:val="none"/>
        </w:rPr>
        <w:t>-Induced Oncogenic Signaling in Gastric Epithelial Cells</w:t>
      </w:r>
    </w:p>
    <w:p w14:paraId="4AA73E6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Taenia solium</w:t>
      </w:r>
      <w:r w:rsidRPr="00EE434E">
        <w:rPr>
          <w:rFonts w:ascii="Calibri" w:eastAsia="Times New Roman" w:hAnsi="Calibri" w:cs="Calibri"/>
          <w:color w:val="000000"/>
          <w:kern w:val="0"/>
          <w:sz w:val="22"/>
          <w:szCs w:val="22"/>
          <w14:ligatures w14:val="none"/>
        </w:rPr>
        <w:t>, a helminth parasite, is responsible for taeniasis and cysticercosis, is associated with a Th2-biased immune response that typically reduces inflammation. In contrast, </w:t>
      </w:r>
      <w:r w:rsidRPr="00EE434E">
        <w:rPr>
          <w:rFonts w:ascii="Calibri" w:eastAsia="Times New Roman" w:hAnsi="Calibri" w:cs="Calibri"/>
          <w:i/>
          <w:iCs/>
          <w:color w:val="000000"/>
          <w:kern w:val="0"/>
          <w:sz w:val="22"/>
          <w:szCs w:val="22"/>
          <w14:ligatures w14:val="none"/>
        </w:rPr>
        <w:t>Helicobacter pylori</w:t>
      </w:r>
      <w:r w:rsidRPr="00EE434E">
        <w:rPr>
          <w:rFonts w:ascii="Calibri" w:eastAsia="Times New Roman" w:hAnsi="Calibri" w:cs="Calibri"/>
          <w:color w:val="000000"/>
          <w:kern w:val="0"/>
          <w:sz w:val="22"/>
          <w:szCs w:val="22"/>
          <w14:ligatures w14:val="none"/>
        </w:rPr>
        <w:t>, a gram-negative bacterium, induces chronic gastric inflammation, leading to gastric atrophy, intestinal metaplasia, dysplasia, and eventually gastric adenocarcinoma. Although co-infections with </w:t>
      </w:r>
      <w:r w:rsidRPr="00EE434E">
        <w:rPr>
          <w:rFonts w:ascii="Calibri" w:eastAsia="Times New Roman" w:hAnsi="Calibri" w:cs="Calibri"/>
          <w:i/>
          <w:iCs/>
          <w:color w:val="000000"/>
          <w:kern w:val="0"/>
          <w:sz w:val="22"/>
          <w:szCs w:val="22"/>
          <w14:ligatures w14:val="none"/>
        </w:rPr>
        <w:t>H. pylori</w:t>
      </w:r>
      <w:r w:rsidRPr="00EE434E">
        <w:rPr>
          <w:rFonts w:ascii="Calibri" w:eastAsia="Times New Roman" w:hAnsi="Calibri" w:cs="Calibri"/>
          <w:color w:val="000000"/>
          <w:kern w:val="0"/>
          <w:sz w:val="22"/>
          <w:szCs w:val="22"/>
          <w14:ligatures w14:val="none"/>
        </w:rPr>
        <w:t> and helminths are common in endemic regions, the interaction between these pathogens remains poorly understood. In this study, we investigated the modulatory effect of </w:t>
      </w:r>
      <w:r w:rsidRPr="00EE434E">
        <w:rPr>
          <w:rFonts w:ascii="Calibri" w:eastAsia="Times New Roman" w:hAnsi="Calibri" w:cs="Calibri"/>
          <w:i/>
          <w:iCs/>
          <w:color w:val="000000"/>
          <w:kern w:val="0"/>
          <w:sz w:val="22"/>
          <w:szCs w:val="22"/>
          <w14:ligatures w14:val="none"/>
        </w:rPr>
        <w:t>T. solium</w:t>
      </w:r>
      <w:r w:rsidRPr="00EE434E">
        <w:rPr>
          <w:rFonts w:ascii="Calibri" w:eastAsia="Times New Roman" w:hAnsi="Calibri" w:cs="Calibri"/>
          <w:color w:val="000000"/>
          <w:kern w:val="0"/>
          <w:sz w:val="22"/>
          <w:szCs w:val="22"/>
          <w14:ligatures w14:val="none"/>
        </w:rPr>
        <w:t> crude lysate (CL) on </w:t>
      </w:r>
      <w:r w:rsidRPr="00EE434E">
        <w:rPr>
          <w:rFonts w:ascii="Calibri" w:eastAsia="Times New Roman" w:hAnsi="Calibri" w:cs="Calibri"/>
          <w:i/>
          <w:iCs/>
          <w:color w:val="000000"/>
          <w:kern w:val="0"/>
          <w:sz w:val="22"/>
          <w:szCs w:val="22"/>
          <w14:ligatures w14:val="none"/>
        </w:rPr>
        <w:t>H. pylori</w:t>
      </w:r>
      <w:r w:rsidRPr="00EE434E">
        <w:rPr>
          <w:rFonts w:ascii="Calibri" w:eastAsia="Times New Roman" w:hAnsi="Calibri" w:cs="Calibri"/>
          <w:color w:val="000000"/>
          <w:kern w:val="0"/>
          <w:sz w:val="22"/>
          <w:szCs w:val="22"/>
          <w14:ligatures w14:val="none"/>
        </w:rPr>
        <w:t>-infected gastric adenocarcinoma (AGS) cells. AGS cells were treated with </w:t>
      </w:r>
      <w:r w:rsidRPr="00EE434E">
        <w:rPr>
          <w:rFonts w:ascii="Calibri" w:eastAsia="Times New Roman" w:hAnsi="Calibri" w:cs="Calibri"/>
          <w:i/>
          <w:iCs/>
          <w:color w:val="000000"/>
          <w:kern w:val="0"/>
          <w:sz w:val="22"/>
          <w:szCs w:val="22"/>
          <w14:ligatures w14:val="none"/>
        </w:rPr>
        <w:t>T. solium</w:t>
      </w:r>
      <w:r w:rsidRPr="00EE434E">
        <w:rPr>
          <w:rFonts w:ascii="Calibri" w:eastAsia="Times New Roman" w:hAnsi="Calibri" w:cs="Calibri"/>
          <w:color w:val="000000"/>
          <w:kern w:val="0"/>
          <w:sz w:val="22"/>
          <w:szCs w:val="22"/>
          <w14:ligatures w14:val="none"/>
        </w:rPr>
        <w:t> CL, followed by </w:t>
      </w:r>
      <w:r w:rsidRPr="00EE434E">
        <w:rPr>
          <w:rFonts w:ascii="Calibri" w:eastAsia="Times New Roman" w:hAnsi="Calibri" w:cs="Calibri"/>
          <w:i/>
          <w:iCs/>
          <w:color w:val="000000"/>
          <w:kern w:val="0"/>
          <w:sz w:val="22"/>
          <w:szCs w:val="22"/>
          <w14:ligatures w14:val="none"/>
        </w:rPr>
        <w:t>H. pylori</w:t>
      </w:r>
      <w:r w:rsidRPr="00EE434E">
        <w:rPr>
          <w:rFonts w:ascii="Calibri" w:eastAsia="Times New Roman" w:hAnsi="Calibri" w:cs="Calibri"/>
          <w:color w:val="000000"/>
          <w:kern w:val="0"/>
          <w:sz w:val="22"/>
          <w:szCs w:val="22"/>
          <w14:ligatures w14:val="none"/>
        </w:rPr>
        <w:t> infection. We assessed intracellular ROS generation to evaluate inflammation and performed MTT, apoptosis, and proliferation assays to determine the impact on cell survival. Further, we examined the expression of key oncogenic and hypoxia-related genes (</w:t>
      </w:r>
      <w:r w:rsidRPr="00EE434E">
        <w:rPr>
          <w:rFonts w:ascii="Calibri" w:eastAsia="Times New Roman" w:hAnsi="Calibri" w:cs="Calibri"/>
          <w:i/>
          <w:iCs/>
          <w:color w:val="000000"/>
          <w:kern w:val="0"/>
          <w:sz w:val="22"/>
          <w:szCs w:val="22"/>
          <w14:ligatures w14:val="none"/>
        </w:rPr>
        <w:t>mTOR</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MAPK</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JAK2</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TYRO3</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PDK1</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TYK2</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ERBB2</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ERBB4</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HIF1α</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HIF2α</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HIF3α</w:t>
      </w:r>
      <w:r w:rsidRPr="00EE434E">
        <w:rPr>
          <w:rFonts w:ascii="Calibri" w:eastAsia="Times New Roman" w:hAnsi="Calibri" w:cs="Calibri"/>
          <w:color w:val="000000"/>
          <w:kern w:val="0"/>
          <w:sz w:val="22"/>
          <w:szCs w:val="22"/>
          <w14:ligatures w14:val="none"/>
        </w:rPr>
        <w:t>) using RT-PCR. Western blot analysis assessed PI3K, AKT, mTOR, HIF-1α, and PTEN activation status. Our results show that </w:t>
      </w:r>
      <w:r w:rsidRPr="00EE434E">
        <w:rPr>
          <w:rFonts w:ascii="Calibri" w:eastAsia="Times New Roman" w:hAnsi="Calibri" w:cs="Calibri"/>
          <w:i/>
          <w:iCs/>
          <w:color w:val="000000"/>
          <w:kern w:val="0"/>
          <w:sz w:val="22"/>
          <w:szCs w:val="22"/>
          <w14:ligatures w14:val="none"/>
        </w:rPr>
        <w:t>T. solium</w:t>
      </w:r>
      <w:r w:rsidRPr="00EE434E">
        <w:rPr>
          <w:rFonts w:ascii="Calibri" w:eastAsia="Times New Roman" w:hAnsi="Calibri" w:cs="Calibri"/>
          <w:color w:val="000000"/>
          <w:kern w:val="0"/>
          <w:sz w:val="22"/>
          <w:szCs w:val="22"/>
          <w14:ligatures w14:val="none"/>
        </w:rPr>
        <w:t> CL antigens reduces </w:t>
      </w:r>
      <w:r w:rsidRPr="00EE434E">
        <w:rPr>
          <w:rFonts w:ascii="Calibri" w:eastAsia="Times New Roman" w:hAnsi="Calibri" w:cs="Calibri"/>
          <w:i/>
          <w:iCs/>
          <w:color w:val="000000"/>
          <w:kern w:val="0"/>
          <w:sz w:val="22"/>
          <w:szCs w:val="22"/>
          <w14:ligatures w14:val="none"/>
        </w:rPr>
        <w:t>H. pylori</w:t>
      </w:r>
      <w:r w:rsidRPr="00EE434E">
        <w:rPr>
          <w:rFonts w:ascii="Calibri" w:eastAsia="Times New Roman" w:hAnsi="Calibri" w:cs="Calibri"/>
          <w:color w:val="000000"/>
          <w:kern w:val="0"/>
          <w:sz w:val="22"/>
          <w:szCs w:val="22"/>
          <w14:ligatures w14:val="none"/>
        </w:rPr>
        <w:t>-induced ROS production, suppresses cell proliferation, and promotes apoptosis. Molecular analysis revealed significant downregulation of key oncogenic and hypoxia-related genes and decreased activation of PI3K, AKT, mTOR, and HIF-1α. Notably, PTEN activation was enhanced following CL treatment. These findings highlight a potential protective role of helminth-derived products in limiting </w:t>
      </w:r>
      <w:r w:rsidRPr="00EE434E">
        <w:rPr>
          <w:rFonts w:ascii="Calibri" w:eastAsia="Times New Roman" w:hAnsi="Calibri" w:cs="Calibri"/>
          <w:i/>
          <w:iCs/>
          <w:color w:val="000000"/>
          <w:kern w:val="0"/>
          <w:sz w:val="22"/>
          <w:szCs w:val="22"/>
          <w14:ligatures w14:val="none"/>
        </w:rPr>
        <w:t>H. pylori</w:t>
      </w:r>
      <w:r w:rsidRPr="00EE434E">
        <w:rPr>
          <w:rFonts w:ascii="Calibri" w:eastAsia="Times New Roman" w:hAnsi="Calibri" w:cs="Calibri"/>
          <w:color w:val="000000"/>
          <w:kern w:val="0"/>
          <w:sz w:val="22"/>
          <w:szCs w:val="22"/>
          <w14:ligatures w14:val="none"/>
        </w:rPr>
        <w:t>-associated gastric pathogenesis. By modulating key oncogenic signaling pathways, </w:t>
      </w:r>
      <w:r w:rsidRPr="00EE434E">
        <w:rPr>
          <w:rFonts w:ascii="Calibri" w:eastAsia="Times New Roman" w:hAnsi="Calibri" w:cs="Calibri"/>
          <w:i/>
          <w:iCs/>
          <w:color w:val="000000"/>
          <w:kern w:val="0"/>
          <w:sz w:val="22"/>
          <w:szCs w:val="22"/>
          <w14:ligatures w14:val="none"/>
        </w:rPr>
        <w:t>T. solium</w:t>
      </w:r>
      <w:r w:rsidRPr="00EE434E">
        <w:rPr>
          <w:rFonts w:ascii="Calibri" w:eastAsia="Times New Roman" w:hAnsi="Calibri" w:cs="Calibri"/>
          <w:color w:val="000000"/>
          <w:kern w:val="0"/>
          <w:sz w:val="22"/>
          <w:szCs w:val="22"/>
          <w14:ligatures w14:val="none"/>
        </w:rPr>
        <w:t> CL may help attenuate inflammation and reduce the risk of gastric cancer progression during chronic </w:t>
      </w:r>
      <w:r w:rsidRPr="00EE434E">
        <w:rPr>
          <w:rFonts w:ascii="Calibri" w:eastAsia="Times New Roman" w:hAnsi="Calibri" w:cs="Calibri"/>
          <w:i/>
          <w:iCs/>
          <w:color w:val="000000"/>
          <w:kern w:val="0"/>
          <w:sz w:val="22"/>
          <w:szCs w:val="22"/>
          <w14:ligatures w14:val="none"/>
        </w:rPr>
        <w:t>H. pylori</w:t>
      </w:r>
      <w:r w:rsidRPr="00EE434E">
        <w:rPr>
          <w:rFonts w:ascii="Calibri" w:eastAsia="Times New Roman" w:hAnsi="Calibri" w:cs="Calibri"/>
          <w:color w:val="000000"/>
          <w:kern w:val="0"/>
          <w:sz w:val="22"/>
          <w:szCs w:val="22"/>
          <w14:ligatures w14:val="none"/>
        </w:rPr>
        <w:t> infection.</w:t>
      </w:r>
    </w:p>
    <w:p w14:paraId="0D119F7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25-A-3170-ASTMH</w:t>
      </w:r>
    </w:p>
    <w:p w14:paraId="781EFB2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Helminths – Nematodes – Intestinal Nematodes</w:t>
      </w:r>
    </w:p>
    <w:p w14:paraId="57961B7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Geostatistical analysis of national soil-transmitted helminth surveys in Timor-Leste 2012-2021</w:t>
      </w:r>
    </w:p>
    <w:p w14:paraId="34A7F69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Background: </w:t>
      </w:r>
      <w:r w:rsidRPr="00EE434E">
        <w:rPr>
          <w:rFonts w:ascii="Calibri" w:eastAsia="Times New Roman" w:hAnsi="Calibri" w:cs="Calibri"/>
          <w:color w:val="000000"/>
          <w:kern w:val="0"/>
          <w:sz w:val="22"/>
          <w:szCs w:val="22"/>
          <w14:ligatures w14:val="none"/>
        </w:rPr>
        <w:t>Soil-transmitted helminth (STH) control in Timor-Leste has been integrated with lymphatic filariasis control, involving albendazole and diethylcarbamazine preventive chemotherapy in 2005-2008, then 2015-2018, adding ivermectin in 2019. To track STH endemicity, the Ministry of Health conducted school surveys in 2012, 2015, 2017, 2019 and 2021, revealing variable prevalence across municipalities. Here we report geostatistical analyses of the surveys to better define the spatial distribution of STHs. </w:t>
      </w:r>
      <w:r w:rsidRPr="00EE434E">
        <w:rPr>
          <w:rFonts w:ascii="Calibri" w:eastAsia="Times New Roman" w:hAnsi="Calibri" w:cs="Calibri"/>
          <w:b/>
          <w:bCs/>
          <w:color w:val="000000"/>
          <w:kern w:val="0"/>
          <w:sz w:val="22"/>
          <w:szCs w:val="22"/>
          <w14:ligatures w14:val="none"/>
        </w:rPr>
        <w:t>Methods: </w:t>
      </w:r>
      <w:r w:rsidRPr="00EE434E">
        <w:rPr>
          <w:rFonts w:ascii="Calibri" w:eastAsia="Times New Roman" w:hAnsi="Calibri" w:cs="Calibri"/>
          <w:color w:val="000000"/>
          <w:kern w:val="0"/>
          <w:sz w:val="22"/>
          <w:szCs w:val="22"/>
          <w14:ligatures w14:val="none"/>
        </w:rPr>
        <w:t>Parasitological data from surveys conducted 2012-2021 were linked with environmental and climatic data to develop risk prediction models from each survey. Final models were selected through non-spatial multivariable regression with the lowest akaike information criteria and all variables with a variance influence factor &lt;10. Residual spatial autocorrelation was investigated using semivariograms, and if present, models were fitted with the Matérn covariance. Risk prediction maps were then developed using the final non-spatial or spatial models. </w:t>
      </w:r>
      <w:r w:rsidRPr="00EE434E">
        <w:rPr>
          <w:rFonts w:ascii="Calibri" w:eastAsia="Times New Roman" w:hAnsi="Calibri" w:cs="Calibri"/>
          <w:b/>
          <w:bCs/>
          <w:color w:val="000000"/>
          <w:kern w:val="0"/>
          <w:sz w:val="22"/>
          <w:szCs w:val="22"/>
          <w14:ligatures w14:val="none"/>
        </w:rPr>
        <w:t>Results: </w:t>
      </w:r>
      <w:r w:rsidRPr="00EE434E">
        <w:rPr>
          <w:rFonts w:ascii="Calibri" w:eastAsia="Times New Roman" w:hAnsi="Calibri" w:cs="Calibri"/>
          <w:color w:val="000000"/>
          <w:kern w:val="0"/>
          <w:sz w:val="22"/>
          <w:szCs w:val="22"/>
          <w14:ligatures w14:val="none"/>
        </w:rPr>
        <w:t>Overall STH prevalence was 28.9% (from 2,198 schoolchildren, 30 schools, 13 municipalities; school range 1.8-81.3%) in 2012, 11.9% (658 schoolchildren, 11 schools, 6 municipalities; range 0-34.4%) in 2015, 10.8% (1,408 schoolchildren, 28 schools, 13 municipalities; range 0-14.0%) in 2017, 24.3% (1,121 schoolchildren, 6 schools, 3 municipalities; range 1.5-49.2%) in 2019, and 28.4% (1,121 schoolchildren, 6 school, 3 municipalities; range 7.6-47.3%) in 2021. Geographic representation varied across surveys and was limited in 2019 and 2021. Risk prediction maps for each survey year suggest different higher risk areas when considering only the year data; with higher risk in southern areas in 2012; in the north and centre of the country in 2015; and in northwestern, southwestern and northeastern corners in 2019 and 2021. </w:t>
      </w:r>
      <w:r w:rsidRPr="00EE434E">
        <w:rPr>
          <w:rFonts w:ascii="Calibri" w:eastAsia="Times New Roman" w:hAnsi="Calibri" w:cs="Calibri"/>
          <w:b/>
          <w:bCs/>
          <w:color w:val="000000"/>
          <w:kern w:val="0"/>
          <w:sz w:val="22"/>
          <w:szCs w:val="22"/>
          <w14:ligatures w14:val="none"/>
        </w:rPr>
        <w:t>Conclusions:</w:t>
      </w:r>
      <w:r w:rsidRPr="00EE434E">
        <w:rPr>
          <w:rFonts w:ascii="Calibri" w:eastAsia="Times New Roman" w:hAnsi="Calibri" w:cs="Calibri"/>
          <w:color w:val="000000"/>
          <w:kern w:val="0"/>
          <w:sz w:val="22"/>
          <w:szCs w:val="22"/>
          <w14:ligatures w14:val="none"/>
        </w:rPr>
        <w:t> This series of geostatistical analyses suggest different locations of higher STH infection risk across years. Future work to optimise predictive models to guide control strategies and monitoring activities is required.</w:t>
      </w:r>
    </w:p>
    <w:p w14:paraId="2AAC340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25-A-3171-ASTMH</w:t>
      </w:r>
    </w:p>
    <w:p w14:paraId="2B54F8B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Bionomics, Behavior and Surveillance</w:t>
      </w:r>
    </w:p>
    <w:p w14:paraId="75D5535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Measuring the effects of urbanization on the longevity of malaria vectors in Côte d’Ivoire</w:t>
      </w:r>
    </w:p>
    <w:p w14:paraId="13EB6E4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longevity of malaria vectors is a key determinant of malaria, because less than half of all females live long enough to transmit </w:t>
      </w:r>
      <w:r w:rsidRPr="00EE434E">
        <w:rPr>
          <w:rFonts w:ascii="Calibri" w:eastAsia="Times New Roman" w:hAnsi="Calibri" w:cs="Calibri"/>
          <w:i/>
          <w:iCs/>
          <w:color w:val="000000"/>
          <w:kern w:val="0"/>
          <w:sz w:val="22"/>
          <w:szCs w:val="22"/>
          <w14:ligatures w14:val="none"/>
        </w:rPr>
        <w:t>Plasmodium</w:t>
      </w:r>
      <w:r w:rsidRPr="00EE434E">
        <w:rPr>
          <w:rFonts w:ascii="Calibri" w:eastAsia="Times New Roman" w:hAnsi="Calibri" w:cs="Calibri"/>
          <w:color w:val="000000"/>
          <w:kern w:val="0"/>
          <w:sz w:val="22"/>
          <w:szCs w:val="22"/>
          <w14:ligatures w14:val="none"/>
        </w:rPr>
        <w:t> parasites. Urbanization has been associated with reduced malaria transmission due to environmental modifications that limit breeding habitats. However, the impact of urbanization on mosquito longevity remains unclear. This study assesses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An</w:t>
      </w:r>
      <w:r w:rsidRPr="00EE434E">
        <w:rPr>
          <w:rFonts w:ascii="Calibri" w:eastAsia="Times New Roman" w:hAnsi="Calibri" w:cs="Calibri"/>
          <w:color w:val="000000"/>
          <w:kern w:val="0"/>
          <w:sz w:val="22"/>
          <w:szCs w:val="22"/>
          <w14:ligatures w14:val="none"/>
        </w:rPr>
        <w:t>.) longevity across three urban, semi-rural, and rural settings in Côte d’Ivoire according to parity analysis, our proxy of longevity.</w:t>
      </w:r>
      <w:r w:rsidRPr="00EE434E">
        <w:rPr>
          <w:rFonts w:ascii="Calibri" w:eastAsia="Times New Roman" w:hAnsi="Calibri" w:cs="Calibri"/>
          <w:b/>
          <w:bCs/>
          <w:color w:val="000000"/>
          <w:kern w:val="0"/>
          <w:sz w:val="22"/>
          <w:szCs w:val="22"/>
          <w14:ligatures w14:val="none"/>
        </w:rPr>
        <w:t> </w:t>
      </w:r>
      <w:r w:rsidRPr="00EE434E">
        <w:rPr>
          <w:rFonts w:ascii="Calibri" w:eastAsia="Times New Roman" w:hAnsi="Calibri" w:cs="Calibri"/>
          <w:color w:val="000000"/>
          <w:kern w:val="0"/>
          <w:sz w:val="22"/>
          <w:szCs w:val="22"/>
          <w14:ligatures w14:val="none"/>
        </w:rPr>
        <w:t>Mosquitoes were collected using Human Landing Catches (HLC) in 18 sites across Tiebissou (urban, semi-rural and rural) and Béoumi (urban, semi-rural and rural) districts earlier the rainy season (June-July 2025), representing different levels of urbanization. Parity was determined using Polovodova and Detinova’s methods to estimate mosquito age structure. Paired t-tests and Kruskal-Wallis tests were used to compare parity rates across site types.</w:t>
      </w:r>
      <w:r w:rsidRPr="00EE434E">
        <w:rPr>
          <w:rFonts w:ascii="Calibri" w:eastAsia="Times New Roman" w:hAnsi="Calibri" w:cs="Calibri"/>
          <w:b/>
          <w:bCs/>
          <w:color w:val="000000"/>
          <w:kern w:val="0"/>
          <w:sz w:val="22"/>
          <w:szCs w:val="22"/>
          <w14:ligatures w14:val="none"/>
        </w:rPr>
        <w:t> </w:t>
      </w:r>
      <w:r w:rsidRPr="00EE434E">
        <w:rPr>
          <w:rFonts w:ascii="Calibri" w:eastAsia="Times New Roman" w:hAnsi="Calibri" w:cs="Calibri"/>
          <w:color w:val="000000"/>
          <w:kern w:val="0"/>
          <w:sz w:val="22"/>
          <w:szCs w:val="22"/>
          <w14:ligatures w14:val="none"/>
        </w:rPr>
        <w:t>A total of 18,716 mosquitoes were collected, of which 12,009 (64.16%) were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vectors (</w:t>
      </w:r>
      <w:r w:rsidRPr="00EE434E">
        <w:rPr>
          <w:rFonts w:ascii="Calibri" w:eastAsia="Times New Roman" w:hAnsi="Calibri" w:cs="Calibri"/>
          <w:i/>
          <w:iCs/>
          <w:color w:val="000000"/>
          <w:kern w:val="0"/>
          <w:sz w:val="22"/>
          <w:szCs w:val="22"/>
          <w14:ligatures w14:val="none"/>
        </w:rPr>
        <w:t>An. gambiae</w:t>
      </w:r>
      <w:r w:rsidRPr="00EE434E">
        <w:rPr>
          <w:rFonts w:ascii="Calibri" w:eastAsia="Times New Roman" w:hAnsi="Calibri" w:cs="Calibri"/>
          <w:color w:val="000000"/>
          <w:kern w:val="0"/>
          <w:sz w:val="22"/>
          <w:szCs w:val="22"/>
          <w14:ligatures w14:val="none"/>
        </w:rPr>
        <w:t> sensus lato (s.l.) and </w:t>
      </w:r>
      <w:r w:rsidRPr="00EE434E">
        <w:rPr>
          <w:rFonts w:ascii="Calibri" w:eastAsia="Times New Roman" w:hAnsi="Calibri" w:cs="Calibri"/>
          <w:i/>
          <w:iCs/>
          <w:color w:val="000000"/>
          <w:kern w:val="0"/>
          <w:sz w:val="22"/>
          <w:szCs w:val="22"/>
          <w14:ligatures w14:val="none"/>
        </w:rPr>
        <w:t>An. funestus</w:t>
      </w:r>
      <w:r w:rsidRPr="00EE434E">
        <w:rPr>
          <w:rFonts w:ascii="Calibri" w:eastAsia="Times New Roman" w:hAnsi="Calibri" w:cs="Calibri"/>
          <w:color w:val="000000"/>
          <w:kern w:val="0"/>
          <w:sz w:val="22"/>
          <w:szCs w:val="22"/>
          <w14:ligatures w14:val="none"/>
        </w:rPr>
        <w:t>). Parity rates for </w:t>
      </w:r>
      <w:r w:rsidRPr="00EE434E">
        <w:rPr>
          <w:rFonts w:ascii="Calibri" w:eastAsia="Times New Roman" w:hAnsi="Calibri" w:cs="Calibri"/>
          <w:i/>
          <w:iCs/>
          <w:color w:val="000000"/>
          <w:kern w:val="0"/>
          <w:sz w:val="22"/>
          <w:szCs w:val="22"/>
          <w14:ligatures w14:val="none"/>
        </w:rPr>
        <w:t>An. gambiae</w:t>
      </w:r>
      <w:r w:rsidRPr="00EE434E">
        <w:rPr>
          <w:rFonts w:ascii="Calibri" w:eastAsia="Times New Roman" w:hAnsi="Calibri" w:cs="Calibri"/>
          <w:color w:val="000000"/>
          <w:kern w:val="0"/>
          <w:sz w:val="22"/>
          <w:szCs w:val="22"/>
          <w14:ligatures w14:val="none"/>
        </w:rPr>
        <w:t> s.l. were highest in semi-rural areas (69-73%), moderate in rural sites (62-66%), and lowest in urban areas (50-61%) (p &lt; 0.001), suggesting decreased survival in urban environments. </w:t>
      </w:r>
      <w:r w:rsidRPr="00EE434E">
        <w:rPr>
          <w:rFonts w:ascii="Calibri" w:eastAsia="Times New Roman" w:hAnsi="Calibri" w:cs="Calibri"/>
          <w:i/>
          <w:iCs/>
          <w:color w:val="000000"/>
          <w:kern w:val="0"/>
          <w:sz w:val="22"/>
          <w:szCs w:val="22"/>
          <w14:ligatures w14:val="none"/>
        </w:rPr>
        <w:t>An. funestus</w:t>
      </w:r>
      <w:r w:rsidRPr="00EE434E">
        <w:rPr>
          <w:rFonts w:ascii="Calibri" w:eastAsia="Times New Roman" w:hAnsi="Calibri" w:cs="Calibri"/>
          <w:color w:val="000000"/>
          <w:kern w:val="0"/>
          <w:sz w:val="22"/>
          <w:szCs w:val="22"/>
          <w14:ligatures w14:val="none"/>
        </w:rPr>
        <w:t> s.l. exhibited higher parity rates (up to 80%) but did not show significant differences across urbanization gradients (p&gt; 0.05), perhaps reflecting smaller sample sizes.</w:t>
      </w:r>
      <w:r w:rsidRPr="00EE434E">
        <w:rPr>
          <w:rFonts w:ascii="Calibri" w:eastAsia="Times New Roman" w:hAnsi="Calibri" w:cs="Calibri"/>
          <w:b/>
          <w:bCs/>
          <w:color w:val="000000"/>
          <w:kern w:val="0"/>
          <w:sz w:val="22"/>
          <w:szCs w:val="22"/>
          <w14:ligatures w14:val="none"/>
        </w:rPr>
        <w:t> </w:t>
      </w:r>
      <w:r w:rsidRPr="00EE434E">
        <w:rPr>
          <w:rFonts w:ascii="Calibri" w:eastAsia="Times New Roman" w:hAnsi="Calibri" w:cs="Calibri"/>
          <w:color w:val="000000"/>
          <w:kern w:val="0"/>
          <w:sz w:val="22"/>
          <w:szCs w:val="22"/>
          <w14:ligatures w14:val="none"/>
        </w:rPr>
        <w:t>Urbanization influences malaria vector longevity, with </w:t>
      </w:r>
      <w:r w:rsidRPr="00EE434E">
        <w:rPr>
          <w:rFonts w:ascii="Calibri" w:eastAsia="Times New Roman" w:hAnsi="Calibri" w:cs="Calibri"/>
          <w:i/>
          <w:iCs/>
          <w:color w:val="000000"/>
          <w:kern w:val="0"/>
          <w:sz w:val="22"/>
          <w:szCs w:val="22"/>
          <w14:ligatures w14:val="none"/>
        </w:rPr>
        <w:t>An. gambiae</w:t>
      </w:r>
      <w:r w:rsidRPr="00EE434E">
        <w:rPr>
          <w:rFonts w:ascii="Calibri" w:eastAsia="Times New Roman" w:hAnsi="Calibri" w:cs="Calibri"/>
          <w:color w:val="000000"/>
          <w:kern w:val="0"/>
          <w:sz w:val="22"/>
          <w:szCs w:val="22"/>
          <w14:ligatures w14:val="none"/>
        </w:rPr>
        <w:t> s.l. demonstrating lower survival in urban areas. Further analysis determining species distribution within the </w:t>
      </w:r>
      <w:r w:rsidRPr="00EE434E">
        <w:rPr>
          <w:rFonts w:ascii="Calibri" w:eastAsia="Times New Roman" w:hAnsi="Calibri" w:cs="Calibri"/>
          <w:i/>
          <w:iCs/>
          <w:color w:val="000000"/>
          <w:kern w:val="0"/>
          <w:sz w:val="22"/>
          <w:szCs w:val="22"/>
          <w14:ligatures w14:val="none"/>
        </w:rPr>
        <w:t>An. gambiae</w:t>
      </w:r>
      <w:r w:rsidRPr="00EE434E">
        <w:rPr>
          <w:rFonts w:ascii="Calibri" w:eastAsia="Times New Roman" w:hAnsi="Calibri" w:cs="Calibri"/>
          <w:color w:val="000000"/>
          <w:kern w:val="0"/>
          <w:sz w:val="22"/>
          <w:szCs w:val="22"/>
          <w14:ligatures w14:val="none"/>
        </w:rPr>
        <w:t> complex has been conducted and will be presented. These findings highlight the importance of understanding how urban planning and housing designs can alter transmission risk, with a view to incorporating these aspects into current malaria control strategies.</w:t>
      </w:r>
    </w:p>
    <w:p w14:paraId="49F15CE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lastRenderedPageBreak/>
        <w:t>25-A-3173-ASTMH</w:t>
      </w:r>
    </w:p>
    <w:p w14:paraId="4B85C09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Therapeutics and Antiviral Drugs</w:t>
      </w:r>
    </w:p>
    <w:p w14:paraId="653B37CD" w14:textId="679856E3"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Evaluation of the toxicity and the antiviral potential against Chikungunya virus of the bioconjugate AG-FALALKALKKALKKL-COOH (GA-Metabolite 5) using a murine model</w:t>
      </w:r>
    </w:p>
    <w:p w14:paraId="2BD89B7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Chikungunya virus</w:t>
      </w:r>
      <w:r w:rsidRPr="00EE434E">
        <w:rPr>
          <w:rFonts w:ascii="Calibri" w:eastAsia="Times New Roman" w:hAnsi="Calibri" w:cs="Calibri"/>
          <w:i/>
          <w:iCs/>
          <w:color w:val="000000"/>
          <w:kern w:val="0"/>
          <w:sz w:val="22"/>
          <w:szCs w:val="22"/>
          <w14:ligatures w14:val="none"/>
        </w:rPr>
        <w:t> </w:t>
      </w:r>
      <w:r w:rsidRPr="00EE434E">
        <w:rPr>
          <w:rFonts w:ascii="Calibri" w:eastAsia="Times New Roman" w:hAnsi="Calibri" w:cs="Calibri"/>
          <w:color w:val="000000"/>
          <w:kern w:val="0"/>
          <w:sz w:val="22"/>
          <w:szCs w:val="22"/>
          <w14:ligatures w14:val="none"/>
        </w:rPr>
        <w:t>(CHIKV)</w:t>
      </w:r>
      <w:r w:rsidRPr="00EE434E">
        <w:rPr>
          <w:rFonts w:ascii="Calibri" w:eastAsia="Times New Roman" w:hAnsi="Calibri" w:cs="Calibri"/>
          <w:i/>
          <w:iCs/>
          <w:color w:val="000000"/>
          <w:kern w:val="0"/>
          <w:sz w:val="22"/>
          <w:szCs w:val="22"/>
          <w14:ligatures w14:val="none"/>
        </w:rPr>
        <w:t> </w:t>
      </w:r>
      <w:r w:rsidRPr="00EE434E">
        <w:rPr>
          <w:rFonts w:ascii="Calibri" w:eastAsia="Times New Roman" w:hAnsi="Calibri" w:cs="Calibri"/>
          <w:color w:val="000000"/>
          <w:kern w:val="0"/>
          <w:sz w:val="22"/>
          <w:szCs w:val="22"/>
          <w14:ligatures w14:val="none"/>
        </w:rPr>
        <w:t>causes a self-limiting disease usually characterized by fever, headache, arthralgia, and rash. CHIKV is endemic in the equatorial tropics, causing epidemics over the years. Nowadays, there is no antiviral treatment for CHIKV fever. Different bioconjugates have been reported to have antiviral properties. Our study aims to evaluate the toxicity and the antiviral potential against CHIKV of GA-Metabolite 5 in AG129 interferon α, β, and γ receptors knockout mice. To determine the lethal dose of the bioconjugate, 8 to 10-week-old Swiss male mice were treated with 10, 20, 25, 30, and 40mg/kg doses and monitored for 14 days post-administration. The group treated with 10mg/kg had a survival rate of 100% and did not present clinical signs. The groups treated with 20 and 25mg/kg had survival rates of 100% but presented clinical signs such as pain and loss of movement. The groups treated with 30 and 40mg/kg had survival rates of 60 and 20% and presented more severe clinical signs like muscle stiffness and edema. After these findings, 8 to 10-week-old AG129 male mice were treated with 10mg/kg of the bioconjugate and monitored for 14 days post-administration. AG129 mice also had a survival rate of 100% and did not present clinical signs. We monitored for 7 days the clinical signs presented by 8 to 10-week-old AG129 male mice infected with 10</w:t>
      </w:r>
      <w:r w:rsidRPr="00EE434E">
        <w:rPr>
          <w:rFonts w:ascii="Calibri" w:eastAsia="Times New Roman" w:hAnsi="Calibri" w:cs="Calibri"/>
          <w:color w:val="000000"/>
          <w:kern w:val="0"/>
          <w:sz w:val="22"/>
          <w:szCs w:val="22"/>
          <w:vertAlign w:val="superscript"/>
          <w14:ligatures w14:val="none"/>
        </w:rPr>
        <w:t>2</w:t>
      </w:r>
      <w:r w:rsidRPr="00EE434E">
        <w:rPr>
          <w:rFonts w:ascii="Calibri" w:eastAsia="Times New Roman" w:hAnsi="Calibri" w:cs="Calibri"/>
          <w:color w:val="000000"/>
          <w:kern w:val="0"/>
          <w:sz w:val="22"/>
          <w:szCs w:val="22"/>
          <w14:ligatures w14:val="none"/>
        </w:rPr>
        <w:t> to 10</w:t>
      </w:r>
      <w:r w:rsidRPr="00EE434E">
        <w:rPr>
          <w:rFonts w:ascii="Calibri" w:eastAsia="Times New Roman" w:hAnsi="Calibri" w:cs="Calibri"/>
          <w:color w:val="000000"/>
          <w:kern w:val="0"/>
          <w:sz w:val="22"/>
          <w:szCs w:val="22"/>
          <w:vertAlign w:val="superscript"/>
          <w14:ligatures w14:val="none"/>
        </w:rPr>
        <w:t>4</w:t>
      </w:r>
      <w:r w:rsidRPr="00EE434E">
        <w:rPr>
          <w:rFonts w:ascii="Calibri" w:eastAsia="Times New Roman" w:hAnsi="Calibri" w:cs="Calibri"/>
          <w:color w:val="000000"/>
          <w:kern w:val="0"/>
          <w:sz w:val="22"/>
          <w:szCs w:val="22"/>
          <w14:ligatures w14:val="none"/>
        </w:rPr>
        <w:t> PFU/mL of CHIKV East-Central-South-African (ECSA) lineage. The group infected with 10</w:t>
      </w:r>
      <w:r w:rsidRPr="00EE434E">
        <w:rPr>
          <w:rFonts w:ascii="Calibri" w:eastAsia="Times New Roman" w:hAnsi="Calibri" w:cs="Calibri"/>
          <w:color w:val="000000"/>
          <w:kern w:val="0"/>
          <w:sz w:val="22"/>
          <w:szCs w:val="22"/>
          <w:vertAlign w:val="superscript"/>
          <w14:ligatures w14:val="none"/>
        </w:rPr>
        <w:t>2</w:t>
      </w:r>
      <w:r w:rsidRPr="00EE434E">
        <w:rPr>
          <w:rFonts w:ascii="Calibri" w:eastAsia="Times New Roman" w:hAnsi="Calibri" w:cs="Calibri"/>
          <w:color w:val="000000"/>
          <w:kern w:val="0"/>
          <w:sz w:val="22"/>
          <w:szCs w:val="22"/>
          <w14:ligatures w14:val="none"/>
        </w:rPr>
        <w:t> PFU/mL had a survival rate of 80%. Two animals presented pain and loss of movement, and one of them died between the third and the fourth days post-infection (dpi). None of the mice infected with 10</w:t>
      </w:r>
      <w:r w:rsidRPr="00EE434E">
        <w:rPr>
          <w:rFonts w:ascii="Calibri" w:eastAsia="Times New Roman" w:hAnsi="Calibri" w:cs="Calibri"/>
          <w:color w:val="000000"/>
          <w:kern w:val="0"/>
          <w:sz w:val="22"/>
          <w:szCs w:val="22"/>
          <w:vertAlign w:val="superscript"/>
          <w14:ligatures w14:val="none"/>
        </w:rPr>
        <w:t>3</w:t>
      </w:r>
      <w:r w:rsidRPr="00EE434E">
        <w:rPr>
          <w:rFonts w:ascii="Calibri" w:eastAsia="Times New Roman" w:hAnsi="Calibri" w:cs="Calibri"/>
          <w:color w:val="000000"/>
          <w:kern w:val="0"/>
          <w:sz w:val="22"/>
          <w:szCs w:val="22"/>
          <w14:ligatures w14:val="none"/>
        </w:rPr>
        <w:t> and 10</w:t>
      </w:r>
      <w:r w:rsidRPr="00EE434E">
        <w:rPr>
          <w:rFonts w:ascii="Calibri" w:eastAsia="Times New Roman" w:hAnsi="Calibri" w:cs="Calibri"/>
          <w:color w:val="000000"/>
          <w:kern w:val="0"/>
          <w:sz w:val="22"/>
          <w:szCs w:val="22"/>
          <w:vertAlign w:val="superscript"/>
          <w14:ligatures w14:val="none"/>
        </w:rPr>
        <w:t>4</w:t>
      </w:r>
      <w:r w:rsidRPr="00EE434E">
        <w:rPr>
          <w:rFonts w:ascii="Calibri" w:eastAsia="Times New Roman" w:hAnsi="Calibri" w:cs="Calibri"/>
          <w:color w:val="000000"/>
          <w:kern w:val="0"/>
          <w:sz w:val="22"/>
          <w:szCs w:val="22"/>
          <w14:ligatures w14:val="none"/>
        </w:rPr>
        <w:t> PFU/mL survived. For infection with 10</w:t>
      </w:r>
      <w:r w:rsidRPr="00EE434E">
        <w:rPr>
          <w:rFonts w:ascii="Calibri" w:eastAsia="Times New Roman" w:hAnsi="Calibri" w:cs="Calibri"/>
          <w:color w:val="000000"/>
          <w:kern w:val="0"/>
          <w:sz w:val="22"/>
          <w:szCs w:val="22"/>
          <w:vertAlign w:val="superscript"/>
          <w14:ligatures w14:val="none"/>
        </w:rPr>
        <w:t>3</w:t>
      </w:r>
      <w:r w:rsidRPr="00EE434E">
        <w:rPr>
          <w:rFonts w:ascii="Calibri" w:eastAsia="Times New Roman" w:hAnsi="Calibri" w:cs="Calibri"/>
          <w:color w:val="000000"/>
          <w:kern w:val="0"/>
          <w:sz w:val="22"/>
          <w:szCs w:val="22"/>
          <w14:ligatures w14:val="none"/>
        </w:rPr>
        <w:t> PFU/mL, 90% of the deaths occurred between the second and the third dpi, and 10% occurred between the third and the fourth dpi. The animals presented pain and loss of movement from the second dpi. For infection with 10</w:t>
      </w:r>
      <w:r w:rsidRPr="00EE434E">
        <w:rPr>
          <w:rFonts w:ascii="Calibri" w:eastAsia="Times New Roman" w:hAnsi="Calibri" w:cs="Calibri"/>
          <w:color w:val="000000"/>
          <w:kern w:val="0"/>
          <w:sz w:val="22"/>
          <w:szCs w:val="22"/>
          <w:vertAlign w:val="superscript"/>
          <w14:ligatures w14:val="none"/>
        </w:rPr>
        <w:t>4</w:t>
      </w:r>
      <w:r w:rsidRPr="00EE434E">
        <w:rPr>
          <w:rFonts w:ascii="Calibri" w:eastAsia="Times New Roman" w:hAnsi="Calibri" w:cs="Calibri"/>
          <w:color w:val="000000"/>
          <w:kern w:val="0"/>
          <w:sz w:val="22"/>
          <w:szCs w:val="22"/>
          <w14:ligatures w14:val="none"/>
        </w:rPr>
        <w:t> PFU/mL, 100% of the deaths suddenly occurred between the second and the third dpi, and the animals did not present clinical signs. Further analyses will be performed to understand the effect of GA-Metabolite 5 against CHIKV in AG129 mice.</w:t>
      </w:r>
    </w:p>
    <w:p w14:paraId="2FD14F4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25-A-3174-ASTMH</w:t>
      </w:r>
    </w:p>
    <w:p w14:paraId="0BDBBE0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Prevention</w:t>
      </w:r>
    </w:p>
    <w:p w14:paraId="0815B47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Key lessons from integrating SMC and a community-based catch-up strategy for pregnant women and children under five for ANC and immunization</w:t>
      </w:r>
    </w:p>
    <w:p w14:paraId="43B9DDC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Integration of health interventions can maximize the impact of programs while optimizing resources. In Guinea, Seasonal Malaria Chemoprevention (SMC) was combined with a community-based catch-up strategy for vaccinating children under 23 months and linking pregnant women to prenatal consultations. This study aims to analyze the key lessons learned from this integrated initiative in terms of effectiveness, acceptability, and operational challenges. The integration was implemented between 2021 and 2024 across 10 health districts, targeting children aged 3 to 59 months for SMC, children aged 0 to 23 months for catch-up vaccination and pregnant women for prenatal consultations. As part of the SMC campaign, Community health workers (CHWs) administered sulfadoxine-pyrimethamine and amodiaquine (SPAQ) door-to-door and identifyed 23,817 children who had missed vaccinations, including 2,389 zero dose children, and 4,651 pregnant women who had missed or not attended prenatal consultations. A dedicated team then provided catch-up vaccinations and encouraged continued medical follow-up. Among children identified as behind on their vaccinations, 78% were caught up. Among zero dose children 9% were fully vaccinated, results were limited by stockouts of BCG vaccines. SMC coverage remained stable despite the integration, reaching 92% in the targeted areas. For pregnant women, 3,899 (84%) of those identified as delayed in receiving care were located and caught up. Qualitative inputs showed that implementers perceived the integration as effective, though it added to the workload of CHWs. Participants expressed a positive perception, highlighting improved access to preventive health services. Integrating SMC with a catch-up strategy for vaccination and prenatal consultations improved service coverage for young children and pregnant women without </w:t>
      </w:r>
      <w:r w:rsidRPr="00EE434E">
        <w:rPr>
          <w:rFonts w:ascii="Calibri" w:eastAsia="Times New Roman" w:hAnsi="Calibri" w:cs="Calibri"/>
          <w:color w:val="000000"/>
          <w:kern w:val="0"/>
          <w:sz w:val="22"/>
          <w:szCs w:val="22"/>
          <w14:ligatures w14:val="none"/>
        </w:rPr>
        <w:lastRenderedPageBreak/>
        <w:t>compromising the performance of SMC campaigns. However, challenges remain, particularly regarding CHW workload and logistical resources. Strengthened planning and support for CHWs are essential to ensure the sustainability and effectiveness of this integrated approach.</w:t>
      </w:r>
    </w:p>
    <w:p w14:paraId="4C7CED6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25-A-3175-ASTMH</w:t>
      </w:r>
    </w:p>
    <w:p w14:paraId="6FABB23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One Health: The Interface of Humans, Ecosystems, and Animal Health</w:t>
      </w:r>
    </w:p>
    <w:p w14:paraId="28E21F7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Hidden Threat to Urban Public Health: Metagenomic Evidence of High Risk Zoonotic Pathogens in Pet African Grey Parrots</w:t>
      </w:r>
    </w:p>
    <w:p w14:paraId="05DCCB9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Trade and trafficking of wild birds, poses a significant public health risk due to their close interaction with humans and potential for zoonotic disease transmission. Documented cases include psittacosis, salmonellosis, avian tuberculosis, cryptosporidiosis, giardiasis among others. In 2022, a Kenya Wildlife Service amnesty led to surrender of 917 African Grey Parrots (</w:t>
      </w:r>
      <w:r w:rsidRPr="00EE434E">
        <w:rPr>
          <w:rFonts w:ascii="Calibri" w:eastAsia="Times New Roman" w:hAnsi="Calibri" w:cs="Calibri"/>
          <w:i/>
          <w:iCs/>
          <w:color w:val="000000"/>
          <w:kern w:val="0"/>
          <w:sz w:val="22"/>
          <w:szCs w:val="22"/>
          <w14:ligatures w14:val="none"/>
        </w:rPr>
        <w:t>Psittacus erithacus</w:t>
      </w:r>
      <w:r w:rsidRPr="00EE434E">
        <w:rPr>
          <w:rFonts w:ascii="Calibri" w:eastAsia="Times New Roman" w:hAnsi="Calibri" w:cs="Calibri"/>
          <w:color w:val="000000"/>
          <w:kern w:val="0"/>
          <w:sz w:val="22"/>
          <w:szCs w:val="22"/>
          <w14:ligatures w14:val="none"/>
        </w:rPr>
        <w:t>) from urban households. This endangered species, native to equatorial forests, is popular in the global pet trade due to its intelligence and vocal mimicry. This study aimed to characterize microbial pathogens harbored by captive grey parrots and evaluate zoonotic potential. Shotgun metagenomic sequencing on Illumina was done for representative parrots across urban regions. Pathogens of public health concern were detected including </w:t>
      </w:r>
      <w:r w:rsidRPr="00EE434E">
        <w:rPr>
          <w:rFonts w:ascii="Calibri" w:eastAsia="Times New Roman" w:hAnsi="Calibri" w:cs="Calibri"/>
          <w:i/>
          <w:iCs/>
          <w:color w:val="000000"/>
          <w:kern w:val="0"/>
          <w:sz w:val="22"/>
          <w:szCs w:val="22"/>
          <w14:ligatures w14:val="none"/>
        </w:rPr>
        <w:t>Yersinia pestis, Escherichia coli, Salmonella enterica, Staphylococcus aureus, Vibrio cholerae, Burkholderia pseudomallei, Burkholderia mallei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Shigella dysenteriae</w:t>
      </w:r>
      <w:r w:rsidRPr="00EE434E">
        <w:rPr>
          <w:rFonts w:ascii="Calibri" w:eastAsia="Times New Roman" w:hAnsi="Calibri" w:cs="Calibri"/>
          <w:color w:val="000000"/>
          <w:kern w:val="0"/>
          <w:sz w:val="22"/>
          <w:szCs w:val="22"/>
          <w14:ligatures w14:val="none"/>
        </w:rPr>
        <w:t>. High mortality rate pathogens included </w:t>
      </w:r>
      <w:r w:rsidRPr="00EE434E">
        <w:rPr>
          <w:rFonts w:ascii="Calibri" w:eastAsia="Times New Roman" w:hAnsi="Calibri" w:cs="Calibri"/>
          <w:i/>
          <w:iCs/>
          <w:color w:val="000000"/>
          <w:kern w:val="0"/>
          <w:sz w:val="22"/>
          <w:szCs w:val="22"/>
          <w14:ligatures w14:val="none"/>
        </w:rPr>
        <w:t>Neisseria meningitidis, Achromobacter xylosoxidans, Klebsiella pneumoniae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Enterobacter cloacae</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A. xylosoxidans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N. meningitidis </w:t>
      </w:r>
      <w:r w:rsidRPr="00EE434E">
        <w:rPr>
          <w:rFonts w:ascii="Calibri" w:eastAsia="Times New Roman" w:hAnsi="Calibri" w:cs="Calibri"/>
          <w:color w:val="000000"/>
          <w:kern w:val="0"/>
          <w:sz w:val="22"/>
          <w:szCs w:val="22"/>
          <w14:ligatures w14:val="none"/>
        </w:rPr>
        <w:t>are associated with mortality rates of up to 15% even when undergoing treatment. Notably, this is the first documented detection of </w:t>
      </w:r>
      <w:r w:rsidRPr="00EE434E">
        <w:rPr>
          <w:rFonts w:ascii="Calibri" w:eastAsia="Times New Roman" w:hAnsi="Calibri" w:cs="Calibri"/>
          <w:i/>
          <w:iCs/>
          <w:color w:val="000000"/>
          <w:kern w:val="0"/>
          <w:sz w:val="22"/>
          <w:szCs w:val="22"/>
          <w14:ligatures w14:val="none"/>
        </w:rPr>
        <w:t>N. meningitidis</w:t>
      </w:r>
      <w:r w:rsidRPr="00EE434E">
        <w:rPr>
          <w:rFonts w:ascii="Calibri" w:eastAsia="Times New Roman" w:hAnsi="Calibri" w:cs="Calibri"/>
          <w:color w:val="000000"/>
          <w:kern w:val="0"/>
          <w:sz w:val="22"/>
          <w:szCs w:val="22"/>
          <w14:ligatures w14:val="none"/>
        </w:rPr>
        <w:t> in parrots and avian species pointing to a silent unsuspected zoonotic reservoir.</w:t>
      </w:r>
      <w:r w:rsidRPr="00EE434E">
        <w:rPr>
          <w:rFonts w:ascii="Calibri" w:eastAsia="Times New Roman" w:hAnsi="Calibri" w:cs="Calibri"/>
          <w:b/>
          <w:bCs/>
          <w:color w:val="000000"/>
          <w:kern w:val="0"/>
          <w:sz w:val="22"/>
          <w:szCs w:val="22"/>
          <w14:ligatures w14:val="none"/>
        </w:rPr>
        <w:t> </w:t>
      </w:r>
      <w:r w:rsidRPr="00EE434E">
        <w:rPr>
          <w:rFonts w:ascii="Calibri" w:eastAsia="Times New Roman" w:hAnsi="Calibri" w:cs="Calibri"/>
          <w:color w:val="000000"/>
          <w:kern w:val="0"/>
          <w:sz w:val="22"/>
          <w:szCs w:val="22"/>
          <w14:ligatures w14:val="none"/>
        </w:rPr>
        <w:t>The most abundant pathogens based on copy numbers were </w:t>
      </w:r>
      <w:r w:rsidRPr="00EE434E">
        <w:rPr>
          <w:rFonts w:ascii="Calibri" w:eastAsia="Times New Roman" w:hAnsi="Calibri" w:cs="Calibri"/>
          <w:i/>
          <w:iCs/>
          <w:color w:val="000000"/>
          <w:kern w:val="0"/>
          <w:sz w:val="22"/>
          <w:szCs w:val="22"/>
          <w14:ligatures w14:val="none"/>
        </w:rPr>
        <w:t>S. aureus, Leptospira santarosai, Pseudomonas aeruginosa, Streptococcus pyogenes,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E. coli</w:t>
      </w:r>
      <w:r w:rsidRPr="00EE434E">
        <w:rPr>
          <w:rFonts w:ascii="Calibri" w:eastAsia="Times New Roman" w:hAnsi="Calibri" w:cs="Calibri"/>
          <w:color w:val="000000"/>
          <w:kern w:val="0"/>
          <w:sz w:val="22"/>
          <w:szCs w:val="22"/>
          <w14:ligatures w14:val="none"/>
        </w:rPr>
        <w:t>. Dominance of </w:t>
      </w:r>
      <w:r w:rsidRPr="00EE434E">
        <w:rPr>
          <w:rFonts w:ascii="Calibri" w:eastAsia="Times New Roman" w:hAnsi="Calibri" w:cs="Calibri"/>
          <w:i/>
          <w:iCs/>
          <w:color w:val="000000"/>
          <w:kern w:val="0"/>
          <w:sz w:val="22"/>
          <w:szCs w:val="22"/>
          <w14:ligatures w14:val="none"/>
        </w:rPr>
        <w:t>E. coli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S. aureus</w:t>
      </w:r>
      <w:r w:rsidRPr="00EE434E">
        <w:rPr>
          <w:rFonts w:ascii="Calibri" w:eastAsia="Times New Roman" w:hAnsi="Calibri" w:cs="Calibri"/>
          <w:color w:val="000000"/>
          <w:kern w:val="0"/>
          <w:sz w:val="22"/>
          <w:szCs w:val="22"/>
          <w14:ligatures w14:val="none"/>
        </w:rPr>
        <w:t> raises critical concerns due to their multidrug resistance and severe clinical implications. Presence of </w:t>
      </w:r>
      <w:r w:rsidRPr="00EE434E">
        <w:rPr>
          <w:rFonts w:ascii="Calibri" w:eastAsia="Times New Roman" w:hAnsi="Calibri" w:cs="Calibri"/>
          <w:i/>
          <w:iCs/>
          <w:color w:val="000000"/>
          <w:kern w:val="0"/>
          <w:sz w:val="22"/>
          <w:szCs w:val="22"/>
          <w14:ligatures w14:val="none"/>
        </w:rPr>
        <w:t>K. pneumoniae </w:t>
      </w:r>
      <w:r w:rsidRPr="00EE434E">
        <w:rPr>
          <w:rFonts w:ascii="Calibri" w:eastAsia="Times New Roman" w:hAnsi="Calibri" w:cs="Calibri"/>
          <w:color w:val="000000"/>
          <w:kern w:val="0"/>
          <w:sz w:val="22"/>
          <w:szCs w:val="22"/>
          <w14:ligatures w14:val="none"/>
        </w:rPr>
        <w:t>and </w:t>
      </w:r>
      <w:r w:rsidRPr="00EE434E">
        <w:rPr>
          <w:rFonts w:ascii="Calibri" w:eastAsia="Times New Roman" w:hAnsi="Calibri" w:cs="Calibri"/>
          <w:i/>
          <w:iCs/>
          <w:color w:val="000000"/>
          <w:kern w:val="0"/>
          <w:sz w:val="22"/>
          <w:szCs w:val="22"/>
          <w14:ligatures w14:val="none"/>
        </w:rPr>
        <w:t>Pseudomonas pneumoniae</w:t>
      </w:r>
      <w:r w:rsidRPr="00EE434E">
        <w:rPr>
          <w:rFonts w:ascii="Calibri" w:eastAsia="Times New Roman" w:hAnsi="Calibri" w:cs="Calibri"/>
          <w:color w:val="000000"/>
          <w:kern w:val="0"/>
          <w:sz w:val="22"/>
          <w:szCs w:val="22"/>
          <w14:ligatures w14:val="none"/>
        </w:rPr>
        <w:t> further highlight risk of life-threatening respiratory infections at the human-animal interface. This study provides evidence that wild pet trade may accelerate disease emergence at the human-animal interface, necessitating proactive biosecurity measures and surveillance. A One Health approach is vital to mitigate cross-species transmission, and enhance early threat detection.</w:t>
      </w:r>
    </w:p>
    <w:p w14:paraId="027BAA7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25-A-3176-ASTMH</w:t>
      </w:r>
    </w:p>
    <w:p w14:paraId="5D4750B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Clinical Tropical Medicine</w:t>
      </w:r>
    </w:p>
    <w:p w14:paraId="13EFC91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 case series of two Coxiella burnetii clinical cases with cross-reacting Hepatitis E serology and no clinical evidence of ongoing or prior Hepatitis E infection</w:t>
      </w:r>
    </w:p>
    <w:p w14:paraId="7102043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Our medical center’s catchment area includes regions considered endemic for Q fever (Coxiella burnetii). Acute hepatitis diagnostic testing in our area for patients who are hepatitis A, B, and C seronegative frequently includes testing for both Coxiella burnetii and Hepatitis E virus (HEV). We present two cases of acute Q fever with positive HEV antibody tests thought to be secondary to cross reactivity of the HEV assay utilized. Both patients presented with elevated alanine aminotransferase (ALT) and aspartate aminotransferase (AST), cyclic fevers, and night sweats. Both patients were subsequently diagnosed with Q fever based on positive serologies. Interestingly, both patients had elevated HEV IgM on presentation, and also one with initially positive HEV IgG which was negative on repeat testing nine months later. One patient was additionally tested with a HEV polymerase chain reaction (PCR) assay which was negative. Both patients improved after long courses of doxycycline and hydroxychloroquine. HEV seropositivity in both of these patients with acute Q Fever likely represented cross reactivity rather than coinfection or previous infection with HEV. Quest Diagnostics was used for the Q fever and HEV assays. The Q fever IgG and IgM assays used were FDA approved indirect immunofluorescence assays. The HEV assay used was a bead-based immunoassay developed by Quest </w:t>
      </w:r>
      <w:r w:rsidRPr="00EE434E">
        <w:rPr>
          <w:rFonts w:ascii="Calibri" w:eastAsia="Times New Roman" w:hAnsi="Calibri" w:cs="Calibri"/>
          <w:color w:val="000000"/>
          <w:kern w:val="0"/>
          <w:sz w:val="22"/>
          <w:szCs w:val="22"/>
          <w14:ligatures w14:val="none"/>
        </w:rPr>
        <w:lastRenderedPageBreak/>
        <w:t>Diagnostics. Clinicians should consider the possibility of false positive HEV serological testing in the setting of acute Q fever.</w:t>
      </w:r>
    </w:p>
    <w:p w14:paraId="7569A1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25-A-3177-ASTMH</w:t>
      </w:r>
    </w:p>
    <w:p w14:paraId="706B697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Immunology</w:t>
      </w:r>
    </w:p>
    <w:p w14:paraId="63BB014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Immune Dysregulation and Trained Immunity Dysfunction in Long COVID: Insights from Transcriptomic and Network Analyses</w:t>
      </w:r>
    </w:p>
    <w:p w14:paraId="182D006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Post-acute sequelae of SARS-CoV-2 infection (PASC) refer to persistent symptoms that occur after incomplete recovery from the acute phase of COVID-19. Enhanced immune responses during the acute infection can result in systemic inflammation and tissue injury. It is hypothesized that persistent viral antigens may contribute to ongoing immune activation and delayed recovery.</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b/>
          <w:bCs/>
          <w:color w:val="000000"/>
          <w:kern w:val="0"/>
          <w:sz w:val="22"/>
          <w:szCs w:val="22"/>
          <w14:ligatures w14:val="none"/>
        </w:rPr>
        <w:t>We conducted a longitudinal follow- up study involving PASC patients (n = 33), defined as individuals with confirmed SARS- CoV- 2 infection and symptoms lasting up to two years post- infection. Whole transcriptome profiling was performed on blood samples from PASC patients (n = 31) and controls (n = 25) using bulk RNA sequencing. Analyses included alignment, quantification, and differential expression through DESeq 2, followed by pathway enrichment analysis using KEGG, Gene Ontology (GO), and Reactome databases. We identified 37 differentially expressed genes, including innate immune pathways such as Nod- like receptor signaling, complement cascade, and interferon signaling. Weighted Gene Co- expression Network Analysis (WGCNA) confirmed these results, identifying 663 candidate hub genes across three significantly altered eigengene modules: ME 30 (LogFC =- 0. 11869; p = 0. 0227), ME 26 (LogFC =- 0. 11083; p = 0. 0254), and ME 10 (LogFC =- 0. 10341; p = 0. 0345). Overlapping analyses uncovered 24 shared genes, with CCL 2 (C- C motif chemokine ligand 2 / MCP- 1), IFIT 1 (Interferon- Induced Protein with Tetratricopeptide Repeats 1), and CMPK 2 (Cytidine/Uridine Monophosphate Kinase 2) showing significant upregulation in PASC patients compared to controls.Our preliminary data indicate that activation of innate immune pathways, including interferon-stimulated genes and CMPK 2, persists for several months post- infection in PASC patients. This prolonged activation implies ongoing antiviral responses during PASC. Given the complexity of immune dysregulation seen in Long COVID, further investigation using single- cell RNA sequencing is necessary to delineate the specific cellular and molecular mechanisms underlying these persistent immune alterations.</w:t>
      </w:r>
    </w:p>
    <w:p w14:paraId="1175095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25-A-3180-ASTMH</w:t>
      </w:r>
    </w:p>
    <w:p w14:paraId="51F448F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Diagnosis - Challenges and Innovations</w:t>
      </w:r>
    </w:p>
    <w:p w14:paraId="239FF6F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Antimalarial and diagnostic test market landscape in Cameroon’s private sector: Insights from ACTwatch Lite in Central and Littoral regions.</w:t>
      </w:r>
    </w:p>
    <w:p w14:paraId="4AD1FCE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Background</w:t>
      </w:r>
      <w:r w:rsidRPr="00EE434E">
        <w:rPr>
          <w:rFonts w:ascii="Calibri" w:eastAsia="Times New Roman" w:hAnsi="Calibri" w:cs="Calibri"/>
          <w:color w:val="000000"/>
          <w:kern w:val="0"/>
          <w:sz w:val="22"/>
          <w:szCs w:val="22"/>
          <w14:ligatures w14:val="none"/>
        </w:rPr>
        <w:t>: Cameroon is among the 11 countries bearing 70% of the global malaria burden. Despite progress from 2005-2011, malaria cases and deaths have since resurged. With 70% of childhood fever cases managed in the private sector, its role in malaria care is critical, yet under-evaluated. </w:t>
      </w:r>
      <w:r w:rsidRPr="00EE434E">
        <w:rPr>
          <w:rFonts w:ascii="Calibri" w:eastAsia="Times New Roman" w:hAnsi="Calibri" w:cs="Calibri"/>
          <w:b/>
          <w:bCs/>
          <w:color w:val="000000"/>
          <w:kern w:val="0"/>
          <w:sz w:val="22"/>
          <w:szCs w:val="22"/>
          <w14:ligatures w14:val="none"/>
        </w:rPr>
        <w:t>Methods</w:t>
      </w:r>
      <w:r w:rsidRPr="00EE434E">
        <w:rPr>
          <w:rFonts w:ascii="Calibri" w:eastAsia="Times New Roman" w:hAnsi="Calibri" w:cs="Calibri"/>
          <w:color w:val="000000"/>
          <w:kern w:val="0"/>
          <w:sz w:val="22"/>
          <w:szCs w:val="22"/>
          <w14:ligatures w14:val="none"/>
        </w:rPr>
        <w:t>: From March to May 2024, we conducted a cross-sectional market survey of private retail, wholesale outlets, and importers of antimalarial commodities (availability, price and market share of antimalarials and availability and price of malaria blood tests) representative of the Centre and Littoral regions of Cameroon. A key aim was to provide data to inform regional, national and global decision making to improve malaria case management in private sector. </w:t>
      </w:r>
      <w:r w:rsidRPr="00EE434E">
        <w:rPr>
          <w:rFonts w:ascii="Calibri" w:eastAsia="Times New Roman" w:hAnsi="Calibri" w:cs="Calibri"/>
          <w:b/>
          <w:bCs/>
          <w:color w:val="000000"/>
          <w:kern w:val="0"/>
          <w:sz w:val="22"/>
          <w:szCs w:val="22"/>
          <w14:ligatures w14:val="none"/>
        </w:rPr>
        <w:t>Results: </w:t>
      </w:r>
      <w:r w:rsidRPr="00EE434E">
        <w:rPr>
          <w:rFonts w:ascii="Calibri" w:eastAsia="Times New Roman" w:hAnsi="Calibri" w:cs="Calibri"/>
          <w:color w:val="000000"/>
          <w:kern w:val="0"/>
          <w:sz w:val="22"/>
          <w:szCs w:val="22"/>
          <w14:ligatures w14:val="none"/>
        </w:rPr>
        <w:t xml:space="preserve">In the Central and Littoral regions of Cameroon, half of the private-sector antimalarial distributors identified operated within the informal sector. Private pharmacies held 35% of the antimalarial market but only 4% of the diagnostic market. Artemisinin-based combination therapies (ACTs), mainly artemether-lumefantrine (AL), made up 80% of antimalarial market share. However, ACT availability was limited in private for-profit facilities (59%), especially non-AL formulations. Sulfadoxine-pyrimethamine was found in 11% of private for-profit and 26% of faith-based facilities, while 6% of pharmacies stocked oral artemisinin monotherapies. Although 91% of providers in the formal sector knew of rapid diagnostic tests (RDTs), only 59% used them, and 45% of providers in for-profit health facilities (clinics/hospitals) said they would provide antimalarials </w:t>
      </w:r>
      <w:r w:rsidRPr="00EE434E">
        <w:rPr>
          <w:rFonts w:ascii="Calibri" w:eastAsia="Times New Roman" w:hAnsi="Calibri" w:cs="Calibri"/>
          <w:color w:val="000000"/>
          <w:kern w:val="0"/>
          <w:sz w:val="22"/>
          <w:szCs w:val="22"/>
          <w14:ligatures w14:val="none"/>
        </w:rPr>
        <w:lastRenderedPageBreak/>
        <w:t>despite a negative test result. </w:t>
      </w:r>
      <w:r w:rsidRPr="00EE434E">
        <w:rPr>
          <w:rFonts w:ascii="Calibri" w:eastAsia="Times New Roman" w:hAnsi="Calibri" w:cs="Calibri"/>
          <w:b/>
          <w:bCs/>
          <w:color w:val="000000"/>
          <w:kern w:val="0"/>
          <w:sz w:val="22"/>
          <w:szCs w:val="22"/>
          <w14:ligatures w14:val="none"/>
        </w:rPr>
        <w:t>Conclusions</w:t>
      </w:r>
      <w:r w:rsidRPr="00EE434E">
        <w:rPr>
          <w:rFonts w:ascii="Calibri" w:eastAsia="Times New Roman" w:hAnsi="Calibri" w:cs="Calibri"/>
          <w:color w:val="000000"/>
          <w:kern w:val="0"/>
          <w:sz w:val="22"/>
          <w:szCs w:val="22"/>
          <w14:ligatures w14:val="none"/>
        </w:rPr>
        <w:t>: This study, the first of its kind in Cameroon, reveals critical gaps in malaria case management (including diagnostics) in Cameroon’s private sector. Urgent policy action, better regulation, and investment are needed to strengthen this sector’s role in malaria control and elimination efforts.</w:t>
      </w:r>
    </w:p>
    <w:p w14:paraId="74E10DD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25-A-3181-ASTMH</w:t>
      </w:r>
    </w:p>
    <w:p w14:paraId="78DC4FE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Enteric Infections</w:t>
      </w:r>
    </w:p>
    <w:p w14:paraId="36F28C0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Fecal biomarkers to characterize intestinal inflammation among children with diarrhea in low-resource settings: Enterics for Global Health-</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Surveillance Study</w:t>
      </w:r>
    </w:p>
    <w:p w14:paraId="11F23E5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Bacterial pathogens are leading causes of diarrhea among children under 5 in low-resource settings, but current WHO guidance recommends treating only bloody diarrhea. Our aim was to evaluate the performance of inflammatory biomarkers in stools to identify bacterial episodes that may benefit from antibiotics among children in these settings. Preliminary data from the Enterics for Global Health (EFGH)-</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surveillance study were analyzed on 4198 children (43.8% females, n=1733/3953; mean age: 14.7 months ± 7.3 months) presenting to care with diarrhea from Bangladesh, The Gambia, Kenya, Malawi, Pakistan, and Peru (July 2022 – June 2024). Biomarkers analyzed were calprotectin (CAL), hemoglobin (HAEM), myeloperoxidase (MPO), and lipocalin-2 (NGAL). Among 10 pathogens (</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tEPEC, </w:t>
      </w:r>
      <w:r w:rsidRPr="00EE434E">
        <w:rPr>
          <w:rFonts w:ascii="Calibri" w:eastAsia="Times New Roman" w:hAnsi="Calibri" w:cs="Calibri"/>
          <w:i/>
          <w:iCs/>
          <w:color w:val="000000"/>
          <w:kern w:val="0"/>
          <w:sz w:val="22"/>
          <w:szCs w:val="22"/>
          <w14:ligatures w14:val="none"/>
        </w:rPr>
        <w:t>Campylobacter, </w:t>
      </w:r>
      <w:r w:rsidRPr="00EE434E">
        <w:rPr>
          <w:rFonts w:ascii="Calibri" w:eastAsia="Times New Roman" w:hAnsi="Calibri" w:cs="Calibri"/>
          <w:color w:val="000000"/>
          <w:kern w:val="0"/>
          <w:sz w:val="22"/>
          <w:szCs w:val="22"/>
          <w14:ligatures w14:val="none"/>
        </w:rPr>
        <w:t>ST-ETEC, </w:t>
      </w:r>
      <w:r w:rsidRPr="00EE434E">
        <w:rPr>
          <w:rFonts w:ascii="Calibri" w:eastAsia="Times New Roman" w:hAnsi="Calibri" w:cs="Calibri"/>
          <w:i/>
          <w:iCs/>
          <w:color w:val="000000"/>
          <w:kern w:val="0"/>
          <w:sz w:val="22"/>
          <w:szCs w:val="22"/>
          <w14:ligatures w14:val="none"/>
        </w:rPr>
        <w:t>Cryptosporidium, </w:t>
      </w:r>
      <w:r w:rsidRPr="00EE434E">
        <w:rPr>
          <w:rFonts w:ascii="Calibri" w:eastAsia="Times New Roman" w:hAnsi="Calibri" w:cs="Calibri"/>
          <w:color w:val="000000"/>
          <w:kern w:val="0"/>
          <w:sz w:val="22"/>
          <w:szCs w:val="22"/>
          <w14:ligatures w14:val="none"/>
        </w:rPr>
        <w:t>Adenovirus 40/41, Astrovirus, Norovirus GII, Rotavirus, and Sapovirus), the highest concentrations of CAL, HAEM, and MPO were found in </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whereas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Cryptosporidium</w:t>
      </w:r>
      <w:r w:rsidRPr="00EE434E">
        <w:rPr>
          <w:rFonts w:ascii="Calibri" w:eastAsia="Times New Roman" w:hAnsi="Calibri" w:cs="Calibri"/>
          <w:color w:val="000000"/>
          <w:kern w:val="0"/>
          <w:sz w:val="22"/>
          <w:szCs w:val="22"/>
          <w14:ligatures w14:val="none"/>
        </w:rPr>
        <w:t> had the highest NGAL concentrations. </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was the only pathogen positively associated across all biomarkers, and the strongest association was with HAEM (mean difference: 0.18; 95% CI: 0.16, 0.21). MPO and CAL were moderately correlated (</w:t>
      </w:r>
      <w:r w:rsidRPr="00EE434E">
        <w:rPr>
          <w:rFonts w:ascii="Calibri" w:eastAsia="Times New Roman" w:hAnsi="Calibri" w:cs="Calibri"/>
          <w:i/>
          <w:iCs/>
          <w:color w:val="000000"/>
          <w:kern w:val="0"/>
          <w:sz w:val="22"/>
          <w:szCs w:val="22"/>
          <w14:ligatures w14:val="none"/>
        </w:rPr>
        <w:t>R</w:t>
      </w:r>
      <w:r w:rsidRPr="00EE434E">
        <w:rPr>
          <w:rFonts w:ascii="Calibri" w:eastAsia="Times New Roman" w:hAnsi="Calibri" w:cs="Calibri"/>
          <w:color w:val="000000"/>
          <w:kern w:val="0"/>
          <w:sz w:val="22"/>
          <w:szCs w:val="22"/>
          <w14:ligatures w14:val="none"/>
        </w:rPr>
        <w:t>=0.66), while others were weakly correlated (</w:t>
      </w:r>
      <w:r w:rsidRPr="00EE434E">
        <w:rPr>
          <w:rFonts w:ascii="Calibri" w:eastAsia="Times New Roman" w:hAnsi="Calibri" w:cs="Calibri"/>
          <w:i/>
          <w:iCs/>
          <w:color w:val="000000"/>
          <w:kern w:val="0"/>
          <w:sz w:val="22"/>
          <w:szCs w:val="22"/>
          <w14:ligatures w14:val="none"/>
        </w:rPr>
        <w:t>R</w:t>
      </w:r>
      <w:r w:rsidRPr="00EE434E">
        <w:rPr>
          <w:rFonts w:ascii="Calibri" w:eastAsia="Times New Roman" w:hAnsi="Calibri" w:cs="Calibri"/>
          <w:color w:val="000000"/>
          <w:kern w:val="0"/>
          <w:sz w:val="22"/>
          <w:szCs w:val="22"/>
          <w14:ligatures w14:val="none"/>
        </w:rPr>
        <w:t>=0.29-0.40). Notably, culture-/PCR+ more closely resembled culture+/PCR+ than culture-/PCR-. Caregivers accurately predicted blood in stool (AUC=0.69), but only 31.3% of caregivers correctly reported blood when HAEM was present. In multivariable models, among </w:t>
      </w:r>
      <w:r w:rsidRPr="00EE434E">
        <w:rPr>
          <w:rFonts w:ascii="Calibri" w:eastAsia="Times New Roman" w:hAnsi="Calibri" w:cs="Calibri"/>
          <w:i/>
          <w:iCs/>
          <w:color w:val="000000"/>
          <w:kern w:val="0"/>
          <w:sz w:val="22"/>
          <w:szCs w:val="22"/>
          <w14:ligatures w14:val="none"/>
        </w:rPr>
        <w:t>Shigella</w:t>
      </w:r>
      <w:r w:rsidRPr="00EE434E">
        <w:rPr>
          <w:rFonts w:ascii="Calibri" w:eastAsia="Times New Roman" w:hAnsi="Calibri" w:cs="Calibri"/>
          <w:color w:val="000000"/>
          <w:kern w:val="0"/>
          <w:sz w:val="22"/>
          <w:szCs w:val="22"/>
          <w14:ligatures w14:val="none"/>
        </w:rPr>
        <w:t> episodes, dysentery was positively and vomiting negatively associated with the biomarkers, with the strongest associations observed for HAEM (dysentery mean difference: 0.68, 95% CI: 0.56–0.79 and vomiting mean difference: -0.17, 95% CI: -0.29, -0.06). Age, sex, and acute and chronic malnutrition were not associated with inflammatory biomarker concentrations. HAEM shows promise in identifying bacterial diarrhea that may benefit from antibiotics, but further refinement in biomarker use and diagnostic strategies are warranted.</w:t>
      </w:r>
    </w:p>
    <w:p w14:paraId="154F1F2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25-A-3182-ASTMH</w:t>
      </w:r>
    </w:p>
    <w:p w14:paraId="176AB27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Enteric Infections</w:t>
      </w:r>
    </w:p>
    <w:p w14:paraId="734D923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Assessing the presence of other enteric pathogens in Cholera-like diarrheal diseases during seasonal outbreaks</w:t>
      </w:r>
    </w:p>
    <w:p w14:paraId="01F0168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Zambia, recent surges in cholera cases have highlighted the importance of investigating the potential role of non-</w:t>
      </w:r>
      <w:r w:rsidRPr="00EE434E">
        <w:rPr>
          <w:rFonts w:ascii="Calibri" w:eastAsia="Times New Roman" w:hAnsi="Calibri" w:cs="Calibri"/>
          <w:i/>
          <w:iCs/>
          <w:color w:val="000000"/>
          <w:kern w:val="0"/>
          <w:sz w:val="22"/>
          <w:szCs w:val="22"/>
          <w14:ligatures w14:val="none"/>
        </w:rPr>
        <w:t>Vibrio cholerae</w:t>
      </w:r>
      <w:r w:rsidRPr="00EE434E">
        <w:rPr>
          <w:rFonts w:ascii="Calibri" w:eastAsia="Times New Roman" w:hAnsi="Calibri" w:cs="Calibri"/>
          <w:color w:val="000000"/>
          <w:kern w:val="0"/>
          <w:sz w:val="22"/>
          <w:szCs w:val="22"/>
          <w14:ligatures w14:val="none"/>
        </w:rPr>
        <w:t> pathogens in causing cholera-like diarrheal illnesses, particularly during seasonal outbreaks.</w:t>
      </w:r>
      <w:r w:rsidRPr="00EE434E">
        <w:rPr>
          <w:rFonts w:ascii="Calibri" w:eastAsia="Times New Roman" w:hAnsi="Calibri" w:cs="Calibri"/>
          <w:color w:val="000000"/>
          <w:kern w:val="0"/>
          <w:sz w:val="22"/>
          <w:szCs w:val="22"/>
          <w14:ligatures w14:val="none"/>
        </w:rPr>
        <w:br/>
        <w:t>A cross-sectional study was conducted during the 2024 cholera outbreak in Zambia, enrolling 272 individuals who presented with acute “rice-water” diarrhea at five healthcare facilities. Stool specimens were collected and tested for a panel of pathogens using a commercial multiplex polymerase chain reaction (PCR) assay. Statistical analyses were carried out to evaluate the relationship between co-infections and demographic variables, including HIV status.</w:t>
      </w:r>
      <w:r w:rsidRPr="00EE434E">
        <w:rPr>
          <w:rFonts w:ascii="Calibri" w:eastAsia="Times New Roman" w:hAnsi="Calibri" w:cs="Calibri"/>
          <w:color w:val="000000"/>
          <w:kern w:val="0"/>
          <w:sz w:val="22"/>
          <w:szCs w:val="22"/>
          <w14:ligatures w14:val="none"/>
        </w:rPr>
        <w:br/>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was the most frequently detected pathogen, identified in 68.8% (n = 187) of cases, with 91.4% (n = 171) of these occurring as part of co-infections (p &lt; 0.001). </w:t>
      </w:r>
      <w:r w:rsidRPr="00EE434E">
        <w:rPr>
          <w:rFonts w:ascii="Calibri" w:eastAsia="Times New Roman" w:hAnsi="Calibri" w:cs="Calibri"/>
          <w:i/>
          <w:iCs/>
          <w:color w:val="000000"/>
          <w:kern w:val="0"/>
          <w:sz w:val="22"/>
          <w:szCs w:val="22"/>
          <w14:ligatures w14:val="none"/>
        </w:rPr>
        <w:t>Norovirus</w:t>
      </w:r>
      <w:r w:rsidRPr="00EE434E">
        <w:rPr>
          <w:rFonts w:ascii="Calibri" w:eastAsia="Times New Roman" w:hAnsi="Calibri" w:cs="Calibri"/>
          <w:color w:val="000000"/>
          <w:kern w:val="0"/>
          <w:sz w:val="22"/>
          <w:szCs w:val="22"/>
          <w14:ligatures w14:val="none"/>
        </w:rPr>
        <w:t> GI/GII and </w:t>
      </w:r>
      <w:r w:rsidRPr="00EE434E">
        <w:rPr>
          <w:rFonts w:ascii="Calibri" w:eastAsia="Times New Roman" w:hAnsi="Calibri" w:cs="Calibri"/>
          <w:i/>
          <w:iCs/>
          <w:color w:val="000000"/>
          <w:kern w:val="0"/>
          <w:sz w:val="22"/>
          <w:szCs w:val="22"/>
          <w14:ligatures w14:val="none"/>
        </w:rPr>
        <w:t>Adenovirus</w:t>
      </w:r>
      <w:r w:rsidRPr="00EE434E">
        <w:rPr>
          <w:rFonts w:ascii="Calibri" w:eastAsia="Times New Roman" w:hAnsi="Calibri" w:cs="Calibri"/>
          <w:color w:val="000000"/>
          <w:kern w:val="0"/>
          <w:sz w:val="22"/>
          <w:szCs w:val="22"/>
          <w14:ligatures w14:val="none"/>
        </w:rPr>
        <w:t> were also significantly associated with co-infections, detected in 14.0% (n = 38) and 10.7% (n = 29) of cases, respectively, with 94.7% (p = 0.001) and 89.7% (p = 0.014) of those cases involving co-infections. The most common co-infection pairing observed was between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and </w:t>
      </w:r>
      <w:r w:rsidRPr="00EE434E">
        <w:rPr>
          <w:rFonts w:ascii="Calibri" w:eastAsia="Times New Roman" w:hAnsi="Calibri" w:cs="Calibri"/>
          <w:i/>
          <w:iCs/>
          <w:color w:val="000000"/>
          <w:kern w:val="0"/>
          <w:sz w:val="22"/>
          <w:szCs w:val="22"/>
          <w14:ligatures w14:val="none"/>
        </w:rPr>
        <w:t>EIEC/Shigella</w:t>
      </w:r>
      <w:r w:rsidRPr="00EE434E">
        <w:rPr>
          <w:rFonts w:ascii="Calibri" w:eastAsia="Times New Roman" w:hAnsi="Calibri" w:cs="Calibri"/>
          <w:color w:val="000000"/>
          <w:kern w:val="0"/>
          <w:sz w:val="22"/>
          <w:szCs w:val="22"/>
          <w14:ligatures w14:val="none"/>
        </w:rPr>
        <w:t xml:space="preserve">, based on pathogen frequency and combination analysis. No </w:t>
      </w:r>
      <w:r w:rsidRPr="00EE434E">
        <w:rPr>
          <w:rFonts w:ascii="Calibri" w:eastAsia="Times New Roman" w:hAnsi="Calibri" w:cs="Calibri"/>
          <w:color w:val="000000"/>
          <w:kern w:val="0"/>
          <w:sz w:val="22"/>
          <w:szCs w:val="22"/>
          <w14:ligatures w14:val="none"/>
        </w:rPr>
        <w:lastRenderedPageBreak/>
        <w:t>statistically significant association was found between HIV status and the prevalence of co-infections. Among patients clinically suspected of having cholera,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remained the predominant pathogen, followed by </w:t>
      </w:r>
      <w:r w:rsidRPr="00EE434E">
        <w:rPr>
          <w:rFonts w:ascii="Calibri" w:eastAsia="Times New Roman" w:hAnsi="Calibri" w:cs="Calibri"/>
          <w:i/>
          <w:iCs/>
          <w:color w:val="000000"/>
          <w:kern w:val="0"/>
          <w:sz w:val="22"/>
          <w:szCs w:val="22"/>
          <w14:ligatures w14:val="none"/>
        </w:rPr>
        <w:t>Rotavirus</w:t>
      </w:r>
      <w:r w:rsidRPr="00EE434E">
        <w:rPr>
          <w:rFonts w:ascii="Calibri" w:eastAsia="Times New Roman" w:hAnsi="Calibri" w:cs="Calibri"/>
          <w:color w:val="000000"/>
          <w:kern w:val="0"/>
          <w:sz w:val="22"/>
          <w:szCs w:val="22"/>
          <w14:ligatures w14:val="none"/>
        </w:rPr>
        <w:t>, detected in 38.3% (n = 18) of cases. Genotyping of </w:t>
      </w:r>
      <w:r w:rsidRPr="00EE434E">
        <w:rPr>
          <w:rFonts w:ascii="Calibri" w:eastAsia="Times New Roman" w:hAnsi="Calibri" w:cs="Calibri"/>
          <w:i/>
          <w:iCs/>
          <w:color w:val="000000"/>
          <w:kern w:val="0"/>
          <w:sz w:val="22"/>
          <w:szCs w:val="22"/>
          <w14:ligatures w14:val="none"/>
        </w:rPr>
        <w:t>Rotavirus</w:t>
      </w:r>
      <w:r w:rsidRPr="00EE434E">
        <w:rPr>
          <w:rFonts w:ascii="Calibri" w:eastAsia="Times New Roman" w:hAnsi="Calibri" w:cs="Calibri"/>
          <w:color w:val="000000"/>
          <w:kern w:val="0"/>
          <w:sz w:val="22"/>
          <w:szCs w:val="22"/>
          <w14:ligatures w14:val="none"/>
        </w:rPr>
        <w:t> strains identified G1P[8] and G2P[4] as the most prevalent genotypes.</w:t>
      </w:r>
      <w:r w:rsidRPr="00EE434E">
        <w:rPr>
          <w:rFonts w:ascii="Calibri" w:eastAsia="Times New Roman" w:hAnsi="Calibri" w:cs="Calibri"/>
          <w:color w:val="000000"/>
          <w:kern w:val="0"/>
          <w:sz w:val="22"/>
          <w:szCs w:val="22"/>
          <w14:ligatures w14:val="none"/>
        </w:rPr>
        <w:br/>
        <w:t>These findings underscore the critical need to consider non-</w:t>
      </w:r>
      <w:r w:rsidRPr="00EE434E">
        <w:rPr>
          <w:rFonts w:ascii="Calibri" w:eastAsia="Times New Roman" w:hAnsi="Calibri" w:cs="Calibri"/>
          <w:i/>
          <w:iCs/>
          <w:color w:val="000000"/>
          <w:kern w:val="0"/>
          <w:sz w:val="22"/>
          <w:szCs w:val="22"/>
          <w14:ligatures w14:val="none"/>
        </w:rPr>
        <w:t>Vibrio cholerae</w:t>
      </w:r>
      <w:r w:rsidRPr="00EE434E">
        <w:rPr>
          <w:rFonts w:ascii="Calibri" w:eastAsia="Times New Roman" w:hAnsi="Calibri" w:cs="Calibri"/>
          <w:color w:val="000000"/>
          <w:kern w:val="0"/>
          <w:sz w:val="22"/>
          <w:szCs w:val="22"/>
          <w14:ligatures w14:val="none"/>
        </w:rPr>
        <w:t> pathogens in the differential diagnosis of cholera-like diarrheal illnesses. The high rate of co-infections complicates clinical management and may contribute to increased antimicrobial use.</w:t>
      </w:r>
    </w:p>
    <w:p w14:paraId="729D60A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25-A-3183-ASTMH</w:t>
      </w:r>
    </w:p>
    <w:p w14:paraId="1A91F38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Epidemiology</w:t>
      </w:r>
    </w:p>
    <w:p w14:paraId="6C38ABE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Human Parvovirus B19 as a Hidden Cause of Dengue-Like Illness in Nicaraguan Children: Insights from Metagenomic Sequencing</w:t>
      </w:r>
    </w:p>
    <w:p w14:paraId="5527B4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Dengue-like illnesses are common in endemic regions but often remain undiagnosed when routine molecular and serological tests fail. This study explored undiagnosed febrile cases within a long-standing pediatric dengue cohort in Nicaragua using the VirCapSeq-VERT metagenomics platform. We analyzed 49 serum samples from children presenting to the Centro de Salud Sócrates Flores and Hospital Infantil Manuel de Jesus Rivera in Managua, Nicaragua, with dengue-like symptoms but testing negative for dengue virus (DENV) by real time RT-PCR between August 2005 to January 2024. Two chikungunya virus (CHIKV)-positive controls were included. Metagenomic sequencing was performed to identify viral pathogens and assess their association with clinical manifestations. Multiple viral species were detected, with human parvovirus B19 identified in 14 cases (28%), making it the most clinically relevant finding. Parvovirus B19 infection was significantly associated with fever, leukopenia, petechiae, and in 11/14 (78%) of cases, severe outcomes such as hypotensive shock and hospitalization. Other detected viruses included torque teno virus (TTV subtypes 3, 10, and 16) (n=11) and Enteroviruses (n=2), though these showed limited clinical associations. Unexpectedly, three cases of undiagnosed arboviral infections were also found (DENV-1 genotype V, DENV-4 genotype II, and CHIKV), with phylogenetic analysis confirming their relation to the 2022-2023 outbreak strains. Within the subset of dengue-negative cases in this pediatric cohort, human parvovirus B19 emerged as a clinically significant viral finding, with a notable morbidity and severe outcomes in patients initially presumed to have dengue. These findings underscore the value of metagenomic tools like VirCapSeq-VERT in improving diagnosis and surveillance and uncovering hidden pathogens. They also support the need for inclusion of parvovirus B19 in the differential diagnosis of dengue-like illnesses in endemic regions where overlapping clinical presentations can lead to misdiagnosis.</w:t>
      </w:r>
    </w:p>
    <w:p w14:paraId="6F4A4EB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25-A-3184-ASTMH</w:t>
      </w:r>
    </w:p>
    <w:p w14:paraId="10B9EF5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Prevention</w:t>
      </w:r>
    </w:p>
    <w:p w14:paraId="481E923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The Physical Integrity and Survival Patterns of Interceptor® G2, PermaNet® 3.0, Yahe® and Olyset® Brand Insecticide-Treated Nets in Rwanda from 2020 to 2023</w:t>
      </w:r>
    </w:p>
    <w:p w14:paraId="57DC7D7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Insecticide treated nets (ITNs) are proven core vector control tools for malaria control and sometimes used in combination with indoor residual spraying (IRS). In Rwanda, four brands of ITNs were distributed during mass campaign from February to July 2020 and comprising Interceptor® G2, PermaNet® 3.0, Yahe® LN and Olyset® ITN respectively distributed in Karongi, Kicukiro, Ruhango and Burera sites. The study was designed as a cross-sectional survey, using WHO standard protocol, 2013 applied to the durability monitoring of ITNs under field conditions. The physical integrity and survivorships of the ITNs were carried out for a period of 36 months, with an annual interval following the baseline, from September 2020 to August 2023. At 36 months, the proportion of ITNs with any holes varied significantly among study sites, Burera (93%), Ruhango (92%), Karongi (88%) and Kicukiro (82%) (p=0.005). The highest proportion of ITNs found as “too torn” was 59% in Burera, 36% in Karongi, 31% in Kicukiro, 26% in Ruhango with significant difference between sites (p&lt;0.001). As well, servicing rates varied significantly; 48% in Ruhango, 34% in Kicukiro, 20% in Karongi and 12% in Burera (p&lt;0.001). The </w:t>
      </w:r>
      <w:r w:rsidRPr="00EE434E">
        <w:rPr>
          <w:rFonts w:ascii="Calibri" w:eastAsia="Times New Roman" w:hAnsi="Calibri" w:cs="Calibri"/>
          <w:color w:val="000000"/>
          <w:kern w:val="0"/>
          <w:sz w:val="22"/>
          <w:szCs w:val="22"/>
          <w14:ligatures w14:val="none"/>
        </w:rPr>
        <w:lastRenderedPageBreak/>
        <w:t>proportion of all cohort ITNs surviving in serviceable conditions also varied significantly between sites with 33% in Burera, 53% in Karongi, 61% in Kicukiro, 66% in Ruhango (p&lt;0.001). The estimated median survival years, extrapolated from physical survival data, was 4.3 (95% CI: 4.0-4.7) in Ruhango, 4.0 (95% CI: 3.6-4.4) in Kicukiro, 3.1 (95% CI: 2.7-3.8) for ITNs in Karongi and 2.3 (95% CI: 2.0-2.7) for ITNs in Burera. The Yahe® LN ITNs brand exhibited the highest ITN survival compared to PermaNet® 3.0, Interceptor® G2 and Olyset® ITNs, considering both time since distribution and first hanging. However, at the end line of surveys, 36 months, all brands of ITNs showed loss of fabric integrity with means loss of protection from man-vector contact and suggesting ITNs replacement after 2-3 years of distribution in Rwanda settings.</w:t>
      </w:r>
    </w:p>
    <w:p w14:paraId="40C5C8C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25-A-3185-ASTMH</w:t>
      </w:r>
    </w:p>
    <w:p w14:paraId="7EB5050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Biology and Genetics of Insecticide Resistance</w:t>
      </w:r>
    </w:p>
    <w:p w14:paraId="018F1CB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Assessing the performance of novel ITNs against pyrethroid-resistant </w:t>
      </w:r>
      <w:r w:rsidRPr="00EE434E">
        <w:rPr>
          <w:rFonts w:ascii="Calibri" w:eastAsia="Times New Roman" w:hAnsi="Calibri" w:cs="Calibri"/>
          <w:i/>
          <w:iCs/>
          <w:color w:val="000000"/>
          <w:kern w:val="0"/>
          <w:sz w:val="22"/>
          <w:szCs w:val="22"/>
          <w14:ligatures w14:val="none"/>
        </w:rPr>
        <w:t>Anopheles gambiae</w:t>
      </w:r>
      <w:r w:rsidRPr="00EE434E">
        <w:rPr>
          <w:rFonts w:ascii="Calibri" w:eastAsia="Times New Roman" w:hAnsi="Calibri" w:cs="Calibri"/>
          <w:color w:val="000000"/>
          <w:kern w:val="0"/>
          <w:sz w:val="22"/>
          <w:szCs w:val="22"/>
          <w14:ligatures w14:val="none"/>
        </w:rPr>
        <w:t> s.l. in Côte d’Ivoire: a semi-field and molecular investigation</w:t>
      </w:r>
    </w:p>
    <w:p w14:paraId="6A4C4D7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Insecticide-treated nets (ITNs) combining pyrethroids with synergists or partner insecticides represent a next-generation strategy for controlling malaria transmitted by resistant vectors. We evaluated five WHO-prequalified ITNs, including Interceptor®G2 (alpha-cypermethrin + chlorfenapyr), PermaNet® 3.0 (deltamethrin + PBO), Olyset® Plus (permethrin + PBO), Veeralin® (alpha-cypermethrin + PBO), and MAGNet® (alpha-cypermethrin only), against wild </w:t>
      </w:r>
      <w:r w:rsidRPr="00EE434E">
        <w:rPr>
          <w:rFonts w:ascii="Calibri" w:eastAsia="Times New Roman" w:hAnsi="Calibri" w:cs="Calibri"/>
          <w:i/>
          <w:iCs/>
          <w:color w:val="000000"/>
          <w:kern w:val="0"/>
          <w:sz w:val="22"/>
          <w:szCs w:val="22"/>
          <w14:ligatures w14:val="none"/>
        </w:rPr>
        <w:t>Anopheles</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An.) gambiae</w:t>
      </w:r>
      <w:r w:rsidRPr="00EE434E">
        <w:rPr>
          <w:rFonts w:ascii="Calibri" w:eastAsia="Times New Roman" w:hAnsi="Calibri" w:cs="Calibri"/>
          <w:color w:val="000000"/>
          <w:kern w:val="0"/>
          <w:sz w:val="22"/>
          <w:szCs w:val="22"/>
          <w14:ligatures w14:val="none"/>
        </w:rPr>
        <w:t> sensu lato (s.l.) in M’bé, Côte d’Ivoire. Experimental hut trials assessed mosquito mortality, blood-feeding, deterrence, and exiting behavior over 72 days. Chemical retention of active ingredients was quantified using HPLC/GC-FID. Molecular analyses (SINE-PCR and TaqMan-based qPCR) identified species composition, </w:t>
      </w:r>
      <w:r w:rsidRPr="00EE434E">
        <w:rPr>
          <w:rFonts w:ascii="Calibri" w:eastAsia="Times New Roman" w:hAnsi="Calibri" w:cs="Calibri"/>
          <w:i/>
          <w:iCs/>
          <w:color w:val="000000"/>
          <w:kern w:val="0"/>
          <w:sz w:val="22"/>
          <w:szCs w:val="22"/>
          <w14:ligatures w14:val="none"/>
        </w:rPr>
        <w:t>Plasmodium (P.)</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falciparum</w:t>
      </w:r>
      <w:r w:rsidRPr="00EE434E">
        <w:rPr>
          <w:rFonts w:ascii="Calibri" w:eastAsia="Times New Roman" w:hAnsi="Calibri" w:cs="Calibri"/>
          <w:color w:val="000000"/>
          <w:kern w:val="0"/>
          <w:sz w:val="22"/>
          <w:szCs w:val="22"/>
          <w14:ligatures w14:val="none"/>
        </w:rPr>
        <w:t> infection, and resistance mutations (L1014F/S-, V402L-, N1575Y-</w:t>
      </w:r>
      <w:r w:rsidRPr="00EE434E">
        <w:rPr>
          <w:rFonts w:ascii="Calibri" w:eastAsia="Times New Roman" w:hAnsi="Calibri" w:cs="Calibri"/>
          <w:i/>
          <w:iCs/>
          <w:color w:val="000000"/>
          <w:kern w:val="0"/>
          <w:sz w:val="22"/>
          <w:szCs w:val="22"/>
          <w14:ligatures w14:val="none"/>
        </w:rPr>
        <w:t>Kdr</w:t>
      </w:r>
      <w:r w:rsidRPr="00EE434E">
        <w:rPr>
          <w:rFonts w:ascii="Calibri" w:eastAsia="Times New Roman" w:hAnsi="Calibri" w:cs="Calibri"/>
          <w:color w:val="000000"/>
          <w:kern w:val="0"/>
          <w:sz w:val="22"/>
          <w:szCs w:val="22"/>
          <w14:ligatures w14:val="none"/>
        </w:rPr>
        <w:t>, G119S-</w:t>
      </w:r>
      <w:r w:rsidRPr="00EE434E">
        <w:rPr>
          <w:rFonts w:ascii="Calibri" w:eastAsia="Times New Roman" w:hAnsi="Calibri" w:cs="Calibri"/>
          <w:i/>
          <w:iCs/>
          <w:color w:val="000000"/>
          <w:kern w:val="0"/>
          <w:sz w:val="22"/>
          <w:szCs w:val="22"/>
          <w14:ligatures w14:val="none"/>
        </w:rPr>
        <w:t>Ace1</w:t>
      </w:r>
      <w:r w:rsidRPr="00EE434E">
        <w:rPr>
          <w:rFonts w:ascii="Calibri" w:eastAsia="Times New Roman" w:hAnsi="Calibri" w:cs="Calibri"/>
          <w:color w:val="000000"/>
          <w:kern w:val="0"/>
          <w:sz w:val="22"/>
          <w:szCs w:val="22"/>
          <w14:ligatures w14:val="none"/>
        </w:rPr>
        <w:t>, E205D-</w:t>
      </w:r>
      <w:r w:rsidRPr="00EE434E">
        <w:rPr>
          <w:rFonts w:ascii="Calibri" w:eastAsia="Times New Roman" w:hAnsi="Calibri" w:cs="Calibri"/>
          <w:i/>
          <w:iCs/>
          <w:color w:val="000000"/>
          <w:kern w:val="0"/>
          <w:sz w:val="22"/>
          <w:szCs w:val="22"/>
          <w14:ligatures w14:val="none"/>
        </w:rPr>
        <w:t>CYP6P3</w:t>
      </w:r>
      <w:r w:rsidRPr="00EE434E">
        <w:rPr>
          <w:rFonts w:ascii="Calibri" w:eastAsia="Times New Roman" w:hAnsi="Calibri" w:cs="Calibri"/>
          <w:color w:val="000000"/>
          <w:kern w:val="0"/>
          <w:sz w:val="22"/>
          <w:szCs w:val="22"/>
          <w14:ligatures w14:val="none"/>
        </w:rPr>
        <w:t>, I114T-</w:t>
      </w:r>
      <w:r w:rsidRPr="00EE434E">
        <w:rPr>
          <w:rFonts w:ascii="Calibri" w:eastAsia="Times New Roman" w:hAnsi="Calibri" w:cs="Calibri"/>
          <w:i/>
          <w:iCs/>
          <w:color w:val="000000"/>
          <w:kern w:val="0"/>
          <w:sz w:val="22"/>
          <w:szCs w:val="22"/>
          <w14:ligatures w14:val="none"/>
        </w:rPr>
        <w:t>Gste2</w:t>
      </w:r>
      <w:r w:rsidRPr="00EE434E">
        <w:rPr>
          <w:rFonts w:ascii="Calibri" w:eastAsia="Times New Roman" w:hAnsi="Calibri" w:cs="Calibri"/>
          <w:color w:val="000000"/>
          <w:kern w:val="0"/>
          <w:sz w:val="22"/>
          <w:szCs w:val="22"/>
          <w14:ligatures w14:val="none"/>
        </w:rPr>
        <w:t>). Among 6,586 mosquitoes collected, An. gambiae s.l. accounted for 49.15%, mainly composed of </w:t>
      </w:r>
      <w:r w:rsidRPr="00EE434E">
        <w:rPr>
          <w:rFonts w:ascii="Calibri" w:eastAsia="Times New Roman" w:hAnsi="Calibri" w:cs="Calibri"/>
          <w:i/>
          <w:iCs/>
          <w:color w:val="000000"/>
          <w:kern w:val="0"/>
          <w:sz w:val="22"/>
          <w:szCs w:val="22"/>
          <w14:ligatures w14:val="none"/>
        </w:rPr>
        <w:t>An. coluzzii</w:t>
      </w:r>
      <w:r w:rsidRPr="00EE434E">
        <w:rPr>
          <w:rFonts w:ascii="Calibri" w:eastAsia="Times New Roman" w:hAnsi="Calibri" w:cs="Calibri"/>
          <w:color w:val="000000"/>
          <w:kern w:val="0"/>
          <w:sz w:val="22"/>
          <w:szCs w:val="22"/>
          <w14:ligatures w14:val="none"/>
        </w:rPr>
        <w:t> (90.6%) and </w:t>
      </w:r>
      <w:r w:rsidRPr="00EE434E">
        <w:rPr>
          <w:rFonts w:ascii="Calibri" w:eastAsia="Times New Roman" w:hAnsi="Calibri" w:cs="Calibri"/>
          <w:i/>
          <w:iCs/>
          <w:color w:val="000000"/>
          <w:kern w:val="0"/>
          <w:sz w:val="22"/>
          <w:szCs w:val="22"/>
          <w14:ligatures w14:val="none"/>
        </w:rPr>
        <w:t>An. gambiae </w:t>
      </w:r>
      <w:r w:rsidRPr="00EE434E">
        <w:rPr>
          <w:rFonts w:ascii="Calibri" w:eastAsia="Times New Roman" w:hAnsi="Calibri" w:cs="Calibri"/>
          <w:color w:val="000000"/>
          <w:kern w:val="0"/>
          <w:sz w:val="22"/>
          <w:szCs w:val="22"/>
          <w14:ligatures w14:val="none"/>
        </w:rPr>
        <w:t>sensu stricto (s.s.) (9.4%), with </w:t>
      </w:r>
      <w:r w:rsidRPr="00EE434E">
        <w:rPr>
          <w:rFonts w:ascii="Calibri" w:eastAsia="Times New Roman" w:hAnsi="Calibri" w:cs="Calibri"/>
          <w:i/>
          <w:iCs/>
          <w:color w:val="000000"/>
          <w:kern w:val="0"/>
          <w:sz w:val="22"/>
          <w:szCs w:val="22"/>
          <w14:ligatures w14:val="none"/>
        </w:rPr>
        <w:t>P. falciparum</w:t>
      </w:r>
      <w:r w:rsidRPr="00EE434E">
        <w:rPr>
          <w:rFonts w:ascii="Calibri" w:eastAsia="Times New Roman" w:hAnsi="Calibri" w:cs="Calibri"/>
          <w:color w:val="000000"/>
          <w:kern w:val="0"/>
          <w:sz w:val="22"/>
          <w:szCs w:val="22"/>
          <w14:ligatures w14:val="none"/>
        </w:rPr>
        <w:t> detected in 4.5%. Interceptor®G2 showed the highest 72h mortality (≥80%, p&lt; 0.0001), retained both actives post-trial (chlorfenapyr 209 mg/m²; alpha-cypermethrin 110 mg/m²), and significantly outperformed other ITNs. PBO-nets showed moderate mortality (45-53%) and reduced blood-feeding (17-26%), with the lowest in Olyset® Plus. A notable PBO decline was observed in PermaNet®3.0. MAGNet® induced significantly higher mosquito exiting than the untreated net (p&lt; 0.0001) but showed comparable exophily to other treated nets, with moderate mortality. Resistance allele frequencies were elevated, including L1014F-</w:t>
      </w:r>
      <w:r w:rsidRPr="00EE434E">
        <w:rPr>
          <w:rFonts w:ascii="Calibri" w:eastAsia="Times New Roman" w:hAnsi="Calibri" w:cs="Calibri"/>
          <w:i/>
          <w:iCs/>
          <w:color w:val="000000"/>
          <w:kern w:val="0"/>
          <w:sz w:val="22"/>
          <w:szCs w:val="22"/>
          <w14:ligatures w14:val="none"/>
        </w:rPr>
        <w:t>Kdr </w:t>
      </w:r>
      <w:r w:rsidRPr="00EE434E">
        <w:rPr>
          <w:rFonts w:ascii="Calibri" w:eastAsia="Times New Roman" w:hAnsi="Calibri" w:cs="Calibri"/>
          <w:color w:val="000000"/>
          <w:kern w:val="0"/>
          <w:sz w:val="22"/>
          <w:szCs w:val="22"/>
          <w14:ligatures w14:val="none"/>
        </w:rPr>
        <w:t>(53.5-100%), I114T-</w:t>
      </w:r>
      <w:r w:rsidRPr="00EE434E">
        <w:rPr>
          <w:rFonts w:ascii="Calibri" w:eastAsia="Times New Roman" w:hAnsi="Calibri" w:cs="Calibri"/>
          <w:i/>
          <w:iCs/>
          <w:color w:val="000000"/>
          <w:kern w:val="0"/>
          <w:sz w:val="22"/>
          <w:szCs w:val="22"/>
          <w14:ligatures w14:val="none"/>
        </w:rPr>
        <w:t>Gste2 </w:t>
      </w:r>
      <w:r w:rsidRPr="00EE434E">
        <w:rPr>
          <w:rFonts w:ascii="Calibri" w:eastAsia="Times New Roman" w:hAnsi="Calibri" w:cs="Calibri"/>
          <w:color w:val="000000"/>
          <w:kern w:val="0"/>
          <w:sz w:val="22"/>
          <w:szCs w:val="22"/>
          <w14:ligatures w14:val="none"/>
        </w:rPr>
        <w:t>(75-81%), and E205D-</w:t>
      </w:r>
      <w:r w:rsidRPr="00EE434E">
        <w:rPr>
          <w:rFonts w:ascii="Calibri" w:eastAsia="Times New Roman" w:hAnsi="Calibri" w:cs="Calibri"/>
          <w:i/>
          <w:iCs/>
          <w:color w:val="000000"/>
          <w:kern w:val="0"/>
          <w:sz w:val="22"/>
          <w:szCs w:val="22"/>
          <w14:ligatures w14:val="none"/>
        </w:rPr>
        <w:t>CYP6P3 </w:t>
      </w:r>
      <w:r w:rsidRPr="00EE434E">
        <w:rPr>
          <w:rFonts w:ascii="Calibri" w:eastAsia="Times New Roman" w:hAnsi="Calibri" w:cs="Calibri"/>
          <w:color w:val="000000"/>
          <w:kern w:val="0"/>
          <w:sz w:val="22"/>
          <w:szCs w:val="22"/>
          <w14:ligatures w14:val="none"/>
        </w:rPr>
        <w:t>(22-42%). V402L- and N1575Y-</w:t>
      </w:r>
      <w:r w:rsidRPr="00EE434E">
        <w:rPr>
          <w:rFonts w:ascii="Calibri" w:eastAsia="Times New Roman" w:hAnsi="Calibri" w:cs="Calibri"/>
          <w:i/>
          <w:iCs/>
          <w:color w:val="000000"/>
          <w:kern w:val="0"/>
          <w:sz w:val="22"/>
          <w:szCs w:val="22"/>
          <w14:ligatures w14:val="none"/>
        </w:rPr>
        <w:t>Kdr </w:t>
      </w:r>
      <w:r w:rsidRPr="00EE434E">
        <w:rPr>
          <w:rFonts w:ascii="Calibri" w:eastAsia="Times New Roman" w:hAnsi="Calibri" w:cs="Calibri"/>
          <w:color w:val="000000"/>
          <w:kern w:val="0"/>
          <w:sz w:val="22"/>
          <w:szCs w:val="22"/>
          <w14:ligatures w14:val="none"/>
        </w:rPr>
        <w:t>mutations were detected at moderate levels. These findings confirm the superior efficacy of chlorfenapyr-based ITNs in high-resistance settings and emphasize the need to integrate entomological performance, chemical durability, and resistance genotyping to inform targeted ITN deployment strategies.</w:t>
      </w:r>
    </w:p>
    <w:p w14:paraId="0C45FED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25-A-3186-ASTMH</w:t>
      </w:r>
    </w:p>
    <w:p w14:paraId="744F680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Pathogenesis</w:t>
      </w:r>
    </w:p>
    <w:p w14:paraId="2555FB0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Antibody Responses Reveal Insights into </w:t>
      </w:r>
      <w:r w:rsidRPr="00EE434E">
        <w:rPr>
          <w:rFonts w:ascii="Calibri" w:eastAsia="Times New Roman" w:hAnsi="Calibri" w:cs="Calibri"/>
          <w:b/>
          <w:bCs/>
          <w:i/>
          <w:iCs/>
          <w:color w:val="000000"/>
          <w:kern w:val="0"/>
          <w:sz w:val="22"/>
          <w:szCs w:val="22"/>
          <w14:ligatures w14:val="none"/>
        </w:rPr>
        <w:t>var2csa</w:t>
      </w:r>
      <w:r w:rsidRPr="00EE434E">
        <w:rPr>
          <w:rFonts w:ascii="Calibri" w:eastAsia="Times New Roman" w:hAnsi="Calibri" w:cs="Calibri"/>
          <w:b/>
          <w:bCs/>
          <w:color w:val="000000"/>
          <w:kern w:val="0"/>
          <w:sz w:val="22"/>
          <w:szCs w:val="22"/>
          <w14:ligatures w14:val="none"/>
        </w:rPr>
        <w:t> Expression and Cerebral Malaria Pathogenesis</w:t>
      </w:r>
    </w:p>
    <w:p w14:paraId="6E8B2CF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VAR2CSA is a conserved member of the </w:t>
      </w:r>
      <w:r w:rsidRPr="00EE434E">
        <w:rPr>
          <w:rFonts w:ascii="Calibri" w:eastAsia="Times New Roman" w:hAnsi="Calibri" w:cs="Calibri"/>
          <w:i/>
          <w:iCs/>
          <w:color w:val="000000"/>
          <w:kern w:val="0"/>
          <w:sz w:val="22"/>
          <w:szCs w:val="22"/>
          <w14:ligatures w14:val="none"/>
        </w:rPr>
        <w:t>Plasmodium falciparum</w:t>
      </w:r>
      <w:r w:rsidRPr="00EE434E">
        <w:rPr>
          <w:rFonts w:ascii="Calibri" w:eastAsia="Times New Roman" w:hAnsi="Calibri" w:cs="Calibri"/>
          <w:color w:val="000000"/>
          <w:kern w:val="0"/>
          <w:sz w:val="22"/>
          <w:szCs w:val="22"/>
          <w14:ligatures w14:val="none"/>
        </w:rPr>
        <w:t> erythrocyte membrane protein 1 (PfEMP1) family and a key mediator of placental malaria. Emerging evidence suggests </w:t>
      </w:r>
      <w:r w:rsidRPr="00EE434E">
        <w:rPr>
          <w:rFonts w:ascii="Calibri" w:eastAsia="Times New Roman" w:hAnsi="Calibri" w:cs="Calibri"/>
          <w:i/>
          <w:iCs/>
          <w:color w:val="000000"/>
          <w:kern w:val="0"/>
          <w:sz w:val="22"/>
          <w:szCs w:val="22"/>
          <w14:ligatures w14:val="none"/>
        </w:rPr>
        <w:t>var2csa</w:t>
      </w:r>
      <w:r w:rsidRPr="00EE434E">
        <w:rPr>
          <w:rFonts w:ascii="Calibri" w:eastAsia="Times New Roman" w:hAnsi="Calibri" w:cs="Calibri"/>
          <w:color w:val="000000"/>
          <w:kern w:val="0"/>
          <w:sz w:val="22"/>
          <w:szCs w:val="22"/>
          <w14:ligatures w14:val="none"/>
        </w:rPr>
        <w:t> transcription may reflect PfEMP1 variant switching and regulation. We conducted a case-control study of cerebral and uncomplicated malaria in Malian children (2014-2018), collecting RNA and serum samples during acute illness, convalescence, and subsequent dry season. We recently observed elevated </w:t>
      </w:r>
      <w:r w:rsidRPr="00EE434E">
        <w:rPr>
          <w:rFonts w:ascii="Calibri" w:eastAsia="Times New Roman" w:hAnsi="Calibri" w:cs="Calibri"/>
          <w:i/>
          <w:iCs/>
          <w:color w:val="000000"/>
          <w:kern w:val="0"/>
          <w:sz w:val="22"/>
          <w:szCs w:val="22"/>
          <w14:ligatures w14:val="none"/>
        </w:rPr>
        <w:t>var2csa</w:t>
      </w:r>
      <w:r w:rsidRPr="00EE434E">
        <w:rPr>
          <w:rFonts w:ascii="Calibri" w:eastAsia="Times New Roman" w:hAnsi="Calibri" w:cs="Calibri"/>
          <w:color w:val="000000"/>
          <w:kern w:val="0"/>
          <w:sz w:val="22"/>
          <w:szCs w:val="22"/>
          <w14:ligatures w14:val="none"/>
        </w:rPr>
        <w:t xml:space="preserve"> expression in the cerebral malaria cases compared to the uncomplicated malaria controls. Given its proposed role in antigenic switching and regulation at the translational level, we hypothesized that high transcript levels may not reflect protein expression and therefore would not be accompanied by corresponding post-exposure antibody responses. To test this, we examined acute and convalescent sera (~21 days post-illness) on a custom protein microarray containing 158 PfEMP1 </w:t>
      </w:r>
      <w:r w:rsidRPr="00EE434E">
        <w:rPr>
          <w:rFonts w:ascii="Calibri" w:eastAsia="Times New Roman" w:hAnsi="Calibri" w:cs="Calibri"/>
          <w:color w:val="000000"/>
          <w:kern w:val="0"/>
          <w:sz w:val="22"/>
          <w:szCs w:val="22"/>
          <w14:ligatures w14:val="none"/>
        </w:rPr>
        <w:lastRenderedPageBreak/>
        <w:t>fragments from the 3D7 genome and 78 fragments from severe malaria-associated variants—including five overlapping 3D7 VAR2CSA fragments. Serologic responses to the five 3D7 VAR2CSA fragments did not differ between children with cerebral malaria at presentation (P&gt;0.05, n=20), or those in convalescence (P&gt;0.05, n=21), relative to 11 malaria-naïve North American controls. In contrast, children with cerebral malaria had increased serologic responses to a subset of PfEMP1 fragments at convalescence (33 fragments: P&lt;0.05). Children with uncomplicated malaria lacked serologic responses to VAR2CSA fragments both at presentation (P&gt;0.05, n=37) and in convalescence (P&gt;0.05, n=28). We also investigated antibody differences in cerebral </w:t>
      </w:r>
      <w:r w:rsidRPr="00EE434E">
        <w:rPr>
          <w:rFonts w:ascii="Calibri" w:eastAsia="Times New Roman" w:hAnsi="Calibri" w:cs="Calibri"/>
          <w:i/>
          <w:iCs/>
          <w:color w:val="000000"/>
          <w:kern w:val="0"/>
          <w:sz w:val="22"/>
          <w:szCs w:val="22"/>
          <w14:ligatures w14:val="none"/>
        </w:rPr>
        <w:t>versus</w:t>
      </w:r>
      <w:r w:rsidRPr="00EE434E">
        <w:rPr>
          <w:rFonts w:ascii="Calibri" w:eastAsia="Times New Roman" w:hAnsi="Calibri" w:cs="Calibri"/>
          <w:color w:val="000000"/>
          <w:kern w:val="0"/>
          <w:sz w:val="22"/>
          <w:szCs w:val="22"/>
          <w14:ligatures w14:val="none"/>
        </w:rPr>
        <w:t> uncomplicated malaria controls that could be associated with PfEMP1 variant switching. At presentation, children with uncomplicated malaria had higher serologic responses to the PfEMP1 antigen panel than children with cerebral malaria (13/14 fragments: P&lt;0.05). Delineating </w:t>
      </w:r>
      <w:r w:rsidRPr="00EE434E">
        <w:rPr>
          <w:rFonts w:ascii="Calibri" w:eastAsia="Times New Roman" w:hAnsi="Calibri" w:cs="Calibri"/>
          <w:i/>
          <w:iCs/>
          <w:color w:val="000000"/>
          <w:kern w:val="0"/>
          <w:sz w:val="22"/>
          <w:szCs w:val="22"/>
          <w14:ligatures w14:val="none"/>
        </w:rPr>
        <w:t>var</w:t>
      </w:r>
      <w:r w:rsidRPr="00EE434E">
        <w:rPr>
          <w:rFonts w:ascii="Calibri" w:eastAsia="Times New Roman" w:hAnsi="Calibri" w:cs="Calibri"/>
          <w:color w:val="000000"/>
          <w:kern w:val="0"/>
          <w:sz w:val="22"/>
          <w:szCs w:val="22"/>
          <w14:ligatures w14:val="none"/>
        </w:rPr>
        <w:t> gene switching and potential immune and environmental triggers may illuminate the underlying mechanism of cerebral malaria pathogenesis.</w:t>
      </w:r>
    </w:p>
    <w:p w14:paraId="6C48737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25-A-3187-ASTMH</w:t>
      </w:r>
    </w:p>
    <w:p w14:paraId="328197F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Diversity, Inclusion, Decolonization and Human Rights</w:t>
      </w:r>
    </w:p>
    <w:p w14:paraId="30B0619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Applying the iDARE Methodology: Advancing Gender Equity and Social Inclusion to Strengthen Mass Drug Administration for NTD Control in South Sudan</w:t>
      </w:r>
    </w:p>
    <w:p w14:paraId="799D66F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Background: </w:t>
      </w:r>
      <w:r w:rsidRPr="00EE434E">
        <w:rPr>
          <w:rFonts w:ascii="Calibri" w:eastAsia="Times New Roman" w:hAnsi="Calibri" w:cs="Calibri"/>
          <w:color w:val="000000"/>
          <w:kern w:val="0"/>
          <w:sz w:val="22"/>
          <w:szCs w:val="22"/>
          <w14:ligatures w14:val="none"/>
        </w:rPr>
        <w:t>South Sudan is endemic for six preventive chemotherapy-neglected tropical diseases (PC-NTDs), yet persistent barriers—ranging from inadequate infrastructure and sociocultural norms to conflict and climate-related displacement—impede equitable Mass Drug Administration (MDA). In 2024, a Gender Equity and Social Inclusion (GESI) assessment was conducted in Awerial and Kapoeta North to identify and address population-specific obstacles to MDA coverage. </w:t>
      </w:r>
      <w:r w:rsidRPr="00EE434E">
        <w:rPr>
          <w:rFonts w:ascii="Calibri" w:eastAsia="Times New Roman" w:hAnsi="Calibri" w:cs="Calibri"/>
          <w:b/>
          <w:bCs/>
          <w:color w:val="000000"/>
          <w:kern w:val="0"/>
          <w:sz w:val="22"/>
          <w:szCs w:val="22"/>
          <w14:ligatures w14:val="none"/>
        </w:rPr>
        <w:t>Methods: </w:t>
      </w:r>
      <w:r w:rsidRPr="00EE434E">
        <w:rPr>
          <w:rFonts w:ascii="Calibri" w:eastAsia="Times New Roman" w:hAnsi="Calibri" w:cs="Calibri"/>
          <w:color w:val="000000"/>
          <w:kern w:val="0"/>
          <w:sz w:val="22"/>
          <w:szCs w:val="22"/>
          <w14:ligatures w14:val="none"/>
        </w:rPr>
        <w:t>Using WI-HER’s iDARE methodology, the study conducted a root cause analysis in two counties with 263 respondents (190 Awerial, 73 Kapoeta North) who had not received recent MDA. In Awerial, nine focus group discussions and five key informant interviews explored community-specific GESI dynamics. Participants included internally displaced persons, elderly, youth, persons with disabilities, nomadic pastoralists, and local health officials. </w:t>
      </w:r>
      <w:r w:rsidRPr="00EE434E">
        <w:rPr>
          <w:rFonts w:ascii="Calibri" w:eastAsia="Times New Roman" w:hAnsi="Calibri" w:cs="Calibri"/>
          <w:b/>
          <w:bCs/>
          <w:color w:val="000000"/>
          <w:kern w:val="0"/>
          <w:sz w:val="22"/>
          <w:szCs w:val="22"/>
          <w14:ligatures w14:val="none"/>
        </w:rPr>
        <w:t>Results: </w:t>
      </w:r>
      <w:r w:rsidRPr="00EE434E">
        <w:rPr>
          <w:rFonts w:ascii="Calibri" w:eastAsia="Times New Roman" w:hAnsi="Calibri" w:cs="Calibri"/>
          <w:color w:val="000000"/>
          <w:kern w:val="0"/>
          <w:sz w:val="22"/>
          <w:szCs w:val="22"/>
          <w14:ligatures w14:val="none"/>
        </w:rPr>
        <w:t>Although 88.6% of respondents perceived equal access to healthcare, 16.7% reported unequal access to MDA. Gendered risk exposures varied: men were at risk through cattle farming (44.3%), hunting (24.3%), and fishing (11.4%), while women were exposed during water collection (32.6%) and firewood gathering (37.5%). Barriers to MDA uptake included limited access for vulnerable groups, fear of side effects, low health literacy, and sociocultural norms. Notably, women reported higher decision-making autonomy in MDA (85.8%) than men (78.1%). Operational challenges included insufficient transport, literacy among distributors, and staff shortages in remote areas. </w:t>
      </w:r>
      <w:r w:rsidRPr="00EE434E">
        <w:rPr>
          <w:rFonts w:ascii="Calibri" w:eastAsia="Times New Roman" w:hAnsi="Calibri" w:cs="Calibri"/>
          <w:b/>
          <w:bCs/>
          <w:color w:val="000000"/>
          <w:kern w:val="0"/>
          <w:sz w:val="22"/>
          <w:szCs w:val="22"/>
          <w14:ligatures w14:val="none"/>
        </w:rPr>
        <w:t>Conclusion: </w:t>
      </w:r>
      <w:r w:rsidRPr="00EE434E">
        <w:rPr>
          <w:rFonts w:ascii="Calibri" w:eastAsia="Times New Roman" w:hAnsi="Calibri" w:cs="Calibri"/>
          <w:color w:val="000000"/>
          <w:kern w:val="0"/>
          <w:sz w:val="22"/>
          <w:szCs w:val="22"/>
          <w14:ligatures w14:val="none"/>
        </w:rPr>
        <w:t>Assessing GESI in MDA through iDARE revealed behavioral and structural drivers of inequity and low coverage. Recommendations include: (1) gender-responsive approaches tailored to community roles and risks; (2) focused outreach to nomadic and disabled populations; (3) localized community engagement to build trust; (4) GESI-specific implementer training; and (5) addressing logistical constraints. Findings offer actionable strategies to strengthen equity and effectiveness of NTD interventions in fragile settings.</w:t>
      </w:r>
    </w:p>
    <w:p w14:paraId="26836AD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25-A-3188-ASTMH</w:t>
      </w:r>
    </w:p>
    <w:p w14:paraId="1AA6AFF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Other</w:t>
      </w:r>
    </w:p>
    <w:p w14:paraId="07B98C3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Combining Forces: Integrating Infectious Disease and NCD Surveillance During Niue’s National STEPS Survey, 2025</w:t>
      </w:r>
    </w:p>
    <w:p w14:paraId="744512F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To meet disease elimination targets, WHO proposes integrated surveillance as a cost-effective, resource-efficient strategy. This study explored the feasibility and costs of integrating an infectious disease (ID) serosurvey with a WHO-STEPS non-communicable disease (NCD) risk factor screening in Niue, a Pacific Island developing state. During STEPS, fingerpick blood is tested for glucose and cholesterol. We collected an extra 300μL of blood for multiplex bead assays (MBA) to assess seroprevalence for 15 priority vaccine-preventable, vector-borne, and neglected tropical diseases. We </w:t>
      </w:r>
      <w:r w:rsidRPr="00EE434E">
        <w:rPr>
          <w:rFonts w:ascii="Calibri" w:eastAsia="Times New Roman" w:hAnsi="Calibri" w:cs="Calibri"/>
          <w:color w:val="000000"/>
          <w:kern w:val="0"/>
          <w:sz w:val="22"/>
          <w:szCs w:val="22"/>
          <w14:ligatures w14:val="none"/>
        </w:rPr>
        <w:lastRenderedPageBreak/>
        <w:t>also tested for filarial antigen for post-validation surveillance for lymphatic filariasis. Drawing on implementation science and costing methods, we examined how integration was received and operationalized. Successful integration of field activities relied on early, consistent communication between the health authority (leading STEPS) and the ID team. This fostered trust. A flexible approach that minimized burden on the national team was key. Integration was supported by the ID team’s labor-saving contributions to the STEPS workflow by collecting blood and using MBA to test for multiple IDs. Understanding that integrating now would negate the need for future stand-alone ID serosurveys was motivating. Collecting ID and NCD data concurrently was considered novel and holistic, enabling richer analyses. Initial concerns about disruption to STEPS processes were resolved through problem-solving and demonstration of added value. Cost savings were achieved through field and laboratory efficiencies, and community burden was reduced by avoiding the need for parallel surveys. This is the first study to integrate ID-NCD surveillance and use advanced laboratory technologies to generate population insights for multiple IDs. It offers a timely, real-world example of ‘good practice’ in integration that will inform action and guidelines. As countries seek efficiency, integration between programs and advanced diagnostics offers clear value. This study provides evidence and a path toward scalable, acceptable and feasible integrated surveillance.</w:t>
      </w:r>
    </w:p>
    <w:p w14:paraId="18F65B2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25-A-3189-ASTMH</w:t>
      </w:r>
    </w:p>
    <w:p w14:paraId="3E14196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Epidemiology and Vector Control</w:t>
      </w:r>
    </w:p>
    <w:p w14:paraId="242022C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Disentangling the roles of different vector species during a malaria resurgence in Eastern Uganda</w:t>
      </w:r>
    </w:p>
    <w:p w14:paraId="7FE3A86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In 2021-2023, a resurgence of malaria occurred in the Tororo District of Uganda following a change in formulations used for indoor residual spraying of insecticide (IRS). Prior analyses showed that this increase was temporally associated with the replacement of </w:t>
      </w:r>
      <w:r w:rsidRPr="00EE434E">
        <w:rPr>
          <w:rFonts w:ascii="Calibri" w:eastAsia="Times New Roman" w:hAnsi="Calibri" w:cs="Calibri"/>
          <w:i/>
          <w:iCs/>
          <w:color w:val="000000"/>
          <w:kern w:val="0"/>
          <w:sz w:val="22"/>
          <w:szCs w:val="22"/>
          <w14:ligatures w14:val="none"/>
        </w:rPr>
        <w:t>Anopheles gambiae </w:t>
      </w:r>
      <w:r w:rsidRPr="00EE434E">
        <w:rPr>
          <w:rFonts w:ascii="Calibri" w:eastAsia="Times New Roman" w:hAnsi="Calibri" w:cs="Calibri"/>
          <w:color w:val="000000"/>
          <w:kern w:val="0"/>
          <w:sz w:val="22"/>
          <w:szCs w:val="22"/>
          <w14:ligatures w14:val="none"/>
        </w:rPr>
        <w:t>sensu lato by </w:t>
      </w:r>
      <w:r w:rsidRPr="00EE434E">
        <w:rPr>
          <w:rFonts w:ascii="Calibri" w:eastAsia="Times New Roman" w:hAnsi="Calibri" w:cs="Calibri"/>
          <w:i/>
          <w:iCs/>
          <w:color w:val="000000"/>
          <w:kern w:val="0"/>
          <w:sz w:val="22"/>
          <w:szCs w:val="22"/>
          <w14:ligatures w14:val="none"/>
        </w:rPr>
        <w:t>An. funestus</w:t>
      </w:r>
      <w:r w:rsidRPr="00EE434E">
        <w:rPr>
          <w:rFonts w:ascii="Calibri" w:eastAsia="Times New Roman" w:hAnsi="Calibri" w:cs="Calibri"/>
          <w:color w:val="000000"/>
          <w:kern w:val="0"/>
          <w:sz w:val="22"/>
          <w:szCs w:val="22"/>
          <w14:ligatures w14:val="none"/>
        </w:rPr>
        <w:t> as the dominant local vector. To investigate this association, we used data from a cohort of 422 children in 94 households from 2021-2023 in Tororo District and neighboring Busia District, where IRS was not implemented. Participants underwent passive and monthly active surveillance for infection with </w:t>
      </w:r>
      <w:r w:rsidRPr="00EE434E">
        <w:rPr>
          <w:rFonts w:ascii="Calibri" w:eastAsia="Times New Roman" w:hAnsi="Calibri" w:cs="Calibri"/>
          <w:i/>
          <w:iCs/>
          <w:color w:val="000000"/>
          <w:kern w:val="0"/>
          <w:sz w:val="22"/>
          <w:szCs w:val="22"/>
          <w14:ligatures w14:val="none"/>
        </w:rPr>
        <w:t>Plasmodium falciparum </w:t>
      </w:r>
      <w:r w:rsidRPr="00EE434E">
        <w:rPr>
          <w:rFonts w:ascii="Calibri" w:eastAsia="Times New Roman" w:hAnsi="Calibri" w:cs="Calibri"/>
          <w:color w:val="000000"/>
          <w:kern w:val="0"/>
          <w:sz w:val="22"/>
          <w:szCs w:val="22"/>
          <w14:ligatures w14:val="none"/>
        </w:rPr>
        <w:t>by quantitative PCR. Mosquitoes were collected in each sleeping room in cohort households every 2 weeks using CDC light traps. We assessed the association between spatiotemporally smoothed annualized household entomological inoculation rates (aEIR) and individual </w:t>
      </w:r>
      <w:r w:rsidRPr="00EE434E">
        <w:rPr>
          <w:rFonts w:ascii="Calibri" w:eastAsia="Times New Roman" w:hAnsi="Calibri" w:cs="Calibri"/>
          <w:i/>
          <w:iCs/>
          <w:color w:val="000000"/>
          <w:kern w:val="0"/>
          <w:sz w:val="22"/>
          <w:szCs w:val="22"/>
          <w14:ligatures w14:val="none"/>
        </w:rPr>
        <w:t>P. falciparum</w:t>
      </w:r>
      <w:r w:rsidRPr="00EE434E">
        <w:rPr>
          <w:rFonts w:ascii="Calibri" w:eastAsia="Times New Roman" w:hAnsi="Calibri" w:cs="Calibri"/>
          <w:color w:val="000000"/>
          <w:kern w:val="0"/>
          <w:sz w:val="22"/>
          <w:szCs w:val="22"/>
          <w14:ligatures w14:val="none"/>
        </w:rPr>
        <w:t> infections using shared frailty models. Overall, each doubling of the aEIR was associated with a 29% increase in the hazard of </w:t>
      </w:r>
      <w:r w:rsidRPr="00EE434E">
        <w:rPr>
          <w:rFonts w:ascii="Calibri" w:eastAsia="Times New Roman" w:hAnsi="Calibri" w:cs="Calibri"/>
          <w:i/>
          <w:iCs/>
          <w:color w:val="000000"/>
          <w:kern w:val="0"/>
          <w:sz w:val="22"/>
          <w:szCs w:val="22"/>
          <w14:ligatures w14:val="none"/>
        </w:rPr>
        <w:t>P. falciparum</w:t>
      </w:r>
      <w:r w:rsidRPr="00EE434E">
        <w:rPr>
          <w:rFonts w:ascii="Calibri" w:eastAsia="Times New Roman" w:hAnsi="Calibri" w:cs="Calibri"/>
          <w:color w:val="000000"/>
          <w:kern w:val="0"/>
          <w:sz w:val="22"/>
          <w:szCs w:val="22"/>
          <w14:ligatures w14:val="none"/>
        </w:rPr>
        <w:t> infection (adjusted HR 1.29, 95% CI 1.25-1.33). Considering species-specific aEIRs, this effect was primarily driven by </w:t>
      </w:r>
      <w:r w:rsidRPr="00EE434E">
        <w:rPr>
          <w:rFonts w:ascii="Calibri" w:eastAsia="Times New Roman" w:hAnsi="Calibri" w:cs="Calibri"/>
          <w:i/>
          <w:iCs/>
          <w:color w:val="000000"/>
          <w:kern w:val="0"/>
          <w:sz w:val="22"/>
          <w:szCs w:val="22"/>
          <w14:ligatures w14:val="none"/>
        </w:rPr>
        <w:t>An. funestus</w:t>
      </w:r>
      <w:r w:rsidRPr="00EE434E">
        <w:rPr>
          <w:rFonts w:ascii="Calibri" w:eastAsia="Times New Roman" w:hAnsi="Calibri" w:cs="Calibri"/>
          <w:color w:val="000000"/>
          <w:kern w:val="0"/>
          <w:sz w:val="22"/>
          <w:szCs w:val="22"/>
          <w14:ligatures w14:val="none"/>
        </w:rPr>
        <w:t>: a doubling of </w:t>
      </w:r>
      <w:r w:rsidRPr="00EE434E">
        <w:rPr>
          <w:rFonts w:ascii="Calibri" w:eastAsia="Times New Roman" w:hAnsi="Calibri" w:cs="Calibri"/>
          <w:i/>
          <w:iCs/>
          <w:color w:val="000000"/>
          <w:kern w:val="0"/>
          <w:sz w:val="22"/>
          <w:szCs w:val="22"/>
          <w14:ligatures w14:val="none"/>
        </w:rPr>
        <w:t>An. funestus </w:t>
      </w:r>
      <w:r w:rsidRPr="00EE434E">
        <w:rPr>
          <w:rFonts w:ascii="Calibri" w:eastAsia="Times New Roman" w:hAnsi="Calibri" w:cs="Calibri"/>
          <w:color w:val="000000"/>
          <w:kern w:val="0"/>
          <w:sz w:val="22"/>
          <w:szCs w:val="22"/>
          <w14:ligatures w14:val="none"/>
        </w:rPr>
        <w:t>aEIR was associated with a 29% increase in hazard rate (1.29, 1.25-1.34), while the association was smaller for </w:t>
      </w:r>
      <w:r w:rsidRPr="00EE434E">
        <w:rPr>
          <w:rFonts w:ascii="Calibri" w:eastAsia="Times New Roman" w:hAnsi="Calibri" w:cs="Calibri"/>
          <w:i/>
          <w:iCs/>
          <w:color w:val="000000"/>
          <w:kern w:val="0"/>
          <w:sz w:val="22"/>
          <w:szCs w:val="22"/>
          <w14:ligatures w14:val="none"/>
        </w:rPr>
        <w:t>An. gambiae </w:t>
      </w:r>
      <w:r w:rsidRPr="00EE434E">
        <w:rPr>
          <w:rFonts w:ascii="Calibri" w:eastAsia="Times New Roman" w:hAnsi="Calibri" w:cs="Calibri"/>
          <w:color w:val="000000"/>
          <w:kern w:val="0"/>
          <w:sz w:val="22"/>
          <w:szCs w:val="22"/>
          <w14:ligatures w14:val="none"/>
        </w:rPr>
        <w:t>(1.04, 1.01-1.08). These relationships were stronger in Tororo than in Busia. These results support the inference that the replacement of </w:t>
      </w:r>
      <w:r w:rsidRPr="00EE434E">
        <w:rPr>
          <w:rFonts w:ascii="Calibri" w:eastAsia="Times New Roman" w:hAnsi="Calibri" w:cs="Calibri"/>
          <w:i/>
          <w:iCs/>
          <w:color w:val="000000"/>
          <w:kern w:val="0"/>
          <w:sz w:val="22"/>
          <w:szCs w:val="22"/>
          <w14:ligatures w14:val="none"/>
        </w:rPr>
        <w:t>An. gambiae</w:t>
      </w:r>
      <w:r w:rsidRPr="00EE434E">
        <w:rPr>
          <w:rFonts w:ascii="Calibri" w:eastAsia="Times New Roman" w:hAnsi="Calibri" w:cs="Calibri"/>
          <w:color w:val="000000"/>
          <w:kern w:val="0"/>
          <w:sz w:val="22"/>
          <w:szCs w:val="22"/>
          <w14:ligatures w14:val="none"/>
        </w:rPr>
        <w:t> with </w:t>
      </w:r>
      <w:r w:rsidRPr="00EE434E">
        <w:rPr>
          <w:rFonts w:ascii="Calibri" w:eastAsia="Times New Roman" w:hAnsi="Calibri" w:cs="Calibri"/>
          <w:i/>
          <w:iCs/>
          <w:color w:val="000000"/>
          <w:kern w:val="0"/>
          <w:sz w:val="22"/>
          <w:szCs w:val="22"/>
          <w14:ligatures w14:val="none"/>
        </w:rPr>
        <w:t>An. funestus </w:t>
      </w:r>
      <w:r w:rsidRPr="00EE434E">
        <w:rPr>
          <w:rFonts w:ascii="Calibri" w:eastAsia="Times New Roman" w:hAnsi="Calibri" w:cs="Calibri"/>
          <w:color w:val="000000"/>
          <w:kern w:val="0"/>
          <w:sz w:val="22"/>
          <w:szCs w:val="22"/>
          <w14:ligatures w14:val="none"/>
        </w:rPr>
        <w:t>was a driver of increased malaria incidence in Tororo District and demonstrate associations between household-level entomological data and risk of </w:t>
      </w:r>
      <w:r w:rsidRPr="00EE434E">
        <w:rPr>
          <w:rFonts w:ascii="Calibri" w:eastAsia="Times New Roman" w:hAnsi="Calibri" w:cs="Calibri"/>
          <w:i/>
          <w:iCs/>
          <w:color w:val="000000"/>
          <w:kern w:val="0"/>
          <w:sz w:val="22"/>
          <w:szCs w:val="22"/>
          <w14:ligatures w14:val="none"/>
        </w:rPr>
        <w:t>P. falciparum </w:t>
      </w:r>
      <w:r w:rsidRPr="00EE434E">
        <w:rPr>
          <w:rFonts w:ascii="Calibri" w:eastAsia="Times New Roman" w:hAnsi="Calibri" w:cs="Calibri"/>
          <w:color w:val="000000"/>
          <w:kern w:val="0"/>
          <w:sz w:val="22"/>
          <w:szCs w:val="22"/>
          <w14:ligatures w14:val="none"/>
        </w:rPr>
        <w:t>infection.</w:t>
      </w:r>
    </w:p>
    <w:p w14:paraId="5BC13FE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25-A-3190-ASTMH</w:t>
      </w:r>
    </w:p>
    <w:p w14:paraId="1FBD66B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Bacteriology - Enteric Infections</w:t>
      </w:r>
    </w:p>
    <w:p w14:paraId="401B817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Advanced genomic characterization of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species in a Pacific population</w:t>
      </w:r>
    </w:p>
    <w:p w14:paraId="7A4237B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Campylobacteriosis remains one of the most common infectious diseases worldwide, yet there is no prophylactic vaccine, and antimicrobial drug resistance (AMR) is rising. Hawai‘i’s unique geography, transient population, and rich biodiversity create favorable conditions for the transmission of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spp. across humans, animals, and the environment, exemplifying the One Health framework. Its zoonotic transmission and environmental persistence underscore the need for a widely distributable vaccine. Knowledge gaps persist regarding the genomic diversity of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in Hawai‘i, emphasizing the critical need to assess potential virulence genes and their protein products as novel immunogenic candidates for vaccine candidacy, alongside comprehensive AMR profiling. To address this, we are performing whole genome sequencing (WGS) on 200 clinical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xml:space="preserve"> isolates </w:t>
      </w:r>
      <w:r w:rsidRPr="00EE434E">
        <w:rPr>
          <w:rFonts w:ascii="Calibri" w:eastAsia="Times New Roman" w:hAnsi="Calibri" w:cs="Calibri"/>
          <w:color w:val="000000"/>
          <w:kern w:val="0"/>
          <w:sz w:val="22"/>
          <w:szCs w:val="22"/>
          <w14:ligatures w14:val="none"/>
        </w:rPr>
        <w:lastRenderedPageBreak/>
        <w:t>collected from 2012-2024, with an established workflow using the Illumina</w:t>
      </w:r>
      <w:r w:rsidRPr="00EE434E">
        <w:rPr>
          <w:rFonts w:ascii="Calibri" w:eastAsia="Times New Roman" w:hAnsi="Calibri" w:cs="Calibri"/>
          <w:color w:val="000000"/>
          <w:kern w:val="0"/>
          <w:sz w:val="22"/>
          <w:szCs w:val="22"/>
          <w:vertAlign w:val="superscript"/>
          <w14:ligatures w14:val="none"/>
        </w:rPr>
        <w:t>®</w:t>
      </w:r>
      <w:r w:rsidRPr="00EE434E">
        <w:rPr>
          <w:rFonts w:ascii="Calibri" w:eastAsia="Times New Roman" w:hAnsi="Calibri" w:cs="Calibri"/>
          <w:color w:val="000000"/>
          <w:kern w:val="0"/>
          <w:sz w:val="22"/>
          <w:szCs w:val="22"/>
          <w14:ligatures w14:val="none"/>
        </w:rPr>
        <w:t> NextSeq 1000 platform in tandem with Qiagen</w:t>
      </w:r>
      <w:r w:rsidRPr="00EE434E">
        <w:rPr>
          <w:rFonts w:ascii="Calibri" w:eastAsia="Times New Roman" w:hAnsi="Calibri" w:cs="Calibri"/>
          <w:color w:val="000000"/>
          <w:kern w:val="0"/>
          <w:sz w:val="22"/>
          <w:szCs w:val="22"/>
          <w:vertAlign w:val="superscript"/>
          <w14:ligatures w14:val="none"/>
        </w:rPr>
        <w:t>®</w:t>
      </w:r>
      <w:r w:rsidRPr="00EE434E">
        <w:rPr>
          <w:rFonts w:ascii="Calibri" w:eastAsia="Times New Roman" w:hAnsi="Calibri" w:cs="Calibri"/>
          <w:color w:val="000000"/>
          <w:kern w:val="0"/>
          <w:sz w:val="22"/>
          <w:szCs w:val="22"/>
          <w14:ligatures w14:val="none"/>
        </w:rPr>
        <w:t> CLC Genomic Workbench bioinformatic analysis tools. We will assess strain diversity among clinical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spp. in Hawai’i and subsequent Pacific region. We expect clinical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isolates from Hawai’i to exhibit distinct genomic diversity and AMR that mirror Southeast Asia and the US. These data will be linked back to de-identified patient metadata to determine correlation between genotypic strain and clinical outcomes. This project seeks to bridge the gap between genomic surveillance and clinical application. The anticipated impact of this study is to provide actionable molecular targets for human and/or animal vaccine and antimicrobial drug development, thus mitigating the global public health burden of </w:t>
      </w:r>
      <w:r w:rsidRPr="00EE434E">
        <w:rPr>
          <w:rFonts w:ascii="Calibri" w:eastAsia="Times New Roman" w:hAnsi="Calibri" w:cs="Calibri"/>
          <w:i/>
          <w:iCs/>
          <w:color w:val="000000"/>
          <w:kern w:val="0"/>
          <w:sz w:val="22"/>
          <w:szCs w:val="22"/>
          <w14:ligatures w14:val="none"/>
        </w:rPr>
        <w:t>Campylobacter</w:t>
      </w:r>
      <w:r w:rsidRPr="00EE434E">
        <w:rPr>
          <w:rFonts w:ascii="Calibri" w:eastAsia="Times New Roman" w:hAnsi="Calibri" w:cs="Calibri"/>
          <w:color w:val="000000"/>
          <w:kern w:val="0"/>
          <w:sz w:val="22"/>
          <w:szCs w:val="22"/>
          <w14:ligatures w14:val="none"/>
        </w:rPr>
        <w:t> infections using One Health strategies.</w:t>
      </w:r>
    </w:p>
    <w:p w14:paraId="595FB1D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25-A-3191-ASTMH</w:t>
      </w:r>
    </w:p>
    <w:p w14:paraId="4736101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Evolution and Genomic Epidemiology</w:t>
      </w:r>
    </w:p>
    <w:p w14:paraId="001543A4"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Genomic epidemiology of Dengue virus isolates associated with outbreaks in Kenya from 2011 to 2019</w:t>
      </w:r>
    </w:p>
    <w:p w14:paraId="4AD09DE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Dengue is one of the most common arboviral diseases prevalent worldwide caused by Dengue viruses (genus </w:t>
      </w:r>
      <w:r w:rsidRPr="00EE434E">
        <w:rPr>
          <w:rFonts w:ascii="Calibri" w:eastAsia="Times New Roman" w:hAnsi="Calibri" w:cs="Calibri"/>
          <w:i/>
          <w:iCs/>
          <w:color w:val="000000"/>
          <w:kern w:val="0"/>
          <w:sz w:val="22"/>
          <w:szCs w:val="22"/>
          <w14:ligatures w14:val="none"/>
        </w:rPr>
        <w:t>Flavivirus,</w:t>
      </w:r>
      <w:r w:rsidRPr="00EE434E">
        <w:rPr>
          <w:rFonts w:ascii="Calibri" w:eastAsia="Times New Roman" w:hAnsi="Calibri" w:cs="Calibri"/>
          <w:color w:val="000000"/>
          <w:kern w:val="0"/>
          <w:sz w:val="22"/>
          <w:szCs w:val="22"/>
          <w14:ligatures w14:val="none"/>
        </w:rPr>
        <w:t> family </w:t>
      </w:r>
      <w:r w:rsidRPr="00EE434E">
        <w:rPr>
          <w:rFonts w:ascii="Calibri" w:eastAsia="Times New Roman" w:hAnsi="Calibri" w:cs="Calibri"/>
          <w:i/>
          <w:iCs/>
          <w:color w:val="000000"/>
          <w:kern w:val="0"/>
          <w:sz w:val="22"/>
          <w:szCs w:val="22"/>
          <w14:ligatures w14:val="none"/>
        </w:rPr>
        <w:t>Flaviviridae</w:t>
      </w:r>
      <w:r w:rsidRPr="00EE434E">
        <w:rPr>
          <w:rFonts w:ascii="Calibri" w:eastAsia="Times New Roman" w:hAnsi="Calibri" w:cs="Calibri"/>
          <w:color w:val="000000"/>
          <w:kern w:val="0"/>
          <w:sz w:val="22"/>
          <w:szCs w:val="22"/>
          <w14:ligatures w14:val="none"/>
        </w:rPr>
        <w:t>). There are four serotypes of Dengue Virus (DENV-1 to DENV-4), each of which is further subdivided into distinct genotypes. Before the 2011 outbreak in Mandera, Kenya, the last case was reported in 1982. We had five outbreaks being in 2011, 2013, 2014, 2018 and 2019. These outbreaks were recorded mainly in northern and coastal Kenya. Despite the increased number of outbreaks, there is paucity of information on the genomic epidemiology of DENV in Kenya. We sort to perform whole genome sequencing (WGS) on Dengue serotypes isolated from patients in the different counties of Kenya, to understand the genetic diversity across time in the country and compare with other contemporaneous sequences across the globe. Seventy two samples tested positive for DENV by RT-PCR from 420 samples received at the Arbovirus/VHF laboratory in KEMRI between 2011 and 2019. Ribonucleic acid (RNA) was extracted using QIAmp RNA kit (Qiagen, AG, Hombrech-tikon, Switzerland). Forty two samples tested positive and had cycle-threshold (Ct) values below 30 were selected for WGS. The RNA was reverse transcribed using Lunascript were then sequenced by next-generation sequencing using GridION Genome Sequencer (ONT, UK). We obtained 28 near complete genomes (78-97%). Genotyping showed that we had six Den-1 genotype I, four Den-2 genotype II and eighteen Den-3 genotype III from different parts of the country. In 2011, we got two isolates of Den-3; 2013, five isolates of Den-1 and one isolate of Den-2; 2014, three isolates of Den-2; 2018 one isolate of Den-1 and in 2019, sixteen isolates of Den-3. The phylogenetic analysis of Den-1 isolates from Mombasa indicates that they were obtained in two different years i.e. 2013 and 2018, without much difference in their genetic make-up. Den-2 had four isolates from three different counties, two of the counties reported dengue for the first time, with no significant difference among them. Den-3 indicates a variation in the clustering pattern of 2011 and 2019 outbreak isolates, suggesting 2019 had a new introduction.</w:t>
      </w:r>
    </w:p>
    <w:p w14:paraId="40469105"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25-A-3192-ASTMH</w:t>
      </w:r>
    </w:p>
    <w:p w14:paraId="6E3635B8"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30B7C9E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Enhancing Primary Health Care through Digital Integration of Neglected Tropical Diseases in Kenya: A Case Study on eCHIS Implementation in Kakamega County, 2023.</w:t>
      </w:r>
    </w:p>
    <w:p w14:paraId="15CA937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In Kenya there is a growing recognition of the critical role of community level data in enabling early detection, treatment, tracking of NTDs and NTD service delivery. Integrating data capture into the electronic Community Health Information System (eCHIS) would improve the timeliness, completeness and usability of health data and enhance the effectiveness of interventions. A pilot study was initiated to integrate NTDs into eCHIS and test this hypothesis. A pretest study was conducted in Bunyala Central and Chekalini wards. These involved training 56 community health promoters and 5 community health assistants on a newly developed campaign service module for MDA within the eCHIS platform. The module is interoperable with the national Kenya Health Information System. A mixed-methods design </w:t>
      </w:r>
      <w:r w:rsidRPr="00EE434E">
        <w:rPr>
          <w:rFonts w:ascii="Calibri" w:eastAsia="Times New Roman" w:hAnsi="Calibri" w:cs="Calibri"/>
          <w:color w:val="000000"/>
          <w:kern w:val="0"/>
          <w:sz w:val="22"/>
          <w:szCs w:val="22"/>
          <w14:ligatures w14:val="none"/>
        </w:rPr>
        <w:lastRenderedPageBreak/>
        <w:t>was employed. Quantitative data were collected during simulated campaign service delivery at household level, while qualitative insights were drawn from two focus group discussions (FGDs) of 10 participants each and key informant interviews. Discussions were held in both Swahili and the local dialect to ensure inclusivity and rich contextual understanding. The study focused on system usability, functionality of the NTD module, and acceptability among frontline workers. The pilot demonstrated strong feasibility and utility of integrating NTD indicators into the eCHIS platform. Community health promoters successfully used the campaign module to record and submit schistosomiasis and STH data, with an average entry time of 1 minute and 8 seconds per case highlighting the tool’s efficiency. The tool significantly improved the quality and timeliness of community health data reporting, enabling real-time tracking of intervention coverage and service gaps. Additionally, CHPs expressed high satisfaction with the system’s user interface and functionality, indicating strong potential for scale-up. The study also informed the development of additional NTD modules such as those targeting trachoma and lymphatic filariasis to further strengthen the continuum of care and link campaign and routine services to the national health information system.</w:t>
      </w:r>
    </w:p>
    <w:p w14:paraId="17890F0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25-A-3193-ASTMH</w:t>
      </w:r>
    </w:p>
    <w:p w14:paraId="0013747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Epidemiology and Vector Control</w:t>
      </w:r>
    </w:p>
    <w:p w14:paraId="0567ADA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Using Maxent to model the potential distribution of </w:t>
      </w:r>
      <w:r w:rsidRPr="00EE434E">
        <w:rPr>
          <w:rFonts w:ascii="Calibri" w:eastAsia="Times New Roman" w:hAnsi="Calibri" w:cs="Calibri"/>
          <w:i/>
          <w:iCs/>
          <w:color w:val="000000"/>
          <w:kern w:val="0"/>
          <w:sz w:val="22"/>
          <w:szCs w:val="22"/>
          <w14:ligatures w14:val="none"/>
        </w:rPr>
        <w:t>Anopheles punctipennis</w:t>
      </w:r>
      <w:r w:rsidRPr="00EE434E">
        <w:rPr>
          <w:rFonts w:ascii="Calibri" w:eastAsia="Times New Roman" w:hAnsi="Calibri" w:cs="Calibri"/>
          <w:color w:val="000000"/>
          <w:kern w:val="0"/>
          <w:sz w:val="22"/>
          <w:szCs w:val="22"/>
          <w14:ligatures w14:val="none"/>
        </w:rPr>
        <w:t> mosquitoes in New England</w:t>
      </w:r>
    </w:p>
    <w:p w14:paraId="757ECBB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Anopheles punctipennis</w:t>
      </w:r>
      <w:r w:rsidRPr="00EE434E">
        <w:rPr>
          <w:rFonts w:ascii="Calibri" w:eastAsia="Times New Roman" w:hAnsi="Calibri" w:cs="Calibri"/>
          <w:color w:val="000000"/>
          <w:kern w:val="0"/>
          <w:sz w:val="22"/>
          <w:szCs w:val="22"/>
          <w14:ligatures w14:val="none"/>
        </w:rPr>
        <w:t>, commonly referred to as the Woodland Malaria Mosquito, is a disease vector found throughout North America. Several pathogens have been isolated from this mosquito species across the United States, indicating that it is a competent vector contributing to disease distribution in the country. In recent years, the </w:t>
      </w:r>
      <w:r w:rsidRPr="00EE434E">
        <w:rPr>
          <w:rFonts w:ascii="Calibri" w:eastAsia="Times New Roman" w:hAnsi="Calibri" w:cs="Calibri"/>
          <w:i/>
          <w:iCs/>
          <w:color w:val="000000"/>
          <w:kern w:val="0"/>
          <w:sz w:val="22"/>
          <w:szCs w:val="22"/>
          <w14:ligatures w14:val="none"/>
        </w:rPr>
        <w:t>plasmodium vivax</w:t>
      </w:r>
      <w:r w:rsidRPr="00EE434E">
        <w:rPr>
          <w:rFonts w:ascii="Calibri" w:eastAsia="Times New Roman" w:hAnsi="Calibri" w:cs="Calibri"/>
          <w:color w:val="000000"/>
          <w:kern w:val="0"/>
          <w:sz w:val="22"/>
          <w:szCs w:val="22"/>
          <w14:ligatures w14:val="none"/>
        </w:rPr>
        <w:t> parasite, as well as other mosquito-borne diseases, such as Cache Valley virus, Eastern Equine Encephalitis virus, Jamestown Canyon Virus, and West Nile Virus have been isolated from </w:t>
      </w:r>
      <w:r w:rsidRPr="00EE434E">
        <w:rPr>
          <w:rFonts w:ascii="Calibri" w:eastAsia="Times New Roman" w:hAnsi="Calibri" w:cs="Calibri"/>
          <w:i/>
          <w:iCs/>
          <w:color w:val="000000"/>
          <w:kern w:val="0"/>
          <w:sz w:val="22"/>
          <w:szCs w:val="22"/>
          <w14:ligatures w14:val="none"/>
        </w:rPr>
        <w:t>An. punctipennis</w:t>
      </w:r>
      <w:r w:rsidRPr="00EE434E">
        <w:rPr>
          <w:rFonts w:ascii="Calibri" w:eastAsia="Times New Roman" w:hAnsi="Calibri" w:cs="Calibri"/>
          <w:color w:val="000000"/>
          <w:kern w:val="0"/>
          <w:sz w:val="22"/>
          <w:szCs w:val="22"/>
          <w14:ligatures w14:val="none"/>
        </w:rPr>
        <w:t> mosquitoes. Given that </w:t>
      </w:r>
      <w:r w:rsidRPr="00EE434E">
        <w:rPr>
          <w:rFonts w:ascii="Calibri" w:eastAsia="Times New Roman" w:hAnsi="Calibri" w:cs="Calibri"/>
          <w:i/>
          <w:iCs/>
          <w:color w:val="000000"/>
          <w:kern w:val="0"/>
          <w:sz w:val="22"/>
          <w:szCs w:val="22"/>
          <w14:ligatures w14:val="none"/>
        </w:rPr>
        <w:t>An. punctipennis</w:t>
      </w:r>
      <w:r w:rsidRPr="00EE434E">
        <w:rPr>
          <w:rFonts w:ascii="Calibri" w:eastAsia="Times New Roman" w:hAnsi="Calibri" w:cs="Calibri"/>
          <w:color w:val="000000"/>
          <w:kern w:val="0"/>
          <w:sz w:val="22"/>
          <w:szCs w:val="22"/>
          <w14:ligatures w14:val="none"/>
        </w:rPr>
        <w:t> is a competent vector for multiple diseases of public health concern, the predicted geographic range of the species can help determine disease risk and inform future mosquito surveillance and control measures. Due to the number of vector-borne viruses isolated in </w:t>
      </w:r>
      <w:r w:rsidRPr="00EE434E">
        <w:rPr>
          <w:rFonts w:ascii="Calibri" w:eastAsia="Times New Roman" w:hAnsi="Calibri" w:cs="Calibri"/>
          <w:i/>
          <w:iCs/>
          <w:color w:val="000000"/>
          <w:kern w:val="0"/>
          <w:sz w:val="22"/>
          <w:szCs w:val="22"/>
          <w14:ligatures w14:val="none"/>
        </w:rPr>
        <w:t>An. punctipennis</w:t>
      </w:r>
      <w:r w:rsidRPr="00EE434E">
        <w:rPr>
          <w:rFonts w:ascii="Calibri" w:eastAsia="Times New Roman" w:hAnsi="Calibri" w:cs="Calibri"/>
          <w:color w:val="000000"/>
          <w:kern w:val="0"/>
          <w:sz w:val="22"/>
          <w:szCs w:val="22"/>
          <w14:ligatures w14:val="none"/>
        </w:rPr>
        <w:t> in the Northeast region of the country, maximum entropy (Maxent) modeling of the potential distribution of this disease vector in New England states would provide a better understanding of potential disease risks to residents. Further, the use of Maxent modeling of this species in New England is becoming more relevant due to extreme climate factors such as increasing temperatures, changing precipitation patterns, and severe weather events impacting the range of mosquito species which now include areas that previously had colder climates. For this study, Maxent software was used to estimate the predicted habitat suitability index for </w:t>
      </w:r>
      <w:r w:rsidRPr="00EE434E">
        <w:rPr>
          <w:rFonts w:ascii="Calibri" w:eastAsia="Times New Roman" w:hAnsi="Calibri" w:cs="Calibri"/>
          <w:i/>
          <w:iCs/>
          <w:color w:val="000000"/>
          <w:kern w:val="0"/>
          <w:sz w:val="22"/>
          <w:szCs w:val="22"/>
          <w14:ligatures w14:val="none"/>
        </w:rPr>
        <w:t>An. punctipennis</w:t>
      </w:r>
      <w:r w:rsidRPr="00EE434E">
        <w:rPr>
          <w:rFonts w:ascii="Calibri" w:eastAsia="Times New Roman" w:hAnsi="Calibri" w:cs="Calibri"/>
          <w:color w:val="000000"/>
          <w:kern w:val="0"/>
          <w:sz w:val="22"/>
          <w:szCs w:val="22"/>
          <w14:ligatures w14:val="none"/>
        </w:rPr>
        <w:t> in New England based on mosquito observation data from iNaturalist, as well as relevant bioclimatic and environmental data. Preliminary results indicate exceptional model accuracy (AUC for model training = .884, AUC for model testing = .823). However, additional land use/land cover data will need to be incorporated to improve overall model precision. Maxent modeling of the potential distribution for </w:t>
      </w:r>
      <w:r w:rsidRPr="00EE434E">
        <w:rPr>
          <w:rFonts w:ascii="Calibri" w:eastAsia="Times New Roman" w:hAnsi="Calibri" w:cs="Calibri"/>
          <w:i/>
          <w:iCs/>
          <w:color w:val="000000"/>
          <w:kern w:val="0"/>
          <w:sz w:val="22"/>
          <w:szCs w:val="22"/>
          <w14:ligatures w14:val="none"/>
        </w:rPr>
        <w:t>An. punctipennis</w:t>
      </w:r>
      <w:r w:rsidRPr="00EE434E">
        <w:rPr>
          <w:rFonts w:ascii="Calibri" w:eastAsia="Times New Roman" w:hAnsi="Calibri" w:cs="Calibri"/>
          <w:color w:val="000000"/>
          <w:kern w:val="0"/>
          <w:sz w:val="22"/>
          <w:szCs w:val="22"/>
          <w14:ligatures w14:val="none"/>
        </w:rPr>
        <w:t> is a promising tool for mosquito control districts in New England to determine hotspots for mosquito sampling and improve targeted vector control that reduces vector-borne disease risk.</w:t>
      </w:r>
    </w:p>
    <w:p w14:paraId="1C5B363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25-A-3195-ASTMH</w:t>
      </w:r>
    </w:p>
    <w:p w14:paraId="723BF641"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Mosquitoes - Bionomics, Behavior and Surveillance</w:t>
      </w:r>
    </w:p>
    <w:p w14:paraId="01631BB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Vector Ecology in a Changing Climate: Historical and Current Trends and Management of </w:t>
      </w:r>
      <w:r w:rsidRPr="00EE434E">
        <w:rPr>
          <w:rFonts w:ascii="Calibri" w:eastAsia="Times New Roman" w:hAnsi="Calibri" w:cs="Calibri"/>
          <w:b/>
          <w:bCs/>
          <w:i/>
          <w:iCs/>
          <w:color w:val="000000"/>
          <w:kern w:val="0"/>
          <w:sz w:val="22"/>
          <w:szCs w:val="22"/>
          <w14:ligatures w14:val="none"/>
        </w:rPr>
        <w:t>Anopheles stephensi</w:t>
      </w:r>
      <w:r w:rsidRPr="00EE434E">
        <w:rPr>
          <w:rFonts w:ascii="Calibri" w:eastAsia="Times New Roman" w:hAnsi="Calibri" w:cs="Calibri"/>
          <w:b/>
          <w:bCs/>
          <w:color w:val="000000"/>
          <w:kern w:val="0"/>
          <w:sz w:val="22"/>
          <w:szCs w:val="22"/>
          <w14:ligatures w14:val="none"/>
        </w:rPr>
        <w:t> - Experience from Pakistan</w:t>
      </w:r>
    </w:p>
    <w:p w14:paraId="522C12E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i/>
          <w:iCs/>
          <w:color w:val="000000"/>
          <w:kern w:val="0"/>
          <w:sz w:val="22"/>
          <w:szCs w:val="22"/>
          <w14:ligatures w14:val="none"/>
        </w:rPr>
        <w:t>Anopheles stephensi</w:t>
      </w:r>
      <w:r w:rsidRPr="00EE434E">
        <w:rPr>
          <w:rFonts w:ascii="Calibri" w:eastAsia="Times New Roman" w:hAnsi="Calibri" w:cs="Calibri"/>
          <w:color w:val="000000"/>
          <w:kern w:val="0"/>
          <w:sz w:val="22"/>
          <w:szCs w:val="22"/>
          <w14:ligatures w14:val="none"/>
        </w:rPr>
        <w:t>, widely recognized as a vector for urban malaria in South Asia, has shown exceptional ecological adaptability, allowing it to expand to 149 districts in 2023 from 6 districts in 1960’s, making it the fastest-spreading </w:t>
      </w:r>
      <w:r w:rsidRPr="00EE434E">
        <w:rPr>
          <w:rFonts w:ascii="Calibri" w:eastAsia="Times New Roman" w:hAnsi="Calibri" w:cs="Calibri"/>
          <w:i/>
          <w:iCs/>
          <w:color w:val="000000"/>
          <w:kern w:val="0"/>
          <w:sz w:val="22"/>
          <w:szCs w:val="22"/>
          <w14:ligatures w14:val="none"/>
        </w:rPr>
        <w:t>Anophele</w:t>
      </w:r>
      <w:r w:rsidRPr="00EE434E">
        <w:rPr>
          <w:rFonts w:ascii="Calibri" w:eastAsia="Times New Roman" w:hAnsi="Calibri" w:cs="Calibri"/>
          <w:color w:val="000000"/>
          <w:kern w:val="0"/>
          <w:sz w:val="22"/>
          <w:szCs w:val="22"/>
          <w14:ligatures w14:val="none"/>
        </w:rPr>
        <w:t>s species in Pakistan and showcasing its ability to thrive in diverse environments across the country. Once coexisting with </w:t>
      </w:r>
      <w:r w:rsidRPr="00EE434E">
        <w:rPr>
          <w:rFonts w:ascii="Calibri" w:eastAsia="Times New Roman" w:hAnsi="Calibri" w:cs="Calibri"/>
          <w:i/>
          <w:iCs/>
          <w:color w:val="000000"/>
          <w:kern w:val="0"/>
          <w:sz w:val="22"/>
          <w:szCs w:val="22"/>
          <w14:ligatures w14:val="none"/>
        </w:rPr>
        <w:t>An. culicifacies</w:t>
      </w:r>
      <w:r w:rsidRPr="00EE434E">
        <w:rPr>
          <w:rFonts w:ascii="Calibri" w:eastAsia="Times New Roman" w:hAnsi="Calibri" w:cs="Calibri"/>
          <w:color w:val="000000"/>
          <w:kern w:val="0"/>
          <w:sz w:val="22"/>
          <w:szCs w:val="22"/>
          <w14:ligatures w14:val="none"/>
        </w:rPr>
        <w:t>, </w:t>
      </w:r>
      <w:r w:rsidRPr="00EE434E">
        <w:rPr>
          <w:rFonts w:ascii="Calibri" w:eastAsia="Times New Roman" w:hAnsi="Calibri" w:cs="Calibri"/>
          <w:i/>
          <w:iCs/>
          <w:color w:val="000000"/>
          <w:kern w:val="0"/>
          <w:sz w:val="22"/>
          <w:szCs w:val="22"/>
          <w14:ligatures w14:val="none"/>
        </w:rPr>
        <w:t>An. stephensi</w:t>
      </w:r>
      <w:r w:rsidRPr="00EE434E">
        <w:rPr>
          <w:rFonts w:ascii="Calibri" w:eastAsia="Times New Roman" w:hAnsi="Calibri" w:cs="Calibri"/>
          <w:color w:val="000000"/>
          <w:kern w:val="0"/>
          <w:sz w:val="22"/>
          <w:szCs w:val="22"/>
          <w14:ligatures w14:val="none"/>
        </w:rPr>
        <w:t xml:space="preserve"> has become more prevalent in certain regions, particularly southern Punjab, where irrigation-induced </w:t>
      </w:r>
      <w:r w:rsidRPr="00EE434E">
        <w:rPr>
          <w:rFonts w:ascii="Calibri" w:eastAsia="Times New Roman" w:hAnsi="Calibri" w:cs="Calibri"/>
          <w:color w:val="000000"/>
          <w:kern w:val="0"/>
          <w:sz w:val="22"/>
          <w:szCs w:val="22"/>
          <w14:ligatures w14:val="none"/>
        </w:rPr>
        <w:lastRenderedPageBreak/>
        <w:t>waterlogging and salinization have created favorable conditions for this salt-tolerant species. Despite contributing only 0.8% to global greenhouse gas emissions, Pakistan ranks as the 5</w:t>
      </w:r>
      <w:r w:rsidRPr="00EE434E">
        <w:rPr>
          <w:rFonts w:ascii="Calibri" w:eastAsia="Times New Roman" w:hAnsi="Calibri" w:cs="Calibri"/>
          <w:color w:val="000000"/>
          <w:kern w:val="0"/>
          <w:sz w:val="22"/>
          <w:szCs w:val="22"/>
          <w:vertAlign w:val="superscript"/>
          <w14:ligatures w14:val="none"/>
        </w:rPr>
        <w:t>th</w:t>
      </w:r>
      <w:r w:rsidRPr="00EE434E">
        <w:rPr>
          <w:rFonts w:ascii="Calibri" w:eastAsia="Times New Roman" w:hAnsi="Calibri" w:cs="Calibri"/>
          <w:color w:val="000000"/>
          <w:kern w:val="0"/>
          <w:sz w:val="22"/>
          <w:szCs w:val="22"/>
          <w14:ligatures w14:val="none"/>
        </w:rPr>
        <w:t> most affected country by climate change. This has significantly influenced the distribution and behavior of </w:t>
      </w:r>
      <w:r w:rsidRPr="00EE434E">
        <w:rPr>
          <w:rFonts w:ascii="Calibri" w:eastAsia="Times New Roman" w:hAnsi="Calibri" w:cs="Calibri"/>
          <w:i/>
          <w:iCs/>
          <w:color w:val="000000"/>
          <w:kern w:val="0"/>
          <w:sz w:val="22"/>
          <w:szCs w:val="22"/>
          <w14:ligatures w14:val="none"/>
        </w:rPr>
        <w:t>An. stephensi</w:t>
      </w:r>
      <w:r w:rsidRPr="00EE434E">
        <w:rPr>
          <w:rFonts w:ascii="Calibri" w:eastAsia="Times New Roman" w:hAnsi="Calibri" w:cs="Calibri"/>
          <w:color w:val="000000"/>
          <w:kern w:val="0"/>
          <w:sz w:val="22"/>
          <w:szCs w:val="22"/>
          <w14:ligatures w14:val="none"/>
        </w:rPr>
        <w:t>, with rising temperatures and altered rainfall patterns significantly expanding its habitats, projections suggest a 49.46% increase in climatically suitable areas by 2060. Climate and environmental changes have also tremendously affected the biology of </w:t>
      </w:r>
      <w:r w:rsidRPr="00EE434E">
        <w:rPr>
          <w:rFonts w:ascii="Calibri" w:eastAsia="Times New Roman" w:hAnsi="Calibri" w:cs="Calibri"/>
          <w:i/>
          <w:iCs/>
          <w:color w:val="000000"/>
          <w:kern w:val="0"/>
          <w:sz w:val="22"/>
          <w:szCs w:val="22"/>
          <w14:ligatures w14:val="none"/>
        </w:rPr>
        <w:t>An. stephensi</w:t>
      </w:r>
      <w:r w:rsidRPr="00EE434E">
        <w:rPr>
          <w:rFonts w:ascii="Calibri" w:eastAsia="Times New Roman" w:hAnsi="Calibri" w:cs="Calibri"/>
          <w:color w:val="000000"/>
          <w:kern w:val="0"/>
          <w:sz w:val="22"/>
          <w:szCs w:val="22"/>
          <w14:ligatures w14:val="none"/>
        </w:rPr>
        <w:t>, altering its survival, biting and resting behavior, and development rates, all of which influence malaria transmission dynamics. Historically, the control efforts are challenged by </w:t>
      </w:r>
      <w:r w:rsidRPr="00EE434E">
        <w:rPr>
          <w:rFonts w:ascii="Calibri" w:eastAsia="Times New Roman" w:hAnsi="Calibri" w:cs="Calibri"/>
          <w:i/>
          <w:iCs/>
          <w:color w:val="000000"/>
          <w:kern w:val="0"/>
          <w:sz w:val="22"/>
          <w:szCs w:val="22"/>
          <w14:ligatures w14:val="none"/>
        </w:rPr>
        <w:t>An. steph</w:t>
      </w:r>
      <w:r w:rsidRPr="00EE434E">
        <w:rPr>
          <w:rFonts w:ascii="Calibri" w:eastAsia="Times New Roman" w:hAnsi="Calibri" w:cs="Calibri"/>
          <w:color w:val="000000"/>
          <w:kern w:val="0"/>
          <w:sz w:val="22"/>
          <w:szCs w:val="22"/>
          <w14:ligatures w14:val="none"/>
        </w:rPr>
        <w:t>ensi’s zoophilic behavior, as shown in a Khyber District study where it displayed a strong preference for cattle (73%) over humans (20%). Proven resistance to multiple insecticide classes has further complicated control efforts, undermining the effectiveness of traditional vector control strategies. Pakistan’s current vector control strategies emphasize integrated approaches to tackle the challenges posed by </w:t>
      </w:r>
      <w:r w:rsidRPr="00EE434E">
        <w:rPr>
          <w:rFonts w:ascii="Calibri" w:eastAsia="Times New Roman" w:hAnsi="Calibri" w:cs="Calibri"/>
          <w:i/>
          <w:iCs/>
          <w:color w:val="000000"/>
          <w:kern w:val="0"/>
          <w:sz w:val="22"/>
          <w:szCs w:val="22"/>
          <w14:ligatures w14:val="none"/>
        </w:rPr>
        <w:t>Anopheles stephensi’</w:t>
      </w:r>
      <w:r w:rsidRPr="00EE434E">
        <w:rPr>
          <w:rFonts w:ascii="Calibri" w:eastAsia="Times New Roman" w:hAnsi="Calibri" w:cs="Calibri"/>
          <w:color w:val="000000"/>
          <w:kern w:val="0"/>
          <w:sz w:val="22"/>
          <w:szCs w:val="22"/>
          <w14:ligatures w14:val="none"/>
        </w:rPr>
        <w:t>s ecological adaptability, climate change, and insecticide resistance. Key strategic directions for its sustainable management include strengthening vector surveillance, adopting innovative vector control methods, monitoring and managing environmental factors, fostering cross-border collaboration, engaging communities, and building capacity through enhanced domestic resources.</w:t>
      </w:r>
    </w:p>
    <w:p w14:paraId="7FDD06D2"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25-A-3196-ASTMH</w:t>
      </w:r>
    </w:p>
    <w:p w14:paraId="5D5B9DB9"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Evolution and Genomic Epidemiology</w:t>
      </w:r>
    </w:p>
    <w:p w14:paraId="1EBEB0BB"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Pathogen-Focused Metagenomic Analysis of Pediatric Diarrheal Cases among Children under Five in Zambia Reveals Predominance of Human Rotavirus Genotypes G3 and G12</w:t>
      </w:r>
    </w:p>
    <w:p w14:paraId="148EA65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Despite global improvements in water, sanitation, and rotavirus vaccination, rotavirus-associated diarrhea continues to cause significant morbidity and mortality among children in LMICs. Genomic surveillance is essential for evaluating vaccine efficacy and detecting emerging escape variants. In this study, we used VirCapSeq (VCS) to analyze rotavirus genetic diversity during Zambia’s 2023 diarrhea surveillance.Stool samples from children under five with diarrhea to health facilities across nine provinces were collected. 72/245 qPCR-positive samples with Ct &lt;33 underwent targeted viral enrichment and sequencing using VCS on the Illumina NextSeq2000. Sequences were processed using the RIM pipeline, and rotavirus genotypes were determined via reference-based alignment and phylogenetic analysis of gene segments.Among sequenced rotaviruses (n=70), 45 were Wa-like, 12 were DS-like, and 4 showed reassortment. Notably, 9 sequences harbored an M5 VP3 genotype with 91% homology to a simian strain. VP7 analysis revealed the presence of genotypes G1, G2, G3, G8, G9, and G12, which mostly clustered with global reference strains, while VP4 analysis identified P[4], P[6], P[8], and P[11] genotypes that form clades with vaccine strains (Rotarix &amp; Rotavac) and wild-type lineages. VP3 genotyping confirmed M1, M2, and M5 variants. Analysis of VP4 and VP7 antigenic epitopes indicated variable conservation between vaccine and local wild-type strains; in particular, P[6] and G2/G12 exhibited substitutions associated with neutralization escape. The G3 and G12 genotypes were the most prevalent, with G3P[8] most frequently identified in severe cases. Importantly, fully vaccinated children experienced milder disease compared to partially vaccinated or unvaccinated children (p = 0.002).This study demonstrates the significant value of VCS in genomic surveillance of vaccine-preventable diseases. It enables high-resolution detection of viral genotypes, reassortants, and antigenic variants, thereby facilitating real-time monitoring of viral evolution and guiding adaptive immunization programs and public health responses.</w:t>
      </w:r>
    </w:p>
    <w:p w14:paraId="3F90181E"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25-A-3197-ASTMH</w:t>
      </w:r>
    </w:p>
    <w:p w14:paraId="15FA1FC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Epidemiology</w:t>
      </w:r>
    </w:p>
    <w:p w14:paraId="37A2BA5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Serological evaluation of the impact of mass drug administration on malaria transmission: results from a cluster randomized trial in Senegal</w:t>
      </w:r>
    </w:p>
    <w:p w14:paraId="78D35E4A"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 xml:space="preserve">Malaria incidence and parasite prevalence are standard measures to evaluate intervention impact on transmission. However, as transmission declines, more sensitive diagnostics, such as serological markers </w:t>
      </w:r>
      <w:r w:rsidRPr="00EE434E">
        <w:rPr>
          <w:rFonts w:ascii="Calibri" w:eastAsia="Times New Roman" w:hAnsi="Calibri" w:cs="Calibri"/>
          <w:color w:val="000000"/>
          <w:kern w:val="0"/>
          <w:sz w:val="22"/>
          <w:szCs w:val="22"/>
          <w14:ligatures w14:val="none"/>
        </w:rPr>
        <w:lastRenderedPageBreak/>
        <w:t>of recent exposure, are needed to capture longitudinal impacts on transmission. We conducted a secondary analysis of a cluster randomized trial in a low-to-moderate transmission area in Senegal. Sixty villages were randomized to either three rounds of MDA with dihydroartemisinin-piperaquine + single low-dose primaquine (intervention) or standard-of-care—three rounds of seasonal malaria chemoprevention with sulfadoxine-pyrimethamine + amodiaquine for children 3-120 months (control). Blood from pre- and post-MDA cross-sectional surveys was analyzed using Luminex MAGPIX to assess serological markers of recent exposure (Etramp5, GLURP.R0, HSP40, Hyp2). To assess intervention impact on seroprevalence, we used mixed-effects Poisson regression models with village-level random intercepts and robust standard errors.</w:t>
      </w:r>
      <w:r w:rsidRPr="00EE434E">
        <w:rPr>
          <w:rFonts w:ascii="Calibri" w:eastAsia="Times New Roman" w:hAnsi="Calibri" w:cs="Calibri"/>
          <w:b/>
          <w:bCs/>
          <w:color w:val="000000"/>
          <w:kern w:val="0"/>
          <w:sz w:val="22"/>
          <w:szCs w:val="22"/>
          <w14:ligatures w14:val="none"/>
        </w:rPr>
        <w:t> </w:t>
      </w:r>
      <w:r w:rsidRPr="00EE434E">
        <w:rPr>
          <w:rFonts w:ascii="Calibri" w:eastAsia="Times New Roman" w:hAnsi="Calibri" w:cs="Calibri"/>
          <w:color w:val="000000"/>
          <w:kern w:val="0"/>
          <w:sz w:val="22"/>
          <w:szCs w:val="22"/>
          <w14:ligatures w14:val="none"/>
        </w:rPr>
        <w:t>Compared to control, MDA was associated with lower malaria incidence (adjusted incidence rate ratio (aIRR): 0.45 [95% CI: 0.28-0.72]) and infection prevalence (adjusted prevalence ratio (aPR): 0.38 [0.20-0.78]), though effects were not sustained in the following year (aIRR: 0.74 [0.47-1.17]). Mean village-level seroprevalence ranged from 8% [0%-47%] (Hyp2) to 50% [35%-64%] (HSP40) at baseline and 6% [0%-40%] (Hyp2) to 40% [27%-54%] (HSP40) at endline. Across all markers, seroprevalence was lower in the MDA arm compared to control: Hyp2 (aPR=0.64 [0.48-0.80]), Etramp5 (aPR=0.86 [0.77-0.93]), GLURP.R0 (aPR=0.87 [0.81-0.93]), and HSP40 (aPR=0.92 [0.86-0.98]). MDA reduced recent infection exposure, though effect sizes were smaller compared to incidence and prevalence estimates. The high prevalence of markers of recent exposure suggest infections were persistent throughout the campaign period, which may partially explain the lack of a sustained impact.</w:t>
      </w:r>
    </w:p>
    <w:p w14:paraId="5FD5300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25-A-3198-ASTMH</w:t>
      </w:r>
    </w:p>
    <w:p w14:paraId="10A11D3F"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Malaria - Elimination</w:t>
      </w:r>
    </w:p>
    <w:p w14:paraId="0FEBA80C"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Results of the CUREMA project: levers and obstacles to the Reach and Effectiveness of a complex intervention aimed at eliminating malaria in a mobile and hard-to-reach population in the Amazon</w:t>
      </w:r>
    </w:p>
    <w:p w14:paraId="5E9A83A3"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CUREMA is a research project aimed at evaluating a complex intervention targeting the transmission of malaria, in particular Plasmodium vivax, among artisanal and small-scale gold miners in the Guiana Shield. The intervention was delivered by community health workers at strategic locations in Suriname and the Brazilian state of Amapá, in the Amazon region and in a cross-border context. At the core of the intervention were the distribution of malaria self-testing and self-treatment kits (“malakits”) accompanied by user training to ensure appropriate use in the forest, and P. vivax targeted drug administration (PvTDA) for individuals identified as being at risk of asymptomatic carriage. The administration of PvTDA (chloroquine combined with primaquine or tafenoquine) was conditioned by the analysis of epidemiological eligibility criteria and the exclusion of contraindications to treatment (such as G6PD deficiency, pregnancy and relevant clinical antecedents). Outreach and health education activities were conducted to raise community awareness and foster participation. Between 2023 and 2024, a total of 2,002 gold miners participated in the intervention, of whom 1,659 were eligible to receive a malakit, 95 were eligible for PvTDA, and 196 were eligible for both services. A post-intervention cross-sectional survey (conducted between December 2024 and April 2025) along with a qualitative evaluation (from November 2024 to May 2025) will generate data regarding the intervention coverage and identify key factors influencing its feasibility, acceptability and sustainability, as well as the evolution of the prevalence of malaria before and after the intervention. Findings from CUREMA will provide critical insights for malaria elimination strategies targeting mobile and hard-to-reach populations, particularly for the fight against P. vivax transmission in the Americas.</w:t>
      </w:r>
    </w:p>
    <w:p w14:paraId="68B8F5A7"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25-A-3199-ASTMH</w:t>
      </w:r>
    </w:p>
    <w:p w14:paraId="1AB50806"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2E01876D"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b/>
          <w:bCs/>
          <w:color w:val="000000"/>
          <w:kern w:val="0"/>
          <w:sz w:val="22"/>
          <w:szCs w:val="22"/>
          <w14:ligatures w14:val="none"/>
        </w:rPr>
        <w:t>Travel-Related Dengue, Zika and Chikungunya in Canada, 2012-2023: Results from a Feasibility Pilot Study on Laboratory-Based Surveillance</w:t>
      </w:r>
    </w:p>
    <w:p w14:paraId="0BB531C0" w14:textId="77777777" w:rsidR="00EE434E" w:rsidRPr="00EE434E" w:rsidRDefault="00EE434E" w:rsidP="00EE434E">
      <w:pPr>
        <w:spacing w:before="100" w:beforeAutospacing="1" w:after="100" w:afterAutospacing="1" w:line="200" w:lineRule="atLeast"/>
        <w:rPr>
          <w:rFonts w:ascii="Calibri" w:eastAsia="Times New Roman" w:hAnsi="Calibri" w:cs="Calibri"/>
          <w:color w:val="000000"/>
          <w:kern w:val="0"/>
          <w:sz w:val="22"/>
          <w:szCs w:val="22"/>
          <w14:ligatures w14:val="none"/>
        </w:rPr>
      </w:pPr>
      <w:r w:rsidRPr="00EE434E">
        <w:rPr>
          <w:rFonts w:ascii="Calibri" w:eastAsia="Times New Roman" w:hAnsi="Calibri" w:cs="Calibri"/>
          <w:color w:val="000000"/>
          <w:kern w:val="0"/>
          <w:sz w:val="22"/>
          <w:szCs w:val="22"/>
          <w14:ligatures w14:val="none"/>
        </w:rPr>
        <w:t>Vector-borne diseases (VBD) pose a significant threat to public health. As climate change and globalization continue to drive range expansion and introduction of emerging vectors and the pathogens they carry in Canada, innovative surveillance approaches are needed to inform public health decision-</w:t>
      </w:r>
      <w:r w:rsidRPr="00EE434E">
        <w:rPr>
          <w:rFonts w:ascii="Calibri" w:eastAsia="Times New Roman" w:hAnsi="Calibri" w:cs="Calibri"/>
          <w:color w:val="000000"/>
          <w:kern w:val="0"/>
          <w:sz w:val="22"/>
          <w:szCs w:val="22"/>
          <w14:ligatures w14:val="none"/>
        </w:rPr>
        <w:lastRenderedPageBreak/>
        <w:t>making. We assessed the feasibility of laboratory-based VBD surveillance, leveraging routinely collected laboratory data on dengue (DENV), Zika (ZIKV) and chikungunya (CHIKV). We linked data from 56,282 specimens tested (2012-2017) across four public health federal/provincial laboratories and developed laboratory-based case definitions. Next, we determined the baseline epidemiology of these non-endemic diseases in Canada using National Microbiology Laboratory (NML) data on specimens tested (2012-2023) from 49,492 individuals. Data quality was sufficient and trends in laboratory-based cases reflected global and travel destination patterns, supporting their use for epidemiological analyses to inform public health action. We identified 1,725 DENV, 559 ZIKV and 1,065 CHIKV travel-related cases in NML data. The total annual case count increased from 115 in 2012 to 753 in 2016 (median 2017-2019: 317; 2020-2023: 139). CHIKV made up 90% of all cases in 2014-2015; ZIKV 53% in 2016 and DENV 84% in 2017-2023. Most cases were women; DENV/ZIKV were most frequent at 25-44 years, CHIKV at 35-64. Pregnancy was reported in 19% of ZIKV and 31% of DENV cases, likely reflecting precautionary testing of potentially exposed asymptomatic pregnant individuals, who were less likely to be identified as a case. The Caribbean and Central America were the top travel destinations among cases. Laboratory-based surveillance offers an innovative, efficient approach for signal detection and trend monitoring of climate-sensitive VBD in Canada that can enhance current risk assessment and public health advice for travellers with real-time surveillance and frequent reporting. A pan-Canadian laboratory-based VBD surveillance system would provide valuable insights into the epidemiology of both travel-related and domestically acquired emerging VBD in Canada.</w:t>
      </w:r>
    </w:p>
    <w:p w14:paraId="4F8BFD93"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25-A-3200-ASTMH</w:t>
      </w:r>
    </w:p>
    <w:p w14:paraId="488BE18B"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Diagnosis and New Detection Tools (Including Leishmania and Trypanosomes)</w:t>
      </w:r>
    </w:p>
    <w:p w14:paraId="395875FA"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TESA-blot IgG Patterns Associated with Congenital Chagas Transmission in Seropositive Pregnant Women at the Women’s Hospital in Santa Cruz, Bolivia, 2024</w:t>
      </w:r>
    </w:p>
    <w:p w14:paraId="11B2C18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Vertical transmission represents an increasing proportion of new Chagas cases following the decline in vector-borne transmission. This study aims to improve diagnosis of congenital Chagas through cost-effective, sensitive, and specific techniques. Immunoblotting using excreted-secreted antigens from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trypomastigotes (TESA-Blot) is a method that may be useful for diagnosing Chagas in Bolivian health centers, enabling timely treatment and reducing Chagas prevalence. The objective of this study is to determine whether TESA-Blot IgG patterns are associated with congenital Chagas transmission. 183 pregnant women who attended the Percy Boland maternity hospital and gave informed consent were screened using InBios rapid tests and ELISA Chagas. Seropositive samples were then tested using immunoblot with TESA-Blot IgG. The resulting patterns were classified as follows: P1 = TESA, P2 = TESA-SAPA, P3 = SAPA. Chi-square analysis was performed using Stata 18.0. TESA IgG results were compared to infants’ qPCR results to determine mother-to-child transmission and to identify the pattern most associated with potential transmission. Upon performing TESA IgG, 52.46% showed pattern 1 (TESA bands), 34.97% showed pattern 2 (TESA-SAPA bands), 4.92% showed pattern 3 (SAPA bands), and 7.65% of confirmed Chagas-positive mothers had negative TESA-Blot IgG results. Among mothers who transmitted the disease, it was observed that: 12.5% of children who tested qPCR positive had mothers with pattern 1, 87.5% had mothers with pattern 2 (TESA-SAPA). No congenital transmission was observed in mothers with pattern 3 (P &lt; 0.05). Among children diagnosed with Chagas via qPCR, their mothers predominantly presented pattern 2 on the TESA-Blot IgG. This finding suggests a higher likelihood of congenital transmission by mothers who present reactive bands corresponding to the TESA+SAPA antigen, reinforcing its potential value as a marker associated with vertical transmission of the disease. Most mothers had pattern 2 in the TESA-Blot IgG, indicating a greater probability that mothers exhibiting TESA-SAPA bands are transmitters.</w:t>
      </w:r>
    </w:p>
    <w:p w14:paraId="11B80DE0"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25-A-3201-ASTMH</w:t>
      </w:r>
    </w:p>
    <w:p w14:paraId="5CF90112"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Physiology and Immunity</w:t>
      </w:r>
    </w:p>
    <w:p w14:paraId="57AB004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Do female-derived proteins associate with sperm in the dengue vector </w:t>
      </w:r>
      <w:r w:rsidRPr="00AF28B8">
        <w:rPr>
          <w:rFonts w:ascii="Calibri" w:hAnsi="Calibri" w:cs="Calibri"/>
          <w:i/>
          <w:iCs/>
          <w:color w:val="000000"/>
          <w:sz w:val="22"/>
          <w:szCs w:val="22"/>
        </w:rPr>
        <w:t>Aedes aegypti</w:t>
      </w:r>
      <w:r w:rsidRPr="00AF28B8">
        <w:rPr>
          <w:rFonts w:ascii="Calibri" w:hAnsi="Calibri" w:cs="Calibri"/>
          <w:color w:val="000000"/>
          <w:sz w:val="22"/>
          <w:szCs w:val="22"/>
        </w:rPr>
        <w:t>?</w:t>
      </w:r>
    </w:p>
    <w:p w14:paraId="56379856"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Female </w:t>
      </w:r>
      <w:r w:rsidRPr="00AF28B8">
        <w:rPr>
          <w:rFonts w:ascii="Calibri" w:hAnsi="Calibri" w:cs="Calibri"/>
          <w:i/>
          <w:iCs/>
          <w:color w:val="000000"/>
          <w:sz w:val="22"/>
          <w:szCs w:val="22"/>
        </w:rPr>
        <w:t>Aedes aegypti</w:t>
      </w:r>
      <w:r w:rsidRPr="00AF28B8">
        <w:rPr>
          <w:rFonts w:ascii="Calibri" w:hAnsi="Calibri" w:cs="Calibri"/>
          <w:color w:val="000000"/>
          <w:sz w:val="22"/>
          <w:szCs w:val="22"/>
        </w:rPr>
        <w:t> tend to mate once, maintaining sperm for egg fertilization over their lifetime. The molecules that are responsible for sperm viability after ejaculation are unknown. In another insect, </w:t>
      </w:r>
      <w:r w:rsidRPr="00AF28B8">
        <w:rPr>
          <w:rFonts w:ascii="Calibri" w:hAnsi="Calibri" w:cs="Calibri"/>
          <w:i/>
          <w:iCs/>
          <w:color w:val="000000"/>
          <w:sz w:val="22"/>
          <w:szCs w:val="22"/>
        </w:rPr>
        <w:t>Drosophila, </w:t>
      </w:r>
      <w:r w:rsidRPr="00AF28B8">
        <w:rPr>
          <w:rFonts w:ascii="Calibri" w:hAnsi="Calibri" w:cs="Calibri"/>
          <w:color w:val="000000"/>
          <w:sz w:val="22"/>
          <w:szCs w:val="22"/>
        </w:rPr>
        <w:t>researchers have demonstrated that female-derived proteins associate with sperm after mating and during storage and suggested that some of these proteins help maintain sperm viability. We are investigating whether female-derived proteins also associate with sperm in the dengue vector mosquito by utilizing reciprocal reverse label proteomics to identify female-sperm associated proteins immediately after copulation and over several time points during sperm storage. The results we will present aim to propose candidates for regulating sperm viability in mosquitoes that could potentially be targeted to reduce vector populations in endemic settings.</w:t>
      </w:r>
    </w:p>
    <w:p w14:paraId="2DDBF99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25-A-3202-ASTMH</w:t>
      </w:r>
    </w:p>
    <w:p w14:paraId="6B02708A"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57A44CC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Effectiveness of perennial malaria chemoprevention on severe malaria in children under two: a case control study in the Democratic Republic of the Congo</w:t>
      </w:r>
    </w:p>
    <w:p w14:paraId="5523394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Severe malaria remains a major cause of morbidity and mortality among children under 5 years of age in DRC, especially in children under 2. Since December 2023, DRC has integrated PMC for children under 2 into the package of malaria preventions, with 6 doses of SP. This study assessed the effectiveness of PMC in reducing the risk of severe malaria in children under 2 years of age. A case-control study was conducted from April 2024 to January 2025 as part of a pilot implementation of PMC in 4 health zones (HZs) of the Kongo Central Province. Cases were children aged 2-18 months hospitalized with severe malaria. Two groups of gender, age, and location-matched controls were used. Hospital controls were children admitted at the same health facility with non-malarial illness. Community controls were recruited from the same location as the case and tested negative for malaria by RDT. Data on PMC and other predictors were collected through caregiver interviews and review of health records. A pooled analysis was conducted with the two groups of controls using an unconditional logistic regression analysis to estimate the odds ratio (OR) of receiving the last eligible dose of PMC between cases and controls as confirmed by the vaccination card or the health facility register, adjusting for confounders, with a fixed effect at the HZ and nested random effects at the area of residence to account for clustering. A total of 1,993 children aged 2-18 months were included in the study (790 cases, 790 community controls, and 413 hospital controls). The median age was 11 (7-14) months, 46.6% were female. Compared to controls, children with severe malaria had lower odds of receiving their last eligible dose of PMC (aOR = 0.56, 95% CI: 0.44-0.71). Likewise, children sleeping under a mosquito bed net had significantly lower odds of developing malaria (aOR = 0.43, 95% CI: 0.27-0.69). PMC demonstrated significant protective effectiveness against severe malaria in children under 2 in routine implementation settings in the DRC. These findings support scale-up plans of PMC at the national level as part of integrated malaria control intervention strategies and beyond in similar settings.</w:t>
      </w:r>
    </w:p>
    <w:p w14:paraId="435831D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25-A-3203-ASTMH</w:t>
      </w:r>
    </w:p>
    <w:p w14:paraId="297D5DBA"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498160C4"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Evaluation of UNICEF Work in Public Health Emergencies: Case Study on Public Health Emergencies in Guinea, 2021 to 2022</w:t>
      </w:r>
    </w:p>
    <w:p w14:paraId="036A21E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This case study evaluates UNICEF’s response to public health emergencies (PHEs) in Guinea (2021-2022), focusing on Ebola, Lassa fever, and Marburg virus. This is part of a broader evaluation of UNICEF’s readiness and response to PHEs, examining relevance, effectiveness, efficiency, coherence, equity, and sustainability. The objective is to analyze UNICEF’s contributions and identify lessons to enhance future interventions. The evaluation uses WHO’s Health Emergency and Disaster Risk Management framework for readiness and UNICEF’s Core Commitments for Children for response. Data were collected through document reviews, key informant interviews, and six focus group discussions in Faranah, Gueckedou, and N'Zerekore. Research instruments and consent protocols were approved by ethics committees from Oxford Policy Management and UNICEF. UNICEF significantly strengthened national preparedness by </w:t>
      </w:r>
      <w:r w:rsidRPr="00AF28B8">
        <w:rPr>
          <w:rFonts w:ascii="Calibri" w:hAnsi="Calibri" w:cs="Calibri"/>
          <w:color w:val="000000"/>
          <w:sz w:val="22"/>
          <w:szCs w:val="22"/>
        </w:rPr>
        <w:lastRenderedPageBreak/>
        <w:t>supporting strategic planning, prepositioning supplies, enhancing risk communication, and building community capacities. It trained 445 community health workers and supported local surveillance, enabling early outbreak detection. In response, UNICEF’s leadership in coordination and community engagement was highly effective, rapidly containing outbreaks: 23 Ebola cases (12 deaths), 8 Lassa fever cases (7 deaths), and 1 Marburg case (1 death). Essential services reached millions, with 2.9 million students supported to return to school, 23,712 hygiene kits distributed, and 58 schools and 40 health centers connected to WASH facilities. Psychosocial support benefited 7,286 individuals, including 3,180 girls. Challenges included inadequate funding, no national PHE budget line, limited gender- and age-disaggregated data, and weaker preparedness for non-Ebola diseases, particularly Lassa fever in Faranah. UNICEF played a pivotal role in managing PHEs in Guinea, but improvements are needed in funding, disaggregated data, and systematic integration of gender and equity. These recommendations aim to strengthen future PHE interventions.</w:t>
      </w:r>
    </w:p>
    <w:p w14:paraId="19A2BD6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25-A-3204-ASTMH</w:t>
      </w:r>
    </w:p>
    <w:p w14:paraId="1349249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780E48B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Haematological, Biochemical, and Histopathological Changes in Laboratory Rats Naturally Infected with Gastrointestinal Parasite</w:t>
      </w:r>
    </w:p>
    <w:p w14:paraId="5709733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Gastrointestinal parasitic infections can significantly affect the health and research integrity of laboratory animals. In this study, laboratory rats were examined to assess physiological changes resulting from natural intestinal parasite infections. McMaster’s technique and necropsy were employed to detect and identify gastrointestinal parasites. Additionally, haematological, biochemical, and liver histopathological analyses were conducted to evaluate the impact of these infections. Out of 209 male rats examined, 105 (50.2%; 95% CI: 24.8–57%) were found to be infected with at least one parasite. The parasites identified included </w:t>
      </w:r>
      <w:r w:rsidRPr="00AF28B8">
        <w:rPr>
          <w:rFonts w:ascii="Calibri" w:hAnsi="Calibri" w:cs="Calibri"/>
          <w:i/>
          <w:iCs/>
          <w:color w:val="000000"/>
          <w:sz w:val="22"/>
          <w:szCs w:val="22"/>
        </w:rPr>
        <w:t>Eimeria</w:t>
      </w:r>
      <w:r w:rsidRPr="00AF28B8">
        <w:rPr>
          <w:rFonts w:ascii="Calibri" w:hAnsi="Calibri" w:cs="Calibri"/>
          <w:color w:val="000000"/>
          <w:sz w:val="22"/>
          <w:szCs w:val="22"/>
        </w:rPr>
        <w:t> species (27.3%; 95% CI: 19.7–36.9%), </w:t>
      </w:r>
      <w:r w:rsidRPr="00AF28B8">
        <w:rPr>
          <w:rFonts w:ascii="Calibri" w:hAnsi="Calibri" w:cs="Calibri"/>
          <w:i/>
          <w:iCs/>
          <w:color w:val="000000"/>
          <w:sz w:val="22"/>
          <w:szCs w:val="22"/>
        </w:rPr>
        <w:t>Hymenolepis diminuta</w:t>
      </w:r>
      <w:r w:rsidRPr="00AF28B8">
        <w:rPr>
          <w:rFonts w:ascii="Calibri" w:hAnsi="Calibri" w:cs="Calibri"/>
          <w:color w:val="000000"/>
          <w:sz w:val="22"/>
          <w:szCs w:val="22"/>
        </w:rPr>
        <w:t> (12.4%; 95% CI: 7.5–15.4%), and </w:t>
      </w:r>
      <w:r w:rsidRPr="00AF28B8">
        <w:rPr>
          <w:rFonts w:ascii="Calibri" w:hAnsi="Calibri" w:cs="Calibri"/>
          <w:i/>
          <w:iCs/>
          <w:color w:val="000000"/>
          <w:sz w:val="22"/>
          <w:szCs w:val="22"/>
        </w:rPr>
        <w:t>Syphacia muris</w:t>
      </w:r>
      <w:r w:rsidRPr="00AF28B8">
        <w:rPr>
          <w:rFonts w:ascii="Calibri" w:hAnsi="Calibri" w:cs="Calibri"/>
          <w:color w:val="000000"/>
          <w:sz w:val="22"/>
          <w:szCs w:val="22"/>
        </w:rPr>
        <w:t> (10.5%; 95% CI: 8.6–14.3%). Parasite load analysis revealed a mean faecal oocyst count of 2005 ± 98 oocysts per gram for </w:t>
      </w:r>
      <w:r w:rsidRPr="00AF28B8">
        <w:rPr>
          <w:rFonts w:ascii="Calibri" w:hAnsi="Calibri" w:cs="Calibri"/>
          <w:i/>
          <w:iCs/>
          <w:color w:val="000000"/>
          <w:sz w:val="22"/>
          <w:szCs w:val="22"/>
        </w:rPr>
        <w:t>Eimeria</w:t>
      </w:r>
      <w:r w:rsidRPr="00AF28B8">
        <w:rPr>
          <w:rFonts w:ascii="Calibri" w:hAnsi="Calibri" w:cs="Calibri"/>
          <w:color w:val="000000"/>
          <w:sz w:val="22"/>
          <w:szCs w:val="22"/>
        </w:rPr>
        <w:t> spp., 1196 ± 61 eggs per gram for </w:t>
      </w:r>
      <w:r w:rsidRPr="00AF28B8">
        <w:rPr>
          <w:rFonts w:ascii="Calibri" w:hAnsi="Calibri" w:cs="Calibri"/>
          <w:i/>
          <w:iCs/>
          <w:color w:val="000000"/>
          <w:sz w:val="22"/>
          <w:szCs w:val="22"/>
        </w:rPr>
        <w:t>Syphacia muris</w:t>
      </w:r>
      <w:r w:rsidRPr="00AF28B8">
        <w:rPr>
          <w:rFonts w:ascii="Calibri" w:hAnsi="Calibri" w:cs="Calibri"/>
          <w:color w:val="000000"/>
          <w:sz w:val="22"/>
          <w:szCs w:val="22"/>
        </w:rPr>
        <w:t>, and 1064 ± 85 eggs per gram for </w:t>
      </w:r>
      <w:r w:rsidRPr="00AF28B8">
        <w:rPr>
          <w:rFonts w:ascii="Calibri" w:hAnsi="Calibri" w:cs="Calibri"/>
          <w:i/>
          <w:iCs/>
          <w:color w:val="000000"/>
          <w:sz w:val="22"/>
          <w:szCs w:val="22"/>
        </w:rPr>
        <w:t>H. diminuta</w:t>
      </w:r>
      <w:r w:rsidRPr="00AF28B8">
        <w:rPr>
          <w:rFonts w:ascii="Calibri" w:hAnsi="Calibri" w:cs="Calibri"/>
          <w:color w:val="000000"/>
          <w:sz w:val="22"/>
          <w:szCs w:val="22"/>
        </w:rPr>
        <w:t>. Infected rats exhibited reduced haemoglobin levels (7.97–8.54 g/dL vs. 13.28 g/dL in controls) and hematocrit values (32.4–34.1% vs. 45.2% in controls), along with elevated white blood cell counts (9.85–10.42 ×10³/µL vs. 6.28 ×10³/µL in controls). Biochemical analyses showed decreased total protein (5.18–5.42 g/dL vs. 6.87 g/dL), reduced albumin levels (2.51–2.74 g/dL vs. 4.12 g/dL), and increased liver enzyme activities—ALT (68.4–72.1 U/L vs. 45.3 U/L) and AST (88.5–92.7 U/L vs. 62.4 U/L). Among the parasites, </w:t>
      </w:r>
      <w:r w:rsidRPr="00AF28B8">
        <w:rPr>
          <w:rFonts w:ascii="Calibri" w:hAnsi="Calibri" w:cs="Calibri"/>
          <w:i/>
          <w:iCs/>
          <w:color w:val="000000"/>
          <w:sz w:val="22"/>
          <w:szCs w:val="22"/>
        </w:rPr>
        <w:t>Eimeria</w:t>
      </w:r>
      <w:r w:rsidRPr="00AF28B8">
        <w:rPr>
          <w:rFonts w:ascii="Calibri" w:hAnsi="Calibri" w:cs="Calibri"/>
          <w:color w:val="000000"/>
          <w:sz w:val="22"/>
          <w:szCs w:val="22"/>
        </w:rPr>
        <w:t> infection induced the most significant alterations in haematological and biochemical parameters (p &gt; 0.005). Histopathological examination of liver tissue from </w:t>
      </w:r>
      <w:r w:rsidRPr="00AF28B8">
        <w:rPr>
          <w:rFonts w:ascii="Calibri" w:hAnsi="Calibri" w:cs="Calibri"/>
          <w:i/>
          <w:iCs/>
          <w:color w:val="000000"/>
          <w:sz w:val="22"/>
          <w:szCs w:val="22"/>
        </w:rPr>
        <w:t>Eimeria</w:t>
      </w:r>
      <w:r w:rsidRPr="00AF28B8">
        <w:rPr>
          <w:rFonts w:ascii="Calibri" w:hAnsi="Calibri" w:cs="Calibri"/>
          <w:color w:val="000000"/>
          <w:sz w:val="22"/>
          <w:szCs w:val="22"/>
        </w:rPr>
        <w:t>-infected rats revealed varying degrees of inflammation and tissue degeneration. These findings underscore the zoonotic potential of </w:t>
      </w:r>
      <w:r w:rsidRPr="00AF28B8">
        <w:rPr>
          <w:rFonts w:ascii="Calibri" w:hAnsi="Calibri" w:cs="Calibri"/>
          <w:i/>
          <w:iCs/>
          <w:color w:val="000000"/>
          <w:sz w:val="22"/>
          <w:szCs w:val="22"/>
        </w:rPr>
        <w:t>Hymenolepis diminuta</w:t>
      </w:r>
      <w:r w:rsidRPr="00AF28B8">
        <w:rPr>
          <w:rFonts w:ascii="Calibri" w:hAnsi="Calibri" w:cs="Calibri"/>
          <w:color w:val="000000"/>
          <w:sz w:val="22"/>
          <w:szCs w:val="22"/>
        </w:rPr>
        <w:t> and highlight the importance of strict sanitary protocols when handling laboratory animals to prevent zoonotic transmission. Continuous surveillance for parasitic infections in laboratory rats is crucial to safeguard animal welfare and maintain the validity of experimental outcomes.</w:t>
      </w:r>
    </w:p>
    <w:p w14:paraId="20960F3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25-A-3206-ASTMH</w:t>
      </w:r>
    </w:p>
    <w:p w14:paraId="37D2DC6B"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2F5EBF2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the Feeding Patterns of </w:t>
      </w:r>
      <w:r w:rsidRPr="00AF28B8">
        <w:rPr>
          <w:rFonts w:ascii="Calibri" w:hAnsi="Calibri" w:cs="Calibri"/>
          <w:i/>
          <w:iCs/>
          <w:color w:val="000000"/>
          <w:sz w:val="22"/>
          <w:szCs w:val="22"/>
        </w:rPr>
        <w:t>Culex</w:t>
      </w:r>
      <w:r w:rsidRPr="00AF28B8">
        <w:rPr>
          <w:rFonts w:ascii="Calibri" w:hAnsi="Calibri" w:cs="Calibri"/>
          <w:color w:val="000000"/>
          <w:sz w:val="22"/>
          <w:szCs w:val="22"/>
        </w:rPr>
        <w:t> Mosquitoes and Its Implications for Arbovirus Transmission Dynamics in Córdoba, Argentina</w:t>
      </w:r>
    </w:p>
    <w:p w14:paraId="60D708B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Understanding mosquito feeding behavior is crucial for assessing pathogen transmission risk. </w:t>
      </w:r>
      <w:r w:rsidRPr="00AF28B8">
        <w:rPr>
          <w:rFonts w:ascii="Calibri" w:hAnsi="Calibri" w:cs="Calibri"/>
          <w:i/>
          <w:iCs/>
          <w:color w:val="000000"/>
          <w:sz w:val="22"/>
          <w:szCs w:val="22"/>
        </w:rPr>
        <w:t>Culex</w:t>
      </w:r>
      <w:r w:rsidRPr="00AF28B8">
        <w:rPr>
          <w:rFonts w:ascii="Calibri" w:hAnsi="Calibri" w:cs="Calibri"/>
          <w:color w:val="000000"/>
          <w:sz w:val="22"/>
          <w:szCs w:val="22"/>
        </w:rPr>
        <w:t> species are key arbovirus vectors, yet their host-feeding patterns in urban environments remain poorly understood in South America. This study characterized the feeding patterns of </w:t>
      </w:r>
      <w:r w:rsidRPr="00AF28B8">
        <w:rPr>
          <w:rFonts w:ascii="Calibri" w:hAnsi="Calibri" w:cs="Calibri"/>
          <w:i/>
          <w:iCs/>
          <w:color w:val="000000"/>
          <w:sz w:val="22"/>
          <w:szCs w:val="22"/>
        </w:rPr>
        <w:t>Culex</w:t>
      </w:r>
      <w:r w:rsidRPr="00AF28B8">
        <w:rPr>
          <w:rFonts w:ascii="Calibri" w:hAnsi="Calibri" w:cs="Calibri"/>
          <w:color w:val="000000"/>
          <w:sz w:val="22"/>
          <w:szCs w:val="22"/>
        </w:rPr>
        <w:t xml:space="preserve"> species in Córdoba, Argentina, focusing on overall trends, seasonal variations, and host preferences. Mosquitoes were collected seasonally across four urban sites, and blood meal sources were determined through molecular analysis. A total of seven mosquito species of medical importance </w:t>
      </w:r>
      <w:r w:rsidRPr="00AF28B8">
        <w:rPr>
          <w:rFonts w:ascii="Calibri" w:hAnsi="Calibri" w:cs="Calibri"/>
          <w:color w:val="000000"/>
          <w:sz w:val="22"/>
          <w:szCs w:val="22"/>
        </w:rPr>
        <w:lastRenderedPageBreak/>
        <w:t>were captured: </w:t>
      </w:r>
      <w:r w:rsidRPr="00AF28B8">
        <w:rPr>
          <w:rFonts w:ascii="Calibri" w:hAnsi="Calibri" w:cs="Calibri"/>
          <w:i/>
          <w:iCs/>
          <w:color w:val="000000"/>
          <w:sz w:val="22"/>
          <w:szCs w:val="22"/>
        </w:rPr>
        <w:t>Aedes aegypti</w:t>
      </w:r>
      <w:r w:rsidRPr="00AF28B8">
        <w:rPr>
          <w:rFonts w:ascii="Calibri" w:hAnsi="Calibri" w:cs="Calibri"/>
          <w:color w:val="000000"/>
          <w:sz w:val="22"/>
          <w:szCs w:val="22"/>
        </w:rPr>
        <w:t> (n = 3), </w:t>
      </w:r>
      <w:r w:rsidRPr="00AF28B8">
        <w:rPr>
          <w:rFonts w:ascii="Calibri" w:hAnsi="Calibri" w:cs="Calibri"/>
          <w:i/>
          <w:iCs/>
          <w:color w:val="000000"/>
          <w:sz w:val="22"/>
          <w:szCs w:val="22"/>
        </w:rPr>
        <w:t>Ae. scapularis</w:t>
      </w:r>
      <w:r w:rsidRPr="00AF28B8">
        <w:rPr>
          <w:rFonts w:ascii="Calibri" w:hAnsi="Calibri" w:cs="Calibri"/>
          <w:color w:val="000000"/>
          <w:sz w:val="22"/>
          <w:szCs w:val="22"/>
        </w:rPr>
        <w:t> (n = 4), </w:t>
      </w:r>
      <w:r w:rsidRPr="00AF28B8">
        <w:rPr>
          <w:rFonts w:ascii="Calibri" w:hAnsi="Calibri" w:cs="Calibri"/>
          <w:i/>
          <w:iCs/>
          <w:color w:val="000000"/>
          <w:sz w:val="22"/>
          <w:szCs w:val="22"/>
        </w:rPr>
        <w:t>Culex dolosus</w:t>
      </w:r>
      <w:r w:rsidRPr="00AF28B8">
        <w:rPr>
          <w:rFonts w:ascii="Calibri" w:hAnsi="Calibri" w:cs="Calibri"/>
          <w:color w:val="000000"/>
          <w:sz w:val="22"/>
          <w:szCs w:val="22"/>
        </w:rPr>
        <w:t> (n = 1), </w:t>
      </w:r>
      <w:r w:rsidRPr="00AF28B8">
        <w:rPr>
          <w:rFonts w:ascii="Calibri" w:hAnsi="Calibri" w:cs="Calibri"/>
          <w:i/>
          <w:iCs/>
          <w:color w:val="000000"/>
          <w:sz w:val="22"/>
          <w:szCs w:val="22"/>
        </w:rPr>
        <w:t>Cx. interfor</w:t>
      </w:r>
      <w:r w:rsidRPr="00AF28B8">
        <w:rPr>
          <w:rFonts w:ascii="Calibri" w:hAnsi="Calibri" w:cs="Calibri"/>
          <w:color w:val="000000"/>
          <w:sz w:val="22"/>
          <w:szCs w:val="22"/>
        </w:rPr>
        <w:t> (n = 2),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(n = 215), and </w:t>
      </w:r>
      <w:r w:rsidRPr="00AF28B8">
        <w:rPr>
          <w:rFonts w:ascii="Calibri" w:hAnsi="Calibri" w:cs="Calibri"/>
          <w:i/>
          <w:iCs/>
          <w:color w:val="000000"/>
          <w:sz w:val="22"/>
          <w:szCs w:val="22"/>
        </w:rPr>
        <w:t>Cx. saltanensis</w:t>
      </w:r>
      <w:r w:rsidRPr="00AF28B8">
        <w:rPr>
          <w:rFonts w:ascii="Calibri" w:hAnsi="Calibri" w:cs="Calibri"/>
          <w:color w:val="000000"/>
          <w:sz w:val="22"/>
          <w:szCs w:val="22"/>
        </w:rPr>
        <w:t> (n = 5). Among </w:t>
      </w:r>
      <w:r w:rsidRPr="00AF28B8">
        <w:rPr>
          <w:rFonts w:ascii="Calibri" w:hAnsi="Calibri" w:cs="Calibri"/>
          <w:i/>
          <w:iCs/>
          <w:color w:val="000000"/>
          <w:sz w:val="22"/>
          <w:szCs w:val="22"/>
        </w:rPr>
        <w:t>Culex</w:t>
      </w:r>
      <w:r w:rsidRPr="00AF28B8">
        <w:rPr>
          <w:rFonts w:ascii="Calibri" w:hAnsi="Calibri" w:cs="Calibri"/>
          <w:color w:val="000000"/>
          <w:sz w:val="22"/>
          <w:szCs w:val="22"/>
        </w:rPr>
        <w:t> species, </w:t>
      </w:r>
      <w:r w:rsidRPr="00AF28B8">
        <w:rPr>
          <w:rFonts w:ascii="Calibri" w:hAnsi="Calibri" w:cs="Calibri"/>
          <w:i/>
          <w:iCs/>
          <w:color w:val="000000"/>
          <w:sz w:val="22"/>
          <w:szCs w:val="22"/>
        </w:rPr>
        <w:t>Cx. dolosus</w:t>
      </w:r>
      <w:r w:rsidRPr="00AF28B8">
        <w:rPr>
          <w:rFonts w:ascii="Calibri" w:hAnsi="Calibri" w:cs="Calibri"/>
          <w:color w:val="000000"/>
          <w:sz w:val="22"/>
          <w:szCs w:val="22"/>
        </w:rPr>
        <w:t> and </w:t>
      </w:r>
      <w:r w:rsidRPr="00AF28B8">
        <w:rPr>
          <w:rFonts w:ascii="Calibri" w:hAnsi="Calibri" w:cs="Calibri"/>
          <w:i/>
          <w:iCs/>
          <w:color w:val="000000"/>
          <w:sz w:val="22"/>
          <w:szCs w:val="22"/>
        </w:rPr>
        <w:t>Cx. saltanensis</w:t>
      </w:r>
      <w:r w:rsidRPr="00AF28B8">
        <w:rPr>
          <w:rFonts w:ascii="Calibri" w:hAnsi="Calibri" w:cs="Calibri"/>
          <w:color w:val="000000"/>
          <w:sz w:val="22"/>
          <w:szCs w:val="22"/>
        </w:rPr>
        <w:t> fed exclusively on birds, while </w:t>
      </w:r>
      <w:r w:rsidRPr="00AF28B8">
        <w:rPr>
          <w:rFonts w:ascii="Calibri" w:hAnsi="Calibri" w:cs="Calibri"/>
          <w:i/>
          <w:iCs/>
          <w:color w:val="000000"/>
          <w:sz w:val="22"/>
          <w:szCs w:val="22"/>
        </w:rPr>
        <w:t>Cx. interfor</w:t>
      </w:r>
      <w:r w:rsidRPr="00AF28B8">
        <w:rPr>
          <w:rFonts w:ascii="Calibri" w:hAnsi="Calibri" w:cs="Calibri"/>
          <w:color w:val="000000"/>
          <w:sz w:val="22"/>
          <w:szCs w:val="22"/>
        </w:rPr>
        <w:t> fed exclusively on mammals.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fed on both birds (83%) and mammals (17%). The most frequently detected wild bird hosts for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were </w:t>
      </w:r>
      <w:r w:rsidRPr="00AF28B8">
        <w:rPr>
          <w:rFonts w:ascii="Calibri" w:hAnsi="Calibri" w:cs="Calibri"/>
          <w:i/>
          <w:iCs/>
          <w:color w:val="000000"/>
          <w:sz w:val="22"/>
          <w:szCs w:val="22"/>
        </w:rPr>
        <w:t>Zenaida auriculata</w:t>
      </w:r>
      <w:r w:rsidRPr="00AF28B8">
        <w:rPr>
          <w:rFonts w:ascii="Calibri" w:hAnsi="Calibri" w:cs="Calibri"/>
          <w:color w:val="000000"/>
          <w:sz w:val="22"/>
          <w:szCs w:val="22"/>
        </w:rPr>
        <w:t> (12%) and </w:t>
      </w:r>
      <w:r w:rsidRPr="00AF28B8">
        <w:rPr>
          <w:rFonts w:ascii="Calibri" w:hAnsi="Calibri" w:cs="Calibri"/>
          <w:i/>
          <w:iCs/>
          <w:color w:val="000000"/>
          <w:sz w:val="22"/>
          <w:szCs w:val="22"/>
        </w:rPr>
        <w:t>Passer domesticus</w:t>
      </w:r>
      <w:r w:rsidRPr="00AF28B8">
        <w:rPr>
          <w:rFonts w:ascii="Calibri" w:hAnsi="Calibri" w:cs="Calibri"/>
          <w:color w:val="000000"/>
          <w:sz w:val="22"/>
          <w:szCs w:val="22"/>
        </w:rPr>
        <w:t> (4%), while the most common mammalian host was </w:t>
      </w:r>
      <w:r w:rsidRPr="00AF28B8">
        <w:rPr>
          <w:rFonts w:ascii="Calibri" w:hAnsi="Calibri" w:cs="Calibri"/>
          <w:i/>
          <w:iCs/>
          <w:color w:val="000000"/>
          <w:sz w:val="22"/>
          <w:szCs w:val="22"/>
        </w:rPr>
        <w:t>Canis lupus familiaris</w:t>
      </w:r>
      <w:r w:rsidRPr="00AF28B8">
        <w:rPr>
          <w:rFonts w:ascii="Calibri" w:hAnsi="Calibri" w:cs="Calibri"/>
          <w:color w:val="000000"/>
          <w:sz w:val="22"/>
          <w:szCs w:val="22"/>
        </w:rPr>
        <w:t> (7%), with human-derived blood meals also representing 7% of the total. Analyzing seasonal patterns in this species, it was observed that bird-derived blood meals consistently outnumbered mammal-derived ones across autumn, spring, and summer, with no significant differences between bird and mammal feeding rates (p &gt; 0.05). Foraging index calculations revealed three preferred hosts for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w:t>
      </w:r>
      <w:r w:rsidRPr="00AF28B8">
        <w:rPr>
          <w:rFonts w:ascii="Calibri" w:hAnsi="Calibri" w:cs="Calibri"/>
          <w:i/>
          <w:iCs/>
          <w:color w:val="000000"/>
          <w:sz w:val="22"/>
          <w:szCs w:val="22"/>
        </w:rPr>
        <w:t>Passer domesticus</w:t>
      </w:r>
      <w:r w:rsidRPr="00AF28B8">
        <w:rPr>
          <w:rFonts w:ascii="Calibri" w:hAnsi="Calibri" w:cs="Calibri"/>
          <w:color w:val="000000"/>
          <w:sz w:val="22"/>
          <w:szCs w:val="22"/>
        </w:rPr>
        <w:t> (2.55), </w:t>
      </w:r>
      <w:r w:rsidRPr="00AF28B8">
        <w:rPr>
          <w:rFonts w:ascii="Calibri" w:hAnsi="Calibri" w:cs="Calibri"/>
          <w:i/>
          <w:iCs/>
          <w:color w:val="000000"/>
          <w:sz w:val="22"/>
          <w:szCs w:val="22"/>
        </w:rPr>
        <w:t>Agelaioides badius</w:t>
      </w:r>
      <w:r w:rsidRPr="00AF28B8">
        <w:rPr>
          <w:rFonts w:ascii="Calibri" w:hAnsi="Calibri" w:cs="Calibri"/>
          <w:color w:val="000000"/>
          <w:sz w:val="22"/>
          <w:szCs w:val="22"/>
        </w:rPr>
        <w:t> (5.11), and </w:t>
      </w:r>
      <w:r w:rsidRPr="00AF28B8">
        <w:rPr>
          <w:rFonts w:ascii="Calibri" w:hAnsi="Calibri" w:cs="Calibri"/>
          <w:i/>
          <w:iCs/>
          <w:color w:val="000000"/>
          <w:sz w:val="22"/>
          <w:szCs w:val="22"/>
        </w:rPr>
        <w:t>Canis lupus familiaris</w:t>
      </w:r>
      <w:r w:rsidRPr="00AF28B8">
        <w:rPr>
          <w:rFonts w:ascii="Calibri" w:hAnsi="Calibri" w:cs="Calibri"/>
          <w:color w:val="000000"/>
          <w:sz w:val="22"/>
          <w:szCs w:val="22"/>
        </w:rPr>
        <w:t> (7.91). For the remaining hosts,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fed in proportion to their relative abundance. These findings highlight key vertebrates involved in the local transmission network, with </w:t>
      </w:r>
      <w:r w:rsidRPr="00AF28B8">
        <w:rPr>
          <w:rFonts w:ascii="Calibri" w:hAnsi="Calibri" w:cs="Calibri"/>
          <w:i/>
          <w:iCs/>
          <w:color w:val="000000"/>
          <w:sz w:val="22"/>
          <w:szCs w:val="22"/>
        </w:rPr>
        <w:t>Z. auriculata</w:t>
      </w:r>
      <w:r w:rsidRPr="00AF28B8">
        <w:rPr>
          <w:rFonts w:ascii="Calibri" w:hAnsi="Calibri" w:cs="Calibri"/>
          <w:color w:val="000000"/>
          <w:sz w:val="22"/>
          <w:szCs w:val="22"/>
        </w:rPr>
        <w:t> and </w:t>
      </w:r>
      <w:r w:rsidRPr="00AF28B8">
        <w:rPr>
          <w:rFonts w:ascii="Calibri" w:hAnsi="Calibri" w:cs="Calibri"/>
          <w:i/>
          <w:iCs/>
          <w:color w:val="000000"/>
          <w:sz w:val="22"/>
          <w:szCs w:val="22"/>
        </w:rPr>
        <w:t>P. domesticus</w:t>
      </w:r>
      <w:r w:rsidRPr="00AF28B8">
        <w:rPr>
          <w:rFonts w:ascii="Calibri" w:hAnsi="Calibri" w:cs="Calibri"/>
          <w:color w:val="000000"/>
          <w:sz w:val="22"/>
          <w:szCs w:val="22"/>
        </w:rPr>
        <w:t> emerging as potential important nodes for viral maintenance due to their high host competence.</w:t>
      </w:r>
    </w:p>
    <w:p w14:paraId="34752E8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25-A-3207-ASTMH</w:t>
      </w:r>
    </w:p>
    <w:p w14:paraId="0E864AF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50F74E88"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Elucidating the Viral Landscape Behind Febrile Illnesses with Unknown Etiology in Sri Lanka using Virome Capture Sequencing</w:t>
      </w:r>
    </w:p>
    <w:p w14:paraId="3A8C9EF5"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Most febrile illness in Sri Lanka is diagnosed as Dengue Fever based on clinical symptoms due to the endemic nature of dengue virus (DENV) and lack of molecular diagnostics islandwide. Other viral causes of febrile illnesses are also masked, resulting in the underdiagnosis of alternative etiologies. This study aimed to comprehensively profile all vertebrate viruses in blood samples obtained from febrile patients with unknown etiology for disease surveillance and improved physician awareness. A total of 90 blood samples were collected from febrile patients presenting within four days of symptom onset at the National Institute of Infectious Diseases and Jaffna Teaching Hospital between December 2022 and August 2024. Samples testing negative for DENV by qPCR serotyping were subsequently analyzed using VirCapSeq-VERT (VCS). Sequence reads were analyzed with the Rapid Identification of Microbes pipeline using a curated version of the Reference Viral Database. Bowtie2 and MAFFT (v7) were used for consensus sequence generation and alignments. A species was considered present if at least 30 reads were present for that species with at least 40% genome coverage. Metagenomic analysis revealed a diverse viral landscape, detecting pathogenic and potentially pathogenic viruses. Pathogenic viruses included DENV, identified in 39 samples (43.3%) and SARS-CoV-1, detected in 1 sample (1.1%). DENV-3 was the most prevalent serotype (N=28, 31.1%) followed by DENV-2 (N=9, 10.0%) and DENV-1 (N=2, 2.2%). Detection of potentially pathogenic gemycircularviruses (N=20, 22.2%), in addition to Epstein-Barr virus (N=8, 8.9%) and anelloviruses (N=61, 67.8%) indicates the capacity to identify possibly emerging or novel pathogens. DENV was detected in several PCR negative samples, reaffirming its dominance in febrile illnesses and the high sensitivity of VCS. The detection of potentially pathogenic viruses demonstrates the complexity behind viral etiologies underlying febrile illnesses in tropical settings. Introduction of metagenomics to the existing diagnostic framework is warranted to ensure continued improvements in surveillance and diagnoses.</w:t>
      </w:r>
    </w:p>
    <w:p w14:paraId="3FBAF7E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25-A-3208-ASTMH</w:t>
      </w:r>
    </w:p>
    <w:p w14:paraId="02C4CC5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Pathogenesis and Animal Models</w:t>
      </w:r>
    </w:p>
    <w:p w14:paraId="52DF9EF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Single-cell RNA Sequencing of Mouse Tarsal Joints in Acute and Chronic Chikungunya Virus Disease</w:t>
      </w:r>
    </w:p>
    <w:p w14:paraId="67E130A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While the chikungunya (CHIKV) mouse model is widely used, the immune cells infiltrating the affected joints post-infection remain poorly understood. RNA sequencing of the cells found in the mouse tarsal joints during and after infection can provide insight into the immune profile and mechanisms of joint deterioration post-CHIKV. Single-cell RNA sequencing (scRNA-seq) analyzes whole transcriptome gene expression of individual cells, illustrating cell functions and interactions within complex tissues. In this </w:t>
      </w:r>
      <w:r w:rsidRPr="00AF28B8">
        <w:rPr>
          <w:rFonts w:ascii="Calibri" w:hAnsi="Calibri" w:cs="Calibri"/>
          <w:color w:val="000000"/>
          <w:sz w:val="22"/>
          <w:szCs w:val="22"/>
        </w:rPr>
        <w:lastRenderedPageBreak/>
        <w:t>context, scRNA-seq enables us to determine which cell populations are infiltrating the synovium and surrounding tissues with greater precision than immunohistochemistry, flow cytometry, or qPCR assays.In a pilot study, CHIKV-infected mice exhibited the most significant inflammation on day 7 post-infection and continued to show histological evidence of inflammation on day 21 post-infection, including inflammatory infiltrates in the synovium and muscle, as well as erosion of bone and cartilage. In this study, the tarsal joints of CHIKV-infected mice will be examined at days 0 (uninfected), 7 (greatest inflammation), and 21 (chronic stage) post-infection using scRNA-seq to profile the synovial cellular environment and assess changes over time. Both footpads of each C57BL6 mouse will be infected. One tarsal joint will be collected for scRNA-seq. The sequencing data will be analyzed using the Illumina Dragen Single-Cell RNA pipeline. Partek Software (Illumina) will be utilized for multiomics analyses, including differential analysis between groups, trajectory analysis, and pathway analysis using the GO database. The second footpad will be processed for immunohistological analysis to determine disease severity (mild, moderate, or severe), which can vary between mice. We hypothesize that the cellular environment in the synovium will shift as the disease progresses from acute to chronic and that more severe chronic disease will correlate with a higher quantity of inflammatory T cells in the synovium. This study is scheduled to begin April 25, 2025, with results available in June.</w:t>
      </w:r>
    </w:p>
    <w:p w14:paraId="45149B36"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25-A-3209-ASTMH</w:t>
      </w:r>
    </w:p>
    <w:p w14:paraId="42933BF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257021F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Evaluation of the waste management system at the Mbalmayo district hospital, Central Region, Cameroon from July 23 to 25, 2024.</w:t>
      </w:r>
    </w:p>
    <w:p w14:paraId="59D2B84C"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Poor waste management can have harmful consequences on the environment, human and animal health. Health establishments are classified establishments open to the public and generating large quantities of biomedical waste. In Cameroon, the management of biomedical waste constitutes a real concern, given the exponential growth in the volume of waste (43tones/day in 2008) and the low national waste management capacity. We assessed the waste management system at the Mbalmayo District Hospital (DH), given its high attendance. We conducted a descriptive study at the Mbalmayo DH from July 23 to 25, 2024 and interviewed the manager of this structure and the person responsible for waste management. We carried out a documentary review and visual observation to objectify the answers provided. Data were collected using a predefined assessment form. The availability of resources for waste management was assessed. Likewise, the waste management phases (pre-collection, storage, collection and transport, treatment method) were evaluated by category of waste (solid, liquid and special). We assessed using a score ranging from zero (0%) to very satisfactory (&gt;70%) in a concerted manner. We noted a lack of incinerators and staff not trained in waste management. The management of solid and special waste obtained a zero score (0%) for collection and transport, while the management of liquid waste obtained a very satisfactory score (90%). Pre-collection was satisfactory (60%) for solid waste, very satisfactory for liquid waste (90%) and unsatisfactory for special waste (20%). Storage is unsatisfactory for the 3 categories of waste (20, 40 and 20% respectively for solids, liquids and specials). The main treatment methods used are open burning (solid waste), landfills (liquid waste) and pits (special waste). Overall, there is a lack of quality human and material resources in terms of waste management, and poor scores in general for the waste management phases, particularly for solid and special waste. Collaboration between the Ministries of Health and the Environment is necessary to establish internal waste management systems.</w:t>
      </w:r>
    </w:p>
    <w:p w14:paraId="03F519B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25-A-3210-ASTMH</w:t>
      </w:r>
    </w:p>
    <w:p w14:paraId="6CE88713"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2F92DEF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of a Symptom-Based Machine Learning Model for Syndromic Surveillance of Severe Acute Respiratory Infection (SARI) Among Hospitalized Children</w:t>
      </w:r>
    </w:p>
    <w:p w14:paraId="307F5A8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Viral respiratory tract infections (vRTIs) are a leading cause of hospitalization and death among children globally. However, current syndromic case definitions perform poorly among this population, minimizing </w:t>
      </w:r>
      <w:r w:rsidRPr="00AF28B8">
        <w:rPr>
          <w:rFonts w:ascii="Calibri" w:hAnsi="Calibri" w:cs="Calibri"/>
          <w:color w:val="000000"/>
          <w:sz w:val="22"/>
          <w:szCs w:val="22"/>
        </w:rPr>
        <w:lastRenderedPageBreak/>
        <w:t>their effectiveness in disease surveillance.</w:t>
      </w:r>
      <w:r w:rsidRPr="00AF28B8">
        <w:rPr>
          <w:rFonts w:ascii="Calibri" w:hAnsi="Calibri" w:cs="Calibri"/>
          <w:b/>
          <w:bCs/>
          <w:color w:val="000000"/>
          <w:sz w:val="22"/>
          <w:szCs w:val="22"/>
        </w:rPr>
        <w:t> </w:t>
      </w:r>
      <w:r w:rsidRPr="00AF28B8">
        <w:rPr>
          <w:rFonts w:ascii="Calibri" w:hAnsi="Calibri" w:cs="Calibri"/>
          <w:color w:val="000000"/>
          <w:sz w:val="22"/>
          <w:szCs w:val="22"/>
        </w:rPr>
        <w:t>We aimed to develop a machine learning model to detect vRTIs among hospitalized children using sociodemographic and symptom data.</w:t>
      </w:r>
      <w:r w:rsidRPr="00AF28B8">
        <w:rPr>
          <w:rFonts w:ascii="Calibri" w:hAnsi="Calibri" w:cs="Calibri"/>
          <w:b/>
          <w:bCs/>
          <w:color w:val="000000"/>
          <w:sz w:val="22"/>
          <w:szCs w:val="22"/>
        </w:rPr>
        <w:t> </w:t>
      </w:r>
      <w:r w:rsidRPr="00AF28B8">
        <w:rPr>
          <w:rFonts w:ascii="Calibri" w:hAnsi="Calibri" w:cs="Calibri"/>
          <w:color w:val="000000"/>
          <w:sz w:val="22"/>
          <w:szCs w:val="22"/>
        </w:rPr>
        <w:t>READAPT-Kids is a cohort study conducted at The Hospital for Sick Children and BC Children’s Hospital from 2022-2023. Hospitalized patients, aged 0 to 18 years, admitted for a suspected or confirmed acute respiratory infection were included. The outcome was any microbiologically confirmed vRTI determined using multiplex polymerase chain reaction and/or rapid antigen tests. A 70/30 train-test split was used, and models were trained using K-nearest neighbors, logistic ridge regression (LR), random forest, and extreme gradient boosting. Predictors included age, sex, transfer status, 22 symptoms at presentation, and comorbidity status. The best performing model, determined by the area under the receiver operating curve (auROC) on the test set, was further tested on age and pathogen subgroups. Among patients who received viral microbiologic testing (n=2049), 89% tested positive for at least one viral pathogen. The median age was 4.4 years (interquartile range: 0.8-5.2) and 51% had at least one comorbidity. The best performing model was the LR, with an auROC of 0.70 (95% confidence interval [CI]: 0.64-0.74), sensitivity of 0.65 (95% CI: 0.58-0.72), and specificity of 0.65 (95% CI: 0.54-0.76). Model performance varied slightly across ages, with an auROC of 0.69 (95% CI: 0.53-0.79) for &lt;1 year olds, 0.62 (95% CI: 0.56-0.68) for 1 to &lt;5 year olds, and 0.65 (95% CI: 0.57-0.71) for 5 to &lt;18 years old. Model performance varied between respiratory syncytial virus (auROC: 0.69, 95% CI: 0.62-0.74), SARS-CoV-2 (auROC: 0.52, 95% CI: 0.47-0.57), and influenza (auROC: 0.50, 95% CI: 0.43-0.57). Symptom-based prediction models can enhance detection of vRTIs and may aid in global pandemic preparedness efforts, particularly in settings with limited microbiologic testing.</w:t>
      </w:r>
    </w:p>
    <w:p w14:paraId="20C1CA5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25-A-3211-ASTMH</w:t>
      </w:r>
    </w:p>
    <w:p w14:paraId="457CFDEB"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6725F9A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Synthesizing evidence regarding the prevalence of zoonoses across species and the environment: A case study of neglected parasitic zoonoses in Canada</w:t>
      </w:r>
    </w:p>
    <w:p w14:paraId="36E89C3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Systematic reviews typically assess infection or disease frequency in one species at a time. However, incorporating data from all hosts and the environment would enable a more comprehensive understanding of the distribution of infections, especially for infections with limited data that are not reportable or notifiable. One Health systematic reviews offer a holistic perspective that can help policymakers assess the need for integrated surveillance or interventions.The objective of this presentation is to highlight key challenges in conducting One Health systematic reviews, and offer recommendations based on a case study of a review of neglected parasitic zoonoses in Canada.</w:t>
      </w:r>
      <w:r w:rsidRPr="00AF28B8">
        <w:rPr>
          <w:rFonts w:ascii="Calibri" w:hAnsi="Calibri" w:cs="Calibri"/>
          <w:color w:val="000000"/>
          <w:sz w:val="22"/>
          <w:szCs w:val="22"/>
        </w:rPr>
        <w:br/>
        <w:t>We conducted a systematic review of four parasitic zoonoses of public health concern in Canada. Peer-reviewed literature (1953-2023) was retrieved from Medline, Web of Science, and CABI Abstracts. Inclusion criteria targeted studies reporting prevalence in humans, domestic animals, wildlife, and the environment. All studies were screened and extracted using standardized methods. Recurring issues with data quality, comparability, and integration were documented.Of 5,920 studies screened, 226 met inclusion criteria: 71 human, 151 animal (domestic and wildlife), and 4 environmental studies. Three main challenges were identified: 1.</w:t>
      </w:r>
      <w:r w:rsidRPr="00AF28B8">
        <w:rPr>
          <w:rFonts w:ascii="Calibri" w:hAnsi="Calibri" w:cs="Calibri"/>
          <w:b/>
          <w:bCs/>
          <w:color w:val="000000"/>
          <w:sz w:val="22"/>
          <w:szCs w:val="22"/>
        </w:rPr>
        <w:t>Sampling bias in wildlife studies</w:t>
      </w:r>
      <w:r w:rsidRPr="00AF28B8">
        <w:rPr>
          <w:rFonts w:ascii="Calibri" w:hAnsi="Calibri" w:cs="Calibri"/>
          <w:color w:val="000000"/>
          <w:sz w:val="22"/>
          <w:szCs w:val="22"/>
        </w:rPr>
        <w:t>, often leading to under- or over-estimation of prevalence depending on species, geography, and sampling method.2.</w:t>
      </w:r>
      <w:r w:rsidRPr="00AF28B8">
        <w:rPr>
          <w:rFonts w:ascii="Calibri" w:hAnsi="Calibri" w:cs="Calibri"/>
          <w:b/>
          <w:bCs/>
          <w:color w:val="000000"/>
          <w:sz w:val="22"/>
          <w:szCs w:val="22"/>
        </w:rPr>
        <w:t>Diagnostic misclassification</w:t>
      </w:r>
      <w:r w:rsidRPr="00AF28B8">
        <w:rPr>
          <w:rFonts w:ascii="Calibri" w:hAnsi="Calibri" w:cs="Calibri"/>
          <w:color w:val="000000"/>
          <w:sz w:val="22"/>
          <w:szCs w:val="22"/>
        </w:rPr>
        <w:t> due to variable diagnostic tools and study objectives, particularly in humans, where exposure-based seroprevalence was often reported instead of active infection.3.</w:t>
      </w:r>
      <w:r w:rsidRPr="00AF28B8">
        <w:rPr>
          <w:rFonts w:ascii="Calibri" w:hAnsi="Calibri" w:cs="Calibri"/>
          <w:b/>
          <w:bCs/>
          <w:color w:val="000000"/>
          <w:sz w:val="22"/>
          <w:szCs w:val="22"/>
        </w:rPr>
        <w:t>Scarcity of environmental studies</w:t>
      </w:r>
      <w:r w:rsidRPr="00AF28B8">
        <w:rPr>
          <w:rFonts w:ascii="Calibri" w:hAnsi="Calibri" w:cs="Calibri"/>
          <w:color w:val="000000"/>
          <w:sz w:val="22"/>
          <w:szCs w:val="22"/>
        </w:rPr>
        <w:t>, with limited use of harmonized sampling and laboratory methods, making it difficult to integrate environmental data into transmission models.One Health reviews expose major evidence gaps and methodological inconsistencies that limit understanding of zoonotic transmission. Addressing these requires standardized reporting, expanded environmental surveillance, and interdisciplinary tools to support integrated public health action.</w:t>
      </w:r>
    </w:p>
    <w:p w14:paraId="14BCFA0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25-A-3212-ASTMH</w:t>
      </w:r>
    </w:p>
    <w:p w14:paraId="30D11D3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615B6B3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Evaluating the Performance of Malaria Sentinel Surveillance Sites in the DRC</w:t>
      </w:r>
    </w:p>
    <w:p w14:paraId="0B2C6CA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The Democratic Republic of the Congo (DRC) bears the world’s second-highest malaria burden, with over 27 million cases in 2023. To monitor cases and resistance trends, the National Malaria Control Program operates 26 sentinel sites, each with one hospital and three lower-level health centers. Ongoing concerns about data quality, infrastructure, and effectiveness prompted a comprehensive review to identify challenges and improve malaria surveillance. The evaluation employed a mixed-methods approach to assess 26 hospitals and one of three randomly selected health centers. Interviews were conducted with 1-3 health workers and 1-2 health zone staff per sentinel site. Results were analyzed using the WHO Malaria Surveillance toolkit framework. Five domains were measured: Performance and Effectiveness, Context and Infrastructure, Technical and Processes, Behavior, and Value. Selected indicators from each domain were used to calculate performance scores. The malaria surveillance system scored 61% overall. A strong technical and process score (81%) suggests that core structures and procedures are in place. Performance and Effectiveness, as well as Context and Infrastructure, scored moderately (61% and 63%, respectively), highlighting the need to expand coverage and include molecular surveillance. Key gaps included limited access to guidelines, unreliable electricity, and inconsistent availability of diagnostic tools such as RDTs and microscopy. Behavior scored just 50% due to limited training, poor understanding of standard case definitions, and high staff turnover. Only 6% of participants reported receiving formal malaria case management training the previous year, and only 35% knew malaria case definitions. Value also scored 50%, mainly due to fragmented and insufficient funding. Strengthening site infrastructure, staff capacity, and funding mechanisms is essential for improving malaria surveillance. In high-endemic countries like the DRC, robust and accurate surveillance is vital to guide interventions, detect outbreaks and resistance, close intervention coverage gaps, and reduce the malaria burden.</w:t>
      </w:r>
    </w:p>
    <w:p w14:paraId="42511670"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25-A-3213-ASTMH</w:t>
      </w:r>
    </w:p>
    <w:p w14:paraId="3BD6A36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Molecular Biology, Population Genetics and Genomics</w:t>
      </w:r>
    </w:p>
    <w:p w14:paraId="344667C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Matching</w:t>
      </w:r>
      <w:r w:rsidRPr="00AF28B8">
        <w:rPr>
          <w:rFonts w:ascii="Calibri" w:hAnsi="Calibri" w:cs="Calibri"/>
          <w:b/>
          <w:bCs/>
          <w:i/>
          <w:iCs/>
          <w:color w:val="000000"/>
          <w:sz w:val="22"/>
          <w:szCs w:val="22"/>
        </w:rPr>
        <w:t>Anopheles</w:t>
      </w:r>
      <w:r w:rsidRPr="00AF28B8">
        <w:rPr>
          <w:rFonts w:ascii="Calibri" w:hAnsi="Calibri" w:cs="Calibri"/>
          <w:b/>
          <w:bCs/>
          <w:color w:val="000000"/>
          <w:sz w:val="22"/>
          <w:szCs w:val="22"/>
        </w:rPr>
        <w:t>mosquito blood meals to human hosts to identify important transmission reservoirs of</w:t>
      </w:r>
      <w:r w:rsidRPr="00AF28B8">
        <w:rPr>
          <w:rFonts w:ascii="Calibri" w:hAnsi="Calibri" w:cs="Calibri"/>
          <w:b/>
          <w:bCs/>
          <w:i/>
          <w:iCs/>
          <w:color w:val="000000"/>
          <w:sz w:val="22"/>
          <w:szCs w:val="22"/>
        </w:rPr>
        <w:t>Plasmodium falciparum</w:t>
      </w:r>
    </w:p>
    <w:p w14:paraId="0C08F9B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Differences among people in their behavior and attractiveness to host-seeking mosquitoes causes heterogenous </w:t>
      </w:r>
      <w:r w:rsidRPr="00AF28B8">
        <w:rPr>
          <w:rFonts w:ascii="Calibri" w:hAnsi="Calibri" w:cs="Calibri"/>
          <w:i/>
          <w:iCs/>
          <w:color w:val="000000"/>
          <w:sz w:val="22"/>
          <w:szCs w:val="22"/>
        </w:rPr>
        <w:t>Anopheles</w:t>
      </w:r>
      <w:r w:rsidRPr="00AF28B8">
        <w:rPr>
          <w:rFonts w:ascii="Calibri" w:hAnsi="Calibri" w:cs="Calibri"/>
          <w:color w:val="000000"/>
          <w:sz w:val="22"/>
          <w:szCs w:val="22"/>
        </w:rPr>
        <w:t>vector biting, which contributes to variation in malaria parasite transmission. Together with host and parasite factors that determine within-host infection dynamics, heterogeneous vector biting also affects the contributions of human groups to transmission. Previously, we demonstrated that a small proportion of people receive most of the mosquito bites. Males, and particularly school-age children, were the primary source of mosquito blood meals, and had high rates of gametocytemia. In the current study, we followed a cohort of people from 27 households in rural Malawi and collected blood-fed mosquitoes from their houses. To identify specific humans that provided the blood meals, blood from each human participant and captured mosquito midgut was genetically profiled and matched using the bistro R package. The heads and thoraces of the mosquitoes were also screened for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 total, 146 humans aged between 2 and 73 years were sampled, and 1,071 blood-fed mosquitoes were collected from the same households. Genetic profiles were successfully created from all human blood samples and 455 mosquito blood meals. Preliminary analyses on a subset of 229 mosquitoes showed that 107 (45%) blood meals matched 43 (18%) unique people and 60 (26%) were sporozoite positive and matched 28 (19%) unique people. Further analysis of the data including the remaining mosquito blood meals is ongoing. Our study aims to identify the demographic group(s) most frequently bitten by </w:t>
      </w:r>
      <w:r w:rsidRPr="00AF28B8">
        <w:rPr>
          <w:rFonts w:ascii="Calibri" w:hAnsi="Calibri" w:cs="Calibri"/>
          <w:i/>
          <w:iCs/>
          <w:color w:val="000000"/>
          <w:sz w:val="22"/>
          <w:szCs w:val="22"/>
        </w:rPr>
        <w:t>Anopheles</w:t>
      </w:r>
      <w:r w:rsidRPr="00AF28B8">
        <w:rPr>
          <w:rFonts w:ascii="Calibri" w:hAnsi="Calibri" w:cs="Calibri"/>
          <w:color w:val="000000"/>
          <w:sz w:val="22"/>
          <w:szCs w:val="22"/>
        </w:rPr>
        <w:t> vectors, and mosquito feeding patterns. Results of the study should help to design interventions aimed at specific demographic groups driving mosquito infection and will shed light on mosquito blood feeding (e.g., single or multiple blood meals). Understanding sources and infection status of mosquito blood meals could be an effective way in designing interventions aimed at reducing malaria transmission.</w:t>
      </w:r>
    </w:p>
    <w:p w14:paraId="4F60BDF1"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25-A-3214-ASTMH</w:t>
      </w:r>
    </w:p>
    <w:p w14:paraId="4D63A5EF"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2E1A46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An Assessment of Household Knowledge, Attitudes and Practices Regarding End-of-Life Mosquito Nets in Nigeria</w:t>
      </w:r>
    </w:p>
    <w:p w14:paraId="256DEB4D"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Nigeria carries one quarter of the global burden of malaria and the use of ITNs is the primary strategy for malaria prevention; over 426 million ITNs have been shipped to Nigeria since 2004. When an ITN is no longer useable for malaria prevention it is considered end of life. While efforts have been put into the distribution of ITNs, little attention has been given to the environmental implications. Since 2023, BASF and the Nigeria National Malaria Program worked to determine household knowledge, attitude and practices regarding EOL nets. The assessment provided information for developing a sustainable approach to the management of EOL nets. Rapid assessments were conducted in Cross River, Jigawa and Ogun to assess household ownership of ITNs, the status of ITNs in households, perceptions/attitudes to ITNs, uses for EOL nets, and the quantity/volume available/retrievable. Overall, 87% of the sampled households had ITNs. EOL nets were found in 58% of the houses sampled. There was poor knowledge of the environmental consequences of EOL nets. Among the household sampled, 92% were willing to turn in their EOL nets for proper management. Out of this, 65% would return their EOL nets if new ITN were provided.The assessment showed a large number of EOL nets in households and little awareness of the negative impact of the EOL nets leading to improper waste management practices. The recommendations for responding to the household perceptions and practices regarding EOL nets included strengthening SBC, providing information on the useful life of an ITN and when to replace it, and guidance on proper disposal. Considering the potential high volume of EOL nets and the willingness of the households to turn them in, ITN retrieval/ for recycling is strongly recommended as the environmentally sustainable strategy in Nigeria.</w:t>
      </w:r>
    </w:p>
    <w:p w14:paraId="04E8AC90"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25-A-3215-ASTMH</w:t>
      </w:r>
    </w:p>
    <w:p w14:paraId="6D30D4A5"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Pathogenesis and Animal Models</w:t>
      </w:r>
    </w:p>
    <w:p w14:paraId="055AB0F6"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Gender Differences in a Mouse Model of Chronic Chikungunya Virus Disease</w:t>
      </w:r>
    </w:p>
    <w:p w14:paraId="034379F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Chikungunya virus (CHIKV) causes chronic relapsing-remitting pain in a subset of patients. Similar to rheumatoid arthritis and other autoimmune diseases, chronic CHIKV arthritis occurs more frequently in women. The mouse model for post-CHIKV arthritis involves footpad inoculation of C57BL/6 mice, which causes localized swelling and systemic infection. Our study investigated a low-dose IL2/anti-IL2 monoclonal antibody complex for the treatment of chronic CHIKV in a mouse model. An equal number of male and female mice were infected with CHIKV. After viral clearance at 16 days post-infection (dpi), mice were treated for 3 days with phosphate buffered saline (PBS) as a control, recombinant mouse IL2, anti-IL2 monoclonal antibody (mAb), or an IL2/anti-IL2 complex. At 19 dpi, mice were sacrificed. When examining the whole cohort, only the mAb significantly improved the tarsal joint histology scores compared to the PBS control group, with no significant changes in the IL2 or complex groups. However, when analyzed by gender, histology revealed significantly worse joint scores for IL2-treated males compared to PBS, while the mAb and complex groups remained unchanged. Further, there was a significant improvement in histology scores for all female treatments compared to the control, with the mAb group improving the most, followed by the complex and IL2 groups. Comparatively, serum IL2 for both genders was similar and low between treatment groups prior to treatment. By 19 dpi, IL2 levels increased significantly compared to 2 dpi, with a slight increase in IL2-treated mice and a large increase in complex-treated mice. However, in the mAb-treated group, serum IL2 levels were similar to those of the IL2 group in males, but levels hovered between the IL2 and complex groups in females. Splenic flow cytometric analysis showed that regulatory T cells, which are targeted by IL2 and dysregulated in CHIKV arthritis, significantly increased in the complex group only, with no gender differences. While the mechanisms are unclear, this analysis underscores the importance of considering sex-linked differences in immune responses in chikungunya arthritis studies.</w:t>
      </w:r>
    </w:p>
    <w:p w14:paraId="4EAA3C0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25-A-3216-ASTMH</w:t>
      </w:r>
    </w:p>
    <w:p w14:paraId="73CE208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Treatment, Drug Delivery, Drug Repurposing and Drug Discovery (Including Leishmania and Trypanosomes)</w:t>
      </w:r>
    </w:p>
    <w:p w14:paraId="45C2C42B"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Abstract Title: The Abstract Title: The Economic Burden of Visceral Leishmaniasis and Barriers to Accessing Healthcare in Tigray, North Ethiopia: A Field Based Study Leishmaniasis and Barriers to Accessing Healthcare in Tigray, North Ethiopia: A Field Based Study</w:t>
      </w:r>
    </w:p>
    <w:p w14:paraId="5BEC7977"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Visceral leishmaniasis (VL) is an important public health problem, which mainly affects the poor rural dwelling communities in Low- and Middle-Income Countries. However, little is known about the health and economic burdens of VL in East Africa, including Ethiopia. The aim of this study was to assess the household (HH) level economic burden of VL among affected communities in Tigray, Northern Ethiopia. Between April and August 2020, a cross-sectional HH survey was conducted on 96 patients who had been treated for VL within 12 months prior to the survey, in six districts of Tigray. Data on households’ health seeking behavior, direct and indirect costs and coping strategies were collected using a structured questionnaire and the responses were analyzed using SPSS software. Most (82%) patients were males and majority (74%) were 16 to 30 years of age. The education level of participants was very low: over 33% were uneducated; 48% were farmers and 32% were daily laborers. Over 46% of HH families resided in “poor houses” with structures made from entirely local materials. Over 46% of patients had traveled 48 to 72km to reach VL treatment hospitals. The median total HH cost for one VL episode was estimated to be US$ 214. This is equated to 18% of the mean total annual HH income or 72.5% of annual per capita income. More than 80% of the households (HHs) incurred catastrophic health expenditures, which is defined as exceeding 10% of annual HH income. Direct and indirect costs represented 44% and 56% of the total costs incurred, respectively. To cope with VL treatment costs, 43% of HHs used more than one coping strategy: 48% took out loans, 43% sold livestock and 31% of HHs mobilized cash savings. VL in Tigray is concentrated among young males with low educational level and mostly engaged in subsistence economic activities. Despite the free diagnostic and treatment provisions that were available at public hospitals, our work shows that the HH economic burden of the disease had significant impact among VL-affected communities in Tigray. Community awareness on prevention, early treatment and decentralization of VL treatment centers are strongly recommended.</w:t>
      </w:r>
    </w:p>
    <w:p w14:paraId="19FCADE3"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25-A-3217-ASTMH</w:t>
      </w:r>
    </w:p>
    <w:p w14:paraId="0DA7A74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73C8D8A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Hand hygiene behaviours and water, sanitation, and hygiene (WASH) conditions in urban, low-resource communities of Maputo, Mozambique</w:t>
      </w:r>
    </w:p>
    <w:p w14:paraId="7B2D8A8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Caregivers’ hands represent a critical exposure pathway for enteric pathogens within the domestic setting. While handwashing with soap effectively disrupts hand-mediated transmission, barriers such as access to handwashing resources, competing household activities, and lack of knowledge of handwashing benefits can reduce its practice and protective effect. We investigated the hand hygiene behaviours of caregivers of young children living in low-income neighbourhoods of Maputo, Mozambique and how these practices vary with access to water, sanitation, and hygiene (WASH) facilities and water insecurity. Structured observations (up to 5h) were conducted focusing on key opportunities for pathogen transmission (after child faeces management, after caregiver toilet use, after caregiver respiratory events, before food preparation, and before child feeding). Observation data were paired with WASH indicator data comprised of handwashing facility access, presence of soap and water, drinking water source, sanitation access, self-reported hand hygiene practices, and the individual water insecurity experiences (iWISE) scale. We observed 76 caregivers, capturing 691 hand hygiene opportunities. Observed handwashing with soap was rare, with only 2 instances documented over the 286.2 observation hours. Caregivers consistently overreported their hygiene behaviours relative to observed hand hygiene actions. Most households had access to piped water (84%; 62/74) and low water insecurity (mean iWISE score: 2.8; SD: 3.7), but only 18% of households were observed to have a hand hygiene facility (13/73). Among households with a handwashing facility, soap and water were infrequently observed (31%; 4/13). No differences in hand hygiene practices were found across households with and without access to WASH facilities and resources. Low rates of caregiver handwashing observed here, coupled with previously documented high levels of pathogen exposure in these communities, underscore the risk of hand-mediated pathogen transmission in this setting and the need for hygiene interventions tailored to caregivers’ needs.</w:t>
      </w:r>
    </w:p>
    <w:p w14:paraId="1D27B4C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25-A-3218-ASTMH</w:t>
      </w:r>
    </w:p>
    <w:p w14:paraId="17502E5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7A0F4BF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Transcriptomic Analysis Identified Dysregulation in Immune, Metabolic, and Stress Response Pathways as Signatures of COVID-19 Severity</w:t>
      </w:r>
    </w:p>
    <w:p w14:paraId="37E367E7"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immune response to SARS-CoV-2 infection varies significantly between patients with non-severe and severe COVID-19. To identify gene expression signatures of disease severity, we analyzed the complete expressed transcriptome of peripheral blood mononuclear cells from patients hospitalized at the University of New Mexico Hospital. Patients were stratified into non-severe (n=13) and severe disease (n=20) upon enrollment into the study, based on equal timing of infection. Severe disease was defined as ICU admission and/or death within 14 days, while non-severe disease was defined as no ICU support and survival during hospitalization. There were 3,690 differentially expressed genes (DEGs, FDR-corrected </w:t>
      </w:r>
      <w:r w:rsidRPr="00AF28B8">
        <w:rPr>
          <w:rFonts w:ascii="Calibri" w:hAnsi="Calibri" w:cs="Calibri"/>
          <w:i/>
          <w:iCs/>
          <w:color w:val="000000"/>
          <w:sz w:val="22"/>
          <w:szCs w:val="22"/>
        </w:rPr>
        <w:t>p</w:t>
      </w:r>
      <w:r w:rsidRPr="00AF28B8">
        <w:rPr>
          <w:rFonts w:ascii="Calibri" w:hAnsi="Calibri" w:cs="Calibri"/>
          <w:color w:val="000000"/>
          <w:sz w:val="22"/>
          <w:szCs w:val="22"/>
        </w:rPr>
        <w:t>&lt;0.050: 2,220 up-regulated and 1,470 down-regulated) between groups. Pathway enrichment analysis of these DEGs identified substantial dysregulation in several cellular processes. The most significantly enriched pathway was </w:t>
      </w:r>
      <w:r w:rsidRPr="00AF28B8">
        <w:rPr>
          <w:rFonts w:ascii="Calibri" w:hAnsi="Calibri" w:cs="Calibri"/>
          <w:i/>
          <w:iCs/>
          <w:color w:val="000000"/>
          <w:sz w:val="22"/>
          <w:szCs w:val="22"/>
        </w:rPr>
        <w:t>Protein Processing in the Endoplasmic Reticulum</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=3.15E-13), suggesting heightened stress and misfolded protein responses in severe cases. Additional enriched pathways included </w:t>
      </w:r>
      <w:r w:rsidRPr="00AF28B8">
        <w:rPr>
          <w:rFonts w:ascii="Calibri" w:hAnsi="Calibri" w:cs="Calibri"/>
          <w:i/>
          <w:iCs/>
          <w:color w:val="000000"/>
          <w:sz w:val="22"/>
          <w:szCs w:val="22"/>
        </w:rPr>
        <w:t>Cell Cycle Regulation</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=8.20E-8), </w:t>
      </w:r>
      <w:r w:rsidRPr="00AF28B8">
        <w:rPr>
          <w:rFonts w:ascii="Calibri" w:hAnsi="Calibri" w:cs="Calibri"/>
          <w:i/>
          <w:iCs/>
          <w:color w:val="000000"/>
          <w:sz w:val="22"/>
          <w:szCs w:val="22"/>
        </w:rPr>
        <w:t>Various Types of N-glycan Biosynthesis</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=1.46E-6), and </w:t>
      </w:r>
      <w:r w:rsidRPr="00AF28B8">
        <w:rPr>
          <w:rFonts w:ascii="Calibri" w:hAnsi="Calibri" w:cs="Calibri"/>
          <w:i/>
          <w:iCs/>
          <w:color w:val="000000"/>
          <w:sz w:val="22"/>
          <w:szCs w:val="22"/>
        </w:rPr>
        <w:t>Platelet Activation</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=1.69E-5), indicating coordinated changes in immune activation, metabolism, and thrombosis. Immune-related pathways such as </w:t>
      </w:r>
      <w:r w:rsidRPr="00AF28B8">
        <w:rPr>
          <w:rFonts w:ascii="Calibri" w:hAnsi="Calibri" w:cs="Calibri"/>
          <w:i/>
          <w:iCs/>
          <w:color w:val="000000"/>
          <w:sz w:val="22"/>
          <w:szCs w:val="22"/>
        </w:rPr>
        <w:t>Human T-cell Leukemia Virus 1 Infection </w:t>
      </w:r>
      <w:r w:rsidRPr="00AF28B8">
        <w:rPr>
          <w:rFonts w:ascii="Calibri" w:hAnsi="Calibri" w:cs="Calibri"/>
          <w:color w:val="000000"/>
          <w:sz w:val="22"/>
          <w:szCs w:val="22"/>
        </w:rPr>
        <w:t>(</w:t>
      </w:r>
      <w:r w:rsidRPr="00AF28B8">
        <w:rPr>
          <w:rFonts w:ascii="Calibri" w:hAnsi="Calibri" w:cs="Calibri"/>
          <w:i/>
          <w:iCs/>
          <w:color w:val="000000"/>
          <w:sz w:val="22"/>
          <w:szCs w:val="22"/>
        </w:rPr>
        <w:t>p</w:t>
      </w:r>
      <w:r w:rsidRPr="00AF28B8">
        <w:rPr>
          <w:rFonts w:ascii="Calibri" w:hAnsi="Calibri" w:cs="Calibri"/>
          <w:color w:val="000000"/>
          <w:sz w:val="22"/>
          <w:szCs w:val="22"/>
        </w:rPr>
        <w:t>=3.36E-5), </w:t>
      </w:r>
      <w:r w:rsidRPr="00AF28B8">
        <w:rPr>
          <w:rFonts w:ascii="Calibri" w:hAnsi="Calibri" w:cs="Calibri"/>
          <w:i/>
          <w:iCs/>
          <w:color w:val="000000"/>
          <w:sz w:val="22"/>
          <w:szCs w:val="22"/>
        </w:rPr>
        <w:t>Hematopoietic Cell Lineage </w:t>
      </w:r>
      <w:r w:rsidRPr="00AF28B8">
        <w:rPr>
          <w:rFonts w:ascii="Calibri" w:hAnsi="Calibri" w:cs="Calibri"/>
          <w:color w:val="000000"/>
          <w:sz w:val="22"/>
          <w:szCs w:val="22"/>
        </w:rPr>
        <w:t>(</w:t>
      </w:r>
      <w:r w:rsidRPr="00AF28B8">
        <w:rPr>
          <w:rFonts w:ascii="Calibri" w:hAnsi="Calibri" w:cs="Calibri"/>
          <w:i/>
          <w:iCs/>
          <w:color w:val="000000"/>
          <w:sz w:val="22"/>
          <w:szCs w:val="22"/>
        </w:rPr>
        <w:t>p</w:t>
      </w:r>
      <w:r w:rsidRPr="00AF28B8">
        <w:rPr>
          <w:rFonts w:ascii="Calibri" w:hAnsi="Calibri" w:cs="Calibri"/>
          <w:color w:val="000000"/>
          <w:sz w:val="22"/>
          <w:szCs w:val="22"/>
        </w:rPr>
        <w:t>=6.03E-5), and </w:t>
      </w:r>
      <w:r w:rsidRPr="00AF28B8">
        <w:rPr>
          <w:rFonts w:ascii="Calibri" w:hAnsi="Calibri" w:cs="Calibri"/>
          <w:i/>
          <w:iCs/>
          <w:color w:val="000000"/>
          <w:sz w:val="22"/>
          <w:szCs w:val="22"/>
        </w:rPr>
        <w:t>Cytokine-Cytokine Receptor Interaction</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=1.10E-3) were also significantly enriched, reflecting a hyperinflammatory state in severe disease. Metabolic processes, including </w:t>
      </w:r>
      <w:r w:rsidRPr="00AF28B8">
        <w:rPr>
          <w:rFonts w:ascii="Calibri" w:hAnsi="Calibri" w:cs="Calibri"/>
          <w:i/>
          <w:iCs/>
          <w:color w:val="000000"/>
          <w:sz w:val="22"/>
          <w:szCs w:val="22"/>
        </w:rPr>
        <w:t>Steroid Biosynthesis</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=5.25E-5) and </w:t>
      </w:r>
      <w:r w:rsidRPr="00AF28B8">
        <w:rPr>
          <w:rFonts w:ascii="Calibri" w:hAnsi="Calibri" w:cs="Calibri"/>
          <w:i/>
          <w:iCs/>
          <w:color w:val="000000"/>
          <w:sz w:val="22"/>
          <w:szCs w:val="22"/>
        </w:rPr>
        <w:t>Glutathione Metabolism</w:t>
      </w:r>
      <w:r w:rsidRPr="00AF28B8">
        <w:rPr>
          <w:rFonts w:ascii="Calibri" w:hAnsi="Calibri" w:cs="Calibri"/>
          <w:color w:val="000000"/>
          <w:sz w:val="22"/>
          <w:szCs w:val="22"/>
        </w:rPr>
        <w:t> (</w:t>
      </w:r>
      <w:r w:rsidRPr="00AF28B8">
        <w:rPr>
          <w:rFonts w:ascii="Calibri" w:hAnsi="Calibri" w:cs="Calibri"/>
          <w:i/>
          <w:iCs/>
          <w:color w:val="000000"/>
          <w:sz w:val="22"/>
          <w:szCs w:val="22"/>
        </w:rPr>
        <w:t>p</w:t>
      </w:r>
      <w:r w:rsidRPr="00AF28B8">
        <w:rPr>
          <w:rFonts w:ascii="Calibri" w:hAnsi="Calibri" w:cs="Calibri"/>
          <w:color w:val="000000"/>
          <w:sz w:val="22"/>
          <w:szCs w:val="22"/>
        </w:rPr>
        <w:t>=3.79E-5) were perturbed, indicating oxidative stress and lipid imbalances in severe illness. Collectively, there was profound immunometabolic remodeling and stress responses in patients with severe COVID-19, supporting transcriptional profiling to stratify disease risk and guide therapeutic strategies. These findings highlight host responses driving COVID-19 severity and may guide future biomarker discovery and treatment.</w:t>
      </w:r>
    </w:p>
    <w:p w14:paraId="2A15E2E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25-A-3219-ASTMH</w:t>
      </w:r>
    </w:p>
    <w:p w14:paraId="24AEBDE4"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EB7A4F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Assessing the effect of a complex health system intervention (ProCCM CI) on Reproductive, Maternal, Neonatal and Child Health (RMNCH) outcomes, in two districts in Côte d’Ivoire</w:t>
      </w:r>
    </w:p>
    <w:p w14:paraId="4640D9CB"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Similarly to most Sub-saharan African countries (SSA), Cote d’Ivoire experiences stagnation and a slow decrease in child and maternal mortality rates, which remain high and stood at 52 deaths per 1000 livebirths and 480 deaths per 100,000 respectively according to the most recent (2022) Ivorian Demographic and Health Survey. These rates are notably higher in rural settings, due to poorer access to prompt and quality reproductive, maternal, and child healthcare. To improve reproductive, maternal and child outcomes, in general and particularly in the rural settings, Côte d’Ivoire has adopted integrated community case management (iCCM). Despite its promising effectiveness, iCCM intervention has presented various limitations, leading to persistent poor maternal and child health outcomes. Thus, there is a need to improve iCCM interventions for equitable access in reproductive, maternal and child care.Proactive Community Case Management (ProCCM) health system transformation model was developed by Muso Health organization. It combines proactive case detection with community case management by professional CHWs, dedicated supervision, primary care upgrades, and user fee removal across each level of care. By doing so, ProCCM seeks to improve rapid access to care for both children and women of reproductive age, while addressing the limitations of iCCM, such as weak infrastructure, inconsistent supervision, and unsustainable practices. ProCCM has been found to be effective in Bankass and Yirimadio, two health districts in Mali through a Cluster Randomized Controlled Trial (cRCT). Therefore, since December 2022, we implemented the ProCCM model in Madinani, a health district of Cote d’Ivoire with different health context as Mali. The model is yet to be assessed, and if effective, it will be extended to Adzopé health district. To assess the effect of our ProCCM model, we propose a robust approach for assessing public health intervention at the community level using routine </w:t>
      </w:r>
      <w:r w:rsidRPr="00AF28B8">
        <w:rPr>
          <w:rFonts w:ascii="Calibri" w:hAnsi="Calibri" w:cs="Calibri"/>
          <w:color w:val="000000"/>
          <w:sz w:val="22"/>
          <w:szCs w:val="22"/>
        </w:rPr>
        <w:lastRenderedPageBreak/>
        <w:t>health facility data. The generated evidences could be used by Ivorian public health policymakers to improve health systems for reproductive, maternal and child health.</w:t>
      </w:r>
    </w:p>
    <w:p w14:paraId="40F02BD2"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25-A-3220-ASTMH</w:t>
      </w:r>
    </w:p>
    <w:p w14:paraId="58CDE06B"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6D274D7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Enterobacterial Profiling and Molecular Studies of Resistant Isolates Among Food Handlers in Selected Restaurants in Nnewi Metropolis</w:t>
      </w:r>
    </w:p>
    <w:p w14:paraId="17D4FF2B"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emergence of Extended Spectrum Beta-Lactamase (ESBL) producing Enterobacteriaceae, particularly those harboring plasmid-mediated blaTEM, blaCTX-M, and blaSHV genes, poses a substantial threat to public health due to their resistance to a wide range of beta-lactam antibiotics. The rapid spread of these multidrug-resistant (MDR) strains is jeopardizing existing therapies and affecting patient outcomes. Food handlers pose a potential source of this spread, heightened by the rise of food consumption from street-vended food and food in branded and unbranded restaurants. Our objective was to identify the prevalence of ESBL-producing bacteria among food handlers in Nnewi, Southeast Nigeria. A prevalence study was conducted involving 178 food handlers and 45 non-food handlers in Nnewi. The study collected 524 samples comprising 120 nasal swabs, 116 urine samples, 173 hand swabs, and 115 stool samples. These samples were analyzed to identify bacterial strains and determine their antimicrobial resistance profiles. The participants' sociodemographic profiles were also collected. The results showed that food handlers represent a frequent source of bacterial strains exhibiting high resistance to several antibiotics, including cefotaxime, ampicillin + cloxacillin, and amoxicillin + clavulanic acid. The majority of Enterobacteriaceae isolates were MDR, with 20.1% producing ESBLs. Among the ESBL-producing strains, the blaSHV gene was most prevalent, followed by blaTEM. Plasmid profiling revealed that 90% of the ESBL genes were plasmid encoded. Genetic sequencing identified the isolates with their accession number, and a phylogenetic tree was used to visualize their genetic relatedness. This study has revealed a high prevalence of ESBL-producing Enterobacteriaceae in food handlers, highlighting a potential route for the transmission of antibiotic-resistant pathogens through the food chain, which has important implications for public health, emphasizing the need for continuous surveillance and targeted interventions to mitigate the spread of antibiotic resistance.</w:t>
      </w:r>
    </w:p>
    <w:p w14:paraId="614DDC2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25-A-3221-ASTMH</w:t>
      </w:r>
    </w:p>
    <w:p w14:paraId="03049619"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61FEF83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Insulin-like growth factor 1 and its major binding protein 3 in the pathogenesis of malaria and geohelminthiasis</w:t>
      </w:r>
    </w:p>
    <w:p w14:paraId="0D84A27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Parasitic diseases like malaria and geohelminthiasis represent a public health challenge, impacting the nutritional and immunological health of affected populations</w:t>
      </w:r>
      <w:r w:rsidRPr="00AF28B8">
        <w:rPr>
          <w:rFonts w:ascii="Calibri" w:hAnsi="Calibri" w:cs="Calibri"/>
          <w:color w:val="000000"/>
          <w:sz w:val="22"/>
          <w:szCs w:val="22"/>
          <w:vertAlign w:val="subscript"/>
        </w:rPr>
        <w:t>. </w:t>
      </w:r>
      <w:r w:rsidRPr="00AF28B8">
        <w:rPr>
          <w:rFonts w:ascii="Calibri" w:hAnsi="Calibri" w:cs="Calibri"/>
          <w:color w:val="000000"/>
          <w:sz w:val="22"/>
          <w:szCs w:val="22"/>
        </w:rPr>
        <w:t>In Colombia, these diseases primarilly affect children who live in rural and underserved areas. The Department of Córdoba is one of the macro foci of malaria caused by</w:t>
      </w:r>
      <w:r w:rsidRPr="00AF28B8">
        <w:rPr>
          <w:rFonts w:ascii="Calibri" w:hAnsi="Calibri" w:cs="Calibri"/>
          <w:i/>
          <w:iCs/>
          <w:color w:val="000000"/>
          <w:sz w:val="22"/>
          <w:szCs w:val="22"/>
        </w:rPr>
        <w:t> Plasmodium vivax. </w:t>
      </w:r>
      <w:r w:rsidRPr="00AF28B8">
        <w:rPr>
          <w:rFonts w:ascii="Calibri" w:hAnsi="Calibri" w:cs="Calibri"/>
          <w:color w:val="000000"/>
          <w:sz w:val="22"/>
          <w:szCs w:val="22"/>
        </w:rPr>
        <w:t>At present, the relationship between insulin-like growth factor-1 (IGF-1) and clinical complications in patients with </w:t>
      </w:r>
      <w:r w:rsidRPr="00AF28B8">
        <w:rPr>
          <w:rFonts w:ascii="Calibri" w:hAnsi="Calibri" w:cs="Calibri"/>
          <w:i/>
          <w:iCs/>
          <w:color w:val="000000"/>
          <w:sz w:val="22"/>
          <w:szCs w:val="22"/>
        </w:rPr>
        <w:t>Plasmodium vivax </w:t>
      </w:r>
      <w:r w:rsidRPr="00AF28B8">
        <w:rPr>
          <w:rFonts w:ascii="Calibri" w:hAnsi="Calibri" w:cs="Calibri"/>
          <w:color w:val="000000"/>
          <w:sz w:val="22"/>
          <w:szCs w:val="22"/>
        </w:rPr>
        <w:t>malaria-geohelminthiasis coinfection has not been defined. This study aimed to evaluate the effect of co-infection by </w:t>
      </w:r>
      <w:r w:rsidRPr="00AF28B8">
        <w:rPr>
          <w:rFonts w:ascii="Calibri" w:hAnsi="Calibri" w:cs="Calibri"/>
          <w:i/>
          <w:iCs/>
          <w:color w:val="000000"/>
          <w:sz w:val="22"/>
          <w:szCs w:val="22"/>
        </w:rPr>
        <w:t>Plasmodium vivax </w:t>
      </w:r>
      <w:r w:rsidRPr="00AF28B8">
        <w:rPr>
          <w:rFonts w:ascii="Calibri" w:hAnsi="Calibri" w:cs="Calibri"/>
          <w:color w:val="000000"/>
          <w:sz w:val="22"/>
          <w:szCs w:val="22"/>
        </w:rPr>
        <w:t>and geohelminths on the plasma concentration of the axis of insulin-like growth factor 1 and its binding protein 3 (IGFBP-3). An analytical, cross-sectional study was conducted involving 130 individuals, categorized in 4 groups, malaria n=33; geohelminthiasis n=39; malaria-geoheminthiasis co-infection n=27 and apparently healthy individuals n=31, in the region of Tierralta (Córdoba-Colombia). Malaria diagnoses were performed using the thick drop method, and geohelminthiasis was diagnosed using Kato Katz technique. The plasma concentration of IGF-1 and IGFBP-3 were determined by an enzyme-linked immunosorbent assay (ELISA), specific to each molecule. It could observe that individuals between 6 and 15 years of age were more susceptible to malaria caused by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The geohelminth species </w:t>
      </w:r>
      <w:r w:rsidRPr="00AF28B8">
        <w:rPr>
          <w:rFonts w:ascii="Calibri" w:hAnsi="Calibri" w:cs="Calibri"/>
          <w:i/>
          <w:iCs/>
          <w:color w:val="000000"/>
          <w:sz w:val="22"/>
          <w:szCs w:val="22"/>
        </w:rPr>
        <w:t>Trichuris trichiura</w:t>
      </w:r>
      <w:r w:rsidRPr="00AF28B8">
        <w:rPr>
          <w:rFonts w:ascii="Calibri" w:hAnsi="Calibri" w:cs="Calibri"/>
          <w:color w:val="000000"/>
          <w:sz w:val="22"/>
          <w:szCs w:val="22"/>
        </w:rPr>
        <w:t xml:space="preserve"> had a higher prevalence of infection in the study population. The concentration of IGF-1 (45.01±0.53 ng/mL) and IGFBP-3 (0.26±0.32 ug/mL) was significantly decreased in malaria patients, who had a low body mass index compared to controls. Co-infection </w:t>
      </w:r>
      <w:r w:rsidRPr="00AF28B8">
        <w:rPr>
          <w:rFonts w:ascii="Calibri" w:hAnsi="Calibri" w:cs="Calibri"/>
          <w:color w:val="000000"/>
          <w:sz w:val="22"/>
          <w:szCs w:val="22"/>
        </w:rPr>
        <w:lastRenderedPageBreak/>
        <w:t>by </w:t>
      </w:r>
      <w:r w:rsidRPr="00AF28B8">
        <w:rPr>
          <w:rFonts w:ascii="Calibri" w:hAnsi="Calibri" w:cs="Calibri"/>
          <w:i/>
          <w:iCs/>
          <w:color w:val="000000"/>
          <w:sz w:val="22"/>
          <w:szCs w:val="22"/>
        </w:rPr>
        <w:t>Plasmodium</w:t>
      </w:r>
      <w:r w:rsidRPr="00AF28B8">
        <w:rPr>
          <w:rFonts w:ascii="Calibri" w:hAnsi="Calibri" w:cs="Calibri"/>
          <w:color w:val="000000"/>
          <w:sz w:val="22"/>
          <w:szCs w:val="22"/>
        </w:rPr>
        <w:t> </w:t>
      </w:r>
      <w:r w:rsidRPr="00AF28B8">
        <w:rPr>
          <w:rFonts w:ascii="Calibri" w:hAnsi="Calibri" w:cs="Calibri"/>
          <w:i/>
          <w:iCs/>
          <w:color w:val="000000"/>
          <w:sz w:val="22"/>
          <w:szCs w:val="22"/>
        </w:rPr>
        <w:t>vivax</w:t>
      </w:r>
      <w:r w:rsidRPr="00AF28B8">
        <w:rPr>
          <w:rFonts w:ascii="Calibri" w:hAnsi="Calibri" w:cs="Calibri"/>
          <w:color w:val="000000"/>
          <w:sz w:val="22"/>
          <w:szCs w:val="22"/>
        </w:rPr>
        <w:t>-geohelminths has a negative impact on IGF-1 and its main binding protein IGFBP-3, which can affect nutritional status in recurrent infections that could be reflected in body mass index.</w:t>
      </w:r>
    </w:p>
    <w:p w14:paraId="34584801"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25-A-3222-ASTMH</w:t>
      </w:r>
    </w:p>
    <w:p w14:paraId="39CF135F"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58270884"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An analysis of smoking cessation rates and cessation related factors by food security status among HIV+ smokers who completed tobacco use treatment in Vietnam</w:t>
      </w:r>
    </w:p>
    <w:p w14:paraId="6C7E841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People living with HIV (PLWH) who smoke face compounded challenges to cessation including metabolizing nicotine faster, and increased stress and anxiety. Food insecurity (FI) plays a role in tobacco use initiation, continued smoking, and potentially cessation, by exacerbating tobacco dependence and readiness to quit. How FI intersects with tobacco-use, especially among PLWH is understudied. This study examines how FI impacts cessation related factors and cessation outcomes. We surveyed PLWH who completed tobacco use treatment at 5 HIV clinics in Hanoi, Vietnam, between November 2021 and June 2022. FI was assessed using the Household Food Insecurity Access Scale. Smoking cessation was evaluated using self-reported 7-day abstinence at 6-months and confirmed biochemically by expired-air carbon monoxide measurements. We used a longitudinal survey design to test associations between baseline FI and tobacco dependence, readiness to quit, and smoking cessation status. Of the 182 participants, 27 (14.8%) quit smoking, and 25 (13.7%) experienced FI, with 1 (3.7%) experiencing FI and quitting . FI was positively associated with tobacco dependence (p&lt;0.05) and negatively associated with readiness to quit (p&lt; 0.01). Participants with FI were less likely to abstain from smoking at 6-months (4% vs. 17%; RR=0.24; 95% CI: 0.03 – 1.70). It was not statistically significant. FI may impact tobacco dependence, readiness to quit, and cessation. However, the small sample size of participants who were FI limited the statistical power, particularly for the cessation outcome. Despite this, our results suggest a strong negative effect of FI on cessation success.</w:t>
      </w:r>
    </w:p>
    <w:p w14:paraId="4C9E8C3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25-A-3223-ASTMH</w:t>
      </w:r>
    </w:p>
    <w:p w14:paraId="79772CB8"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Systemic Infections</w:t>
      </w:r>
    </w:p>
    <w:p w14:paraId="6BFB74E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Immune Profiling Reveals Diagnostic Biomarkers for Tuberculosis in Ghanaian Populations</w:t>
      </w:r>
    </w:p>
    <w:p w14:paraId="28C05E51"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Tuberculosis (TB) remains a significant public health challenge in Ghana, highlighting the urgent need for improved diagnostic tools to distinguish Latent TB Infection (LTBI) from active disease. This study conducted comprehensive immune profiling of 120 participants—comprising 40 active TB patients, 40 LTBI individuals, and 40 healthy controls—at Korle-Bu Teaching Hospital in Accra. Using flow cytometry and cytokine analysis, the study aimed to identify Ghana-specific immune biomarkers. The results revealed marked immunological differences among the groups. Active TB patients had a 3.1-fold increase in exhausted PD-1⁺CD4⁺ T cells (28.4%) compared to LTBI individuals (9.1%, </w:t>
      </w:r>
      <w:r w:rsidRPr="00AF28B8">
        <w:rPr>
          <w:rFonts w:ascii="Calibri" w:hAnsi="Calibri" w:cs="Calibri"/>
          <w:i/>
          <w:iCs/>
          <w:color w:val="000000"/>
          <w:sz w:val="22"/>
          <w:szCs w:val="22"/>
        </w:rPr>
        <w:t>p</w:t>
      </w:r>
      <w:r w:rsidRPr="00AF28B8">
        <w:rPr>
          <w:rFonts w:ascii="Calibri" w:hAnsi="Calibri" w:cs="Calibri"/>
          <w:color w:val="000000"/>
          <w:sz w:val="22"/>
          <w:szCs w:val="22"/>
        </w:rPr>
        <w:t> &lt; 0.001), with this cell population showing a strong correlation with bacterial load (</w:t>
      </w:r>
      <w:r w:rsidRPr="00AF28B8">
        <w:rPr>
          <w:rFonts w:ascii="Calibri" w:hAnsi="Calibri" w:cs="Calibri"/>
          <w:i/>
          <w:iCs/>
          <w:color w:val="000000"/>
          <w:sz w:val="22"/>
          <w:szCs w:val="22"/>
        </w:rPr>
        <w:t>r</w:t>
      </w:r>
      <w:r w:rsidRPr="00AF28B8">
        <w:rPr>
          <w:rFonts w:ascii="Calibri" w:hAnsi="Calibri" w:cs="Calibri"/>
          <w:color w:val="000000"/>
          <w:sz w:val="22"/>
          <w:szCs w:val="22"/>
        </w:rPr>
        <w:t> = 0.72, </w:t>
      </w:r>
      <w:r w:rsidRPr="00AF28B8">
        <w:rPr>
          <w:rFonts w:ascii="Calibri" w:hAnsi="Calibri" w:cs="Calibri"/>
          <w:i/>
          <w:iCs/>
          <w:color w:val="000000"/>
          <w:sz w:val="22"/>
          <w:szCs w:val="22"/>
        </w:rPr>
        <w:t>p</w:t>
      </w:r>
      <w:r w:rsidRPr="00AF28B8">
        <w:rPr>
          <w:rFonts w:ascii="Calibri" w:hAnsi="Calibri" w:cs="Calibri"/>
          <w:color w:val="000000"/>
          <w:sz w:val="22"/>
          <w:szCs w:val="22"/>
        </w:rPr>
        <w:t> = 0.008). A distinct CD14⁺IL-1β⁺ monocyte subset was also identified, which was 15.2 times more abundant in active TB cases (</w:t>
      </w:r>
      <w:r w:rsidRPr="00AF28B8">
        <w:rPr>
          <w:rFonts w:ascii="Calibri" w:hAnsi="Calibri" w:cs="Calibri"/>
          <w:i/>
          <w:iCs/>
          <w:color w:val="000000"/>
          <w:sz w:val="22"/>
          <w:szCs w:val="22"/>
        </w:rPr>
        <w:t>p</w:t>
      </w:r>
      <w:r w:rsidRPr="00AF28B8">
        <w:rPr>
          <w:rFonts w:ascii="Calibri" w:hAnsi="Calibri" w:cs="Calibri"/>
          <w:color w:val="000000"/>
          <w:sz w:val="22"/>
          <w:szCs w:val="22"/>
        </w:rPr>
        <w:t> = 0.002). In contrast, LTBI individuals displayed a 2.8-fold higher frequency of CCR7⁺CD27⁺ central memory T cells (</w:t>
      </w:r>
      <w:r w:rsidRPr="00AF28B8">
        <w:rPr>
          <w:rFonts w:ascii="Calibri" w:hAnsi="Calibri" w:cs="Calibri"/>
          <w:i/>
          <w:iCs/>
          <w:color w:val="000000"/>
          <w:sz w:val="22"/>
          <w:szCs w:val="22"/>
        </w:rPr>
        <w:t>p</w:t>
      </w:r>
      <w:r w:rsidRPr="00AF28B8">
        <w:rPr>
          <w:rFonts w:ascii="Calibri" w:hAnsi="Calibri" w:cs="Calibri"/>
          <w:color w:val="000000"/>
          <w:sz w:val="22"/>
          <w:szCs w:val="22"/>
        </w:rPr>
        <w:t> = 0.004), associated with protective IFN-γ responses. Based on these findings, a five-marker diagnostic panel was developed, demonstrating 91% overall accuracy (88% sensitivity, 93% specificity), significantly outperforming current IGRA tests, which showed 72% accuracy. These immune signatures remained consistent after adjusting for key local factors, including HIV co-infection (present in 18% of participants) and the prevalent </w:t>
      </w:r>
      <w:r w:rsidRPr="00AF28B8">
        <w:rPr>
          <w:rFonts w:ascii="Calibri" w:hAnsi="Calibri" w:cs="Calibri"/>
          <w:i/>
          <w:iCs/>
          <w:color w:val="000000"/>
          <w:sz w:val="22"/>
          <w:szCs w:val="22"/>
        </w:rPr>
        <w:t>Mycobacterium tuberculosis</w:t>
      </w:r>
      <w:r w:rsidRPr="00AF28B8">
        <w:rPr>
          <w:rFonts w:ascii="Calibri" w:hAnsi="Calibri" w:cs="Calibri"/>
          <w:color w:val="000000"/>
          <w:sz w:val="22"/>
          <w:szCs w:val="22"/>
        </w:rPr>
        <w:t> lineages (L4.6/L4.9). Importantly, the proposed biomarkers can be integrated into existing hospital laboratory setups in Ghana and adapted into affordable (&lt;GH₵25 per test), rapid diagnostic tools to enhance TB diagnosis and clinical management. This study offers the first detailed immunological characterisation of TB in a West African population and presents practical, context-specific solutions to strengthen TB control efforts in Ghana.</w:t>
      </w:r>
    </w:p>
    <w:p w14:paraId="76EF1D4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25-A-3224-ASTMH</w:t>
      </w:r>
    </w:p>
    <w:p w14:paraId="4E42C3B8"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Cestodes (including taeniasis and cysticercosis, echinococcosis/hydatid disease, and others)</w:t>
      </w:r>
    </w:p>
    <w:p w14:paraId="725B5A2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Comparison of immunoblotting bands in treated and untreated inactive CE cysts. Preliminary results.</w:t>
      </w:r>
    </w:p>
    <w:p w14:paraId="359EBB7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Echinococcus granulosus cysts (CE) go through different stages, as per the WHO Informal Group for Echinococcosis Ultrasound classification, but the relationship of serological tests with cyst stages remains to be elucidated. In this preliminary work, we compared the performance of Western Blot Echinococcus-IgG assay (LDBIO Diagnostics, France,WB), in sera of patients with hepatic cysts that became spontaneously inactive and in sera of patients with cysts reactivated after medical treatment. This assy was used to investigate the value of serological markers of cyst activity. A second test [VIRapid</w:t>
      </w:r>
      <w:r w:rsidRPr="00AF28B8">
        <w:rPr>
          <w:rFonts w:ascii="Calibri" w:hAnsi="Calibri" w:cs="Calibri"/>
          <w:color w:val="000000"/>
          <w:sz w:val="22"/>
          <w:szCs w:val="22"/>
          <w:vertAlign w:val="superscript"/>
        </w:rPr>
        <w:t>®</w:t>
      </w:r>
      <w:r w:rsidRPr="00AF28B8">
        <w:rPr>
          <w:rFonts w:ascii="Calibri" w:hAnsi="Calibri" w:cs="Calibri"/>
          <w:color w:val="000000"/>
          <w:sz w:val="22"/>
          <w:szCs w:val="22"/>
        </w:rPr>
        <w:t> HYDATIDOSIS test -RT- Vircell, Spain] was used as comparator. The likelihood of reactivation of CE4/CE5 cysts is function of previous treatments, i.e. cysts that became inactive because of treatment are more likely to reactivate than those that became spontaneously inactive. Fifteen patients with inactive CE4 cyst, who accessed the WHO Collaborating Centre in Pavia were enrolled. Patients were classified in group1 (stable inactive CE4 cysts) and group2 (unstable inactive CE4 cysts that reactivate during follow-up). For each patient sera from different time points from the first evaluation were assessed and tested both with WB and RT. Results in terms of positivity were compared between the groups. Group1: 8 patients were classified in group1. Six patients resulted negative to the WB assay (75%) while the test was positive in 2 patients (25%) where a 7 KDa band was detected at each different time point. RT test was negative in 5 patients (65,5%) and positive in 3 (37,5%). Two patients resulted positive to both WB and RT, with a 7KDa band on the WB test.Group2: 7 patients were classified in group2. All resulted positive to the WB assay. Bands of 7 and 26-28 kDa and bands of 7, 17 and 26-28 kDa were detected in 7 and in 1 patients respectively. RT was positive in all patients. Our preliminary data indicate a sharp difference in band patterns between sera of the 2 groups of patients. Further work on larger number of patients is needed to confirm the presence of a distinctly different serological profile in patients with cysts that became inactive without any treatment.</w:t>
      </w:r>
    </w:p>
    <w:p w14:paraId="2589FBA0"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25-A-3225-ASTMH</w:t>
      </w:r>
    </w:p>
    <w:p w14:paraId="3987029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0B7B300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Rotavirus VP6-specific T-cell responses and cellular immunophenotypes in Zambian infants following two and three doses of oral rotavirus vaccine</w:t>
      </w:r>
    </w:p>
    <w:p w14:paraId="0FEF2A5B"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Oral rotavirus vaccines have significantly reduced rotavirus associated diarrhoea among children but knowledge on cellular immunity in vaccinated infants is limited. We investigated infant T-cell immunity associated with oral rotavirus vaccination in a low-income setting where these vaccines exhibit diminished seroconversion rates. We studied infants enrolled aged 6 to 12 weeks and followed up to 3 years old under a parent randomised control trial in Zambia from 2018 to 2023. The trial compared rotavirus specific antibody responses between routine two-dose versus experimental three-dose oral rotavirus vaccination. This nested study used peripheral blood mononuclear cells from a subset of infants following two or three doses of oral rotavirus vaccine. Cells were stimulated in-vitro with rotavirus VP6 peptide pool and an activation induced marker assay and flow cytometry used to phenotype CD4+CD134+CD137+ and CD8+CD69+CD137+ activated T-cells. Ex-vivo surface staining and flow cytometry was used to explore fluctuations in circulating conventional T-cell subsets and natural killer T cells, intestinal homing markers, natural killer cells, mucosal-associated invariant and gamma-delta T-cells post-vaccination. We determined the frequency of rotavirus VP6-specific activated T cells and peripheral cellular immunophenotypes post-vaccination compared by vaccine seroconversion status. A total of 35 infants comprising vaccine seroconverters and non-seroconverters were studied. We detected few rotavirus VP6-specific T-cell responders with low-frequency rotavirus VP6-specific activated CD4+ and CD8+ T-cells. We however observed modest enrichment of rotavirus VP6-specific CD4+ activated T-cells (p=0.046) and peripheral CD4+CD25+ T-cells (p=0.004) in vaccine seroconverters. These findings suggest limited rotavirus VP6-specific T-cell responses are induced by oral rotavirus vaccination in Zambian infants. Further phenotypic studies on induced VP6-specific CD4+ T-cells may shed additional insights into observed vaccine seroconversion in such settings with implications for vaccine efficacy and design</w:t>
      </w:r>
    </w:p>
    <w:p w14:paraId="6538B16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25-A-3226-ASTMH</w:t>
      </w:r>
    </w:p>
    <w:p w14:paraId="4AFAE681"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1669C925" w14:textId="5A4A3122"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Food Security and Non-Communicable Disease Risk in Uganda: A secondary analysis of longitudinal data from a population-based cohort study in Wakiso and Hoima Districts</w:t>
      </w:r>
    </w:p>
    <w:p w14:paraId="73564197"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Globally, about 10 million people die of non-communicable diseases (NCDs) related to unhealthy diets annually. As dietary patterns in low-income and high-income countries converge, NCD-related disability and mortality are rising across the Global South. However, few studies have examined diet-related risk factors and NCDs within the African context. Our study aims to address this gap by examining the relationship between food insecurity (FI) and NCD risk in Uganda. We performed secondary analysis of longitudinal data from a population-based cohort study in Wakiso and Hoima districts between 2018-2024. We assessed the prevalence of FI and its associated covariates by NCD diagnosis for cancer, hypertension, heart disease and diabetes. Using bivariate analyses, we calculated risk ratios to examine NCD risk by food security status. FI and NCD data were collected at three time-points (n=4602, T1; n=4109, T2; n=5200, T3). Between T1 and T3, FI at the household-level increased by 5%, NCD prevalence did not increase, though, higher among food-secure households compared to food-insecure households by 44% at T1 and 38% at T3. Overall, the risk of NCDs was 23% (RR: 1.23, CI: 1.07, 1.41) higher in food-secure households compared to food-insecure households.In Uganda, FI continues to increase, while NCDs are a growing concern among food-secure households, probably due to increased means that allow wealthier households to move away from traditional diets to more western-style diets. These findings are critical to inform policies and strategies aimed at strengthening prevention efforts in low-resource environments and improving health outcomes for high-risk populations.</w:t>
      </w:r>
    </w:p>
    <w:p w14:paraId="4F1F440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25-A-3227-ASTMH</w:t>
      </w:r>
    </w:p>
    <w:p w14:paraId="7D828CD9"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Transmission Biology</w:t>
      </w:r>
    </w:p>
    <w:p w14:paraId="146250C7"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Vector Competence of St. Louis Encephalitis Virus in California </w:t>
      </w:r>
      <w:r w:rsidRPr="00AF28B8">
        <w:rPr>
          <w:rFonts w:ascii="Calibri" w:hAnsi="Calibri" w:cs="Calibri"/>
          <w:b/>
          <w:bCs/>
          <w:i/>
          <w:iCs/>
          <w:color w:val="000000"/>
          <w:sz w:val="22"/>
          <w:szCs w:val="22"/>
        </w:rPr>
        <w:t>Culex tarsalis</w:t>
      </w:r>
      <w:r w:rsidRPr="00AF28B8">
        <w:rPr>
          <w:rFonts w:ascii="Calibri" w:hAnsi="Calibri" w:cs="Calibri"/>
          <w:b/>
          <w:bCs/>
          <w:color w:val="000000"/>
          <w:sz w:val="22"/>
          <w:szCs w:val="22"/>
        </w:rPr>
        <w:t> and </w:t>
      </w:r>
      <w:r w:rsidRPr="00AF28B8">
        <w:rPr>
          <w:rFonts w:ascii="Calibri" w:hAnsi="Calibri" w:cs="Calibri"/>
          <w:b/>
          <w:bCs/>
          <w:i/>
          <w:iCs/>
          <w:color w:val="000000"/>
          <w:sz w:val="22"/>
          <w:szCs w:val="22"/>
        </w:rPr>
        <w:t>Culex quinquefasciatus</w:t>
      </w:r>
    </w:p>
    <w:p w14:paraId="1AC1A42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St. Louis encephalitis virus (SLEV) is a mosquito-borne flavivirus maintained in an enzootic cycle involving Culex (</w:t>
      </w:r>
      <w:r w:rsidRPr="00AF28B8">
        <w:rPr>
          <w:rFonts w:ascii="Calibri" w:hAnsi="Calibri" w:cs="Calibri"/>
          <w:i/>
          <w:iCs/>
          <w:color w:val="000000"/>
          <w:sz w:val="22"/>
          <w:szCs w:val="22"/>
        </w:rPr>
        <w:t>Cx</w:t>
      </w:r>
      <w:r w:rsidRPr="00AF28B8">
        <w:rPr>
          <w:rFonts w:ascii="Calibri" w:hAnsi="Calibri" w:cs="Calibri"/>
          <w:color w:val="000000"/>
          <w:sz w:val="22"/>
          <w:szCs w:val="22"/>
        </w:rPr>
        <w:t>.) mosquito vectors and avian reservoirs across the Americas. Occasionally, SLEV spills over into humans, causing febrile illness and, in some cases, encephalitis. There is currently no specific treatment or vaccine for SLEV; thus, mosquito control remains the primary public health prevention strategy. In California (CA), SLEV was detected annually from the 1960s until 2003, after which it disappeared for 11 years. A contemporary genotype emerged in southern CA in 2015 and has since spread northward, with detections occurring in half of CA counties and increasing human cases reported in most years. It remains unclear whether this geographic expansion is associated with enhanced fitness in Cx. vectors compared to the historical genotype, which has not been detected in CA since 2003. We hypothesized that contemporary SLEV exhibits higher fitness than historic SLEV in </w:t>
      </w:r>
      <w:r w:rsidRPr="00AF28B8">
        <w:rPr>
          <w:rFonts w:ascii="Calibri" w:hAnsi="Calibri" w:cs="Calibri"/>
          <w:i/>
          <w:iCs/>
          <w:color w:val="000000"/>
          <w:sz w:val="22"/>
          <w:szCs w:val="22"/>
        </w:rPr>
        <w:t>Cx. tarsalis</w:t>
      </w:r>
      <w:r w:rsidRPr="00AF28B8">
        <w:rPr>
          <w:rFonts w:ascii="Calibri" w:hAnsi="Calibri" w:cs="Calibri"/>
          <w:color w:val="000000"/>
          <w:sz w:val="22"/>
          <w:szCs w:val="22"/>
        </w:rPr>
        <w:t> and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two primary CA vector species. Fitness was assessed by measuring rates of SLEV RNA detections in mosquito bodies, dissemination to legs and wings, and presence in saliva (as a proxy for transmission potential) 14 days after ingestion of bloodmeals containing 5×10⁶ plaque forming units (PFU) of SLEV. </w:t>
      </w:r>
      <w:r w:rsidRPr="00AF28B8">
        <w:rPr>
          <w:rFonts w:ascii="Calibri" w:hAnsi="Calibri" w:cs="Calibri"/>
          <w:i/>
          <w:iCs/>
          <w:color w:val="000000"/>
          <w:sz w:val="22"/>
          <w:szCs w:val="22"/>
        </w:rPr>
        <w:t>Cx. tarsalis</w:t>
      </w:r>
      <w:r w:rsidRPr="00AF28B8">
        <w:rPr>
          <w:rFonts w:ascii="Calibri" w:hAnsi="Calibri" w:cs="Calibri"/>
          <w:color w:val="000000"/>
          <w:sz w:val="22"/>
          <w:szCs w:val="22"/>
        </w:rPr>
        <w:t> that ingested contemporary SLEV strains (isolated in 2016 and 2022) showed significantly higher infection rates compared to those that ingested a historical 2003 strain or a contemporary 2023 strain. However, dissemination and transmission rates did not differ significantly among the three contemporary strains and the historical strain. Data from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are currently being generated. These results suggest that while some contemporary SLEV strains exhibit increased fitness in </w:t>
      </w:r>
      <w:r w:rsidRPr="00AF28B8">
        <w:rPr>
          <w:rFonts w:ascii="Calibri" w:hAnsi="Calibri" w:cs="Calibri"/>
          <w:i/>
          <w:iCs/>
          <w:color w:val="000000"/>
          <w:sz w:val="22"/>
          <w:szCs w:val="22"/>
        </w:rPr>
        <w:t>Cx. tarsalis</w:t>
      </w:r>
      <w:r w:rsidRPr="00AF28B8">
        <w:rPr>
          <w:rFonts w:ascii="Calibri" w:hAnsi="Calibri" w:cs="Calibri"/>
          <w:color w:val="000000"/>
          <w:sz w:val="22"/>
          <w:szCs w:val="22"/>
        </w:rPr>
        <w:t>, this is not consistent across all contemporary strains. Factors other than enhanced vector competence likely contribute to the continued geographic spread of contemporary SLEV in California.</w:t>
      </w:r>
    </w:p>
    <w:p w14:paraId="11C35F6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25-A-3229-ASTMH</w:t>
      </w:r>
    </w:p>
    <w:p w14:paraId="0F30008F"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Global Health - Security/Emerging Infection Preparedness, Surveillance and Response(s)</w:t>
      </w:r>
    </w:p>
    <w:p w14:paraId="3F923761"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Comprehensive Education Strategy to Enhance Emergency Department Preparedness for High-Consequence Infectious Diseases: Integrating Global Surveillance and Rapid Response Protocols</w:t>
      </w:r>
    </w:p>
    <w:p w14:paraId="67635E6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High consequence infectious diseases (HCID) pose a growing threat to the safety of Emergency Department (ED) healthcare workers (HCWs) as evidenced by the COVID-19 pandemic and 2022 Mpox outbreak. Early identification enables timely clinical interventions, prevents healthcare-associated outbreaks, and protects HCWs. As one of 13 United States Regional Emerging Special Pathogens Treatment Centers, an opportunity was identified to enhance HCID education and training in the ED.  To create a comprehensive education strategy supporting ongoing ED HCW’s awareness of global HCID outbreaks, measuring their ability to 1) identify, 2) isolate, and 3) inform (III) for a suspected HCID patient, and providing opportunities to incorporate HCID education into ED protocols.    A monthly Infectious Disease Threats Report (IDTR) summarizing key global HCID outbreaks under surveillance was developed to enhance ED HCW awareness for pathogens necessitating III. The IDTR was reinforced through in-person training, posted in ED triage, and available in an online resource library. Electronic travel screen (ETS) protocol gaps were improved with IDTR recommendations. Additionally, two IDTR based, no-notice HCID mystery patient exercises were conducted in the ED over a 3-month period to evaluate implementation of III.   ED HCWs utilized ETS and the IDTR to efficiently identify and isolate suspected HCID patients while initiating the appropriate communication chain of command. III was implemented within 22 minutes during the first no-notice HCID exercise (Sept. 2024) and within15 minutes during the subsequent exercise (Dec. 2024). In two real-world events, the ED implemented III within 8 minutes (Dec. 2024) and 58 minutes following discussion with the local health department (Feb. 2025).  This comprehensive education strategy strengthened ED HCW awareness of global HCID outbreaks. The real-world events illustrate effective integration of this training into ED protocols improving awareness of HCIDs using the IDTR. As HCID threats continue to regularly emerge, preparedness and training for HCIDs must be implemented for frontline HCWs.</w:t>
      </w:r>
    </w:p>
    <w:p w14:paraId="6A28766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25-A-3230-ASTMH</w:t>
      </w:r>
    </w:p>
    <w:p w14:paraId="2D53D624"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Diagnosis and New Detection Tools (Including Leishmania and Trypanosomes)</w:t>
      </w:r>
    </w:p>
    <w:p w14:paraId="044AF2C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Validation of the Western Blot Assay with TESA-IgM Antigen for the Diagnosis of Congenital Chagas Disease at the “Percy Boland” Women’s Hospital, Santa Cruz Department, Bolivia</w:t>
      </w:r>
    </w:p>
    <w:p w14:paraId="4A51868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Congenital Chagas disease remains a significant public health challenge in Latin America, with a vertical transmission rate ranging from 4% to 6% in neonates born to infected mothers. Early diagnosis is essential to ensure timely treatment and prevent complications. In this context, the Western Blot assay using the TESA-IgM antigen (TESA-blot) has shown good sensitivity and specificity in previous studies, allowing for the detection of innate IgM-type antibodies in newborns. This study aims to validate the TESA-blot assay by comparing it to the qPCR technique using different types of biological samples. A total of 429 biological samples were analyzed from a cohort study of pregnant women with Chagas and their neonates. The samples were distributed as follows: 132 umbilical cord blood samples, 196 peripheral blood samples, and 101 follow-up samples at 30 days of life. All samples were processed using the Western Blot technique with the TESA-IgM antigen, and results were compared with the reference method, q-PCR. </w:t>
      </w:r>
      <w:r w:rsidRPr="00AF28B8">
        <w:rPr>
          <w:rFonts w:ascii="Calibri" w:hAnsi="Calibri" w:cs="Calibri"/>
          <w:b/>
          <w:bCs/>
          <w:color w:val="000000"/>
          <w:sz w:val="22"/>
          <w:szCs w:val="22"/>
        </w:rPr>
        <w:t>Umbilical cord blood</w:t>
      </w:r>
      <w:r w:rsidRPr="00AF28B8">
        <w:rPr>
          <w:rFonts w:ascii="Calibri" w:hAnsi="Calibri" w:cs="Calibri"/>
          <w:color w:val="000000"/>
          <w:sz w:val="22"/>
          <w:szCs w:val="22"/>
        </w:rPr>
        <w:t>: Sensitivity 40% (95% CI: 0–92.94), specificity 100% (95% CI: 99.61–100), PPV 100% (95% CI: 75–100), NPV 97.69% (95% CI: 94.73–100), Kappa index 0.5619 (95% CI: 0.1214–1.00) [moderate agreement].</w:t>
      </w:r>
      <w:r w:rsidRPr="00AF28B8">
        <w:rPr>
          <w:rFonts w:ascii="Calibri" w:hAnsi="Calibri" w:cs="Calibri"/>
          <w:b/>
          <w:bCs/>
          <w:color w:val="000000"/>
          <w:sz w:val="22"/>
          <w:szCs w:val="22"/>
        </w:rPr>
        <w:t> Peripheral blood</w:t>
      </w:r>
      <w:r w:rsidRPr="00AF28B8">
        <w:rPr>
          <w:rFonts w:ascii="Calibri" w:hAnsi="Calibri" w:cs="Calibri"/>
          <w:color w:val="000000"/>
          <w:sz w:val="22"/>
          <w:szCs w:val="22"/>
        </w:rPr>
        <w:t>: Sensitivity 72.73% (95% CI: 41.86–100), specificity 100% (95% CI: 99.73–100), PPV 100% (95% CI: 93.75–100), NPV 98.40% (95% CI: 96.35–100), Kappa index 0.8343 (95% CI: 0.65–1.00) [strong agreement].</w:t>
      </w:r>
      <w:r w:rsidRPr="00AF28B8">
        <w:rPr>
          <w:rFonts w:ascii="Calibri" w:hAnsi="Calibri" w:cs="Calibri"/>
          <w:b/>
          <w:bCs/>
          <w:color w:val="000000"/>
          <w:sz w:val="22"/>
          <w:szCs w:val="22"/>
        </w:rPr>
        <w:t> 30-day follow-up samples</w:t>
      </w:r>
      <w:r w:rsidRPr="00AF28B8">
        <w:rPr>
          <w:rFonts w:ascii="Calibri" w:hAnsi="Calibri" w:cs="Calibri"/>
          <w:color w:val="000000"/>
          <w:sz w:val="22"/>
          <w:szCs w:val="22"/>
        </w:rPr>
        <w:t xml:space="preserve">: Sensitivity 75% (95% CI: 20.07–100), specificity 100% (95% CI: 99.48–100), PPV 100% (95% CI: 83.33–100), NPV 98.98% (95% CI: 96.48–100), Kappa index 0.8521 (95% CI: 0.5669–1.00) [very strong agreement]. The TESA-blot demonstrated high specificity across all sample types and higher sensitivity in peripheral blood and 30-day follow-up samples compared to umbilical cord blood. Although sensitivity was lower in cord blood </w:t>
      </w:r>
      <w:r w:rsidRPr="00AF28B8">
        <w:rPr>
          <w:rFonts w:ascii="Calibri" w:hAnsi="Calibri" w:cs="Calibri"/>
          <w:color w:val="000000"/>
          <w:sz w:val="22"/>
          <w:szCs w:val="22"/>
        </w:rPr>
        <w:lastRenderedPageBreak/>
        <w:t>samples, the assay can be considered a valuable complementary tool for early diagnosis of congenital Chagas disease in peripheral blood, particularly in settings where q-PCR is unavailable.</w:t>
      </w:r>
    </w:p>
    <w:p w14:paraId="34A1C926"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25-A-3231-ASTMH</w:t>
      </w:r>
    </w:p>
    <w:p w14:paraId="3DAE78D1"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695DC4B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Adapting Synthetic DNA Spike-Ins (SDSIs) for Contamination Detection and Quality Control in Plasmodium falciparum Amplicon Sequencing</w:t>
      </w:r>
    </w:p>
    <w:p w14:paraId="4D516631"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Amplicon sequencing is widely used to detect mutations associated with drug resistance and analyze genetic diversity in Plasmodium falciparum. Its high sensitivity makes it well-suited for detecting alleles in complex, low-density infections, but also makes it vulnerable to contamination along with other errors such as index misassignment and sample swaps. Synthetic DNA spike-ins (SDSIs), originally developed for SARS-CoV-2 sequencing, are unique synthetic sequences designed to track individual samples and detect inter-sample contamination. We evaluated the adaptation of this SDSI system for P. falciparum amplicon sequencing using the MAD4HatTer platform.We selected 8 of the 96 published SDSI gBlocks, each containing conserved primer binding sites and Illumina TruSeq adapter overhangs. gBlocks were tested at input concentrations of 0.1-1.0 fmol. SDSI primers were prepared at 1 μM and serially diluted (1:10 to 1:2000) to determine optimal co-amplification conditions with parasite targets. SDSIs were added to low- and high-density P. falciparum samples, including deliberate contamination controls.Optimal amplicon-to-spike-in ratio was observed with gBlock input of 0.1-0.5 fmol and SDSI primers at a 1:250 dilution (4 nM final). SDSIs were reliably amplified without affecting the sensitivity or specificity of parasite targets. In contamination simulations, samples with multiple SDSIs were accurately flagged by elevated unexpected SDSI percentages. Duplicate samples with and without SDSIs showed comparable read depth and locus coverage, confirming minimal interference. We developed an SDSI analysis module into the MAD4HatTer analysis pipeline to quantify spike-in reads to visualize and quantify contamination sources. All 96 SDSIs were ordered; two modified for compatibility. Full-plate testing is now in progress.These results demonstrate that SDSIs can be effectively used to enhance quality control in P. falciparum amplicon sequencing, enabling real-time contamination detection, sample tracking, and workflow validation—critical for reliable data generation particularly for low-parasitemia samples.</w:t>
      </w:r>
    </w:p>
    <w:p w14:paraId="46CA565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25-A-3232-ASTMH</w:t>
      </w:r>
    </w:p>
    <w:p w14:paraId="5B5F411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704FED82"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Multisectoral Approaches to Malaria Control in Senegal: A Strategy to Improve Coverage of Seasonal Malaria Chemoprevention Campaigns Among Targeted Children in the Health Districts of Diourbel and Kaolack</w:t>
      </w:r>
    </w:p>
    <w:p w14:paraId="4557873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Since 2014, Seasonal Malaria Chemoprevention (SMC) has been implemented in Senegal, targeting 899,585 children aged 3 to 120 months in 2024 across 16 health districts. The strategy involves door-to-door visits by community health workers administering three days of Sulfadoxine-Pyrimethamine + Amodiaquine (SPAQ) doses under directly observed therapy. Despite this approach, many children miss SMC due to obstacles such as parental refusal. To overcome these challenges, the National Malaria Control Program and Catholic Relief Services developed a multisectoral approach in the health districts of Diourbel and Kaolack. The objective of our work is to describe this multisectoral approach in SMC and demonstrate its contribution to improving SMC coverage. The health districts of Diourbel and Kaolack are characterized by strong religious influence, the presence of numerous refusal households, over 800 Quranic schools, and low SMC coverage. The approach involved identifying, training, and involving influential community groups (religious leaders, Quranic school masters, and women's groups) in SMC. Organized into local SMC management committees of eight members around each health post, these actors conducted awareness-raising through community dialogues, particularly in refusal households. In total, 23 committees were created, involving 241 Quranic schools and ten women's groups (542 members). Quranic masters were recruited and trained as SPAQ distributors in their localities. This </w:t>
      </w:r>
      <w:r w:rsidRPr="00AF28B8">
        <w:rPr>
          <w:rFonts w:ascii="Calibri" w:hAnsi="Calibri" w:cs="Calibri"/>
          <w:color w:val="000000"/>
          <w:sz w:val="22"/>
          <w:szCs w:val="22"/>
        </w:rPr>
        <w:lastRenderedPageBreak/>
        <w:t>approach dispelled rumors and improved target children's SMC coverage. In Diourbel, the percentage of children who received all SMC cycles increased from 43% in 2021 to 59% in 2022, then to 75% in 2023, before dropping to 56% in 2024 due to a major religious event coinciding with the CPS campaign. In Kaolack, it rose from 58% in 2021 to 63% in 2022, then to 82% in 2023 and 87% in 2024. The sustainability of SMC and the achievement of its objectives require active engagement and involvement of community leaders. This multisectoral approach will be reinforced by community-led sanitation activities, thereby maximizing the impact of SMC in eligible areas.</w:t>
      </w:r>
    </w:p>
    <w:p w14:paraId="49EC287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25-A-3233-ASTMH</w:t>
      </w:r>
    </w:p>
    <w:p w14:paraId="03D9605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455257F4"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Spatial Dynamics of Malaria Transmission on Bioko Island, Equatorial Guinea</w:t>
      </w:r>
    </w:p>
    <w:p w14:paraId="0304FDC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After more than 20 years of intensive malaria control on Bioko Island, the Bioko Island Malaria Elimination Project (BIMEP) has amassed an enormous amount of data describing malaria infection, human mobility and behavior, mosquito ecology and behavior, and vector control. Each year, BIMEP is faced with the task of optimizing vector control under a budget constraint through spatial targeting and optimizing the mix of interventions. Several recent studies have developed a rich understanding of malaria importation, and BIMEP has introduced larval source management and developed innovative methods to evaluate vector control coverage and effects, but questions remain about variability in local transmission and how to optimize and target interventions. Here, using all available data, we developed mathematical models for the spatial dynamics of malaria on Bioko Island. We analyzed malaria connectivity and assessed the focality of transmission with the goal of identifying critical knowledge gaps that could improve spatial targeting. Using these models, we quantified and propagated uncertainty about human mobility and mosquito dispersal in local malaria transmission, reevaluated the relationship between coverage and effect sizes, and identified schemes for spatial targeting.</w:t>
      </w:r>
    </w:p>
    <w:p w14:paraId="7187FEA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25-A-3234-ASTMH</w:t>
      </w:r>
    </w:p>
    <w:p w14:paraId="09420EB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463B4132" w14:textId="6B4BCA0E"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Convergence of SARS-CoV-2 Spike Antibody Levels to a Population Immune Setpoint</w:t>
      </w:r>
    </w:p>
    <w:p w14:paraId="6A40F646"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Individual immune responses to SARS-CoV-2 are well-studied, while the combined effect of these responses on population-level immune dynamics remains poorly understood. Given the key role of population immunity on pathogen transmission, delineation of the factors that drive population immune evolution has critical public health implications. We enrolled individuals 5 years and older selected using a multistage cluster survey approach in the Northwest and Southeast of the Dominican Republic. Paired blood samples were collected mid-pandemic (Aug 2021) and late pandemic (Nov 2022). We measured serum pan-immunoglobulin antibodies against the SARS-CoV-2 spike protein. Generalized Additive Models (GAMs) and random forest models were used to analyze the relationship between changes in antibody levels and various predictor variables. Principal component analysis and partial dependence plots further explored the relationships between predictors and antibody changes.</w:t>
      </w:r>
      <w:r w:rsidRPr="00AF28B8">
        <w:rPr>
          <w:rFonts w:ascii="Calibri" w:hAnsi="Calibri" w:cs="Calibri"/>
          <w:b/>
          <w:bCs/>
          <w:color w:val="000000"/>
          <w:sz w:val="22"/>
          <w:szCs w:val="22"/>
        </w:rPr>
        <w:t> </w:t>
      </w:r>
      <w:r w:rsidRPr="00AF28B8">
        <w:rPr>
          <w:rFonts w:ascii="Calibri" w:hAnsi="Calibri" w:cs="Calibri"/>
          <w:color w:val="000000"/>
          <w:sz w:val="22"/>
          <w:szCs w:val="22"/>
        </w:rPr>
        <w:t>We found a transformation in the distribution of antibody levels from an irregular to a normalized single peak Gaussian distribution that was driven by titre-dependent boosting. This led to the convergence of antibody levels around a common immune setpoint, irrespective of baseline titres and vaccination profile.</w:t>
      </w:r>
      <w:r w:rsidRPr="00AF28B8">
        <w:rPr>
          <w:rFonts w:ascii="Calibri" w:hAnsi="Calibri" w:cs="Calibri"/>
          <w:b/>
          <w:bCs/>
          <w:color w:val="000000"/>
          <w:sz w:val="22"/>
          <w:szCs w:val="22"/>
        </w:rPr>
        <w:t> </w:t>
      </w:r>
      <w:r w:rsidRPr="00AF28B8">
        <w:rPr>
          <w:rFonts w:ascii="Calibri" w:hAnsi="Calibri" w:cs="Calibri"/>
          <w:color w:val="000000"/>
          <w:sz w:val="22"/>
          <w:szCs w:val="22"/>
        </w:rPr>
        <w:t>Our results suggest that titre-dependent kinetics driven by widespread transmission direct the evolution of population immunity in a consistent manner. These findings have implications for targeted vaccination strategies and improved modeling of future transmission, providing a preliminary blueprint for understanding population immune dynamics that could guide public health and vaccine policy for SARS-CoV-2 and potentially other pathogens.</w:t>
      </w:r>
    </w:p>
    <w:p w14:paraId="5934D6D6"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25-A-3237-ASTMH</w:t>
      </w:r>
    </w:p>
    <w:p w14:paraId="5B22AFC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5CBF2011"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High Prevalence of Intestinal Parasitosis and Associated Factors in Pulmonary Tuberculosis Patients in the Moyen Ogooué Region of Gabon</w:t>
      </w:r>
    </w:p>
    <w:p w14:paraId="2B3E08CA"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Objective</w:t>
      </w:r>
      <w:r w:rsidRPr="00AF28B8">
        <w:rPr>
          <w:rFonts w:ascii="Calibri" w:hAnsi="Calibri" w:cs="Calibri"/>
          <w:color w:val="000000"/>
          <w:sz w:val="22"/>
          <w:szCs w:val="22"/>
        </w:rPr>
        <w:t> This study examines intestinal parasitic infections in patients with tuberculosis. </w:t>
      </w:r>
      <w:r w:rsidRPr="00AF28B8">
        <w:rPr>
          <w:rFonts w:ascii="Calibri" w:hAnsi="Calibri" w:cs="Calibri"/>
          <w:b/>
          <w:bCs/>
          <w:color w:val="000000"/>
          <w:sz w:val="22"/>
          <w:szCs w:val="22"/>
        </w:rPr>
        <w:t>Method</w:t>
      </w:r>
      <w:r w:rsidRPr="00AF28B8">
        <w:rPr>
          <w:rFonts w:ascii="Calibri" w:hAnsi="Calibri" w:cs="Calibri"/>
          <w:color w:val="000000"/>
          <w:sz w:val="22"/>
          <w:szCs w:val="22"/>
        </w:rPr>
        <w:t> Adult patients diagnosed with tuberculosis consulting in the Moyen Ogooué province from September 2020 to September 2024 and willing to provide samples for parasitic diagnosis were included. Stool, urine and blood samples were collected and examined using microscopy. A questionnaire was applied to assess sociodemographic and clinical data. </w:t>
      </w:r>
      <w:r w:rsidRPr="00AF28B8">
        <w:rPr>
          <w:rFonts w:ascii="Calibri" w:hAnsi="Calibri" w:cs="Calibri"/>
          <w:b/>
          <w:bCs/>
          <w:color w:val="000000"/>
          <w:sz w:val="22"/>
          <w:szCs w:val="22"/>
        </w:rPr>
        <w:t>Results</w:t>
      </w:r>
      <w:r w:rsidRPr="00AF28B8">
        <w:rPr>
          <w:rFonts w:ascii="Calibri" w:hAnsi="Calibri" w:cs="Calibri"/>
          <w:color w:val="000000"/>
          <w:sz w:val="22"/>
          <w:szCs w:val="22"/>
        </w:rPr>
        <w:t> A total of 163 patients were included in this study. The mean age was 35.8 years (range 18-86 years), the sex ratio M/F was 1.53, and 47 (24.7%) were HIV positive. Of the 163 patients who provided stool samples, 34 (21%) had intestinal helminths, the most common being hookworm with 20 cases (12.3%). For 159 stool samples, the MIF technique was performed, and 35 (22.0%) intestinal protozoa were detected, the most common species was Blastocystes hominis with 20 cases (12.6%). Parasitic tuberculosis coinfection is inversely associated with HIV infection (OR = 0.36; 95% CI 0.13-1.00). Factors related to helminth and tuberculosis coinfection are low education level (non-existent or primary) (OR=2.9; 95% CI 1.3-6.3) and low standard of living such as lack of bathroom or water tap in the house (OR=4.1; 95% CI 1.6-10.5) or Anemia (OR=3.3; 95% CI 1.5-7.3). </w:t>
      </w:r>
      <w:r w:rsidRPr="00AF28B8">
        <w:rPr>
          <w:rFonts w:ascii="Calibri" w:hAnsi="Calibri" w:cs="Calibri"/>
          <w:b/>
          <w:bCs/>
          <w:color w:val="000000"/>
          <w:sz w:val="22"/>
          <w:szCs w:val="22"/>
        </w:rPr>
        <w:t>Conclusion</w:t>
      </w:r>
      <w:r w:rsidRPr="00AF28B8">
        <w:rPr>
          <w:rFonts w:ascii="Calibri" w:hAnsi="Calibri" w:cs="Calibri"/>
          <w:color w:val="000000"/>
          <w:sz w:val="22"/>
          <w:szCs w:val="22"/>
        </w:rPr>
        <w:t> In endemic areas, tuberculosis patients should also benefit from screening for parasite co-infection.</w:t>
      </w:r>
    </w:p>
    <w:p w14:paraId="05E3F45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25-A-3238-ASTMH</w:t>
      </w:r>
    </w:p>
    <w:p w14:paraId="152187F9"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Treatment, Drug Delivery, Drug Repurposing and Drug Discovery (Including Leishmania and Trypanosomes)</w:t>
      </w:r>
    </w:p>
    <w:p w14:paraId="426A112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Evaluation of synthesized dihydroisoquinolones for in vitro leishmanicidal activity against the causative agent of human cutaneous leishmaniasis</w:t>
      </w:r>
      <w:r w:rsidRPr="00AF28B8">
        <w:rPr>
          <w:rFonts w:ascii="Calibri" w:hAnsi="Calibri" w:cs="Calibri"/>
          <w:i/>
          <w:iCs/>
          <w:color w:val="000000"/>
          <w:sz w:val="22"/>
          <w:szCs w:val="22"/>
        </w:rPr>
        <w:t>Leishmania major</w:t>
      </w:r>
    </w:p>
    <w:p w14:paraId="7A21F49D"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Leishmaniasis is a disease caused by </w:t>
      </w:r>
      <w:r w:rsidRPr="00AF28B8">
        <w:rPr>
          <w:rFonts w:ascii="Calibri" w:hAnsi="Calibri" w:cs="Calibri"/>
          <w:i/>
          <w:iCs/>
          <w:color w:val="000000"/>
          <w:sz w:val="22"/>
          <w:szCs w:val="22"/>
        </w:rPr>
        <w:t>Leishmania</w:t>
      </w:r>
      <w:r w:rsidRPr="00AF28B8">
        <w:rPr>
          <w:rFonts w:ascii="Calibri" w:hAnsi="Calibri" w:cs="Calibri"/>
          <w:color w:val="000000"/>
          <w:sz w:val="22"/>
          <w:szCs w:val="22"/>
        </w:rPr>
        <w:t> protozoan parasites in humans and other vertebrates. Female phlebotomine sand flies transmit the disease. The clinical forms range from cutaneous leishmaniasis with facial and body disfigurations to visceral leishmaniasis with parasite found in the reticuloendothelial system with fatal outcome in the absence of treatment. Eighty-eight countries of southern Europe, Central and South America, Africa, the Middle East and the Indian subcontinent are endemic foci of leishmaniasis. There are more than 350 million men, women and children at risk of acquiring the disease in the world. The number of individuals suffering from leishmaniasis is 12 million worldwide, with as many as 70,000 deaths registered annually. Although drugs exist for leishmaniasis, they have been reported to be highly toxic with severe side effects such as kidney failure and electrolyte imbalances. In addition, current drugs are very expensive and treatment with them requires long duration of hospitalization. Consequently, there is an urgent need for new therapeutics that are active, not toxic or less toxic and affordable. In our quest to identify alternative therapeutic tools for the control of leishmaniasis, we have synthesized dihydroisoquinolones and assessed them for their leishmanicidal activity against </w:t>
      </w:r>
      <w:r w:rsidRPr="00AF28B8">
        <w:rPr>
          <w:rFonts w:ascii="Calibri" w:hAnsi="Calibri" w:cs="Calibri"/>
          <w:i/>
          <w:iCs/>
          <w:color w:val="000000"/>
          <w:sz w:val="22"/>
          <w:szCs w:val="22"/>
        </w:rPr>
        <w:t>L. major</w:t>
      </w:r>
      <w:r w:rsidRPr="00AF28B8">
        <w:rPr>
          <w:rFonts w:ascii="Calibri" w:hAnsi="Calibri" w:cs="Calibri"/>
          <w:color w:val="000000"/>
          <w:sz w:val="22"/>
          <w:szCs w:val="22"/>
        </w:rPr>
        <w:t>, a species causing cutaneous leishmaniasis in humans. A colorimetric assay using Alamar Blue was utilized to screen these compounds with amphotericin B, an antileishmanial drug as our positive control. Test compounds were evaluated at three concentrations (25, 50 and 100 ug/ml) and the control at 100 ug/ml. A total of 177 compounds were screened and 41 showed activity against L. major with some more active than amphotericin B. In drug discovery, one of the core principles is the identification of the lowest concentration at which compounds retain desired activity. Such assessment showed identified compounds that maintained activity at 10 ug/ml. Additional analysis showed that the activity of the organic compounds tested was directly linked to their chemical structures. Detailed results will be presented.</w:t>
      </w:r>
    </w:p>
    <w:p w14:paraId="03B22240"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25-A-3239-ASTMH</w:t>
      </w:r>
    </w:p>
    <w:p w14:paraId="63D8A46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0928C5C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Prevalence and distribution of non-</w:t>
      </w:r>
      <w:r w:rsidRPr="00AF28B8">
        <w:rPr>
          <w:rFonts w:ascii="Calibri" w:hAnsi="Calibri" w:cs="Calibri"/>
          <w:b/>
          <w:bCs/>
          <w:i/>
          <w:iCs/>
          <w:color w:val="000000"/>
          <w:sz w:val="22"/>
          <w:szCs w:val="22"/>
        </w:rPr>
        <w:t>falciparum</w:t>
      </w:r>
      <w:r w:rsidRPr="00AF28B8">
        <w:rPr>
          <w:rFonts w:ascii="Calibri" w:hAnsi="Calibri" w:cs="Calibri"/>
          <w:b/>
          <w:bCs/>
          <w:color w:val="000000"/>
          <w:sz w:val="22"/>
          <w:szCs w:val="22"/>
        </w:rPr>
        <w:t> malaria among suspected malaria patients in Ghana</w:t>
      </w:r>
    </w:p>
    <w:p w14:paraId="7C378D59"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Background: </w:t>
      </w:r>
      <w:r w:rsidRPr="00AF28B8">
        <w:rPr>
          <w:rFonts w:ascii="Calibri" w:hAnsi="Calibri" w:cs="Calibri"/>
          <w:color w:val="000000"/>
          <w:sz w:val="22"/>
          <w:szCs w:val="22"/>
        </w:rPr>
        <w:t>Non-</w:t>
      </w:r>
      <w:r w:rsidRPr="00AF28B8">
        <w:rPr>
          <w:rFonts w:ascii="Calibri" w:hAnsi="Calibri" w:cs="Calibri"/>
          <w:i/>
          <w:iCs/>
          <w:color w:val="000000"/>
          <w:sz w:val="22"/>
          <w:szCs w:val="22"/>
        </w:rPr>
        <w:t>falciparum</w:t>
      </w:r>
      <w:r w:rsidRPr="00AF28B8">
        <w:rPr>
          <w:rFonts w:ascii="Calibri" w:hAnsi="Calibri" w:cs="Calibri"/>
          <w:color w:val="000000"/>
          <w:sz w:val="22"/>
          <w:szCs w:val="22"/>
        </w:rPr>
        <w:t> malaria infections, mainly </w:t>
      </w:r>
      <w:r w:rsidRPr="00AF28B8">
        <w:rPr>
          <w:rFonts w:ascii="Calibri" w:hAnsi="Calibri" w:cs="Calibri"/>
          <w:i/>
          <w:iCs/>
          <w:color w:val="000000"/>
          <w:sz w:val="22"/>
          <w:szCs w:val="22"/>
        </w:rPr>
        <w:t>Plasmodium malariae</w:t>
      </w:r>
      <w:r w:rsidRPr="00AF28B8">
        <w:rPr>
          <w:rFonts w:ascii="Calibri" w:hAnsi="Calibri" w:cs="Calibri"/>
          <w:color w:val="000000"/>
          <w:sz w:val="22"/>
          <w:szCs w:val="22"/>
        </w:rPr>
        <w:t> and </w:t>
      </w:r>
      <w:r w:rsidRPr="00AF28B8">
        <w:rPr>
          <w:rFonts w:ascii="Calibri" w:hAnsi="Calibri" w:cs="Calibri"/>
          <w:i/>
          <w:iCs/>
          <w:color w:val="000000"/>
          <w:sz w:val="22"/>
          <w:szCs w:val="22"/>
        </w:rPr>
        <w:t>Plasmodium ovale</w:t>
      </w:r>
      <w:r w:rsidRPr="00AF28B8">
        <w:rPr>
          <w:rFonts w:ascii="Calibri" w:hAnsi="Calibri" w:cs="Calibri"/>
          <w:color w:val="000000"/>
          <w:sz w:val="22"/>
          <w:szCs w:val="22"/>
        </w:rPr>
        <w:t>, threaten malaria elimination efforts in Ghana. These malaria parasites are often misclassified or may remain undetected when </w:t>
      </w:r>
      <w:r w:rsidRPr="00AF28B8">
        <w:rPr>
          <w:rFonts w:ascii="Calibri" w:hAnsi="Calibri" w:cs="Calibri"/>
          <w:i/>
          <w:iCs/>
          <w:color w:val="000000"/>
          <w:sz w:val="22"/>
          <w:szCs w:val="22"/>
        </w:rPr>
        <w:t>Pf</w:t>
      </w:r>
      <w:r w:rsidRPr="00AF28B8">
        <w:rPr>
          <w:rFonts w:ascii="Calibri" w:hAnsi="Calibri" w:cs="Calibri"/>
          <w:color w:val="000000"/>
          <w:sz w:val="22"/>
          <w:szCs w:val="22"/>
        </w:rPr>
        <w:t>HRP2-based malaria rapid diagnostic tests (RDTs) are used, since the HRP2 antigen is only specific to </w:t>
      </w:r>
      <w:r w:rsidRPr="00AF28B8">
        <w:rPr>
          <w:rFonts w:ascii="Calibri" w:hAnsi="Calibri" w:cs="Calibri"/>
          <w:i/>
          <w:iCs/>
          <w:color w:val="000000"/>
          <w:sz w:val="22"/>
          <w:szCs w:val="22"/>
        </w:rPr>
        <w:t>P. falciparum</w:t>
      </w:r>
      <w:r w:rsidRPr="00AF28B8">
        <w:rPr>
          <w:rFonts w:ascii="Calibri" w:hAnsi="Calibri" w:cs="Calibri"/>
          <w:color w:val="000000"/>
          <w:sz w:val="22"/>
          <w:szCs w:val="22"/>
        </w:rPr>
        <w:t>. Efforts to eliminate malaria should therefore include sensitive diagnostic tools that target all human malaria species. This study aimed to</w:t>
      </w:r>
      <w:r w:rsidRPr="00AF28B8">
        <w:rPr>
          <w:rFonts w:ascii="Calibri" w:hAnsi="Calibri" w:cs="Calibri"/>
          <w:b/>
          <w:bCs/>
          <w:color w:val="000000"/>
          <w:sz w:val="22"/>
          <w:szCs w:val="22"/>
        </w:rPr>
        <w:t> </w:t>
      </w:r>
      <w:r w:rsidRPr="00AF28B8">
        <w:rPr>
          <w:rFonts w:ascii="Calibri" w:hAnsi="Calibri" w:cs="Calibri"/>
          <w:color w:val="000000"/>
          <w:sz w:val="22"/>
          <w:szCs w:val="22"/>
        </w:rPr>
        <w:t>determine the prevalence, diversity and distribution of </w:t>
      </w:r>
      <w:r w:rsidRPr="00AF28B8">
        <w:rPr>
          <w:rFonts w:ascii="Calibri" w:hAnsi="Calibri" w:cs="Calibri"/>
          <w:i/>
          <w:iCs/>
          <w:color w:val="000000"/>
          <w:sz w:val="22"/>
          <w:szCs w:val="22"/>
        </w:rPr>
        <w:t>P. malariae</w:t>
      </w:r>
      <w:r w:rsidRPr="00AF28B8">
        <w:rPr>
          <w:rFonts w:ascii="Calibri" w:hAnsi="Calibri" w:cs="Calibri"/>
          <w:color w:val="000000"/>
          <w:sz w:val="22"/>
          <w:szCs w:val="22"/>
        </w:rPr>
        <w:t> and </w:t>
      </w:r>
      <w:r w:rsidRPr="00AF28B8">
        <w:rPr>
          <w:rFonts w:ascii="Calibri" w:hAnsi="Calibri" w:cs="Calibri"/>
          <w:i/>
          <w:iCs/>
          <w:color w:val="000000"/>
          <w:sz w:val="22"/>
          <w:szCs w:val="22"/>
        </w:rPr>
        <w:t>P. ovale </w:t>
      </w:r>
      <w:r w:rsidRPr="00AF28B8">
        <w:rPr>
          <w:rFonts w:ascii="Calibri" w:hAnsi="Calibri" w:cs="Calibri"/>
          <w:color w:val="000000"/>
          <w:sz w:val="22"/>
          <w:szCs w:val="22"/>
        </w:rPr>
        <w:t>circulating in suspected malaria patients in Ghana.</w:t>
      </w:r>
      <w:r w:rsidRPr="00AF28B8">
        <w:rPr>
          <w:rFonts w:ascii="Calibri" w:hAnsi="Calibri" w:cs="Calibri"/>
          <w:b/>
          <w:bCs/>
          <w:color w:val="000000"/>
          <w:sz w:val="22"/>
          <w:szCs w:val="22"/>
        </w:rPr>
        <w:t>Methods:</w:t>
      </w:r>
      <w:r w:rsidRPr="00AF28B8">
        <w:rPr>
          <w:rFonts w:ascii="Calibri" w:hAnsi="Calibri" w:cs="Calibri"/>
          <w:color w:val="000000"/>
          <w:sz w:val="22"/>
          <w:szCs w:val="22"/>
        </w:rPr>
        <w:t> This multiple cross-sectional study used archived deidentified dried blood spots (DBS) samples collected from</w:t>
      </w:r>
      <w:r w:rsidRPr="00AF28B8">
        <w:rPr>
          <w:rFonts w:ascii="Calibri" w:hAnsi="Calibri" w:cs="Calibri"/>
          <w:i/>
          <w:iCs/>
          <w:color w:val="000000"/>
          <w:sz w:val="22"/>
          <w:szCs w:val="22"/>
        </w:rPr>
        <w:t> </w:t>
      </w:r>
      <w:r w:rsidRPr="00AF28B8">
        <w:rPr>
          <w:rFonts w:ascii="Calibri" w:hAnsi="Calibri" w:cs="Calibri"/>
          <w:color w:val="000000"/>
          <w:sz w:val="22"/>
          <w:szCs w:val="22"/>
        </w:rPr>
        <w:t>January-August 2023. Genomic DNA was extracted from the DBS using the Chelex method. </w:t>
      </w:r>
      <w:r w:rsidRPr="00AF28B8">
        <w:rPr>
          <w:rFonts w:ascii="Calibri" w:hAnsi="Calibri" w:cs="Calibri"/>
          <w:i/>
          <w:iCs/>
          <w:color w:val="000000"/>
          <w:sz w:val="22"/>
          <w:szCs w:val="22"/>
        </w:rPr>
        <w:t>Plasmodium</w:t>
      </w:r>
      <w:r w:rsidRPr="00AF28B8">
        <w:rPr>
          <w:rFonts w:ascii="Calibri" w:hAnsi="Calibri" w:cs="Calibri"/>
          <w:color w:val="000000"/>
          <w:sz w:val="22"/>
          <w:szCs w:val="22"/>
        </w:rPr>
        <w:t> species detection and quantification were performed using nested PCR and digital PCR, respectively. Commercial Sanger sequencing was used to determine parasite diversity.</w:t>
      </w:r>
      <w:r w:rsidRPr="00AF28B8">
        <w:rPr>
          <w:rFonts w:ascii="Calibri" w:hAnsi="Calibri" w:cs="Calibri"/>
          <w:b/>
          <w:bCs/>
          <w:color w:val="000000"/>
          <w:sz w:val="22"/>
          <w:szCs w:val="22"/>
        </w:rPr>
        <w:t>Results:</w:t>
      </w:r>
      <w:r w:rsidRPr="00AF28B8">
        <w:rPr>
          <w:rFonts w:ascii="Calibri" w:hAnsi="Calibri" w:cs="Calibri"/>
          <w:color w:val="000000"/>
          <w:sz w:val="22"/>
          <w:szCs w:val="22"/>
        </w:rPr>
        <w:t> Of the 11,849 samples, non-</w:t>
      </w:r>
      <w:r w:rsidRPr="00AF28B8">
        <w:rPr>
          <w:rFonts w:ascii="Calibri" w:hAnsi="Calibri" w:cs="Calibri"/>
          <w:i/>
          <w:iCs/>
          <w:color w:val="000000"/>
          <w:sz w:val="22"/>
          <w:szCs w:val="22"/>
        </w:rPr>
        <w:t>falciparum</w:t>
      </w:r>
      <w:r w:rsidRPr="00AF28B8">
        <w:rPr>
          <w:rFonts w:ascii="Calibri" w:hAnsi="Calibri" w:cs="Calibri"/>
          <w:color w:val="000000"/>
          <w:sz w:val="22"/>
          <w:szCs w:val="22"/>
        </w:rPr>
        <w:t> malaria accounted for 0.8% (93/11,849), with </w:t>
      </w:r>
      <w:r w:rsidRPr="00AF28B8">
        <w:rPr>
          <w:rFonts w:ascii="Calibri" w:hAnsi="Calibri" w:cs="Calibri"/>
          <w:i/>
          <w:iCs/>
          <w:color w:val="000000"/>
          <w:sz w:val="22"/>
          <w:szCs w:val="22"/>
        </w:rPr>
        <w:t>P. malariae</w:t>
      </w:r>
      <w:r w:rsidRPr="00AF28B8">
        <w:rPr>
          <w:rFonts w:ascii="Calibri" w:hAnsi="Calibri" w:cs="Calibri"/>
          <w:color w:val="000000"/>
          <w:sz w:val="22"/>
          <w:szCs w:val="22"/>
        </w:rPr>
        <w:t> and </w:t>
      </w:r>
      <w:r w:rsidRPr="00AF28B8">
        <w:rPr>
          <w:rFonts w:ascii="Calibri" w:hAnsi="Calibri" w:cs="Calibri"/>
          <w:i/>
          <w:iCs/>
          <w:color w:val="000000"/>
          <w:sz w:val="22"/>
          <w:szCs w:val="22"/>
        </w:rPr>
        <w:t>P. ovale</w:t>
      </w:r>
      <w:r w:rsidRPr="00AF28B8">
        <w:rPr>
          <w:rFonts w:ascii="Calibri" w:hAnsi="Calibri" w:cs="Calibri"/>
          <w:color w:val="000000"/>
          <w:sz w:val="22"/>
          <w:szCs w:val="22"/>
        </w:rPr>
        <w:t> comprising 69.9% (65/93) and 30.1% (28/93), respectively. These species were distributed across all regions of Ghana except the Bono and Western regions. The highest number of both </w:t>
      </w:r>
      <w:r w:rsidRPr="00AF28B8">
        <w:rPr>
          <w:rFonts w:ascii="Calibri" w:hAnsi="Calibri" w:cs="Calibri"/>
          <w:i/>
          <w:iCs/>
          <w:color w:val="000000"/>
          <w:sz w:val="22"/>
          <w:szCs w:val="22"/>
        </w:rPr>
        <w:t>P. malariae</w:t>
      </w:r>
      <w:r w:rsidRPr="00AF28B8">
        <w:rPr>
          <w:rFonts w:ascii="Calibri" w:hAnsi="Calibri" w:cs="Calibri"/>
          <w:color w:val="000000"/>
          <w:sz w:val="22"/>
          <w:szCs w:val="22"/>
        </w:rPr>
        <w:t> (18/65) and </w:t>
      </w:r>
      <w:r w:rsidRPr="00AF28B8">
        <w:rPr>
          <w:rFonts w:ascii="Calibri" w:hAnsi="Calibri" w:cs="Calibri"/>
          <w:i/>
          <w:iCs/>
          <w:color w:val="000000"/>
          <w:sz w:val="22"/>
          <w:szCs w:val="22"/>
        </w:rPr>
        <w:t>P. ovale</w:t>
      </w:r>
      <w:r w:rsidRPr="00AF28B8">
        <w:rPr>
          <w:rFonts w:ascii="Calibri" w:hAnsi="Calibri" w:cs="Calibri"/>
          <w:color w:val="000000"/>
          <w:sz w:val="22"/>
          <w:szCs w:val="22"/>
        </w:rPr>
        <w:t> (6/28) infections were identified in the Eastern region. Of the total non-</w:t>
      </w:r>
      <w:r w:rsidRPr="00AF28B8">
        <w:rPr>
          <w:rFonts w:ascii="Calibri" w:hAnsi="Calibri" w:cs="Calibri"/>
          <w:i/>
          <w:iCs/>
          <w:color w:val="000000"/>
          <w:sz w:val="22"/>
          <w:szCs w:val="22"/>
        </w:rPr>
        <w:t>falciparum</w:t>
      </w:r>
      <w:r w:rsidRPr="00AF28B8">
        <w:rPr>
          <w:rFonts w:ascii="Calibri" w:hAnsi="Calibri" w:cs="Calibri"/>
          <w:color w:val="000000"/>
          <w:sz w:val="22"/>
          <w:szCs w:val="22"/>
        </w:rPr>
        <w:t> detected, 44.2% of </w:t>
      </w:r>
      <w:r w:rsidRPr="00AF28B8">
        <w:rPr>
          <w:rFonts w:ascii="Calibri" w:hAnsi="Calibri" w:cs="Calibri"/>
          <w:i/>
          <w:iCs/>
          <w:color w:val="000000"/>
          <w:sz w:val="22"/>
          <w:szCs w:val="22"/>
        </w:rPr>
        <w:t>P. malariae</w:t>
      </w:r>
      <w:r w:rsidRPr="00AF28B8">
        <w:rPr>
          <w:rFonts w:ascii="Calibri" w:hAnsi="Calibri" w:cs="Calibri"/>
          <w:color w:val="000000"/>
          <w:sz w:val="22"/>
          <w:szCs w:val="22"/>
        </w:rPr>
        <w:t> and 46.4% of </w:t>
      </w:r>
      <w:r w:rsidRPr="00AF28B8">
        <w:rPr>
          <w:rFonts w:ascii="Calibri" w:hAnsi="Calibri" w:cs="Calibri"/>
          <w:i/>
          <w:iCs/>
          <w:color w:val="000000"/>
          <w:sz w:val="22"/>
          <w:szCs w:val="22"/>
        </w:rPr>
        <w:t>P. ovale</w:t>
      </w:r>
      <w:r w:rsidRPr="00AF28B8">
        <w:rPr>
          <w:rFonts w:ascii="Calibri" w:hAnsi="Calibri" w:cs="Calibri"/>
          <w:color w:val="000000"/>
          <w:sz w:val="22"/>
          <w:szCs w:val="22"/>
        </w:rPr>
        <w:t> parasites were detected as co-infections with </w:t>
      </w:r>
      <w:r w:rsidRPr="00AF28B8">
        <w:rPr>
          <w:rFonts w:ascii="Calibri" w:hAnsi="Calibri" w:cs="Calibri"/>
          <w:i/>
          <w:iCs/>
          <w:color w:val="000000"/>
          <w:sz w:val="22"/>
          <w:szCs w:val="22"/>
        </w:rPr>
        <w:t>P.</w:t>
      </w:r>
      <w:r w:rsidRPr="00AF28B8">
        <w:rPr>
          <w:rFonts w:ascii="Calibri" w:hAnsi="Calibri" w:cs="Calibri"/>
          <w:color w:val="000000"/>
          <w:sz w:val="22"/>
          <w:szCs w:val="22"/>
        </w:rPr>
        <w:t> </w:t>
      </w:r>
      <w:r w:rsidRPr="00AF28B8">
        <w:rPr>
          <w:rFonts w:ascii="Calibri" w:hAnsi="Calibri" w:cs="Calibri"/>
          <w:i/>
          <w:iCs/>
          <w:color w:val="000000"/>
          <w:sz w:val="22"/>
          <w:szCs w:val="22"/>
        </w:rPr>
        <w:t>falciparum</w:t>
      </w:r>
      <w:r w:rsidRPr="00AF28B8">
        <w:rPr>
          <w:rFonts w:ascii="Calibri" w:hAnsi="Calibri" w:cs="Calibri"/>
          <w:color w:val="000000"/>
          <w:sz w:val="22"/>
          <w:szCs w:val="22"/>
        </w:rPr>
        <w:t>, with an average parasite density of 128.2 cp/µl and 4,718 cp/µl for </w:t>
      </w:r>
      <w:r w:rsidRPr="00AF28B8">
        <w:rPr>
          <w:rFonts w:ascii="Calibri" w:hAnsi="Calibri" w:cs="Calibri"/>
          <w:i/>
          <w:iCs/>
          <w:color w:val="000000"/>
          <w:sz w:val="22"/>
          <w:szCs w:val="22"/>
        </w:rPr>
        <w:t>P. malariae</w:t>
      </w:r>
      <w:r w:rsidRPr="00AF28B8">
        <w:rPr>
          <w:rFonts w:ascii="Calibri" w:hAnsi="Calibri" w:cs="Calibri"/>
          <w:color w:val="000000"/>
          <w:sz w:val="22"/>
          <w:szCs w:val="22"/>
        </w:rPr>
        <w:t> and </w:t>
      </w:r>
      <w:r w:rsidRPr="00AF28B8">
        <w:rPr>
          <w:rFonts w:ascii="Calibri" w:hAnsi="Calibri" w:cs="Calibri"/>
          <w:i/>
          <w:iCs/>
          <w:color w:val="000000"/>
          <w:sz w:val="22"/>
          <w:szCs w:val="22"/>
        </w:rPr>
        <w:t>P. ovale,</w:t>
      </w:r>
      <w:r w:rsidRPr="00AF28B8">
        <w:rPr>
          <w:rFonts w:ascii="Calibri" w:hAnsi="Calibri" w:cs="Calibri"/>
          <w:color w:val="000000"/>
          <w:sz w:val="22"/>
          <w:szCs w:val="22"/>
        </w:rPr>
        <w:t> respectively. Sequence analysis identified many </w:t>
      </w:r>
      <w:r w:rsidRPr="00AF28B8">
        <w:rPr>
          <w:rFonts w:ascii="Calibri" w:hAnsi="Calibri" w:cs="Calibri"/>
          <w:i/>
          <w:iCs/>
          <w:color w:val="000000"/>
          <w:sz w:val="22"/>
          <w:szCs w:val="22"/>
        </w:rPr>
        <w:t>P. ovale</w:t>
      </w:r>
      <w:r w:rsidRPr="00AF28B8">
        <w:rPr>
          <w:rFonts w:ascii="Calibri" w:hAnsi="Calibri" w:cs="Calibri"/>
          <w:color w:val="000000"/>
          <w:sz w:val="22"/>
          <w:szCs w:val="22"/>
        </w:rPr>
        <w:t> variants while </w:t>
      </w:r>
      <w:r w:rsidRPr="00AF28B8">
        <w:rPr>
          <w:rFonts w:ascii="Calibri" w:hAnsi="Calibri" w:cs="Calibri"/>
          <w:i/>
          <w:iCs/>
          <w:color w:val="000000"/>
          <w:sz w:val="22"/>
          <w:szCs w:val="22"/>
        </w:rPr>
        <w:t>P. malariae</w:t>
      </w:r>
      <w:r w:rsidRPr="00AF28B8">
        <w:rPr>
          <w:rFonts w:ascii="Calibri" w:hAnsi="Calibri" w:cs="Calibri"/>
          <w:color w:val="000000"/>
          <w:sz w:val="22"/>
          <w:szCs w:val="22"/>
        </w:rPr>
        <w:t> parasites were relatively conserved.</w:t>
      </w:r>
      <w:r w:rsidRPr="00AF28B8">
        <w:rPr>
          <w:rFonts w:ascii="Calibri" w:hAnsi="Calibri" w:cs="Calibri"/>
          <w:color w:val="000000"/>
          <w:sz w:val="22"/>
          <w:szCs w:val="22"/>
        </w:rPr>
        <w:br/>
      </w:r>
      <w:r w:rsidRPr="00AF28B8">
        <w:rPr>
          <w:rFonts w:ascii="Calibri" w:hAnsi="Calibri" w:cs="Calibri"/>
          <w:b/>
          <w:bCs/>
          <w:color w:val="000000"/>
          <w:sz w:val="22"/>
          <w:szCs w:val="22"/>
        </w:rPr>
        <w:t>Conclusion:</w:t>
      </w:r>
      <w:r w:rsidRPr="00AF28B8">
        <w:rPr>
          <w:rFonts w:ascii="Calibri" w:hAnsi="Calibri" w:cs="Calibri"/>
          <w:color w:val="000000"/>
          <w:sz w:val="22"/>
          <w:szCs w:val="22"/>
        </w:rPr>
        <w:t> Similar to </w:t>
      </w:r>
      <w:r w:rsidRPr="00AF28B8">
        <w:rPr>
          <w:rFonts w:ascii="Calibri" w:hAnsi="Calibri" w:cs="Calibri"/>
          <w:i/>
          <w:iCs/>
          <w:color w:val="000000"/>
          <w:sz w:val="22"/>
          <w:szCs w:val="22"/>
        </w:rPr>
        <w:t>P. falciparum</w:t>
      </w:r>
      <w:r w:rsidRPr="00AF28B8">
        <w:rPr>
          <w:rFonts w:ascii="Calibri" w:hAnsi="Calibri" w:cs="Calibri"/>
          <w:color w:val="000000"/>
          <w:sz w:val="22"/>
          <w:szCs w:val="22"/>
        </w:rPr>
        <w:t>, </w:t>
      </w:r>
      <w:r w:rsidRPr="00AF28B8">
        <w:rPr>
          <w:rFonts w:ascii="Calibri" w:hAnsi="Calibri" w:cs="Calibri"/>
          <w:i/>
          <w:iCs/>
          <w:color w:val="000000"/>
          <w:sz w:val="22"/>
          <w:szCs w:val="22"/>
        </w:rPr>
        <w:t>P. malariae</w:t>
      </w:r>
      <w:r w:rsidRPr="00AF28B8">
        <w:rPr>
          <w:rFonts w:ascii="Calibri" w:hAnsi="Calibri" w:cs="Calibri"/>
          <w:color w:val="000000"/>
          <w:sz w:val="22"/>
          <w:szCs w:val="22"/>
        </w:rPr>
        <w:t> and </w:t>
      </w:r>
      <w:r w:rsidRPr="00AF28B8">
        <w:rPr>
          <w:rFonts w:ascii="Calibri" w:hAnsi="Calibri" w:cs="Calibri"/>
          <w:i/>
          <w:iCs/>
          <w:color w:val="000000"/>
          <w:sz w:val="22"/>
          <w:szCs w:val="22"/>
        </w:rPr>
        <w:t>P. ovale</w:t>
      </w:r>
      <w:r w:rsidRPr="00AF28B8">
        <w:rPr>
          <w:rFonts w:ascii="Calibri" w:hAnsi="Calibri" w:cs="Calibri"/>
          <w:color w:val="000000"/>
          <w:sz w:val="22"/>
          <w:szCs w:val="22"/>
        </w:rPr>
        <w:t> species can result in clinically relevant diseases. Although the prevalence of </w:t>
      </w:r>
      <w:r w:rsidRPr="00AF28B8">
        <w:rPr>
          <w:rFonts w:ascii="Calibri" w:hAnsi="Calibri" w:cs="Calibri"/>
          <w:i/>
          <w:iCs/>
          <w:color w:val="000000"/>
          <w:sz w:val="22"/>
          <w:szCs w:val="22"/>
        </w:rPr>
        <w:t>P. malariae</w:t>
      </w:r>
      <w:r w:rsidRPr="00AF28B8">
        <w:rPr>
          <w:rFonts w:ascii="Calibri" w:hAnsi="Calibri" w:cs="Calibri"/>
          <w:color w:val="000000"/>
          <w:sz w:val="22"/>
          <w:szCs w:val="22"/>
        </w:rPr>
        <w:t> and </w:t>
      </w:r>
      <w:r w:rsidRPr="00AF28B8">
        <w:rPr>
          <w:rFonts w:ascii="Calibri" w:hAnsi="Calibri" w:cs="Calibri"/>
          <w:i/>
          <w:iCs/>
          <w:color w:val="000000"/>
          <w:sz w:val="22"/>
          <w:szCs w:val="22"/>
        </w:rPr>
        <w:t>P. ovale</w:t>
      </w:r>
      <w:r w:rsidRPr="00AF28B8">
        <w:rPr>
          <w:rFonts w:ascii="Calibri" w:hAnsi="Calibri" w:cs="Calibri"/>
          <w:color w:val="000000"/>
          <w:sz w:val="22"/>
          <w:szCs w:val="22"/>
        </w:rPr>
        <w:t> infections detected in symptomatic malaria patients was low, enhanced surveillance is necessary to monitor the spread and presence of other human malaria parasites, such as </w:t>
      </w:r>
      <w:r w:rsidRPr="00AF28B8">
        <w:rPr>
          <w:rFonts w:ascii="Calibri" w:hAnsi="Calibri" w:cs="Calibri"/>
          <w:i/>
          <w:iCs/>
          <w:color w:val="000000"/>
          <w:sz w:val="22"/>
          <w:szCs w:val="22"/>
        </w:rPr>
        <w:t>P. vivax</w:t>
      </w:r>
      <w:r w:rsidRPr="00AF28B8">
        <w:rPr>
          <w:rFonts w:ascii="Calibri" w:hAnsi="Calibri" w:cs="Calibri"/>
          <w:color w:val="000000"/>
          <w:sz w:val="22"/>
          <w:szCs w:val="22"/>
        </w:rPr>
        <w:t> and </w:t>
      </w:r>
      <w:r w:rsidRPr="00AF28B8">
        <w:rPr>
          <w:rFonts w:ascii="Calibri" w:hAnsi="Calibri" w:cs="Calibri"/>
          <w:i/>
          <w:iCs/>
          <w:color w:val="000000"/>
          <w:sz w:val="22"/>
          <w:szCs w:val="22"/>
        </w:rPr>
        <w:t>P. knowlesi</w:t>
      </w:r>
      <w:r w:rsidRPr="00AF28B8">
        <w:rPr>
          <w:rFonts w:ascii="Calibri" w:hAnsi="Calibri" w:cs="Calibri"/>
          <w:color w:val="000000"/>
          <w:sz w:val="22"/>
          <w:szCs w:val="22"/>
        </w:rPr>
        <w:t>.</w:t>
      </w:r>
    </w:p>
    <w:p w14:paraId="7A36826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25-A-3240-ASTMH</w:t>
      </w:r>
    </w:p>
    <w:p w14:paraId="18364313"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74B801A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Kenya NTD Mass Drug Administration Campaigns: Impact of Population Data on operational decisions</w:t>
      </w:r>
    </w:p>
    <w:p w14:paraId="52241DA9"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Soil transmitted helminths (STHs) and Schistosomiasis mapping have determined prevalence at sub-district level (Wards) to allow for integrated treatment decisions at granular level. Population estimates used impact MDA decisions notably microplanning for allocations, supplies distribution and performance monitoring. These decisions determine achievement of effective therapeutic coverage (&gt;75%). To determine the most representative estimates, we assessed the level of variation across estimates of available sources (Projected 2019 census and health facility catchment) and the subsequent impact on MDA decisions. Descriptive data analysis was conducted to determine the variations between the population sources, Ward coverages were computed and the operational decisions based on coverage categorized to show impact. At Sub County (formerly district), 54% were within +/- 5% variation for the population sources assessed, however only 17% of Wards were within this threshold. Estimates for 83% of Sub Counties were within +/- 10% variation while only 29% of Ward estimates were within +/- 10% threshold. Notably, 71% of Wards showed discrepancies between population sources of greater than +/- 10%. In 25% of wards, denominator discrepancies lead to therapeutic coverage falling below 75% when using one population source, but meeting coverage thresholds when using the other. These inaccuracies could negatively impact operational decisions like areas to conduct mop - up. 14% of Wards showed &gt;100% coverages using both denominator sources and these areas that would benefit from triangulation using alternative population data such community-based estimates. Ongoing initiatives to integrate NTDs into the health systems include digitizing MDAs using the using eCHIS platform (electronic Community Health Information systems). eCHIS would provide the NTD program an alternative population source, its routinely collects household registration data and represent the most updated population estimate. Analyses such as this allow for robust decisions on existing gaps in MDA data that would benefit from digitization in an elimination setting.</w:t>
      </w:r>
    </w:p>
    <w:p w14:paraId="4E92CD03"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25-A-3241-ASTMH</w:t>
      </w:r>
    </w:p>
    <w:p w14:paraId="70CFC62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6DF1ACB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Anti-NS1 antibodies elicited after Yellow Fever 17D vaccination can induce complement deposition</w:t>
      </w:r>
    </w:p>
    <w:p w14:paraId="6B7CE87C"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Orthoflavivirus yellow fever virus (YFV), is endemic in regions of Africa and South America, and the WHO estimates that over 400M people are at risk of infection. Vaccination with the live attenuated vaccine YFV-17D protects against infection primarily described by its potent neutralizing antibodies (NAbs), however, other potential protective mechanisms are incompletely understood. Orthoflavivirus genomes encode non-structural protein 1 (NS1) which contributes to viral replication and affects disease severity via its induction of endothelial permeability. Few studies have characterized anti-NS1 antibodies after YFV-17D vaccination and their potential role in protection. Using our unique cohort of YFV-17D vaccinees in a non-endemic setting we demonstrate that anti-NS1 antibodies are detectable by ELISA in &gt;95% of vaccinees at 28 days post vaccination and that anti-NS1 antibodies can be detected up to 60 years post vaccination. Longitudinal analysis of vaccinees found that anti-NS1 antibodies levels are stable over time (range of 1-8 years between initial blood draw). Moreover, we found that anti-NS1 antibodies are positively correlated with 50% NAb titer (Pearson p&lt;0.05). We tested the hypothesis that anti-NS1 antibodies could stimulate Fc mediated antibody dependent complement deposition (ADCD), potentially leading to clearance of YFV infected cells displaying NS1. Using a Luminex NS1 bead-based assay, we measured the mean fluorescent intensity (MFI) of complement deposition elicited by vaccinee serum, finding that anti-NS1 antibodies can induce ADCD (MFI range 0-743) that is positively correlated with serum anti-NS1 antibodies titers (Pearson, p&lt;0.05). Using a Luminex platform we find that these anti-NS1 IgG antibodies are primarily IgG1 (ANOVA, p&lt;0.05). The findings from this study highlight an understudied antibody population elicited after vaccination with YFV-17D, potentially providing a novel mechanism of protection.</w:t>
      </w:r>
    </w:p>
    <w:p w14:paraId="31EFD9CE"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25-A-3242-ASTMH</w:t>
      </w:r>
    </w:p>
    <w:p w14:paraId="598377F2"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239D5D07"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Principaux syndromes drépanocytaires et infections associés chez les enfants en République démocratique du Congo</w:t>
      </w:r>
    </w:p>
    <w:p w14:paraId="67068E69"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La drépanocytose est une maladie génétique cosmopolite dont la transmission se fait selon un mode autosomique récessif elle est due à une anomalie structurale de l’hémoglobine qui conduit à la formation d’hémoglobine S les principaux syndromes drépanocytaires sont représentés par les homozygotes SS et les doubles hétérozygotes SC, Punjabi, thalassémie .les infections qui jalonnent fréquemment l’évolution de la maladie compromettent le pronostic vital des enfants qui présentent un syndrome drépanocytaire majeur dans nos pays à ressources limitées . Une meilleure connaissance des infections rencontrées chez ces enfants dans notre contexte devrait permettre d'améliorer la prise en charge et d'envisager des mesures de prévention plus adaptées</w:t>
      </w:r>
    </w:p>
    <w:p w14:paraId="01924D2E"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25-A-3243-ASTMH</w:t>
      </w:r>
    </w:p>
    <w:p w14:paraId="64A79AE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CEF5F4D" w14:textId="559359B8"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Integrated and pragmatic real-time clinical, genomic, and immunological surveillance for emerging pathogens</w:t>
      </w:r>
    </w:p>
    <w:p w14:paraId="5627CCCF"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Emerging infectious disease surveillance has traditionally relied on parallel, siloed streams of data—clinical, molecular, genomic, and immunologic—with limited integration, reducing the timeliness and actionability of insights. We developed and piloted a real-time infectious disease integrated surveillance framework (RTI-SURV) to unify these domains within a single operational platform. Leveraging an existing US CDC-funded Ministry of Health sentinel surveillance system in the Dominican Republic, we enrolled patients presenting with acute febrile illness from March 2021 to August 2022. We collected respiratory and blood samples alongside clinical, outcome, and demographic data. Nasopharyngeal swabs were tested for SARS-CoV-2, with positive samples sequenced to identify circulating variants, while sera were analyzed for anti-spike antibodies using quantitative immunoassays. Using a test-negative design, we quantified variant-specific correlates of protection (ICOPs), modeling infection risk </w:t>
      </w:r>
      <w:r w:rsidRPr="00AF28B8">
        <w:rPr>
          <w:rFonts w:ascii="Calibri" w:hAnsi="Calibri" w:cs="Calibri"/>
          <w:color w:val="000000"/>
          <w:sz w:val="22"/>
          <w:szCs w:val="22"/>
        </w:rPr>
        <w:lastRenderedPageBreak/>
        <w:t>as a function of antibody titer and stratified by variant and transmission intensity. The RTI-SURV framework enabled real-time assessment of variant-specific immune evasion, severity trends, and immunologic landscape dynamics. This approach holds promise for global public health: in addition to supporting local health authorities track the epidemiology of AFI pathogens, it enables identification of correlates of protection, enhances immunobridging for future vaccines, supports detection of phenotypically distinct or more virulent strains, and informs population-level immune dynamics. RTI-SURV demonstrates the feasibility and utility of an integrated surveillance approach in low- and middle-income settings, offering an economical and scalable model for real-time monitoring of viral evolution and population immunity.</w:t>
      </w:r>
    </w:p>
    <w:p w14:paraId="4FE9181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25-A-3244-ASTMH</w:t>
      </w:r>
    </w:p>
    <w:p w14:paraId="3C4ECE2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3646874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Effects of a Water, Sanitation and Hygiene Mobile Health Program on Respiratory Illness in the Democratic Republic of Congo: PICHA7 Mobile Health Program</w:t>
      </w:r>
    </w:p>
    <w:p w14:paraId="4AC1817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Globally, acute respiratory infections are a major cause of morbidity and mortality, particularly among young children. Water, sanitation, and hygiene (WASH) interventions when combined with mobile health (mHealth) have the potential to reduce the burden of respiratory illness. The objective of this study was to investigate the impact of the Preventive-Intervention-for-Cholera-for-7-days (PICHA7) WASH mHealth program on respiratory illness among diarrhea patients and their household members in urban Bukavu in eastern Democratic Republic of Congo (DRC). The PICHA7 program is a targeted WASH program delivering weekly mHealth messages and quarterly home visits to diarrhea patient households. In a two-arm cluster randomized controlled trial of PICHA7, 2334 participants were randomized to a standard arm on oral rehydration solution and a basic WASH message delivered in the healthcare facility or the PICHA7 program arm. During the 12-month surveillance period, self-reported respiratory symptoms were assessed through monthly clinical surveillance. Acute lower respiratory illness (ALRI) was defined as cough and rapid breathing or rapid breathing and difficulty breathing in the past 2 weeks, and respiratory illness (ARI) was defined as cough, rapid breathing, difficulty breathing, or wheezing in the past two weeks. Compared to the standard arm, children under 5 in the PICHA7 arm had lower ALRI (Prevalence ratio PR: 0.40, 95% confidence interval (CI): 0.20-0.89, 70% vs. 30%). In addition, the PICHA7 arm had significantly less ARI in the past two weeks for all ages (PR: 0.83, 95% CI: (0.73-0.96, 54% vs. 46%) and children under 5 years of age (PR: 0.86, 95% CI: 0.74-0.99, 52% vs. 48%) compared to the standard arm. These results demonstrate that the PICHA7 mHealth program reduced ARI and ALRI among diarrhea patients and their household members in Bukavu, eastern DRC.</w:t>
      </w:r>
    </w:p>
    <w:p w14:paraId="7C90B307"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25-A-3245-ASTMH</w:t>
      </w:r>
    </w:p>
    <w:p w14:paraId="56311CF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3530E84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Addressing Antimicrobial Resistance Research Gaps in sub-Saharan Africa - A One Health Approach</w:t>
      </w:r>
    </w:p>
    <w:p w14:paraId="304CB12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overuse of antibacterial agents in human and veterinary medicine has led to reduced effectiveness and the emergence of AMR has become a global health threat. While high-income countries have established robust AMR surveillance systems, low- and middle-income countries, particularly in sub-Saharan Africa, face critical gaps in monitoring. This project aims to strengthen AMR monitoring across seven sub-Saharan countries by enhancing local</w:t>
      </w:r>
      <w:r w:rsidRPr="00AF28B8">
        <w:rPr>
          <w:rFonts w:ascii="Calibri" w:hAnsi="Calibri" w:cs="Calibri"/>
          <w:color w:val="000000"/>
          <w:sz w:val="22"/>
          <w:szCs w:val="22"/>
        </w:rPr>
        <w:br/>
        <w:t>capacity to identify key transmission pathways. Using a One Health approach, researchers from eight participating countries are investigating AMR linkages between humans, animals, and the environment. This includes sampling from various sectors, screening for extended-spectrum β-lactamases producing </w:t>
      </w:r>
      <w:r w:rsidRPr="00AF28B8">
        <w:rPr>
          <w:rFonts w:ascii="Calibri" w:hAnsi="Calibri" w:cs="Calibri"/>
          <w:i/>
          <w:iCs/>
          <w:color w:val="000000"/>
          <w:sz w:val="22"/>
          <w:szCs w:val="22"/>
        </w:rPr>
        <w:t>E. coli</w:t>
      </w:r>
      <w:r w:rsidRPr="00AF28B8">
        <w:rPr>
          <w:rFonts w:ascii="Calibri" w:hAnsi="Calibri" w:cs="Calibri"/>
          <w:color w:val="000000"/>
          <w:sz w:val="22"/>
          <w:szCs w:val="22"/>
        </w:rPr>
        <w:t> (ESBL-EC) as well as Carbapenem-resistant </w:t>
      </w:r>
      <w:r w:rsidRPr="00AF28B8">
        <w:rPr>
          <w:rFonts w:ascii="Calibri" w:hAnsi="Calibri" w:cs="Calibri"/>
          <w:i/>
          <w:iCs/>
          <w:color w:val="000000"/>
          <w:sz w:val="22"/>
          <w:szCs w:val="22"/>
        </w:rPr>
        <w:t>E. coli</w:t>
      </w:r>
      <w:r w:rsidRPr="00AF28B8">
        <w:rPr>
          <w:rFonts w:ascii="Calibri" w:hAnsi="Calibri" w:cs="Calibri"/>
          <w:color w:val="000000"/>
          <w:sz w:val="22"/>
          <w:szCs w:val="22"/>
        </w:rPr>
        <w:t> (CREC) and Salmonella. To detect ESBL-EC and CREC, samples from livestock, food and environment are screened using selective methods for cephalosporin- and carbapenem resistance. Preliminary results, reflecting investigations until the 12</w:t>
      </w:r>
      <w:r w:rsidRPr="00AF28B8">
        <w:rPr>
          <w:rFonts w:ascii="Calibri" w:hAnsi="Calibri" w:cs="Calibri"/>
          <w:color w:val="000000"/>
          <w:sz w:val="22"/>
          <w:szCs w:val="22"/>
          <w:vertAlign w:val="superscript"/>
        </w:rPr>
        <w:t>th</w:t>
      </w:r>
      <w:r w:rsidRPr="00AF28B8">
        <w:rPr>
          <w:rFonts w:ascii="Calibri" w:hAnsi="Calibri" w:cs="Calibri"/>
          <w:color w:val="000000"/>
          <w:sz w:val="22"/>
          <w:szCs w:val="22"/>
        </w:rPr>
        <w:t xml:space="preserve"> of February 2025 from several participating countries, are quite heterogenous among the sample types and resistant agents. Antibiotic susceptibility testing (AST) of 254 human isolates identified 184 ESBL-EC </w:t>
      </w:r>
      <w:r w:rsidRPr="00AF28B8">
        <w:rPr>
          <w:rFonts w:ascii="Calibri" w:hAnsi="Calibri" w:cs="Calibri"/>
          <w:color w:val="000000"/>
          <w:sz w:val="22"/>
          <w:szCs w:val="22"/>
        </w:rPr>
        <w:lastRenderedPageBreak/>
        <w:t>(72.4 %), 14 CREC (5.5 %), and 9 Salmonella (3.5 %)</w:t>
      </w:r>
      <w:r w:rsidRPr="00AF28B8">
        <w:rPr>
          <w:rFonts w:ascii="Calibri" w:hAnsi="Calibri" w:cs="Calibri"/>
          <w:i/>
          <w:iCs/>
          <w:color w:val="000000"/>
          <w:sz w:val="22"/>
          <w:szCs w:val="22"/>
        </w:rPr>
        <w:t>.</w:t>
      </w:r>
      <w:r w:rsidRPr="00AF28B8">
        <w:rPr>
          <w:rFonts w:ascii="Calibri" w:hAnsi="Calibri" w:cs="Calibri"/>
          <w:color w:val="000000"/>
          <w:sz w:val="22"/>
          <w:szCs w:val="22"/>
        </w:rPr>
        <w:t> Among 170 chicken cecal samples, 156 ESBL-EC (91.8 %), 9 CREC (5.3 %), and 40 (23.5 %) Salmonella positive samples were detected. In 178 cattle cecal samples, 115 ESBL-EC (64.4 %), 14 CREC (7.9 %), and 24 (13.5 %) Salmonella-positive samples were identified. Sampling of 146 raw vegetables from local markets revealed 52 ESBL-EC (35.6 %), 12 CREC (8.2 %), and 20 (13.7 %) Salmonella-positive samples. Out of 77 wastewater samples, 52 contained ESBL-EC (67.5 %), 32 contained CREC (41.6 %), and 47 (61 %) were tested positive for Salmonella</w:t>
      </w:r>
      <w:r w:rsidRPr="00AF28B8">
        <w:rPr>
          <w:rFonts w:ascii="Calibri" w:hAnsi="Calibri" w:cs="Calibri"/>
          <w:i/>
          <w:iCs/>
          <w:color w:val="000000"/>
          <w:sz w:val="22"/>
          <w:szCs w:val="22"/>
        </w:rPr>
        <w:t>.</w:t>
      </w:r>
      <w:r w:rsidRPr="00AF28B8">
        <w:rPr>
          <w:rFonts w:ascii="Calibri" w:hAnsi="Calibri" w:cs="Calibri"/>
          <w:color w:val="000000"/>
          <w:sz w:val="22"/>
          <w:szCs w:val="22"/>
        </w:rPr>
        <w:t>These findings underscore the urgent need for effective AMR surveillance and intervention. Strengthening local capacities through a One Health framework is essential to curbing AMR spread and improving public health in sub-Saharan Africa.</w:t>
      </w:r>
    </w:p>
    <w:p w14:paraId="0934330E"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25-A-3246-ASTMH</w:t>
      </w:r>
    </w:p>
    <w:p w14:paraId="3297616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7481550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Longitudinal high prevalence of intestinal parasites in preschool children despite anti-parasitic treatment in urban Colombia</w:t>
      </w:r>
    </w:p>
    <w:p w14:paraId="20A8FEB6"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Intestinal parasites</w:t>
      </w:r>
      <w:r w:rsidRPr="00AF28B8">
        <w:rPr>
          <w:rFonts w:ascii="Calibri" w:hAnsi="Calibri" w:cs="Calibri"/>
          <w:i/>
          <w:iCs/>
          <w:color w:val="000000"/>
          <w:sz w:val="22"/>
          <w:szCs w:val="22"/>
        </w:rPr>
        <w:t> </w:t>
      </w:r>
      <w:r w:rsidRPr="00AF28B8">
        <w:rPr>
          <w:rFonts w:ascii="Calibri" w:hAnsi="Calibri" w:cs="Calibri"/>
          <w:color w:val="000000"/>
          <w:sz w:val="22"/>
          <w:szCs w:val="22"/>
        </w:rPr>
        <w:t>are common pathogens causing diarrhea, intestinal malabsorption, and in preschool children can lead to stunted growth. Understanding the prevalence of intestinal parasites in preschool age children is important as mass drug administration (MDA) are school based programs in Colombia and do not include treatment for intestinal protozoa. Our study seeks to determine the prevalence of intestinal parasites in preschool children in an impoverished neighborhood in Medellín, Colombia, and how infection changes after a dose of secnidazole, an antiprotozoal medication used to treat protozoa. To elucidate this question, stool samples were collected from Colombian preschool children in an impoverished Medellín neighborhood (n=171), prior to treatment with secnidazole. Stool samples were then collected annually in a subset of the children for two subsequent years (n=15, n=40). Parasite DNA was extracted from stool samples and multi-parallel real-time quantitative PCR (qPCR) assay using species-specific primers and probes was used to detect 10 intestinal parasites commonly infecting children living in resource-limited areas. Prior to treatment, the prevalence of giardiasis was 89%. High prevalence of </w:t>
      </w:r>
      <w:r w:rsidRPr="00AF28B8">
        <w:rPr>
          <w:rFonts w:ascii="Calibri" w:hAnsi="Calibri" w:cs="Calibri"/>
          <w:i/>
          <w:iCs/>
          <w:color w:val="000000"/>
          <w:sz w:val="22"/>
          <w:szCs w:val="22"/>
        </w:rPr>
        <w:t>Blastocystis spp.</w:t>
      </w:r>
      <w:r w:rsidRPr="00AF28B8">
        <w:rPr>
          <w:rFonts w:ascii="Calibri" w:hAnsi="Calibri" w:cs="Calibri"/>
          <w:color w:val="000000"/>
          <w:sz w:val="22"/>
          <w:szCs w:val="22"/>
        </w:rPr>
        <w:t> (95%) and </w:t>
      </w:r>
      <w:r w:rsidRPr="00AF28B8">
        <w:rPr>
          <w:rFonts w:ascii="Calibri" w:hAnsi="Calibri" w:cs="Calibri"/>
          <w:i/>
          <w:iCs/>
          <w:color w:val="000000"/>
          <w:sz w:val="22"/>
          <w:szCs w:val="22"/>
        </w:rPr>
        <w:t>Trichuris trichiura</w:t>
      </w:r>
      <w:r w:rsidRPr="00AF28B8">
        <w:rPr>
          <w:rFonts w:ascii="Calibri" w:hAnsi="Calibri" w:cs="Calibri"/>
          <w:color w:val="000000"/>
          <w:sz w:val="22"/>
          <w:szCs w:val="22"/>
        </w:rPr>
        <w:t> (57%) were also noted. There was lower prevalence of </w:t>
      </w:r>
      <w:r w:rsidRPr="00AF28B8">
        <w:rPr>
          <w:rFonts w:ascii="Calibri" w:hAnsi="Calibri" w:cs="Calibri"/>
          <w:i/>
          <w:iCs/>
          <w:color w:val="000000"/>
          <w:sz w:val="22"/>
          <w:szCs w:val="22"/>
        </w:rPr>
        <w:t>Cryptosporidium spp </w:t>
      </w:r>
      <w:r w:rsidRPr="00AF28B8">
        <w:rPr>
          <w:rFonts w:ascii="Calibri" w:hAnsi="Calibri" w:cs="Calibri"/>
          <w:color w:val="000000"/>
          <w:sz w:val="22"/>
          <w:szCs w:val="22"/>
        </w:rPr>
        <w:t>(6%), </w:t>
      </w:r>
      <w:r w:rsidRPr="00AF28B8">
        <w:rPr>
          <w:rFonts w:ascii="Calibri" w:hAnsi="Calibri" w:cs="Calibri"/>
          <w:i/>
          <w:iCs/>
          <w:color w:val="000000"/>
          <w:sz w:val="22"/>
          <w:szCs w:val="22"/>
        </w:rPr>
        <w:t>Ascaris lumbricoides </w:t>
      </w:r>
      <w:r w:rsidRPr="00AF28B8">
        <w:rPr>
          <w:rFonts w:ascii="Calibri" w:hAnsi="Calibri" w:cs="Calibri"/>
          <w:color w:val="000000"/>
          <w:sz w:val="22"/>
          <w:szCs w:val="22"/>
        </w:rPr>
        <w:t>(5%),</w:t>
      </w:r>
      <w:r w:rsidRPr="00AF28B8">
        <w:rPr>
          <w:rFonts w:ascii="Calibri" w:hAnsi="Calibri" w:cs="Calibri"/>
          <w:i/>
          <w:iCs/>
          <w:color w:val="000000"/>
          <w:sz w:val="22"/>
          <w:szCs w:val="22"/>
        </w:rPr>
        <w:t> Acanthamoeba spp.</w:t>
      </w:r>
      <w:r w:rsidRPr="00AF28B8">
        <w:rPr>
          <w:rFonts w:ascii="Calibri" w:hAnsi="Calibri" w:cs="Calibri"/>
          <w:color w:val="000000"/>
          <w:sz w:val="22"/>
          <w:szCs w:val="22"/>
        </w:rPr>
        <w:t> (5%),</w:t>
      </w:r>
      <w:r w:rsidRPr="00AF28B8">
        <w:rPr>
          <w:rFonts w:ascii="Calibri" w:hAnsi="Calibri" w:cs="Calibri"/>
          <w:i/>
          <w:iCs/>
          <w:color w:val="000000"/>
          <w:sz w:val="22"/>
          <w:szCs w:val="22"/>
        </w:rPr>
        <w:t> Entamoeba histolytica </w:t>
      </w:r>
      <w:r w:rsidRPr="00AF28B8">
        <w:rPr>
          <w:rFonts w:ascii="Calibri" w:hAnsi="Calibri" w:cs="Calibri"/>
          <w:color w:val="000000"/>
          <w:sz w:val="22"/>
          <w:szCs w:val="22"/>
        </w:rPr>
        <w:t>(4%), and </w:t>
      </w:r>
      <w:r w:rsidRPr="00AF28B8">
        <w:rPr>
          <w:rFonts w:ascii="Calibri" w:hAnsi="Calibri" w:cs="Calibri"/>
          <w:i/>
          <w:iCs/>
          <w:color w:val="000000"/>
          <w:sz w:val="22"/>
          <w:szCs w:val="22"/>
        </w:rPr>
        <w:t>Necator americanus</w:t>
      </w:r>
      <w:r w:rsidRPr="00AF28B8">
        <w:rPr>
          <w:rFonts w:ascii="Calibri" w:hAnsi="Calibri" w:cs="Calibri"/>
          <w:color w:val="000000"/>
          <w:sz w:val="22"/>
          <w:szCs w:val="22"/>
        </w:rPr>
        <w:t> (2%). There was no </w:t>
      </w:r>
      <w:r w:rsidRPr="00AF28B8">
        <w:rPr>
          <w:rFonts w:ascii="Calibri" w:hAnsi="Calibri" w:cs="Calibri"/>
          <w:i/>
          <w:iCs/>
          <w:color w:val="000000"/>
          <w:sz w:val="22"/>
          <w:szCs w:val="22"/>
        </w:rPr>
        <w:t>Ancylostoma duodenale</w:t>
      </w:r>
      <w:r w:rsidRPr="00AF28B8">
        <w:rPr>
          <w:rFonts w:ascii="Calibri" w:hAnsi="Calibri" w:cs="Calibri"/>
          <w:color w:val="000000"/>
          <w:sz w:val="22"/>
          <w:szCs w:val="22"/>
        </w:rPr>
        <w:t> or</w:t>
      </w:r>
      <w:r w:rsidRPr="00AF28B8">
        <w:rPr>
          <w:rFonts w:ascii="Calibri" w:hAnsi="Calibri" w:cs="Calibri"/>
          <w:i/>
          <w:iCs/>
          <w:color w:val="000000"/>
          <w:sz w:val="22"/>
          <w:szCs w:val="22"/>
        </w:rPr>
        <w:t> Strongyloides stercoralis</w:t>
      </w:r>
      <w:r w:rsidRPr="00AF28B8">
        <w:rPr>
          <w:rFonts w:ascii="Calibri" w:hAnsi="Calibri" w:cs="Calibri"/>
          <w:color w:val="000000"/>
          <w:sz w:val="22"/>
          <w:szCs w:val="22"/>
        </w:rPr>
        <w:t> detected.</w:t>
      </w:r>
      <w:r w:rsidRPr="00AF28B8">
        <w:rPr>
          <w:rFonts w:ascii="Calibri" w:hAnsi="Calibri" w:cs="Calibri"/>
          <w:i/>
          <w:iCs/>
          <w:color w:val="000000"/>
          <w:sz w:val="22"/>
          <w:szCs w:val="22"/>
        </w:rPr>
        <w:t> </w:t>
      </w:r>
      <w:r w:rsidRPr="00AF28B8">
        <w:rPr>
          <w:rFonts w:ascii="Calibri" w:hAnsi="Calibri" w:cs="Calibri"/>
          <w:color w:val="000000"/>
          <w:sz w:val="22"/>
          <w:szCs w:val="22"/>
        </w:rPr>
        <w:t>In the two subsequent years following treatment, all children who were re-tested were found to be reinfected with </w:t>
      </w:r>
      <w:r w:rsidRPr="00AF28B8">
        <w:rPr>
          <w:rFonts w:ascii="Calibri" w:hAnsi="Calibri" w:cs="Calibri"/>
          <w:i/>
          <w:iCs/>
          <w:color w:val="000000"/>
          <w:sz w:val="22"/>
          <w:szCs w:val="22"/>
        </w:rPr>
        <w:t>G. intestinalis</w:t>
      </w:r>
      <w:r w:rsidRPr="00AF28B8">
        <w:rPr>
          <w:rFonts w:ascii="Calibri" w:hAnsi="Calibri" w:cs="Calibri"/>
          <w:color w:val="000000"/>
          <w:sz w:val="22"/>
          <w:szCs w:val="22"/>
        </w:rPr>
        <w:t>. These data highlight the high reinfection rate of intestinal parasites</w:t>
      </w:r>
      <w:r w:rsidRPr="00AF28B8">
        <w:rPr>
          <w:rFonts w:ascii="Calibri" w:hAnsi="Calibri" w:cs="Calibri"/>
          <w:i/>
          <w:iCs/>
          <w:color w:val="000000"/>
          <w:sz w:val="22"/>
          <w:szCs w:val="22"/>
        </w:rPr>
        <w:t> </w:t>
      </w:r>
      <w:r w:rsidRPr="00AF28B8">
        <w:rPr>
          <w:rFonts w:ascii="Calibri" w:hAnsi="Calibri" w:cs="Calibri"/>
          <w:color w:val="000000"/>
          <w:sz w:val="22"/>
          <w:szCs w:val="22"/>
        </w:rPr>
        <w:t>in a preschool population in an urban Colombian city and is further proof of the high prevalence of giardiasis in Colombia. Our study provides evidence supporting reinfection with intestinal parasites is common in preschool age and the use of anti-protozoal treatment does not reduce the prevalence.</w:t>
      </w:r>
    </w:p>
    <w:p w14:paraId="0E40531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25-A-3247-ASTMH</w:t>
      </w:r>
    </w:p>
    <w:p w14:paraId="54BFDA44"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5F253ECA"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Harmonizing measures of transmission to operationalize novel malaria molecular surveillance metrics in an interactive decision-making tool</w:t>
      </w:r>
    </w:p>
    <w:p w14:paraId="32E6AE4A"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Use of malaria molecular surveillance (MMS) data for decision-making is increasing across the African continent. There are clear applications of MMS for the detection of drug and diagnostic resistance, but national malaria control programs (NMCPs) are also considering novel uses of MMS for improved intervention targeting. In Senegal, the NMCP has developed a data dashboard in partnership with a research collaboration centered at the Universite Cheikh Anta Diop (UCAD) to bring together key data sources from multiple institutions and storage formats. The data dashboard allows the NMCP to visualize diverse metrics including genetic data collected from health centers across the country, routine surveillance case incidence, and different modeled incidence values from the Malaria Atlas Project (MAP) and predicted from MMS data alongside one another. In the absence of a single ‘gold-standard’ incidence metric to measure transmission, the dashboard allows NMCP users to compare raw, </w:t>
      </w:r>
      <w:r w:rsidRPr="00AF28B8">
        <w:rPr>
          <w:rFonts w:ascii="Calibri" w:hAnsi="Calibri" w:cs="Calibri"/>
          <w:color w:val="000000"/>
          <w:sz w:val="22"/>
          <w:szCs w:val="22"/>
        </w:rPr>
        <w:lastRenderedPageBreak/>
        <w:t>unadjusted routine metrics with modeled values that account for biases in reported values such as treatment-seeking (MAP) or are informed by genetic data. The availability of multiple forms of incidence data estimates provides both an opportunity and a challenge from the program. The relationship between summary statistics of MMS data and incidence will vary based on adjustments made to the clinical data and the resolution at which cases are summarized (for example, health district level versus health facility catchment). We demonstrate this challenge using examples from Senegal and illustrate the utility of a dashboard interface for data integration and interrogation. The capacity to scrutinize and compare metrics will facilitate more efficient programmatic decisions by incorporating multiple metrics of transmission into the decision-making process.</w:t>
      </w:r>
    </w:p>
    <w:p w14:paraId="56B91DB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25-A-3248-ASTMH</w:t>
      </w:r>
    </w:p>
    <w:p w14:paraId="16B6686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6ECFE63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Effects of Spatial Repellents, Topical Repellents, and Insecticide-Treated Clothing on Aedes aegypti: Semi-field Evaluations in Thailand</w:t>
      </w:r>
    </w:p>
    <w:p w14:paraId="38C0ECE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Abstract</w:t>
      </w:r>
      <w:r w:rsidRPr="00AF28B8">
        <w:rPr>
          <w:rFonts w:ascii="Calibri" w:hAnsi="Calibri" w:cs="Calibri"/>
          <w:color w:val="000000"/>
          <w:sz w:val="22"/>
          <w:szCs w:val="22"/>
        </w:rPr>
        <w:t> Arboviruses transmitted by </w:t>
      </w:r>
      <w:r w:rsidRPr="00AF28B8">
        <w:rPr>
          <w:rFonts w:ascii="Calibri" w:hAnsi="Calibri" w:cs="Calibri"/>
          <w:i/>
          <w:iCs/>
          <w:color w:val="000000"/>
          <w:sz w:val="22"/>
          <w:szCs w:val="22"/>
        </w:rPr>
        <w:t>Aedes aegypti</w:t>
      </w:r>
      <w:r w:rsidRPr="00AF28B8">
        <w:rPr>
          <w:rFonts w:ascii="Calibri" w:hAnsi="Calibri" w:cs="Calibri"/>
          <w:color w:val="000000"/>
          <w:sz w:val="22"/>
          <w:szCs w:val="22"/>
        </w:rPr>
        <w:t> mosquitos continue to disrupt the health, livelihood, and lifestyles of the growing population in the Greater Mekong Subregion. Dengue fever is an increasing public health concern with a global death toll of more than 40,000 per year and a symptomatic burden of 96 million cases a year, 21.8 million of which are in Southeast Asia. In the absence of drugs for the prevention and treatment of dengue, vector control is the most viable strategy for arbovirus disease prevention. The standard malaria vector control tools of insecticide-treated nets and indoor residual spraying, however, are less effective against </w:t>
      </w:r>
      <w:r w:rsidRPr="00AF28B8">
        <w:rPr>
          <w:rFonts w:ascii="Calibri" w:hAnsi="Calibri" w:cs="Calibri"/>
          <w:i/>
          <w:iCs/>
          <w:color w:val="000000"/>
          <w:sz w:val="22"/>
          <w:szCs w:val="22"/>
        </w:rPr>
        <w:t>Aedes</w:t>
      </w:r>
      <w:r w:rsidRPr="00AF28B8">
        <w:rPr>
          <w:rFonts w:ascii="Calibri" w:hAnsi="Calibri" w:cs="Calibri"/>
          <w:color w:val="000000"/>
          <w:sz w:val="22"/>
          <w:szCs w:val="22"/>
        </w:rPr>
        <w:t> mosquitoes that often bite during the day and while outdoors. In addition, the open exposure of highly mobile populations working in forested agriculture and mining is a major challenge. Exploring localized and transportable tools for rural settings such as the combined use of spatial repellents, insecticide-treated clothing, and topical repellents, provides promising alternatives for bite prevention. This study compared the protective efficacy of 11 different combinations of personal bite prevention tools: one metofluthrin- and two transfluthrin-based volatile pyrethroid spatial repellents, as well as etofenprox insecticide-treated clothing with and without a topical repellent application in semi-field systems at two research sites in Thailand against three strains of </w:t>
      </w:r>
      <w:r w:rsidRPr="00AF28B8">
        <w:rPr>
          <w:rFonts w:ascii="Calibri" w:hAnsi="Calibri" w:cs="Calibri"/>
          <w:i/>
          <w:iCs/>
          <w:color w:val="000000"/>
          <w:sz w:val="22"/>
          <w:szCs w:val="22"/>
        </w:rPr>
        <w:t>Aedes aegypti</w:t>
      </w:r>
      <w:r w:rsidRPr="00AF28B8">
        <w:rPr>
          <w:rFonts w:ascii="Calibri" w:hAnsi="Calibri" w:cs="Calibri"/>
          <w:color w:val="000000"/>
          <w:sz w:val="22"/>
          <w:szCs w:val="22"/>
        </w:rPr>
        <w:t>. The study used a block-randomized crossover design with landing inhibition as the primary endpoint. Secondary endpoints included key life history traits known to affect vector capacity (knockdown, post-exposure blood feeding, 24-hour mortality, and egg laying). The odds ratios for each intervention compared to the control on each outcome are estimated. An analysis is ongoing, with full results expected in July 2025. </w:t>
      </w:r>
    </w:p>
    <w:p w14:paraId="5C4C667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25-A-3249-ASTMH</w:t>
      </w:r>
    </w:p>
    <w:p w14:paraId="7A034D8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6BC10DC6"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Impact of house modifications on mosquito feeding behavior and human-vector interactions</w:t>
      </w:r>
    </w:p>
    <w:p w14:paraId="683A62E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Female</w:t>
      </w:r>
      <w:r w:rsidRPr="00AF28B8">
        <w:rPr>
          <w:rFonts w:ascii="Calibri" w:hAnsi="Calibri" w:cs="Calibri"/>
          <w:i/>
          <w:iCs/>
          <w:color w:val="000000"/>
          <w:sz w:val="22"/>
          <w:szCs w:val="22"/>
        </w:rPr>
        <w:t> Anopheles</w:t>
      </w:r>
      <w:r w:rsidRPr="00AF28B8">
        <w:rPr>
          <w:rFonts w:ascii="Calibri" w:hAnsi="Calibri" w:cs="Calibri"/>
          <w:color w:val="000000"/>
          <w:sz w:val="22"/>
          <w:szCs w:val="22"/>
        </w:rPr>
        <w:t> mosquitoes, responsible for malaria transmission, predominantly feed indoors late at night. Housing modification - structural changes such as screening windows, doors, ceilings, open eaves or installing eave tubes to block mosquito entry - has been shown to significantly reduce malaria risk. However, the potential for altered mosquito behavior in response to these interventions and the implications for human-vector contact remain unclear. This study assessed human-mosquito interactions in modified (eave tubes or full screening) and non-modified (control) houses within a cluster randomised trial in Jinja and Luuka districts in eastern Uganda. Human landing catches were conducted over four nights in two households per village across 15 villages. Human behaviour (house entry time, bedtime, wake time, and house exit time) was recorded using questionnaires from households within the study area. A total of 9,658 mosquitoes were collected: 26.9% </w:t>
      </w:r>
      <w:r w:rsidRPr="00AF28B8">
        <w:rPr>
          <w:rFonts w:ascii="Calibri" w:hAnsi="Calibri" w:cs="Calibri"/>
          <w:i/>
          <w:iCs/>
          <w:color w:val="000000"/>
          <w:sz w:val="22"/>
          <w:szCs w:val="22"/>
        </w:rPr>
        <w:t>An. gambiae </w:t>
      </w:r>
      <w:r w:rsidRPr="00AF28B8">
        <w:rPr>
          <w:rFonts w:ascii="Calibri" w:hAnsi="Calibri" w:cs="Calibri"/>
          <w:color w:val="000000"/>
          <w:sz w:val="22"/>
          <w:szCs w:val="22"/>
        </w:rPr>
        <w:t>s.l., 11.5% </w:t>
      </w:r>
      <w:r w:rsidRPr="00AF28B8">
        <w:rPr>
          <w:rFonts w:ascii="Calibri" w:hAnsi="Calibri" w:cs="Calibri"/>
          <w:i/>
          <w:iCs/>
          <w:color w:val="000000"/>
          <w:sz w:val="22"/>
          <w:szCs w:val="22"/>
        </w:rPr>
        <w:t>An. funestus</w:t>
      </w:r>
      <w:r w:rsidRPr="00AF28B8">
        <w:rPr>
          <w:rFonts w:ascii="Calibri" w:hAnsi="Calibri" w:cs="Calibri"/>
          <w:color w:val="000000"/>
          <w:sz w:val="22"/>
          <w:szCs w:val="22"/>
        </w:rPr>
        <w:t> s.l., 35.8% Culicines, 24.4% </w:t>
      </w:r>
      <w:r w:rsidRPr="00AF28B8">
        <w:rPr>
          <w:rFonts w:ascii="Calibri" w:hAnsi="Calibri" w:cs="Calibri"/>
          <w:i/>
          <w:iCs/>
          <w:color w:val="000000"/>
          <w:sz w:val="22"/>
          <w:szCs w:val="22"/>
        </w:rPr>
        <w:t>Mansonia</w:t>
      </w:r>
      <w:r w:rsidRPr="00AF28B8">
        <w:rPr>
          <w:rFonts w:ascii="Calibri" w:hAnsi="Calibri" w:cs="Calibri"/>
          <w:color w:val="000000"/>
          <w:sz w:val="22"/>
          <w:szCs w:val="22"/>
        </w:rPr>
        <w:t> and 1.4% other </w:t>
      </w:r>
      <w:r w:rsidRPr="00AF28B8">
        <w:rPr>
          <w:rFonts w:ascii="Calibri" w:hAnsi="Calibri" w:cs="Calibri"/>
          <w:i/>
          <w:iCs/>
          <w:color w:val="000000"/>
          <w:sz w:val="22"/>
          <w:szCs w:val="22"/>
        </w:rPr>
        <w:t>Anopheles</w:t>
      </w:r>
      <w:r w:rsidRPr="00AF28B8">
        <w:rPr>
          <w:rFonts w:ascii="Calibri" w:hAnsi="Calibri" w:cs="Calibri"/>
          <w:color w:val="000000"/>
          <w:sz w:val="22"/>
          <w:szCs w:val="22"/>
        </w:rPr>
        <w:t>. Difference-in-differences analysis adjusted for outdoor biting rates showed significantly lower indoor </w:t>
      </w:r>
      <w:r w:rsidRPr="00AF28B8">
        <w:rPr>
          <w:rFonts w:ascii="Calibri" w:hAnsi="Calibri" w:cs="Calibri"/>
          <w:i/>
          <w:iCs/>
          <w:color w:val="000000"/>
          <w:sz w:val="22"/>
          <w:szCs w:val="22"/>
        </w:rPr>
        <w:t>An. gambiae</w:t>
      </w:r>
      <w:r w:rsidRPr="00AF28B8">
        <w:rPr>
          <w:rFonts w:ascii="Calibri" w:hAnsi="Calibri" w:cs="Calibri"/>
          <w:color w:val="000000"/>
          <w:sz w:val="22"/>
          <w:szCs w:val="22"/>
        </w:rPr>
        <w:t xml:space="preserve"> s.l. biting rates in the eave tube (RR=0.25, 95% CI=0.14-0.46) and full screening arms (RR=0.33, 95% CI=0.22-0.49) </w:t>
      </w:r>
      <w:r w:rsidRPr="00AF28B8">
        <w:rPr>
          <w:rFonts w:ascii="Calibri" w:hAnsi="Calibri" w:cs="Calibri"/>
          <w:color w:val="000000"/>
          <w:sz w:val="22"/>
          <w:szCs w:val="22"/>
        </w:rPr>
        <w:lastRenderedPageBreak/>
        <w:t>versus control. </w:t>
      </w:r>
      <w:r w:rsidRPr="00AF28B8">
        <w:rPr>
          <w:rFonts w:ascii="Calibri" w:hAnsi="Calibri" w:cs="Calibri"/>
          <w:i/>
          <w:iCs/>
          <w:color w:val="000000"/>
          <w:sz w:val="22"/>
          <w:szCs w:val="22"/>
        </w:rPr>
        <w:t>An. funestus</w:t>
      </w:r>
      <w:r w:rsidRPr="00AF28B8">
        <w:rPr>
          <w:rFonts w:ascii="Calibri" w:hAnsi="Calibri" w:cs="Calibri"/>
          <w:color w:val="000000"/>
          <w:sz w:val="22"/>
          <w:szCs w:val="22"/>
        </w:rPr>
        <w:t> s.l. indoor biting rates were significantly reduced in the eave tube arm (RR=0.28, 95% CI=0.13-0.59), but not in the full screening arm (RR=0.52, 95% CI: 0.26-1.04), compared to the control arm. Most biting occurred at night. Of the mosquitoes collected indoors, &gt;65% were captured between 10pm and 5am across all study arms. Human behavioural observations indicated most people were indoors and asleep during this period. As a result, estimates of mosquito biting weighted by where people were at each hour indicated that &gt;90% of bites occurred indoors across all treatment arms, despite the reductions in bites observed in the eave tube and full screening arms. The data suggest that housing modification presents an alternative and viable approach to malaria vector control whose potential for scale up should be explored.</w:t>
      </w:r>
    </w:p>
    <w:p w14:paraId="22F05EF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25-A-3250-ASTMH</w:t>
      </w:r>
    </w:p>
    <w:p w14:paraId="7A7885B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7CAEC912"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Engaging Stakeholders to Build up participation in clinical trial research in Gabon: a mixed method study in Gabon</w:t>
      </w:r>
    </w:p>
    <w:p w14:paraId="5864A0AA"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Introduction</w:t>
      </w:r>
      <w:r w:rsidRPr="00AF28B8">
        <w:rPr>
          <w:rFonts w:ascii="Calibri" w:hAnsi="Calibri" w:cs="Calibri"/>
          <w:color w:val="000000"/>
          <w:sz w:val="22"/>
          <w:szCs w:val="22"/>
        </w:rPr>
        <w:t>: Community and stakeholder engagement is essential for the success of clinical trials. To address this, we conducted a study to assess knowledge, attitudes, and practices (KAP) related to clinical trials. </w:t>
      </w:r>
      <w:r w:rsidRPr="00AF28B8">
        <w:rPr>
          <w:rFonts w:ascii="Calibri" w:hAnsi="Calibri" w:cs="Calibri"/>
          <w:b/>
          <w:bCs/>
          <w:color w:val="000000"/>
          <w:sz w:val="22"/>
          <w:szCs w:val="22"/>
        </w:rPr>
        <w:t>Method</w:t>
      </w:r>
      <w:r w:rsidRPr="00AF28B8">
        <w:rPr>
          <w:rFonts w:ascii="Calibri" w:hAnsi="Calibri" w:cs="Calibri"/>
          <w:color w:val="000000"/>
          <w:sz w:val="22"/>
          <w:szCs w:val="22"/>
        </w:rPr>
        <w:t>: This was a cross-sectional, mixed quantitative and qualitative study on knowledge, attitudes, and practices. This study was conducted in two phases: the survey phase and the intervention phase. Participants were purposefully selected from local leaders and middle school students in Lambaréné, Gabon. The survey assessed knowledge, perceptions, and barriers to participation in tuberculosis clinical trials (survey). Based on the results, a community awareness program was designed to address misconceptions and promote the benefits of participating in clinical research (intervention phase). </w:t>
      </w:r>
      <w:r w:rsidRPr="00AF28B8">
        <w:rPr>
          <w:rFonts w:ascii="Calibri" w:hAnsi="Calibri" w:cs="Calibri"/>
          <w:b/>
          <w:bCs/>
          <w:color w:val="000000"/>
          <w:sz w:val="22"/>
          <w:szCs w:val="22"/>
        </w:rPr>
        <w:t>Results</w:t>
      </w:r>
      <w:r w:rsidRPr="00AF28B8">
        <w:rPr>
          <w:rFonts w:ascii="Calibri" w:hAnsi="Calibri" w:cs="Calibri"/>
          <w:color w:val="000000"/>
          <w:sz w:val="22"/>
          <w:szCs w:val="22"/>
        </w:rPr>
        <w:t>: Among the 100 participants, 45% had prior knowledge of clinical trials and 75% and 85% expressed concerns regarding safety and ethical considerations. Trust building, transparent communication, and community involvement were essential to encouraging participation. </w:t>
      </w:r>
      <w:r w:rsidRPr="00AF28B8">
        <w:rPr>
          <w:rFonts w:ascii="Calibri" w:hAnsi="Calibri" w:cs="Calibri"/>
          <w:b/>
          <w:bCs/>
          <w:color w:val="000000"/>
          <w:sz w:val="22"/>
          <w:szCs w:val="22"/>
        </w:rPr>
        <w:t>Conclusion</w:t>
      </w:r>
      <w:r w:rsidRPr="00AF28B8">
        <w:rPr>
          <w:rFonts w:ascii="Calibri" w:hAnsi="Calibri" w:cs="Calibri"/>
          <w:color w:val="000000"/>
          <w:sz w:val="22"/>
          <w:szCs w:val="22"/>
        </w:rPr>
        <w:t>: This study highlights the importance of addressing knowledge gaps and engaging stakeholders through culturally sensitive and community-driven approaches for improved participation in clinical trial</w:t>
      </w:r>
    </w:p>
    <w:p w14:paraId="27746D9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25-A-3251-ASTMH</w:t>
      </w:r>
    </w:p>
    <w:p w14:paraId="389D909A"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FC12DC1"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Integrated Malaria Prevention and Treatment During Seasonal Malaria Chemoprevention Cycles; Lessons from Burkina Faso’s 2024 Campaign</w:t>
      </w:r>
    </w:p>
    <w:p w14:paraId="0104F55F"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Since 2014, Seasonal Malaria Chemoprevention (SMC) has aimed to reduce malaria burden of children in Burkina Faso. However, morbidity remains high. In 2023, in the 19 districts of the regions of Centre Est, Centre Ouest and Sud-Ouest, 20,698 cases of severe malaria and 312 deaths were registered during the SMC (June to October). In 2024, additional interventions were integrated into the SMC campaign and target children between 3-59 months. This involves, identification of children eligible for malaria vaccination, elimination of mosquito breeding sites, and malaria diagnosis and treatment. During the SMC cycles of campaign, children over five months who had not received the malaria vaccine were identified by Community Distributors (CD) and referred to health facilities for catch-up vaccination. Also, breeding sites were identified and eliminated in collaboration with households. In villages over 3.1 miles from health facilities, CD were equipped with Rapid Diagnostic Tests (RDT) and Artemisinin-based Combination Therapies (ACT) for case management. Then, in these regions, the average of SMC coverage is 104% and 88.2% of children have received all treatments. Also, 11.2% unvaccinated children were identified in Cycle 1 and 6.7% in Cycle 4. Vaccination coverage increased from 89.0% to 92.0% between July and October. A total of 388,147 mosquito breeding sites were eliminated between Cycles 1 and 4 (67%), with a 24% reduction between Cycles 3 and 4. CD diagnosed 5,656 cases of uncomplicated malaria, with 92.6% treated using ACTs. Comparing June - Oct. 2023 to the same period in 2024, cases of uncomplicated malaria decreased by 17.5%, severe cases by 6.9%, and malaria-related deaths by 31.4%. In contrast, reductions during January-May were more modest: 12% for uncomplicated </w:t>
      </w:r>
      <w:r w:rsidRPr="00AF28B8">
        <w:rPr>
          <w:rFonts w:ascii="Calibri" w:hAnsi="Calibri" w:cs="Calibri"/>
          <w:color w:val="000000"/>
          <w:sz w:val="22"/>
          <w:szCs w:val="22"/>
        </w:rPr>
        <w:lastRenderedPageBreak/>
        <w:t>malaria and 0.7% for deaths. The integration of prevention and treatment interventions into SMC campaigns may have contributed to the observed reduction in malaria burden among children under five. It may also have improved the utilization of health services targeting children. Despite the added interventions, SMC coverage levels remained strong and consistent.</w:t>
      </w:r>
    </w:p>
    <w:p w14:paraId="3645F017"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25-A-3252-ASTMH</w:t>
      </w:r>
    </w:p>
    <w:p w14:paraId="34186D23"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281FA14C"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Simulating the consequences of Rift Valley fever virus (RVFV) transmission via raw milk consumption</w:t>
      </w:r>
    </w:p>
    <w:p w14:paraId="607BA25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Rift Valley fever virus (RVFV) is a zoonotic, vector-borne infectious disease affecting livestock, mostly transmitted by </w:t>
      </w:r>
      <w:r w:rsidRPr="00AF28B8">
        <w:rPr>
          <w:rFonts w:ascii="Calibri" w:hAnsi="Calibri" w:cs="Calibri"/>
          <w:i/>
          <w:iCs/>
          <w:color w:val="000000"/>
          <w:sz w:val="22"/>
          <w:szCs w:val="22"/>
        </w:rPr>
        <w:t>Aedes </w:t>
      </w:r>
      <w:r w:rsidRPr="00AF28B8">
        <w:rPr>
          <w:rFonts w:ascii="Calibri" w:hAnsi="Calibri" w:cs="Calibri"/>
          <w:color w:val="000000"/>
          <w:sz w:val="22"/>
          <w:szCs w:val="22"/>
        </w:rPr>
        <w:t>and </w:t>
      </w:r>
      <w:r w:rsidRPr="00AF28B8">
        <w:rPr>
          <w:rFonts w:ascii="Calibri" w:hAnsi="Calibri" w:cs="Calibri"/>
          <w:i/>
          <w:iCs/>
          <w:color w:val="000000"/>
          <w:sz w:val="22"/>
          <w:szCs w:val="22"/>
        </w:rPr>
        <w:t>Culex </w:t>
      </w:r>
      <w:r w:rsidRPr="00AF28B8">
        <w:rPr>
          <w:rFonts w:ascii="Calibri" w:hAnsi="Calibri" w:cs="Calibri"/>
          <w:color w:val="000000"/>
          <w:sz w:val="22"/>
          <w:szCs w:val="22"/>
        </w:rPr>
        <w:t>mosquito species; however, direct transmission can occur among animals and from animals to humans. While the mosquito-borne transmission dynamics of RVFV are well understood, many gaps exist in the knowledge about the transmission of RVFV via raw milk consumption. This study aims to investigate the consequences of potential RVFV transmission to humans through the consumption of raw milk. We reviewed 1200 published manuscripts on RVFV transmission dynamics and selected 325 articles to identify parameters necessary to model the impacts of milk-borne RVFV transmission. Utilizing the parameter estimates obtained; we generated stochastic simulations to provide insights into the transmission dynamics of milk transmission of RVFV. Binomial, Poisson, and hypergeometric distributions were utilized to generate human, cow, and </w:t>
      </w:r>
      <w:r w:rsidRPr="00AF28B8">
        <w:rPr>
          <w:rFonts w:ascii="Calibri" w:hAnsi="Calibri" w:cs="Calibri"/>
          <w:i/>
          <w:iCs/>
          <w:color w:val="000000"/>
          <w:sz w:val="22"/>
          <w:szCs w:val="22"/>
        </w:rPr>
        <w:t>Aedes </w:t>
      </w:r>
      <w:r w:rsidRPr="00AF28B8">
        <w:rPr>
          <w:rFonts w:ascii="Calibri" w:hAnsi="Calibri" w:cs="Calibri"/>
          <w:color w:val="000000"/>
          <w:sz w:val="22"/>
          <w:szCs w:val="22"/>
        </w:rPr>
        <w:t>vector populations within 1000 farms. We adjusted the probability of consuming raw milk over a spectrum of values from 0.03 to 0.5, in accordance with our prior survey study. As the probability of drinking raw milk increases from 0.01-0.5, lower limit for the proportion of infections caused by raw milk consumption increases from 0.02-0.6 over the two-year period. Pathogenesis research is needed to confirm the plausibility of infection by milk ingestion in mammals. RVFV through milk consumption during and between noticed RVFV outbreaks, emphasizing the serious public health threat posed by raw milk consumption in endemic areas.</w:t>
      </w:r>
    </w:p>
    <w:p w14:paraId="020F091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25-A-3253-ASTMH</w:t>
      </w:r>
    </w:p>
    <w:p w14:paraId="15DCA76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Molecular Biology, Population Genetics and Genomics</w:t>
      </w:r>
    </w:p>
    <w:p w14:paraId="4D0DD68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Participation of Lola-type motifs in the regulation of mosquito antimicrobial peptide gene expression</w:t>
      </w:r>
    </w:p>
    <w:p w14:paraId="26ECFDC6"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Mosquitoes are considered the animal that causes most deaths to humans in the world; the genders that are present in America: Aedes and Anopheles are important disease vectors and are therefore important for public health, as they can transmit dangerous diseases which can be deathly; like the sika, chikungunya and dengue viruses or the malaria parasite. That’s why tropical countries like Mexico are at serious risk of transmitting this kind of disease and being affected by it. Also, research about the innate immune system of arthropods, especially the mechanism of genetic regulation of the transcription of antimicrobial peptides such as cecropin, is relevant for understanding vector competence. The project that I’m working on involves the genetic regulation of effector genes such as cecropin, an antimicrobial peptide that has an important role in the immune response of mosquitoes. I’m analyzing a putative transcription factor binding site for the transcription factor Lola within the cecropin promoter region. I am using molecular cloning, transfection of cells, and reporter gene assays. I cloned and mutagenized the putative cecropin gene promoter in reporter gene plasmids.</w:t>
      </w:r>
    </w:p>
    <w:p w14:paraId="6CD055E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25-A-3254-ASTMH</w:t>
      </w:r>
    </w:p>
    <w:p w14:paraId="0F7BF82E"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21ECA30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Effect of WASH interventions on Giardia infection in Bangladesh: heterogeneity by exposure to seasonal monsoons</w:t>
      </w:r>
    </w:p>
    <w:p w14:paraId="0E3609E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Giardia is the most common enteric parasite among children in low-resource settings. It can cause diarrhea and lead to prolonged infection or asymptomatic carriage. This study assesses the impact of water, sanitation and handwashing (WASH) interventions in preventing seasonally driven increases in Giardia among rural Bangladeshi children. We hypothesize that WASH interventions will be more effective in reducing Giardia among children during the monsoon season. We conducted a secondary analysis of the WASH Benefits Bangladesh cluster-randomized trial (n=2,773 children). We restricted the analysis to index children who received any form of combined WASH (hereafter WSH) compared to those who did not (control and nutrition, hereafter no WSH). Using linear binomial model, we assessed the effect of WSH on Giardia by season (dry vs monsoon). Asymptomatic carriage of Giardia is common, making it challenging to determine the exact timing of infection. Thus, we also used the cumulative months that a child had been exposed to the monsoon from birth up to their measurement age to capture a child’s previous pathogen-specific infection history. We assessed the effect of WSH on Giardia along the cumulative number of monsoon months using a generalized additive model while accounting for child’s age. Although we found no evidence of effect modification by season, Giardia prevalence was higher during the dry season with lower prevalence among children in the WSH arm (28%, 95% confidence interval 24% to 33%) compared to no WSH (35%, 30% to 40%). The reduction in Giardia due to WSH was greater in the dry season (-7%, -11% to -3%) than the monsoon (-4%, -9% to 2%). We found that Giardia infection was consistently lower in the WSH arm compared to the no WSH across the range of monsoon exposure (10.4-17.0 months). The reduction in Giardia prevalence due to WSH was statistically significant for children with lesser exposure to monsoon between &gt;10 and 14 monsoon months. Our results show that WASH interventions reduced Giardia prevalence, with the largest reductions observed in the dry season which may inform the timing of interventions to align with periods of greatest impact.</w:t>
      </w:r>
    </w:p>
    <w:p w14:paraId="4A2585CE"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25-A-3256-ASTMH</w:t>
      </w:r>
    </w:p>
    <w:p w14:paraId="1C8B08DA"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1CDF64F2"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Malaria Age and Prevalence on Bioko Island: Patterns, Process, and Prediction</w:t>
      </w:r>
    </w:p>
    <w:p w14:paraId="413051E9"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malaria parasite rate is commonly used in malaria research and analytics as an indicator of transmission. Every year, the Bioko Island Malaria Elimination program conducts a malaria indicator survey (MIS) on Bioko Island drawing blood from 12-15,000 humans each year. Unlike other MIS, this survey draws blood from humans of all ages. We analyzed these data, fit mathematical models, and used the data to assess transmission. Over many decades, the malaria parasite rate is known to vary with age, and for populations exposed to malaria around home, the age-prevalence curve has tended to follow a standard shape: malaria prevalence rises with age from birth; peaks in older children, between the ages of 2 and 10 years old; and declines into adulthood to roughly a third of its value at the peak. Analysis of these data shows a distinct age-prevalence pattern for Bioko Island. Age prevalence curves for malaria differ for men and women starting around age 10. Malaria prevalence peaks later -- in women around age 12, and in men around age 15; such that the prevalence of malaria in men is approximately 50% higher at age 15. We sub-sample the data at different ages, and compare the prevalence observed to the values from age-standardization curves commonly used. The new patterns suggest that some changes in malaria epidemiology have been occurring and raise questions about the factors causing age-immune patterns previously: either treatment is more frequent late in childhood, or exposure is lower, or the typical immune response has changed. Estimates of the force of infection, from mathematical models of malaria exposure and infection, suggest that there are many aspects of malaria epidemiology we still do not understand. Malaria indicator surveys in other settings should sample a broader age range to see if similar patterns are occurring elsewhere. Finally, we predict the prevalence by age for the upcoming MIS.</w:t>
      </w:r>
    </w:p>
    <w:p w14:paraId="75C321B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25-A-3257-ASTMH</w:t>
      </w:r>
    </w:p>
    <w:p w14:paraId="59F28EE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49601632"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Persistence of IgG antibody responses in women immunised with PRIMVAC placental malaria vaccine candidate in Burkina Faso, 5 to 6 years post-vaccination.</w:t>
      </w:r>
    </w:p>
    <w:p w14:paraId="0640487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PRIMVAC is a VAR2CSA-derived placental malaria vaccine candidate aiming to prevent serious clinical outcomes of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 during pregnancy. The safety and immunogenicity of PRIMVAC adjuvanted with Alhydrogel or GLA-SE were previously assessed in a Phase 1b trial conducted among nulligravid women in Burkina Faso. The vaccine showed an acceptable safety profile and strong immunological responses at different timepoints. In the current study, we assessed the long-term immunogenicity of PRIMVAC, 5- and 6-years post-vaccination. Of the 50 women who participated in the primary trial, 43 women (35 of PRIMVAC arm and 8 of placebo arm) were enrolled in the follow-up study. Out of these 43 women, 21 (15 of PRIMVAC arm and 6 of placebo arm) had at least one pregnancy after the end of the CT. A further 20 nulligravid women and 20 primigravid women were included as controls. Anti-PRIMVAC IgG antibody titres during the 12-month follow-up study were evaluated. 80% (28 out of 35) of the subjects who received the PRIMVAC vaccine exhibited detectable IgG antibodies at months 0, 6 and 12, while none of the subjects in the placebo group did so. In the nulligravid and primigravid groups, no significant detectable antibodies were observed. In line with findings from the primary trial, the geometric mean of IgG titers was higher in the PRIMVAC/GLA-SE group [87.47, 95% CI (56.92 - 134.39)], than in the PRIMVAC/alhydrogel group [37.47, 95%CI (34.80 - 40.35)] at month 12. Our follow-up study shows that the placental malaria vaccine candidate PRIMVAC adjuvanted with Alhydrogel or GLA-SE was able to induce high level and long-lasting antibody responses in women naturally exposed to malaria infection. Further evaluation to assess functional humoral activity by flow cytometry and binding inhibition on CSA-binding infected erythrocytes is ongoing. There are no clear indications of a natural boosting phenomenon which might explain the sustained level of immune responses long time after vaccination. This warrants more explorations in future studies.</w:t>
      </w:r>
    </w:p>
    <w:p w14:paraId="6B27ED71"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25-A-3258-ASTMH</w:t>
      </w:r>
    </w:p>
    <w:p w14:paraId="75CCF272"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527DFCEB"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Mapping local effectiveness of mass drug administration for malaria in Senegal</w:t>
      </w:r>
    </w:p>
    <w:p w14:paraId="465CA6CD"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low-to-moderate malaria-endemic settings, mass drug administration (MDA) may rapidly reduce transmission. To eliminate malaria, the World Health Organization recommends subnational use of MDA based on local factors. A recent cluster-randomized trial in Senegal found that MDA reduced malaria incidence by 55% (95% CI 28-71%) in areas routinely administering seasonal malaria chemoprevention (SMC) to children 3-120 months; however, the effect was not sustained in the year post-intervention. We generalized trial effects to 99 non-trial Communes (the smallest administrative unit) where SMC is offered in Senegal using a double robust transportability model with elastic net regression, a machine learning algorithm. We conducted transportability analyses for each Commune where SMC was offered to generate an incidence rate ratio which estimated the impact of MDA in these areas, accounting for differences between trial and non-trial areas in temperature, precipitation, enhanced vegetation index (EVI), and population density. We used remote sensing data for each of these variables and calculated mean, minimum, maximum, and/or total values for each trial village and each Commune. The effect of MDA was stronger than in the original trial in 44 (44%) Communes, of which 23 had significant estimated incidence reductions of 55-68% for MDA vs. SMC. 55 communes had effect estimates smaller than the original trial, of which 3 had significant estimated incidence reductions of 53-54%. In the intervention year, Communes with larger, statistically significant reductions in incidence for MDA vs. SMC tended to have higher precipitation and EVI levels and lower mean temperatures; these communes were in higher malaria transmission areas. We found no statistically significant reductions in incidence in the year post-MDA. In summary, we found that MDA effectiveness varied substantially by local environmental factors, and effects were short-lived. Our findings can inform program decision-making of MDA for elimination and are broadly applicable to assessing generalizability of trial results for other environmentally-mediated infectious diseases.</w:t>
      </w:r>
    </w:p>
    <w:p w14:paraId="6B77E1B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25-A-3259-ASTMH</w:t>
      </w:r>
    </w:p>
    <w:p w14:paraId="711BCC4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Malaria - Diagnosis - Challenges and Innovations</w:t>
      </w:r>
    </w:p>
    <w:p w14:paraId="527897A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Hypoxic Brain Injury Findings on MRI in Children with Cerebral Malaria: Clinical Risk Factors, Outcomes, and Long-Term Sequelae</w:t>
      </w:r>
    </w:p>
    <w:p w14:paraId="775FF0F5"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Cerebral malaria (CM), the most severe clinical malaria syndrome is a life-threatening condition that disproportionally affects children in Africa, with high mortality and long-term neurological deficits in survivors. While brain swelling and subsequent atrophy have been identified as key pathological features on brain imaging, the role of brain hypoxia in driving these structural changes and contributing to disease severity and outcomes remain unclear. This study aims to determine if the presence of MRI findings indicative of hypoxic brain injury during CM predicts outcome. This retrospective study utilized existing MRI, clinical, and demographic data acquired from children admitted to Queen Elizabeth Central Hospital in Blantyre, Malawi between 2009-2015. MRI was performed on a 0.35T MRI within 12 hours of admission and repeated daily during admission while the child remained comatose. Follow up MRIs at 1, 6, and 12 months post-discharge were obtained in survivors. Hypoxic injury was quantified on diffusion weighted imaging (DWI) sequences through a previously validated severity scoring system assessing diffusion restriction across 14 brain regions, incorporating cortical, deep grey, and posterior fossa structures. Various clinical and laboratory parameters were included in the analysis. Follow up assessments were conducted at discharge, and up to one year after survival to identify neurologic sequelae. Preliminary results on 69 out of a total 270 MRI scans have been analyzed. In this preliminary data, mean hypoxia score is 1.16 (SD .63). The mean MRI hypoxia score was lowest among those who fully recovered (0.54), higher among who recovered with sequela (2.75) and highest among those who died (2.82). Higher hypoxia scores were associated with higher plasma lactate (r= .27, p= .025), deeper coma (r= -.41, p&lt; .001) and worse anemia (r= -.14 p= .002). MRI in pediatric CM demonstrates evidence of hypoxic brain injury. More severe hypoxia changes on imaging are associated with a more severe clinical disease course, and worse outcomes. Data on long term imaging and clinical outcomes will be forthcoming.</w:t>
      </w:r>
    </w:p>
    <w:p w14:paraId="36ABE5C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25-A-3260-ASTMH</w:t>
      </w:r>
    </w:p>
    <w:p w14:paraId="7B9B1061"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06D05A91"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Inappropriate antibiotic use and antimicrobial resistant of </w:t>
      </w:r>
      <w:r w:rsidRPr="00AF28B8">
        <w:rPr>
          <w:rFonts w:ascii="Calibri" w:hAnsi="Calibri" w:cs="Calibri"/>
          <w:i/>
          <w:iCs/>
          <w:color w:val="000000"/>
          <w:sz w:val="22"/>
          <w:szCs w:val="22"/>
        </w:rPr>
        <w:t>Shigella</w:t>
      </w:r>
      <w:r w:rsidRPr="00AF28B8">
        <w:rPr>
          <w:rFonts w:ascii="Calibri" w:hAnsi="Calibri" w:cs="Calibri"/>
          <w:color w:val="000000"/>
          <w:sz w:val="22"/>
          <w:szCs w:val="22"/>
        </w:rPr>
        <w:t> among children aged 6-35 months in The Gambia: Enterics for Global Health (EFGH) </w:t>
      </w:r>
      <w:r w:rsidRPr="00AF28B8">
        <w:rPr>
          <w:rFonts w:ascii="Calibri" w:hAnsi="Calibri" w:cs="Calibri"/>
          <w:i/>
          <w:iCs/>
          <w:color w:val="000000"/>
          <w:sz w:val="22"/>
          <w:szCs w:val="22"/>
        </w:rPr>
        <w:t>Shigella</w:t>
      </w:r>
      <w:r w:rsidRPr="00AF28B8">
        <w:rPr>
          <w:rFonts w:ascii="Calibri" w:hAnsi="Calibri" w:cs="Calibri"/>
          <w:color w:val="000000"/>
          <w:sz w:val="22"/>
          <w:szCs w:val="22"/>
        </w:rPr>
        <w:t> Surveillance Study</w:t>
      </w:r>
    </w:p>
    <w:p w14:paraId="022F33F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Shigella</w:t>
      </w:r>
      <w:r w:rsidRPr="00AF28B8">
        <w:rPr>
          <w:rFonts w:ascii="Calibri" w:hAnsi="Calibri" w:cs="Calibri"/>
          <w:color w:val="000000"/>
          <w:sz w:val="22"/>
          <w:szCs w:val="22"/>
        </w:rPr>
        <w:t> is a leading cause of bloody and watery diarrhea, responsible for 81,000 deaths/year in children &lt;5 year, and is 1.5 times more likely to be treated with an antibiotic compared to other diarrhea etiologies. We describe inappropriate antibiotic use and antimicrobial resistance (AMR) patterns in dysentery or </w:t>
      </w:r>
      <w:r w:rsidRPr="00AF28B8">
        <w:rPr>
          <w:rFonts w:ascii="Calibri" w:hAnsi="Calibri" w:cs="Calibri"/>
          <w:i/>
          <w:iCs/>
          <w:color w:val="000000"/>
          <w:sz w:val="22"/>
          <w:szCs w:val="22"/>
        </w:rPr>
        <w:t>Shigella</w:t>
      </w:r>
      <w:r w:rsidRPr="00AF28B8">
        <w:rPr>
          <w:rFonts w:ascii="Calibri" w:hAnsi="Calibri" w:cs="Calibri"/>
          <w:color w:val="000000"/>
          <w:sz w:val="22"/>
          <w:szCs w:val="22"/>
        </w:rPr>
        <w:t> isolates with medically attended diarrhea (MAD) cases enrolled in Enterics for Global Health (EFGH) study over 2 years (2022-2024) in Basse, The Gambia. We enrolled MAD cases aged 6-35 months at two health facilities and ascertained a complete medical history and prescription information including self-reported prior antibiotic use. Rectal swabs were collected at enrollment to isolate </w:t>
      </w:r>
      <w:r w:rsidRPr="00AF28B8">
        <w:rPr>
          <w:rFonts w:ascii="Calibri" w:hAnsi="Calibri" w:cs="Calibri"/>
          <w:i/>
          <w:iCs/>
          <w:color w:val="000000"/>
          <w:sz w:val="22"/>
          <w:szCs w:val="22"/>
        </w:rPr>
        <w:t>Shigella</w:t>
      </w:r>
      <w:r w:rsidRPr="00AF28B8">
        <w:rPr>
          <w:rFonts w:ascii="Calibri" w:hAnsi="Calibri" w:cs="Calibri"/>
          <w:color w:val="000000"/>
          <w:sz w:val="22"/>
          <w:szCs w:val="22"/>
        </w:rPr>
        <w:t> by culture and to determine antibiotic susceptibility. Antibiotics were considered inappropriate when the WHO indicated antibiotic (ciprofloxacin, azithromycin, ceftriaxone or pivmecillinam) was not used or prescribed for dysenteric diarrhea or diarrhea with </w:t>
      </w:r>
      <w:r w:rsidRPr="00AF28B8">
        <w:rPr>
          <w:rFonts w:ascii="Calibri" w:hAnsi="Calibri" w:cs="Calibri"/>
          <w:i/>
          <w:iCs/>
          <w:color w:val="000000"/>
          <w:sz w:val="22"/>
          <w:szCs w:val="22"/>
        </w:rPr>
        <w:t>Shigella</w:t>
      </w:r>
      <w:r w:rsidRPr="00AF28B8">
        <w:rPr>
          <w:rFonts w:ascii="Calibri" w:hAnsi="Calibri" w:cs="Calibri"/>
          <w:color w:val="000000"/>
          <w:sz w:val="22"/>
          <w:szCs w:val="22"/>
        </w:rPr>
        <w:t> isolation by culture. Of 1399 enrolled cases. </w:t>
      </w:r>
      <w:r w:rsidRPr="00AF28B8">
        <w:rPr>
          <w:rFonts w:ascii="Calibri" w:hAnsi="Calibri" w:cs="Calibri"/>
          <w:i/>
          <w:iCs/>
          <w:color w:val="000000"/>
          <w:sz w:val="22"/>
          <w:szCs w:val="22"/>
        </w:rPr>
        <w:t>Shigella </w:t>
      </w:r>
      <w:r w:rsidRPr="00AF28B8">
        <w:rPr>
          <w:rFonts w:ascii="Calibri" w:hAnsi="Calibri" w:cs="Calibri"/>
          <w:color w:val="000000"/>
          <w:sz w:val="22"/>
          <w:szCs w:val="22"/>
        </w:rPr>
        <w:t>spp.</w:t>
      </w:r>
      <w:r w:rsidRPr="00AF28B8">
        <w:rPr>
          <w:rFonts w:ascii="Calibri" w:hAnsi="Calibri" w:cs="Calibri"/>
          <w:i/>
          <w:iCs/>
          <w:color w:val="000000"/>
          <w:sz w:val="22"/>
          <w:szCs w:val="22"/>
        </w:rPr>
        <w:t> </w:t>
      </w:r>
      <w:r w:rsidRPr="00AF28B8">
        <w:rPr>
          <w:rFonts w:ascii="Calibri" w:hAnsi="Calibri" w:cs="Calibri"/>
          <w:color w:val="000000"/>
          <w:sz w:val="22"/>
          <w:szCs w:val="22"/>
        </w:rPr>
        <w:t>isolation by culture was 146 (10.4%) with predominant serotype was </w:t>
      </w:r>
      <w:r w:rsidRPr="00AF28B8">
        <w:rPr>
          <w:rFonts w:ascii="Calibri" w:hAnsi="Calibri" w:cs="Calibri"/>
          <w:i/>
          <w:iCs/>
          <w:color w:val="000000"/>
          <w:sz w:val="22"/>
          <w:szCs w:val="22"/>
        </w:rPr>
        <w:t>S. flexneri (66.4%) followed by S. sonnei (26.0%)</w:t>
      </w:r>
      <w:r w:rsidRPr="00AF28B8">
        <w:rPr>
          <w:rFonts w:ascii="Calibri" w:hAnsi="Calibri" w:cs="Calibri"/>
          <w:color w:val="000000"/>
          <w:sz w:val="22"/>
          <w:szCs w:val="22"/>
        </w:rPr>
        <w:t>. Of 634 MAD cases with no indication of antibiotics, 147 (23.2%) received unnecessary antibiotics. Of 328 shigellosis, 200 (61.0%) received an antibiotic, 179 (54.6%) received a WHO recommended antibiotic and 149 (45.4%) received inappropriate antibiotic. Of </w:t>
      </w:r>
      <w:r w:rsidRPr="00AF28B8">
        <w:rPr>
          <w:rFonts w:ascii="Calibri" w:hAnsi="Calibri" w:cs="Calibri"/>
          <w:i/>
          <w:iCs/>
          <w:color w:val="000000"/>
          <w:sz w:val="22"/>
          <w:szCs w:val="22"/>
        </w:rPr>
        <w:t>Shigella</w:t>
      </w:r>
      <w:r w:rsidRPr="00AF28B8">
        <w:rPr>
          <w:rFonts w:ascii="Calibri" w:hAnsi="Calibri" w:cs="Calibri"/>
          <w:color w:val="000000"/>
          <w:sz w:val="22"/>
          <w:szCs w:val="22"/>
        </w:rPr>
        <w:t> isolates, 97.3% were resistant to trimethoprim-sulphamethoxazole, 32.4% to ampicillin, 13.5% to nalidixic acid, 8.6% to pivmecillinam, 6.3% to azithromycin, 1.8% to ciprofloxacin, and 12.3% were multi-drug resistant. </w:t>
      </w:r>
      <w:r w:rsidRPr="00AF28B8">
        <w:rPr>
          <w:rFonts w:ascii="Calibri" w:hAnsi="Calibri" w:cs="Calibri"/>
          <w:i/>
          <w:iCs/>
          <w:color w:val="000000"/>
          <w:sz w:val="22"/>
          <w:szCs w:val="22"/>
        </w:rPr>
        <w:t>Shigella</w:t>
      </w:r>
      <w:r w:rsidRPr="00AF28B8">
        <w:rPr>
          <w:rFonts w:ascii="Calibri" w:hAnsi="Calibri" w:cs="Calibri"/>
          <w:color w:val="000000"/>
          <w:sz w:val="22"/>
          <w:szCs w:val="22"/>
        </w:rPr>
        <w:t xml:space="preserve"> spp. prevalence is high in The Gambia. Antibiotic use was common, with almost half (45.4%) of shigellosis cases were treated with inappropriate antibiotics. AMR to commonly used antibiotics is high and growing concerns of AMR of WHO recommended antibiotics. Improved point of care diagnostics facilities, increased awareness and implementation of preventive </w:t>
      </w:r>
      <w:r w:rsidRPr="00AF28B8">
        <w:rPr>
          <w:rFonts w:ascii="Calibri" w:hAnsi="Calibri" w:cs="Calibri"/>
          <w:color w:val="000000"/>
          <w:sz w:val="22"/>
          <w:szCs w:val="22"/>
        </w:rPr>
        <w:lastRenderedPageBreak/>
        <w:t>strategies, including </w:t>
      </w:r>
      <w:r w:rsidRPr="00AF28B8">
        <w:rPr>
          <w:rFonts w:ascii="Calibri" w:hAnsi="Calibri" w:cs="Calibri"/>
          <w:i/>
          <w:iCs/>
          <w:color w:val="000000"/>
          <w:sz w:val="22"/>
          <w:szCs w:val="22"/>
        </w:rPr>
        <w:t>Shigella</w:t>
      </w:r>
      <w:r w:rsidRPr="00AF28B8">
        <w:rPr>
          <w:rFonts w:ascii="Calibri" w:hAnsi="Calibri" w:cs="Calibri"/>
          <w:color w:val="000000"/>
          <w:sz w:val="22"/>
          <w:szCs w:val="22"/>
        </w:rPr>
        <w:t> vaccines, are essential to reduce </w:t>
      </w:r>
      <w:r w:rsidRPr="00AF28B8">
        <w:rPr>
          <w:rFonts w:ascii="Calibri" w:hAnsi="Calibri" w:cs="Calibri"/>
          <w:i/>
          <w:iCs/>
          <w:color w:val="000000"/>
          <w:sz w:val="22"/>
          <w:szCs w:val="22"/>
        </w:rPr>
        <w:t>Shigella</w:t>
      </w:r>
      <w:r w:rsidRPr="00AF28B8">
        <w:rPr>
          <w:rFonts w:ascii="Calibri" w:hAnsi="Calibri" w:cs="Calibri"/>
          <w:color w:val="000000"/>
          <w:sz w:val="22"/>
          <w:szCs w:val="22"/>
        </w:rPr>
        <w:t> spp. burden and AMR in The Gambia and elsewhere.</w:t>
      </w:r>
    </w:p>
    <w:p w14:paraId="67E827B2"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25-A-3261-ASTMH</w:t>
      </w:r>
    </w:p>
    <w:p w14:paraId="5047C9A2"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6D0F20E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Local knowledge, practices and perceptions on the transmission, treatment and prevention of loiasis in the Lambaréné region of Gabon: a cross-sectional mixed method study</w:t>
      </w:r>
    </w:p>
    <w:p w14:paraId="786DD13F"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Despite its significant morbidity and economic burden, limited data exist on local knowledge, attitudes, and practices regarding loiasis in endemic regions. This study assessed the knowledge, attitudes, and practices (KAP) related to loiasis in Lambarene, Gabon. </w:t>
      </w:r>
      <w:r w:rsidRPr="00AF28B8">
        <w:rPr>
          <w:rFonts w:ascii="Calibri" w:hAnsi="Calibri" w:cs="Calibri"/>
          <w:b/>
          <w:bCs/>
          <w:color w:val="000000"/>
          <w:sz w:val="22"/>
          <w:szCs w:val="22"/>
        </w:rPr>
        <w:t>Method</w:t>
      </w:r>
      <w:r w:rsidRPr="00AF28B8">
        <w:rPr>
          <w:rFonts w:ascii="Calibri" w:hAnsi="Calibri" w:cs="Calibri"/>
          <w:color w:val="000000"/>
          <w:sz w:val="22"/>
          <w:szCs w:val="22"/>
        </w:rPr>
        <w:t> A cross-sectional mixed-method study was performed between March and May 2023 among adults (18 years and older) living in the loiasis-endemic villages in Lambarene. Data collected using a structured community-based questionnaire were combined with semi-structured interviews to explore participants' KAP. The univariable and multivariable linear regression models were applied to identify the determinants of knowledge of loiasis. The proportion of each response provided for the attitudes and practice was reported. Interviews were analysed using an inductive content analysis to identify salient emerging themes. </w:t>
      </w:r>
      <w:r w:rsidRPr="00AF28B8">
        <w:rPr>
          <w:rFonts w:ascii="Calibri" w:hAnsi="Calibri" w:cs="Calibri"/>
          <w:b/>
          <w:bCs/>
          <w:color w:val="000000"/>
          <w:sz w:val="22"/>
          <w:szCs w:val="22"/>
        </w:rPr>
        <w:t>Result </w:t>
      </w:r>
      <w:r w:rsidRPr="00AF28B8">
        <w:rPr>
          <w:rFonts w:ascii="Calibri" w:hAnsi="Calibri" w:cs="Calibri"/>
          <w:color w:val="000000"/>
          <w:sz w:val="22"/>
          <w:szCs w:val="22"/>
        </w:rPr>
        <w:t>A total of 202 participants participated in the survey. Women accounted for 58% of the participants, aged 18 to 89 years (median = 46; IQR=28-59). Itching (61%), subcutaneous swellings (34%), and ocular migration of worms (18%) were the clinical manifestations of loiasis most known by participants. Knowledge of loiasis' cause and transmission was limited, with only 23% knowing it was due to a worm and 18% recognizing its transmission through fly bites. Men showed significantly better knowledge than women (adjusted β = 0.98; [95% CI 0.38-1.6]; p=0.002). Loiasis was recognised as a significant community health issue by 40% of interviewees, yet misconceptions persisted regarding its preventability and treatment. In-depth interviews highlighted the impact of loiasis on daily activities and emphasized the community's struggle, with many relying on traditional remedies alongside seeking medical treatment. </w:t>
      </w:r>
      <w:r w:rsidRPr="00AF28B8">
        <w:rPr>
          <w:rFonts w:ascii="Calibri" w:hAnsi="Calibri" w:cs="Calibri"/>
          <w:b/>
          <w:bCs/>
          <w:color w:val="000000"/>
          <w:sz w:val="22"/>
          <w:szCs w:val="22"/>
        </w:rPr>
        <w:t>Conclusion:</w:t>
      </w:r>
      <w:r w:rsidRPr="00AF28B8">
        <w:rPr>
          <w:rFonts w:ascii="Calibri" w:hAnsi="Calibri" w:cs="Calibri"/>
          <w:color w:val="000000"/>
          <w:sz w:val="22"/>
          <w:szCs w:val="22"/>
        </w:rPr>
        <w:t> There are some misconceptions and a lack of knowledge about loiasis cause and transmission in the affected communities. For improved control and appropriate health promotion, information should be provided regularly.</w:t>
      </w:r>
    </w:p>
    <w:p w14:paraId="280158F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25-A-3262-ASTMH</w:t>
      </w:r>
    </w:p>
    <w:p w14:paraId="56BFF2E5"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1CD6273E"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Delayed inclusion of HPV Vaccine in India’s Universal Immunization Program : Challenges and Prospects</w:t>
      </w:r>
    </w:p>
    <w:p w14:paraId="5EAC2626"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Cervical cancer is one of the few malignancies with a well-established viral origin, predominantly linked to high-risk Human Papillomavirus (HPV) types, especially 16 and 18. The virus is transmitted through skin-to-skin contact, typically via sexual activity, and infects basal epithelial cells through microabrasions. Persistent infection can lead to cervical intraepithelial neoplasia (CIN), with CIN 2 and 3 carrying a high risk of progression to invasive carcinoma. Prophylactic vaccines against HPV infection, such as Gardasil 9, significantly reduce disease burden. Regular screening through Pap smears and HPV DNA testing enables early detection and intervention. Globally, there are 348,709 reported deaths among 662,301 cervical cancer cases. India faces a disproportionately high burden, contributing to 79,906 (22%) of these deaths, accounting for over 22% of global deaths caused by cervical cancer. The nation’s high cervical cancer mortality rate is attributable to the low rate of cervical cancer screening and overall resistance to HPV vaccination. Further, there is a greater impact of cervical cancer on those of lower socioeconomic status due to limitations on sexual education and health care access. Additionally, there is a significant cultural stigma surrounding sexually transmitted infection (STI), which continues to hinder open dialogue and preventive care. This disease goes beyond the vaccine—a comprehensive cervical cancer prevention strategy must include accessible and promoted screening programs, culturally sensitive education, in addition to government-endorsed HPV vaccination. &lt;!--EndFragment--&gt;</w:t>
      </w:r>
    </w:p>
    <w:p w14:paraId="0D407B97"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25-A-3263-ASTMH</w:t>
      </w:r>
    </w:p>
    <w:p w14:paraId="7DD2060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D3E20E4"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Associations between weather and Plasmodium vivax malaria in Peru: an elimination setting experiencing climatic changes</w:t>
      </w:r>
    </w:p>
    <w:p w14:paraId="5380CFD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To guide malaria elimination efforts in the context of climate change, we estimated the association between temperature and precipitation and</w:t>
      </w:r>
      <w:r w:rsidRPr="00AF28B8">
        <w:rPr>
          <w:rFonts w:ascii="Calibri" w:hAnsi="Calibri" w:cs="Calibri"/>
          <w:i/>
          <w:iCs/>
          <w:color w:val="000000"/>
          <w:sz w:val="22"/>
          <w:szCs w:val="22"/>
        </w:rPr>
        <w:t> Pv </w:t>
      </w:r>
      <w:r w:rsidRPr="00AF28B8">
        <w:rPr>
          <w:rFonts w:ascii="Calibri" w:hAnsi="Calibri" w:cs="Calibri"/>
          <w:color w:val="000000"/>
          <w:sz w:val="22"/>
          <w:szCs w:val="22"/>
        </w:rPr>
        <w:t>malaria incidence in an elimination setting in Loreto Region, Peru. Most similar research has been done on </w:t>
      </w:r>
      <w:r w:rsidRPr="00AF28B8">
        <w:rPr>
          <w:rFonts w:ascii="Calibri" w:hAnsi="Calibri" w:cs="Calibri"/>
          <w:i/>
          <w:iCs/>
          <w:color w:val="000000"/>
          <w:sz w:val="22"/>
          <w:szCs w:val="22"/>
        </w:rPr>
        <w:t>Pf </w:t>
      </w:r>
      <w:r w:rsidRPr="00AF28B8">
        <w:rPr>
          <w:rFonts w:ascii="Calibri" w:hAnsi="Calibri" w:cs="Calibri"/>
          <w:color w:val="000000"/>
          <w:sz w:val="22"/>
          <w:szCs w:val="22"/>
        </w:rPr>
        <w:t>malaria, but </w:t>
      </w:r>
      <w:r w:rsidRPr="00AF28B8">
        <w:rPr>
          <w:rFonts w:ascii="Calibri" w:hAnsi="Calibri" w:cs="Calibri"/>
          <w:i/>
          <w:iCs/>
          <w:color w:val="000000"/>
          <w:sz w:val="22"/>
          <w:szCs w:val="22"/>
        </w:rPr>
        <w:t>Pv</w:t>
      </w:r>
      <w:r w:rsidRPr="00AF28B8">
        <w:rPr>
          <w:rFonts w:ascii="Calibri" w:hAnsi="Calibri" w:cs="Calibri"/>
          <w:color w:val="000000"/>
          <w:sz w:val="22"/>
          <w:szCs w:val="22"/>
        </w:rPr>
        <w:t> is predominant as settings approach elimination. This region alternates between hot, dry conditions and wet, cool conditions during the El Niño–Southern Oscillation. We analyzed incidence data from 2017-2024 from 136 communities and ERA6 hourly weather data. We excluded 2020-21 due to healthcare seeking changes during the COVID-19 pandemic. Predictors included weekly minimum and maximum temperature and total precipitation. We fit non-linear distributed lag models (DLNMs) with case counts as the dependent variable and an offset for log population size using 2–16 week lags. We estimated incidence ratios (IRs) comparing the 90th percentile of temperature to the median temperature and the 90th percentile of precipitation to no precipitation. We fit generalized additive models (GAMs) for the lag with the strongest association in the DLNM to characterize potential non-linear relationships with incidence. Temperature models adjusted for total precipitation; precipitation models adjusted for maximum temperature. All models used a Poisson family and log link and adjusted for community, Oceanic Niño Index (ONI), and year. The IR for minimum temperature was 1.10 (95% CI 1.08–1.11) at an 8-week lag, and associations were positive at 2–13 week lags. The IR for maximum temperature was 1.14 (95% CI 1.12–1.16) at a 9-week lag, and associations were positive at 4–13 week lags. The IR for total precipitation was 1.16 (95% CI 1.14–1.19) at an 11-week lag, and associations were positive at 5–16 week lags. Associations with temperature and precipitation were stronger during El Niño and La Niña years. In summary, higher minimum and maximum temperatures and total precipitation were modestly associated with elevated </w:t>
      </w:r>
      <w:r w:rsidRPr="00AF28B8">
        <w:rPr>
          <w:rFonts w:ascii="Calibri" w:hAnsi="Calibri" w:cs="Calibri"/>
          <w:i/>
          <w:iCs/>
          <w:color w:val="000000"/>
          <w:sz w:val="22"/>
          <w:szCs w:val="22"/>
        </w:rPr>
        <w:t>Pv </w:t>
      </w:r>
      <w:r w:rsidRPr="00AF28B8">
        <w:rPr>
          <w:rFonts w:ascii="Calibri" w:hAnsi="Calibri" w:cs="Calibri"/>
          <w:color w:val="000000"/>
          <w:sz w:val="22"/>
          <w:szCs w:val="22"/>
        </w:rPr>
        <w:t>malaria incidence. These findings could be used to more effectively target and tailor malaria interventions to achieve elimination under changing climatic conditions.</w:t>
      </w:r>
    </w:p>
    <w:p w14:paraId="0FB1BB61"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25-A-3264-ASTMH</w:t>
      </w:r>
    </w:p>
    <w:p w14:paraId="306E3708"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0F41E9A1"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Development and Implementation of a Research Nurse Training Curriculum at the Center for Human Development in Rural Southwest Guatemala</w:t>
      </w:r>
    </w:p>
    <w:p w14:paraId="6EAC700C"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Professional development opportunities in research rural areas, low- and middle-income countries (LMICs) are scarce, nurses begin their careers with limited knowledge, training in research methods and trial implementation. Center for Human Development has conducted research in rural southwest Guatemala 2014. To address the need for qualified personnel in human subjects’ research, we developed a formal research training curriculum for nurses, aimed to prepare them for field work and a career in theoretical, practical research. Following a needs assessment, the curriculum was designed using existing open-source certificate programs (i.e. Collaborative Institutional Training Initiative, Health and Human Services, included research ethics and Good Clinical Practice (GCP), via peer-to-peer internal presentations, reading assignments, practical sessions on protocol design, informed consent; sample collection, transport and storage; laboratory management; data quality, source documentation; REDcap Data and quality control. After four weeks of supervised fieldwork, nurses transitioned to independent work with decreased oversight. From June 2015 to May 2024 60 nurses completed training program, including 42 (70.5%) women, ages 19-37 years; they included 23 (38.3%) auxiliary nurses, 36 (60.3 %) nurse technicians from the nearby Departments, Huehuetenango (n=1), Retalhuleu (n=4), Quetzaltenango (n=39), San Marcos (n=16). A subset or nurses (n=3) subsequently obtained a bachelor’s degree, advanced to a master’s, they are ethics committee reviewers, faculties at a local university. Of the 60 trained nurses, 11 continue to work at site; 3 currently are study coordinators. In conclusion, we have successfully developed and implemented a research nurse training curriculum in rural Guatemala, increasing capacity and providing an opportunity for professional development, especially impacting </w:t>
      </w:r>
      <w:r w:rsidRPr="00AF28B8">
        <w:rPr>
          <w:rFonts w:ascii="Calibri" w:hAnsi="Calibri" w:cs="Calibri"/>
          <w:color w:val="000000"/>
          <w:sz w:val="22"/>
          <w:szCs w:val="22"/>
        </w:rPr>
        <w:lastRenderedPageBreak/>
        <w:t>young women. Professional development training associated with opportunities to participate in research studies, contributed to increase retention, capacity and implement complex research studies in this rural area of Guatemala.</w:t>
      </w:r>
    </w:p>
    <w:p w14:paraId="68535CC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25-A-3265-ASTMH</w:t>
      </w:r>
    </w:p>
    <w:p w14:paraId="611BA8E4"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Transmission Biology</w:t>
      </w:r>
    </w:p>
    <w:p w14:paraId="7D2B282A"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Rhesus macaques model human Mayaro virus disease and transmit to </w:t>
      </w:r>
      <w:r w:rsidRPr="00AF28B8">
        <w:rPr>
          <w:rFonts w:ascii="Calibri" w:hAnsi="Calibri" w:cs="Calibri"/>
          <w:b/>
          <w:bCs/>
          <w:i/>
          <w:iCs/>
          <w:color w:val="000000"/>
          <w:sz w:val="22"/>
          <w:szCs w:val="22"/>
        </w:rPr>
        <w:t>Aedes aegypti</w:t>
      </w:r>
      <w:r w:rsidRPr="00AF28B8">
        <w:rPr>
          <w:rFonts w:ascii="Calibri" w:hAnsi="Calibri" w:cs="Calibri"/>
          <w:b/>
          <w:bCs/>
          <w:color w:val="000000"/>
          <w:sz w:val="22"/>
          <w:szCs w:val="22"/>
        </w:rPr>
        <w:t> mosquitoes</w:t>
      </w:r>
    </w:p>
    <w:p w14:paraId="7BB0BE5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Mayaro virus (MAYV) is a mosquito-borne alphavirus endemic to Latin America that causes fever and arthritis. Unlike the related chikungunya virus, MAYV has not caused widespread, human-amplified epidemics. One possible explanation is that human viremia levels are too low to support transmission to urban </w:t>
      </w:r>
      <w:r w:rsidRPr="00AF28B8">
        <w:rPr>
          <w:rFonts w:ascii="Calibri" w:hAnsi="Calibri" w:cs="Calibri"/>
          <w:i/>
          <w:iCs/>
          <w:color w:val="000000"/>
          <w:sz w:val="22"/>
          <w:szCs w:val="22"/>
        </w:rPr>
        <w:t>Aedes (Stegomyia) aegypti</w:t>
      </w:r>
      <w:r w:rsidRPr="00AF28B8">
        <w:rPr>
          <w:rFonts w:ascii="Calibri" w:hAnsi="Calibri" w:cs="Calibri"/>
          <w:color w:val="000000"/>
          <w:sz w:val="22"/>
          <w:szCs w:val="22"/>
        </w:rPr>
        <w:t> mosquitoes. We used rhesus macaques (RM) to model human-to-</w:t>
      </w:r>
      <w:r w:rsidRPr="00AF28B8">
        <w:rPr>
          <w:rFonts w:ascii="Calibri" w:hAnsi="Calibri" w:cs="Calibri"/>
          <w:i/>
          <w:iCs/>
          <w:color w:val="000000"/>
          <w:sz w:val="22"/>
          <w:szCs w:val="22"/>
        </w:rPr>
        <w:t>Ae. aegypti</w:t>
      </w:r>
      <w:r w:rsidRPr="00AF28B8">
        <w:rPr>
          <w:rFonts w:ascii="Calibri" w:hAnsi="Calibri" w:cs="Calibri"/>
          <w:color w:val="000000"/>
          <w:sz w:val="22"/>
          <w:szCs w:val="22"/>
        </w:rPr>
        <w:t> transmission and to further expand understanding of their relevance to human MAYV disease. Twelve RM were inoculated with a genotype D lineage MAYV strain using one of 3 doses: 7 log</w:t>
      </w:r>
      <w:r w:rsidRPr="00AF28B8">
        <w:rPr>
          <w:rFonts w:ascii="Calibri" w:hAnsi="Calibri" w:cs="Calibri"/>
          <w:color w:val="000000"/>
          <w:sz w:val="22"/>
          <w:szCs w:val="22"/>
          <w:vertAlign w:val="subscript"/>
        </w:rPr>
        <w:t>10</w:t>
      </w:r>
      <w:r w:rsidRPr="00AF28B8">
        <w:rPr>
          <w:rFonts w:ascii="Calibri" w:hAnsi="Calibri" w:cs="Calibri"/>
          <w:color w:val="000000"/>
          <w:sz w:val="22"/>
          <w:szCs w:val="22"/>
        </w:rPr>
        <w:t> plaque forming units (PFU) intravenously (IV), 7 log</w:t>
      </w:r>
      <w:r w:rsidRPr="00AF28B8">
        <w:rPr>
          <w:rFonts w:ascii="Calibri" w:hAnsi="Calibri" w:cs="Calibri"/>
          <w:color w:val="000000"/>
          <w:sz w:val="22"/>
          <w:szCs w:val="22"/>
          <w:vertAlign w:val="subscript"/>
        </w:rPr>
        <w:t>10</w:t>
      </w:r>
      <w:r w:rsidRPr="00AF28B8">
        <w:rPr>
          <w:rFonts w:ascii="Calibri" w:hAnsi="Calibri" w:cs="Calibri"/>
          <w:color w:val="000000"/>
          <w:sz w:val="22"/>
          <w:szCs w:val="22"/>
        </w:rPr>
        <w:t> PFU subcutaneously (SC), or 3 log</w:t>
      </w:r>
      <w:r w:rsidRPr="00AF28B8">
        <w:rPr>
          <w:rFonts w:ascii="Calibri" w:hAnsi="Calibri" w:cs="Calibri"/>
          <w:color w:val="000000"/>
          <w:sz w:val="22"/>
          <w:szCs w:val="22"/>
          <w:vertAlign w:val="subscript"/>
        </w:rPr>
        <w:t>10</w:t>
      </w:r>
      <w:r w:rsidRPr="00AF28B8">
        <w:rPr>
          <w:rFonts w:ascii="Calibri" w:hAnsi="Calibri" w:cs="Calibri"/>
          <w:color w:val="000000"/>
          <w:sz w:val="22"/>
          <w:szCs w:val="22"/>
        </w:rPr>
        <w:t> PFU SC. Viremia was measured daily in plasma and RM were euthanized 10- or 12-days post-inoculation (dpi). On 2, 3, 5, and 7 dpi, </w:t>
      </w:r>
      <w:r w:rsidRPr="00AF28B8">
        <w:rPr>
          <w:rFonts w:ascii="Calibri" w:hAnsi="Calibri" w:cs="Calibri"/>
          <w:i/>
          <w:iCs/>
          <w:color w:val="000000"/>
          <w:sz w:val="22"/>
          <w:szCs w:val="22"/>
        </w:rPr>
        <w:t>Ae. aegypti</w:t>
      </w:r>
      <w:r w:rsidRPr="00AF28B8">
        <w:rPr>
          <w:rFonts w:ascii="Calibri" w:hAnsi="Calibri" w:cs="Calibri"/>
          <w:color w:val="000000"/>
          <w:sz w:val="22"/>
          <w:szCs w:val="22"/>
        </w:rPr>
        <w:t> were allowed to bloodfeed, incubated 10 days, then dissected and tested to detect MAYV in tissues and saliva. RM developed MAYV viremias lasting 3 days. RM inoculated with 7 log</w:t>
      </w:r>
      <w:r w:rsidRPr="00AF28B8">
        <w:rPr>
          <w:rFonts w:ascii="Calibri" w:hAnsi="Calibri" w:cs="Calibri"/>
          <w:color w:val="000000"/>
          <w:sz w:val="22"/>
          <w:szCs w:val="22"/>
          <w:vertAlign w:val="subscript"/>
        </w:rPr>
        <w:t>10</w:t>
      </w:r>
      <w:r w:rsidRPr="00AF28B8">
        <w:rPr>
          <w:rFonts w:ascii="Calibri" w:hAnsi="Calibri" w:cs="Calibri"/>
          <w:color w:val="000000"/>
          <w:sz w:val="22"/>
          <w:szCs w:val="22"/>
        </w:rPr>
        <w:t> PFU IV developed significantly higher viremias than those receiving 3 log</w:t>
      </w:r>
      <w:r w:rsidRPr="00AF28B8">
        <w:rPr>
          <w:rFonts w:ascii="Calibri" w:hAnsi="Calibri" w:cs="Calibri"/>
          <w:color w:val="000000"/>
          <w:sz w:val="22"/>
          <w:szCs w:val="22"/>
          <w:vertAlign w:val="subscript"/>
        </w:rPr>
        <w:t>10 </w:t>
      </w:r>
      <w:r w:rsidRPr="00AF28B8">
        <w:rPr>
          <w:rFonts w:ascii="Calibri" w:hAnsi="Calibri" w:cs="Calibri"/>
          <w:color w:val="000000"/>
          <w:sz w:val="22"/>
          <w:szCs w:val="22"/>
        </w:rPr>
        <w:t>PFU SC. MAYV RNA was detected in muscle, lymphoid, central nervous, and cardiac tissues. RM showed no signs of fever or joint swelling but some developed mild rashes in areas distant from mosquito feeding sites, and histologic inflammation was observed in joints and muscles. Only </w:t>
      </w:r>
      <w:r w:rsidRPr="00AF28B8">
        <w:rPr>
          <w:rFonts w:ascii="Calibri" w:hAnsi="Calibri" w:cs="Calibri"/>
          <w:i/>
          <w:iCs/>
          <w:color w:val="000000"/>
          <w:sz w:val="22"/>
          <w:szCs w:val="22"/>
        </w:rPr>
        <w:t>Ae. aegypti</w:t>
      </w:r>
      <w:r w:rsidRPr="00AF28B8">
        <w:rPr>
          <w:rFonts w:ascii="Calibri" w:hAnsi="Calibri" w:cs="Calibri"/>
          <w:color w:val="000000"/>
          <w:sz w:val="22"/>
          <w:szCs w:val="22"/>
        </w:rPr>
        <w:t> that fed on viremic RM 2 dpi became infected, with an overall infection rate of 48%. Among all mosquitoes that fed on RM 2 dpi, only 2% (4/217) had infectious MAYV in their saliva, suggesting transmission competence. Despite 11 of 12 RM transmitting MAYV to at least one mosquito, individual RM varied in infectiousness to </w:t>
      </w:r>
      <w:r w:rsidRPr="00AF28B8">
        <w:rPr>
          <w:rFonts w:ascii="Calibri" w:hAnsi="Calibri" w:cs="Calibri"/>
          <w:i/>
          <w:iCs/>
          <w:color w:val="000000"/>
          <w:sz w:val="22"/>
          <w:szCs w:val="22"/>
        </w:rPr>
        <w:t>Ae. aegypti</w:t>
      </w:r>
      <w:r w:rsidRPr="00AF28B8">
        <w:rPr>
          <w:rFonts w:ascii="Calibri" w:hAnsi="Calibri" w:cs="Calibri"/>
          <w:color w:val="000000"/>
          <w:sz w:val="22"/>
          <w:szCs w:val="22"/>
        </w:rPr>
        <w:t>, and mosquito cohort infection rates did not correlate with RM viremia titers. RM exhibit short MAYV viremias, broad tissue tropism, and mild joint and muscle inflammation, resembling human infection. While viremic RM can infect </w:t>
      </w:r>
      <w:r w:rsidRPr="00AF28B8">
        <w:rPr>
          <w:rFonts w:ascii="Calibri" w:hAnsi="Calibri" w:cs="Calibri"/>
          <w:i/>
          <w:iCs/>
          <w:color w:val="000000"/>
          <w:sz w:val="22"/>
          <w:szCs w:val="22"/>
        </w:rPr>
        <w:t>Ae. aegypti</w:t>
      </w:r>
      <w:r w:rsidRPr="00AF28B8">
        <w:rPr>
          <w:rFonts w:ascii="Calibri" w:hAnsi="Calibri" w:cs="Calibri"/>
          <w:color w:val="000000"/>
          <w:sz w:val="22"/>
          <w:szCs w:val="22"/>
        </w:rPr>
        <w:t>, the transmission window is narrow and transmission by </w:t>
      </w:r>
      <w:r w:rsidRPr="00AF28B8">
        <w:rPr>
          <w:rFonts w:ascii="Calibri" w:hAnsi="Calibri" w:cs="Calibri"/>
          <w:i/>
          <w:iCs/>
          <w:color w:val="000000"/>
          <w:sz w:val="22"/>
          <w:szCs w:val="22"/>
        </w:rPr>
        <w:t>Ae. aegypti</w:t>
      </w:r>
      <w:r w:rsidRPr="00AF28B8">
        <w:rPr>
          <w:rFonts w:ascii="Calibri" w:hAnsi="Calibri" w:cs="Calibri"/>
          <w:color w:val="000000"/>
          <w:sz w:val="22"/>
          <w:szCs w:val="22"/>
        </w:rPr>
        <w:t> is rare. The combination of a short infectious period in RM and low transmissibility of </w:t>
      </w:r>
      <w:r w:rsidRPr="00AF28B8">
        <w:rPr>
          <w:rFonts w:ascii="Calibri" w:hAnsi="Calibri" w:cs="Calibri"/>
          <w:i/>
          <w:iCs/>
          <w:color w:val="000000"/>
          <w:sz w:val="22"/>
          <w:szCs w:val="22"/>
        </w:rPr>
        <w:t>Ae. aegypti</w:t>
      </w:r>
      <w:r w:rsidRPr="00AF28B8">
        <w:rPr>
          <w:rFonts w:ascii="Calibri" w:hAnsi="Calibri" w:cs="Calibri"/>
          <w:color w:val="000000"/>
          <w:sz w:val="22"/>
          <w:szCs w:val="22"/>
        </w:rPr>
        <w:t> infected from RM may help explain the absence of widespread urban MAYV outbreaks.</w:t>
      </w:r>
    </w:p>
    <w:p w14:paraId="46828C15"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25-A-3266-ASTMH</w:t>
      </w:r>
    </w:p>
    <w:p w14:paraId="1944ED4E"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04507D7D"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Measuring The Outcome of the Mass Drugs Administration of Lymphatic Filariasis through Transmission Assessment Surveys One (TAS1) from 2012 - 2022</w:t>
      </w:r>
    </w:p>
    <w:p w14:paraId="1EEAE81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Ministry of Health of Liberia conducted mapping of Lymphatic Filariasis (LF) in fifteen Counties in 2010 to determine the burden of LF in the Country. The results of the survey show that the disease is endemic in 13 of the 15 counties. The first Mass Drugs Administration MDA, using a community distribution method was conducted in 2012 in all 13 endemic counties. The program treated in 2013 2015-2019 and 2021, inclusive in all endemic counties except for 3 counties in 2015 due to shortage of drugs and all counties in 2020 due to COVID-19 pandemic. Per WHO guidelines to monitor the progress and impact of MDA, Sentinel sites must be identified in each implementation unit for evaluation after 3 rounds of MDA. The program has conducted 3 Sentinel and Spot Check Sites Survey which successfully led to conduct TAS1 in 2022 and 2024. These Monitoring and Evaluation activities gave the program insight into the significant progress MDA has made in interrupting, reducing and eliminating LF in 9 implementation units. The objective is to show case progress of MDA in reducing and eliminating the disease through epidemiological monitoring and Evaluation. To demonstrate the strategies in determining the impact of the MDA in eliminating LF using Albendazole, and to show case prevalence of LF following the mapping and the progress toward elimination after several rounds of interventions. The TAS1 were conducted with a cross-sectional approach whereby people of ages 6 -7 years were sampled. Samples collected from participants were tested with Filarial Test Strips. Sample collection and testing </w:t>
      </w:r>
      <w:r w:rsidRPr="00AF28B8">
        <w:rPr>
          <w:rFonts w:ascii="Calibri" w:hAnsi="Calibri" w:cs="Calibri"/>
          <w:color w:val="000000"/>
          <w:sz w:val="22"/>
          <w:szCs w:val="22"/>
        </w:rPr>
        <w:lastRenderedPageBreak/>
        <w:t>were recommended by WHO TAS guidance. Because antigenemia in young children is a marker for relatively recent events of transmission while antigenemia in older individuals may be related to infections that occurred before MDA. The NTD program has conducted 2 different successful TAS1 in 2022 and 2024. This indicates that 9 implementation units successfully passed TAS1 and stopped MDA. The result of each of the implementation units has shown below 1% microfilarial. This demonstrates that the prevalence of Mf in these 9-implementation unit in Liberia has been interrupted in communities.</w:t>
      </w:r>
    </w:p>
    <w:p w14:paraId="34D5D53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25-A-3267-ASTMH</w:t>
      </w:r>
    </w:p>
    <w:p w14:paraId="0A60FD7E"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45E976D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Leveraging pre-existing Village Health Teams to implement an active community-based disease surveillance initiative for Ebola virus disease detection in eastern Uganda</w:t>
      </w:r>
    </w:p>
    <w:p w14:paraId="28809BBA"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On January 30</w:t>
      </w:r>
      <w:r w:rsidRPr="00AF28B8">
        <w:rPr>
          <w:rFonts w:ascii="Calibri" w:hAnsi="Calibri" w:cs="Calibri"/>
          <w:color w:val="000000"/>
          <w:sz w:val="22"/>
          <w:szCs w:val="22"/>
          <w:vertAlign w:val="superscript"/>
        </w:rPr>
        <w:t>th</w:t>
      </w:r>
      <w:r w:rsidRPr="00AF28B8">
        <w:rPr>
          <w:rFonts w:ascii="Calibri" w:hAnsi="Calibri" w:cs="Calibri"/>
          <w:color w:val="000000"/>
          <w:sz w:val="22"/>
          <w:szCs w:val="22"/>
        </w:rPr>
        <w:t> 2025, Uganda declared its 6th outbreak of Sudan Ebola virus (SUDV). In response to the outbreak, the Uganda Ministry of Health, in partnership with the World Health Organization (WHO) and other implementing partners, leveraged the existing community-based healthcare framework of Village Health Teams (VHTs) to implement an active surveillance program following the burial of the index case and identification of a subsequent positive case of SUDV in Mbale City. VHTs are comprised of community members trained to report priority diseases as guided by community case definitions, and unexplained community deaths to Ministry of Health authorities. The VHT led, community-driven surveillance program encompassed 17 sub-counties and town councils situated within a 10km radius of the burial site of the index case within Mbale City. The active community case search included door-to-door visits and informal interviews of community members by VHTs within their home communities. A total of 42,473 households were visited. Of these, 5,554 (13.1%) reported an illness of any etiology and 18 (0.04%) reported an illness that met the WHO community case definition for Ebola virus disease (EVD). All 18 suspected EVD cases were referred for SUDV testing, 1 (5.6%) of whom had a positive confirmatory test. There were 43 community deaths reported to VHTs within Mbale City and District, none of which were attributed to EVD. Of these, the number of deaths referred for formal post-mortem testing was 5. The community-based active case search approach in the Mbale region of Uganda, demonstrates significant promise in improving early detection and response to Ebola virus outbreaks. By leveraging the local knowledge and community trust of pre-existing community health workers, this model can be replicated in other high-risk regions and scenarios to enhance surveillance and response in future Ebola virus outbreaks. Continued investment in community engagement and refinement of the WHO community case definitions along with enhancement of mortality-based surveillance is critical for ensuring accurate and timely disease detection in resource-limited settings.</w:t>
      </w:r>
    </w:p>
    <w:p w14:paraId="68E2F9F2"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25-A-3268-ASTMH</w:t>
      </w:r>
    </w:p>
    <w:p w14:paraId="669BAEC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7D8CD76A"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Decolonizing HIV Stigma Reduction: A Community-Based, Culturally Grounded Intervention Among Young People in Northern Uganda</w:t>
      </w:r>
    </w:p>
    <w:p w14:paraId="1F30F685"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HIV-related stigma remains a barrier to prevention and care among young people, particularly in sub-Saharan Africa. In Uganda, stigma affects mental health, school participation, and social inclusion of youth. There are few school-based stigma reduction strategies that are culturally grounded or built through decolonizing, participatory approaches. This study addressed this gap by co-developing and evaluating a culturally embedded HIV stigma intervention that integrated traditional Luo knowledge with biomedical HIV education. Using a community-based participatory research (CBPR) framework, we used 50 formative qualitative interviews with Elders, teachers, youth and a process evaluation to adaptively co-design the intervention in 12 schools located in Northern Uganda. Drawing on Luo oral traditions, values, and storytelling, the curriculum was facilitated by Elders and teachers, with the support of local Research Assistants. Elders served as cultural experts, ensuring contextual relevance. Biomedical content was integrated to foster a dual-knowledge model, guided by principles of inclusion, </w:t>
      </w:r>
      <w:r w:rsidRPr="00AF28B8">
        <w:rPr>
          <w:rFonts w:ascii="Calibri" w:hAnsi="Calibri" w:cs="Calibri"/>
          <w:color w:val="000000"/>
          <w:sz w:val="22"/>
          <w:szCs w:val="22"/>
        </w:rPr>
        <w:lastRenderedPageBreak/>
        <w:t>decolonization, and local ownership. Implementation was successful and received strong engagement from all stakeholders. Curriculum delivery remained consistent, with youth reporting greater awareness of HIV stigma and increased cultural pride. Cultural resonance, participatory delivery, and community voice drove acceptability. School-community relationships were strengthened, showing the feasibility of culturally-grounded approaches in low-resource settings. A stepped-wedge cluster randomized trial was used for evaluation; analyses are underway. This study contributes to global efforts to decolonize health by centering Indigenous knowledge and youth participation. It offers an adaptable, evidence-informed model for addressing HIV stigma in other culturally diverse and underserved contexts. We recommend integrating similar participatory, culturally-responsive approaches into HIV curricula and global health strategies.</w:t>
      </w:r>
    </w:p>
    <w:p w14:paraId="346E0D4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25-A-3269-ASTMH</w:t>
      </w:r>
    </w:p>
    <w:p w14:paraId="7D004923"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0F02B69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Arbovirus and Malaria Co-exposure in the Kenyan Highlands</w:t>
      </w:r>
    </w:p>
    <w:p w14:paraId="7623372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virus (DENV), chikungunya virus (CHIKV), Rift Valley fever virus (RVFV), and malaria are primary causes of endemic febrile illnesses in Kenya; however, insufficient data exists on exposure to these pathogens or co-infections. This study examined bunya-, flavi-, and alpha virus seroprevalence and risk factors and relationship with malaria positivity and seropositivity during a malaria epidemic in the Kenyan highlands in 2017. Plasma samples were obtained from individuals (n=592) aged 2 to 93 years (median = 23) with febrile illness who attended the health centers at Kipsamoite and Kapsisiywa, in Nandi County, western Kenya. Plasma samples were tested for IgG antibodies against bunya-, flavi- and alphaviruses via indirect in-house ELISA. Malaria was detected by microscopic examination of Giemsa-stained blood smears. Overall, the prevalence of any arbovirus antibody among the study population was 10.3% (n=61) ([95% CI: 8.1%, 13%]). Alphavirus prevalence was most common: 8.6% ([95% CI:6.6%, 11.1%]), followed by bunyavirus 4.1% ([95% CI: 2.7%, 5.9%]) and flavivirus 2.7% ([95% CI:1.7%, 4.3%]). Malaria was detected in 21.3% (n=126) ([95% CI: 18%, 24.7%]) of the samples. Of those with malaria, 11.9% (n=15) had at least one arboviral exposure. Of those with arboviral exposure, 24.6 % (n=15) had malaria. Eleven samples (1.9%) showed exposure to alpha-, flavi- and bunyaviruses by ELISA, including two samples also with malaria (0.3%). Regression any arbovirus on malaria was not significant according to the univariable analysis (OR: 1.23 [95% CI:0.65, 2.24]). Age (children ≤ 16 years vs. adults), gender and site were not associated with arboviral exposure in binary logistic regression modeling; however, adults had decreased odds of malaria infection compared to children (OR: 0.43 [95% CI: 0.29, 0.64]). The study highlights exposure to arboviruses and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 an area of low malaria transmission and previously undetected arboviral transmission. These results underscore the need to accurately define the etiologies of febrile illness through future enhanced disease surveillance.</w:t>
      </w:r>
    </w:p>
    <w:p w14:paraId="40071EB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25-A-3270-ASTMH</w:t>
      </w:r>
    </w:p>
    <w:p w14:paraId="6C324CF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60C05F1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Elimination of Mekong Schistosomiasis through an integrated Eco-Health Approach: the Cambodia experience</w:t>
      </w:r>
    </w:p>
    <w:p w14:paraId="4F0C3BBC"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Mekong schistosomiasis, an Asian blood fluke, has been identified as endemic in Cambodia and Lao PDR since the early 1960’s, although the exact species, </w:t>
      </w:r>
      <w:r w:rsidRPr="00AF28B8">
        <w:rPr>
          <w:rFonts w:ascii="Calibri" w:hAnsi="Calibri" w:cs="Calibri"/>
          <w:i/>
          <w:iCs/>
          <w:color w:val="000000"/>
          <w:sz w:val="22"/>
          <w:szCs w:val="22"/>
        </w:rPr>
        <w:t>Schistosoma mekongi</w:t>
      </w:r>
      <w:r w:rsidRPr="00AF28B8">
        <w:rPr>
          <w:rFonts w:ascii="Calibri" w:hAnsi="Calibri" w:cs="Calibri"/>
          <w:color w:val="000000"/>
          <w:sz w:val="22"/>
          <w:szCs w:val="22"/>
        </w:rPr>
        <w:t>, was not identified until the late 1970’s. The parasite occurs along a limited stretch of the Mekong River, regulated by the focal distribution of the intermediate snail host </w:t>
      </w:r>
      <w:r w:rsidRPr="00AF28B8">
        <w:rPr>
          <w:rFonts w:ascii="Calibri" w:hAnsi="Calibri" w:cs="Calibri"/>
          <w:i/>
          <w:iCs/>
          <w:color w:val="000000"/>
          <w:sz w:val="22"/>
          <w:szCs w:val="22"/>
        </w:rPr>
        <w:t>Neotricula aperta</w:t>
      </w:r>
      <w:r w:rsidRPr="00AF28B8">
        <w:rPr>
          <w:rFonts w:ascii="Calibri" w:hAnsi="Calibri" w:cs="Calibri"/>
          <w:color w:val="000000"/>
          <w:sz w:val="22"/>
          <w:szCs w:val="22"/>
        </w:rPr>
        <w:t>. In Cambodia, schistosomiasis is transmitted in the provinces of Kratie and Stung Treng where approximately 100 000 individuals are estimated to be at risk of infection. Similar to </w:t>
      </w:r>
      <w:r w:rsidRPr="00AF28B8">
        <w:rPr>
          <w:rFonts w:ascii="Calibri" w:hAnsi="Calibri" w:cs="Calibri"/>
          <w:i/>
          <w:iCs/>
          <w:color w:val="000000"/>
          <w:sz w:val="22"/>
          <w:szCs w:val="22"/>
        </w:rPr>
        <w:t>S. japonicum,</w:t>
      </w:r>
      <w:r w:rsidRPr="00AF28B8">
        <w:rPr>
          <w:rFonts w:ascii="Calibri" w:hAnsi="Calibri" w:cs="Calibri"/>
          <w:color w:val="000000"/>
          <w:sz w:val="22"/>
          <w:szCs w:val="22"/>
        </w:rPr>
        <w:t xml:space="preserve"> infection results in severe hepatosplenic disease. The baseline endemicity level, before specific control measures were implemented, had been over 70% among the school-aged children population and 49% in the general population, including severe cases that resulted in death. Since the implementation of targeted control measures (annual mass drug administration ‘MDA’, health education, active case detection, sentinel site surveillance and improved </w:t>
      </w:r>
      <w:r w:rsidRPr="00AF28B8">
        <w:rPr>
          <w:rFonts w:ascii="Calibri" w:hAnsi="Calibri" w:cs="Calibri"/>
          <w:color w:val="000000"/>
          <w:sz w:val="22"/>
          <w:szCs w:val="22"/>
        </w:rPr>
        <w:lastRenderedPageBreak/>
        <w:t>sanitation) started in 1997 and with achievement of MDA coverage levels consistently over 80% every year, the prevalence of </w:t>
      </w:r>
      <w:r w:rsidRPr="00AF28B8">
        <w:rPr>
          <w:rFonts w:ascii="Calibri" w:hAnsi="Calibri" w:cs="Calibri"/>
          <w:i/>
          <w:iCs/>
          <w:color w:val="000000"/>
          <w:sz w:val="22"/>
          <w:szCs w:val="22"/>
        </w:rPr>
        <w:t>S. mekongi</w:t>
      </w:r>
      <w:r w:rsidRPr="00AF28B8">
        <w:rPr>
          <w:rFonts w:ascii="Calibri" w:hAnsi="Calibri" w:cs="Calibri"/>
          <w:color w:val="000000"/>
          <w:sz w:val="22"/>
          <w:szCs w:val="22"/>
        </w:rPr>
        <w:t> has progressively declined to less than 1% in the year 2019. From 2020 onwards, Cambodia shifted its focus from morbidity control to eliminating schistosomiasis, exemplified by the development and implementation of the National Strategic Plan for the Elimination of schistosomiasis mekongi in Cambodia. Here we will share the experiences, an overview of control and elimination efforts, and the strategic plan to accelerate the elimination of schistosomiasis in Cambodia by 2030, with a particular focus on universal access to health interventions (preventive chemotherapy with health education, access to safe drinking water and improved sanitation using the CL-SWASH approach (Community-Led to Eliminate Schistosomiasis integrated with improved water and sanitation), community empowerment (improving health literacy in community), and effective surveillance (monitoring of infections and clinical cases).</w:t>
      </w:r>
    </w:p>
    <w:p w14:paraId="235C815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25-A-3271-ASTMH</w:t>
      </w:r>
    </w:p>
    <w:p w14:paraId="2EDB1C4F"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26D9C88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Relationship of growth hormone with malaria-geohelminthiasis co-infection</w:t>
      </w:r>
    </w:p>
    <w:p w14:paraId="0BEEEE57"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w:t>
      </w:r>
      <w:r w:rsidRPr="00AF28B8">
        <w:rPr>
          <w:rFonts w:ascii="Calibri" w:hAnsi="Calibri" w:cs="Calibri"/>
          <w:i/>
          <w:iCs/>
          <w:color w:val="000000"/>
          <w:sz w:val="22"/>
          <w:szCs w:val="22"/>
        </w:rPr>
        <w:t> </w:t>
      </w:r>
      <w:r w:rsidRPr="00AF28B8">
        <w:rPr>
          <w:rFonts w:ascii="Calibri" w:hAnsi="Calibri" w:cs="Calibri"/>
          <w:color w:val="000000"/>
          <w:sz w:val="22"/>
          <w:szCs w:val="22"/>
        </w:rPr>
        <w:t>caused by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and soil-transmitted helminthiasis infections represent two of the most prevalent parasitic pathologies in tropical regions. Co-infection between these parasites can disrupt the physiological metabolism of the host and lead to hormonal imbalances. The effect of how malaria-geohelminthiasis co-infection influences and is influenced by hormones is poorly understood. The objective of this study was to evaluate the relationship between plasma growth hormone (GH) concentration and malaria-geohelminthiasis coinfection. A cross-sectional analytical study was conducted in the department of Córdoba, Colombia. A total of 45 individuals participated, divided into four groups: malaria (n=15), malaria-geohelminthiasis co-infection (n=15), geohelminthiasis (n=15) and controls (n=15).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and soil-transmitted helminthiasis infections were diagnosed by the thick drop method, stained with Giemsa and by the Kato-Katz technique, respectively. GH concentration was determined by an enzyme-linked immunoassay (ELISA). Hemoglobin was determined using a IV-generation automated blood count. Total protein and albumin were quantified by a Qubit®️. Significant differences were observed in GH concentration between the malaria (8.3±0.4 ng/mL), malaria-geohelminthiasis coinfection (11.4±0.51ng/mL) and healthy control (22±0.2 ng/mL) groups, with a p = 0.015. The low concentration of albumin in the malaria group (3.4±0.32 g/dL) compared to the control group (4.5±0.4 g/dL) is highlighted. It is suggested that low plasma concentrations of GH and albumin in individuals with malaria and with malaria-geohelminthiasis co-infection may be associated with malaria infection.</w:t>
      </w:r>
    </w:p>
    <w:p w14:paraId="683A266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25-A-3272-ASTMH</w:t>
      </w:r>
    </w:p>
    <w:p w14:paraId="19E0B429"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5C6C41D7"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Mechanism and therapeutic potential of purinergic receptor antagonism for treatment of cerebral malaria</w:t>
      </w:r>
    </w:p>
    <w:p w14:paraId="4026B0B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Cerebral malaria (CM) is a severe complication of </w:t>
      </w:r>
      <w:r w:rsidRPr="00AF28B8">
        <w:rPr>
          <w:rFonts w:ascii="Calibri" w:hAnsi="Calibri" w:cs="Calibri"/>
          <w:i/>
          <w:iCs/>
          <w:color w:val="000000"/>
          <w:sz w:val="22"/>
          <w:szCs w:val="22"/>
        </w:rPr>
        <w:t>Plasmodium falciparum </w:t>
      </w:r>
      <w:r w:rsidRPr="00AF28B8">
        <w:rPr>
          <w:rFonts w:ascii="Calibri" w:hAnsi="Calibri" w:cs="Calibri"/>
          <w:color w:val="000000"/>
          <w:sz w:val="22"/>
          <w:szCs w:val="22"/>
        </w:rPr>
        <w:t>infections. During CM, </w:t>
      </w:r>
      <w:r w:rsidRPr="00AF28B8">
        <w:rPr>
          <w:rFonts w:ascii="Calibri" w:hAnsi="Calibri" w:cs="Calibri"/>
          <w:i/>
          <w:iCs/>
          <w:color w:val="000000"/>
          <w:sz w:val="22"/>
          <w:szCs w:val="22"/>
        </w:rPr>
        <w:t>P. falciparum </w:t>
      </w:r>
      <w:r w:rsidRPr="00AF28B8">
        <w:rPr>
          <w:rFonts w:ascii="Calibri" w:hAnsi="Calibri" w:cs="Calibri"/>
          <w:color w:val="000000"/>
          <w:sz w:val="22"/>
          <w:szCs w:val="22"/>
        </w:rPr>
        <w:t>– infected red blood cells (iRBCs) bind to endothelial cells in the brain and disrupt cell-cell junctions, ultimately compromising the integrity of the blood brain barrier with potentially fatal consequences. None of the current anti-malarial treatments alleviate the endothelial damage that causes CM, highlighting an urgent need for new therapeutics to treat this fatal disease. Previous reports have shown that blockers of purinergic signaling protect the blood brain barrier against various insults. To investigate the therapeutic potential of these drugs for the treatment of CM, we used an </w:t>
      </w:r>
      <w:r w:rsidRPr="00AF28B8">
        <w:rPr>
          <w:rFonts w:ascii="Calibri" w:hAnsi="Calibri" w:cs="Calibri"/>
          <w:i/>
          <w:iCs/>
          <w:color w:val="000000"/>
          <w:sz w:val="22"/>
          <w:szCs w:val="22"/>
        </w:rPr>
        <w:t>in vitro</w:t>
      </w:r>
      <w:r w:rsidRPr="00AF28B8">
        <w:rPr>
          <w:rFonts w:ascii="Calibri" w:hAnsi="Calibri" w:cs="Calibri"/>
          <w:color w:val="000000"/>
          <w:sz w:val="22"/>
          <w:szCs w:val="22"/>
        </w:rPr>
        <w:t> assay where </w:t>
      </w:r>
      <w:r w:rsidRPr="00AF28B8">
        <w:rPr>
          <w:rFonts w:ascii="Calibri" w:hAnsi="Calibri" w:cs="Calibri"/>
          <w:i/>
          <w:iCs/>
          <w:color w:val="000000"/>
          <w:sz w:val="22"/>
          <w:szCs w:val="22"/>
        </w:rPr>
        <w:t>P.</w:t>
      </w:r>
      <w:r w:rsidRPr="00AF28B8">
        <w:rPr>
          <w:rFonts w:ascii="Calibri" w:hAnsi="Calibri" w:cs="Calibri"/>
          <w:color w:val="000000"/>
          <w:sz w:val="22"/>
          <w:szCs w:val="22"/>
        </w:rPr>
        <w:t> </w:t>
      </w:r>
      <w:r w:rsidRPr="00AF28B8">
        <w:rPr>
          <w:rFonts w:ascii="Calibri" w:hAnsi="Calibri" w:cs="Calibri"/>
          <w:i/>
          <w:iCs/>
          <w:color w:val="000000"/>
          <w:sz w:val="22"/>
          <w:szCs w:val="22"/>
        </w:rPr>
        <w:t>falciparum</w:t>
      </w:r>
      <w:r w:rsidRPr="00AF28B8">
        <w:rPr>
          <w:rFonts w:ascii="Calibri" w:hAnsi="Calibri" w:cs="Calibri"/>
          <w:color w:val="000000"/>
          <w:sz w:val="22"/>
          <w:szCs w:val="22"/>
        </w:rPr>
        <w:t xml:space="preserve"> iRBCs induce disruption of intercellular junctions of brain endothelial cells. We found that suramin, an anti-trypanosomal drug that is also a potent general purinergic receptor antagonist, can protect brain endothelial cells from iRBC-mediated disruption. We also screened receptor-specific purinergic blockers and found that antagonists of two purinergic receptors, P2Y12 and P2Y13, phenocopied the protective effect of suramin, suggesting that its therapeutic effect is </w:t>
      </w:r>
      <w:r w:rsidRPr="00AF28B8">
        <w:rPr>
          <w:rFonts w:ascii="Calibri" w:hAnsi="Calibri" w:cs="Calibri"/>
          <w:color w:val="000000"/>
          <w:sz w:val="22"/>
          <w:szCs w:val="22"/>
        </w:rPr>
        <w:lastRenderedPageBreak/>
        <w:t>mediated by blocking these receptors. However, ADP, the natural ligand of P2Y12 and P2Y13, is neither sufficient nor necessary for iRBC-mediated disruption of the endothelium, suggesting a non-canonical role for these receptors in endothelial barrier integrity. siRNA to knockdown P2Y12 and P2Y13 is already underway to confirm the specificity of the antagonists and validate the role of these receptors in CM-related endothelial barrier dynamics. We have also found that suramin protects endothelial cells independently of calcium and cAMP, the canonical second messengers involved in purinergic receptor signaling, further pointing to alternative pathways of endothelial barrier enhancement. We will also perform RNA-sequencing to identify the cell signaling pathways that are modulated by suramin and further clarify how it protects brain endothelial cells from iRBC-mediated disruption.</w:t>
      </w:r>
    </w:p>
    <w:p w14:paraId="2757487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25-A-3273-ASTMH</w:t>
      </w:r>
    </w:p>
    <w:p w14:paraId="5A848042"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28393B32"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Estimating the Direct Medical Costs of Boda Boda-Related Injuries in Uganda: A Patient-Centered Approach</w:t>
      </w:r>
    </w:p>
    <w:p w14:paraId="36A0B12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Uganda, boda bodas (motorcycle taxis) are a ubiquitous mode of transportation and a leading cause of road traffic injuries (RTIs), significantly contributing to the country's morbidity and mortality. Because approximately 95% of Ugandans are uninsured, accessing healthcare after an accident is financially and logistically difficult. Despite research on the broader socioeconomic burden of boda boda accidents, the individual financial costs remain underexplored. This study aims to fill gaps in existing literature by analyzing the healthcare related costs individuals face after experiencing a boda boda accident. The financial burden to individual patients is explored through a series of standardized case studies. These case studies, derived from common injury mechanisms identified in previous studies, are informed by 2024 cost data collected at Mulago National Referral Hospital in Kampala by a Makerere University medical student (KT). The costs incurred include laboratory testing, imaging, surgeries, hospital stays, and rehabilitation costs which are often opaque and difficult to estimate. Preliminary findings suggest that accident victims, especially passengers, experience substantial financial strain from prolonged hospitalization and high medical costs. Moreover, these victims spend an average of 1.5 months away from work, exacerbating the economic burden. For example, an average of 45-70 RTI victims are admitted daily to Mulago National Referral Hospital, with treatment costs averaging 13,660,000 UGX ( 3,717 USD) per patient. In 2024, the Uganda Bureau of Statistics estimated Uganda’s per capita GDP as 3,850,000 UGX (1046 USD), suggesting treatment costs may rise to four or more times the average Ugandan income. By conducting this investigation via an individualized approach, this research aims to highlight the real-world implications of medical expenses in a low-resource setting. The patient-centered approach allows for a deeper understanding of the profound financial hardships experienced by those affected by these common but devastating accidents.</w:t>
      </w:r>
    </w:p>
    <w:p w14:paraId="4DB7E8C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25-A-3274-ASTMH</w:t>
      </w:r>
    </w:p>
    <w:p w14:paraId="236AC19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1916B6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model-informed target product profile for population modification gene drives for malaria control</w:t>
      </w:r>
    </w:p>
    <w:p w14:paraId="52D285C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As reductions in malaria transmission in sub-Saharan Africa stagnate, gene drive-modified mosquitoes represent one of the most promising novel tools for continued disease control. In order to advance from the laboratory to the field, gene drives will be assessed against target product profiles, planning tools that list minimum criteria products should satisfy as they progress through the development pipeline. Here, we use an eco-epidemiological model to investigate parameter values for population modification gene drives that satisfy two previously-discussed target outcomes: a 50% reduction in clinical malaria incidence for a duration (window-of-protection) of at least three years, and a time-to-impact of less than one year. We consider two African settings, Burkina Faso and Kenya, where gene drive mosquitoes are currently being researched, and consider three transmission intensities at each. For the gene drive product, we explore rates of homing and resistance allele generation, fitness costs associated with gene drive and non-functional resistance alleles, and the efficacy of the effector gene(s) at reducing </w:t>
      </w:r>
      <w:r w:rsidRPr="00AF28B8">
        <w:rPr>
          <w:rFonts w:ascii="Calibri" w:hAnsi="Calibri" w:cs="Calibri"/>
          <w:color w:val="000000"/>
          <w:sz w:val="22"/>
          <w:szCs w:val="22"/>
        </w:rPr>
        <w:lastRenderedPageBreak/>
        <w:t>mosquito-to-human transmission. We find that when the window-of-protection criterion is satisfied, the time-to-impact criterion also is. Target outcomes are most influenced by the fitness cost associated with the gene drive allele and effector gene efficacy. Resistance allele parameters are also highly influential on target outcomes, and determine how long the gene drive allele persists in the population after most available wild-type alleles have been cleaved. Low rates of functional resistance allele generation are preferred, while costly non-functional resistance alleles will allow the drive allele to outcompete them. Homing rates already achieved for </w:t>
      </w:r>
      <w:r w:rsidRPr="00AF28B8">
        <w:rPr>
          <w:rFonts w:ascii="Calibri" w:hAnsi="Calibri" w:cs="Calibri"/>
          <w:i/>
          <w:iCs/>
          <w:color w:val="000000"/>
          <w:sz w:val="22"/>
          <w:szCs w:val="22"/>
        </w:rPr>
        <w:t>Anopheles</w:t>
      </w:r>
      <w:r w:rsidRPr="00AF28B8">
        <w:rPr>
          <w:rFonts w:ascii="Calibri" w:hAnsi="Calibri" w:cs="Calibri"/>
          <w:color w:val="000000"/>
          <w:sz w:val="22"/>
          <w:szCs w:val="22"/>
        </w:rPr>
        <w:t> gene drives do not need to be improved upon. A conundrum exists whereby the most important product parameters for predicting field efficacy are those that can only be reliably measured in the field, which presents a challenge for assessment of product readiness.</w:t>
      </w:r>
    </w:p>
    <w:p w14:paraId="71629C3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25-A-3276-ASTMH</w:t>
      </w:r>
    </w:p>
    <w:p w14:paraId="6F111A3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E28920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Evaluating The Impact of Seasonal Malaria Chemoprevention on Child Malaria Prevalence Evidence from District Health Surveys in Northern Region of Ghana</w:t>
      </w:r>
    </w:p>
    <w:p w14:paraId="7576870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significant public health burden in Ghana, particularly among children under five years of age. Seasonal Malaria Chemoprevention (SMC) has been introduced to reduce this burden in regions with highly seasonal malaria transmission. This study evaluatedthe impact of SMC on malaria prevalence in children under five in Ghana’s Northern Region between 2014 and 2022, using nationally representative household survey data. The study analyzed data from the 2014, 2016, 2019, and 2022 Ghana Demographic and Health Surveys (DHS/MIS). Multivariable logistic regression models were used to estimate crude and adjusted odds ratios (cORs and aORs) of malaria prevalence by SMC status, adjusting for child age, sex, household wealth, net use, rainfall, and survey month. Interaction effects between SMC and age group were also assessed. Malaria prevalence significantly declined from a percentage of 30.1 in 2014 to 14.2 in 2022 by microscopy. SMC exposure was associated with significantly lower odds of malaria infection, particularly during the intervention period (aOR = 0.166; p = 0.013) and up to three months after. Children aged 6-11 months benefited the most from SMC, with predicted malaria probabilities dropping from 0.28 (no SMC) to 0.05 (during SMC).Conclusion: SMC substantially reduces malaria risk in under-five children and maintains protective effects up to three months post-treatment. Findings support extending SMC coverage and duration to align with local transmission patterns.</w:t>
      </w:r>
    </w:p>
    <w:p w14:paraId="5F27272E"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25-A-3278-ASTMH</w:t>
      </w:r>
    </w:p>
    <w:p w14:paraId="7C16F17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173B4A3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Beyond blood smears: Defining the optimal </w:t>
      </w:r>
      <w:r w:rsidRPr="00AF28B8">
        <w:rPr>
          <w:rFonts w:ascii="Calibri" w:hAnsi="Calibri" w:cs="Calibri"/>
          <w:i/>
          <w:iCs/>
          <w:color w:val="000000"/>
          <w:sz w:val="22"/>
          <w:szCs w:val="22"/>
        </w:rPr>
        <w:t>Plasmodium </w:t>
      </w:r>
      <w:r w:rsidRPr="00AF28B8">
        <w:rPr>
          <w:rFonts w:ascii="Calibri" w:hAnsi="Calibri" w:cs="Calibri"/>
          <w:color w:val="000000"/>
          <w:sz w:val="22"/>
          <w:szCs w:val="22"/>
        </w:rPr>
        <w:t>18S rRNA-based treatment threshold for controlled human malaria infection trials in non-endemic areas</w:t>
      </w:r>
    </w:p>
    <w:p w14:paraId="5899DDFD"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2014, based on retrospective analyses and in collaboration with the FDA, the Seattle Malaria Clinical Trials Center switched from thick blood smears (TBS) to more sensitive and specific </w:t>
      </w:r>
      <w:r w:rsidRPr="00AF28B8">
        <w:rPr>
          <w:rFonts w:ascii="Calibri" w:hAnsi="Calibri" w:cs="Calibri"/>
          <w:i/>
          <w:iCs/>
          <w:color w:val="000000"/>
          <w:sz w:val="22"/>
          <w:szCs w:val="22"/>
        </w:rPr>
        <w:t>Plasmodium </w:t>
      </w:r>
      <w:r w:rsidRPr="00AF28B8">
        <w:rPr>
          <w:rFonts w:ascii="Calibri" w:hAnsi="Calibri" w:cs="Calibri"/>
          <w:color w:val="000000"/>
          <w:sz w:val="22"/>
          <w:szCs w:val="22"/>
        </w:rPr>
        <w:t>18S rRNA quantitative reverse transcription PCR (qRT-PCR) as the primary tool for monitoring participants in controlled human malaria infection (CHMI) studies. Since then, our understanding of what happens in the first few days of blood-stage infection has evolved, as have the qRT-PCR-based criteria for initiating rescue treatment. Here, we examine the effects of this evolution and suggest criteria that ensure participant safety, reduce adverse events (AEs), and maintain scientific rigor. We analyzed qRT-PCR data from 163 participants across seven trials conducted from 2010-2022. Two trials used TBS as the primary infection endpoint and five used qRT-PCR. Among qRT-PCR-primary studies, the criteria for initiating rescue treatment ranged from two positive tests, one with an estimated density of at least 250 parasites per mL of blood, to a single positive test of at least 20 parasites per mL. We found that peak parasite densities were much lower in the qRT-PCR-primary studies (median: 3.2 log</w:t>
      </w:r>
      <w:r w:rsidRPr="00AF28B8">
        <w:rPr>
          <w:rFonts w:ascii="Calibri" w:hAnsi="Calibri" w:cs="Calibri"/>
          <w:color w:val="000000"/>
          <w:sz w:val="22"/>
          <w:szCs w:val="22"/>
          <w:vertAlign w:val="subscript"/>
        </w:rPr>
        <w:t>10</w:t>
      </w:r>
      <w:r w:rsidRPr="00AF28B8">
        <w:rPr>
          <w:rFonts w:ascii="Calibri" w:hAnsi="Calibri" w:cs="Calibri"/>
          <w:color w:val="000000"/>
          <w:sz w:val="22"/>
          <w:szCs w:val="22"/>
        </w:rPr>
        <w:t> p/mL, IQR: 2.7, 3.7) than the TBS-primary studies (median: 4.6 log</w:t>
      </w:r>
      <w:r w:rsidRPr="00AF28B8">
        <w:rPr>
          <w:rFonts w:ascii="Calibri" w:hAnsi="Calibri" w:cs="Calibri"/>
          <w:color w:val="000000"/>
          <w:sz w:val="22"/>
          <w:szCs w:val="22"/>
          <w:vertAlign w:val="subscript"/>
        </w:rPr>
        <w:t>10</w:t>
      </w:r>
      <w:r w:rsidRPr="00AF28B8">
        <w:rPr>
          <w:rFonts w:ascii="Calibri" w:hAnsi="Calibri" w:cs="Calibri"/>
          <w:color w:val="000000"/>
          <w:sz w:val="22"/>
          <w:szCs w:val="22"/>
        </w:rPr>
        <w:t xml:space="preserve"> p/mL, IQR: 4.3, 4.9) overall, and significantly lower in each individual qRT-PCR-primary study except one that required two positive tests, one of at least 250 p/mL. </w:t>
      </w:r>
      <w:r w:rsidRPr="00AF28B8">
        <w:rPr>
          <w:rFonts w:ascii="Calibri" w:hAnsi="Calibri" w:cs="Calibri"/>
          <w:color w:val="000000"/>
          <w:sz w:val="22"/>
          <w:szCs w:val="22"/>
        </w:rPr>
        <w:lastRenderedPageBreak/>
        <w:t>We also found no significant difference in peak parasite densities between a study that treated after a single positive test of at least 20 p/mL and one that required either two positive tests or one positive test of at least 250 p/mL. Malaria-related grade 3 AEs were reported in both of the TBS-primary studies and in a qRT-PCR-primary study that required two positive tests, one of at least 250 p/mL. No grade 3 AEs were reported in studies with lower treatment thresholds, including one that required either two positive tests or one positive test of at least 250 p/mL. Based on our experience and analysis, we recommend that rescue treatment be administered to a participant after two positive qRT-PCR tests or one positive of at least 250 p/mL.</w:t>
      </w:r>
    </w:p>
    <w:p w14:paraId="21E628D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25-A-3279-ASTMH</w:t>
      </w:r>
    </w:p>
    <w:p w14:paraId="15B9E2ED"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17436CA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Confirm with the best: The case for using </w:t>
      </w:r>
      <w:r w:rsidRPr="00AF28B8">
        <w:rPr>
          <w:rFonts w:ascii="Calibri" w:hAnsi="Calibri" w:cs="Calibri"/>
          <w:i/>
          <w:iCs/>
          <w:color w:val="000000"/>
          <w:sz w:val="22"/>
          <w:szCs w:val="22"/>
        </w:rPr>
        <w:t>Plasmodium </w:t>
      </w:r>
      <w:r w:rsidRPr="00AF28B8">
        <w:rPr>
          <w:rFonts w:ascii="Calibri" w:hAnsi="Calibri" w:cs="Calibri"/>
          <w:color w:val="000000"/>
          <w:sz w:val="22"/>
          <w:szCs w:val="22"/>
        </w:rPr>
        <w:t>18S rRNA biomarker assay for primary efficacy calculations in clinical trials in malaria endemic areas</w:t>
      </w:r>
    </w:p>
    <w:p w14:paraId="10AAF76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Efforts to develop prophylactic antimalarial products aim to prevent blood-stage infection to reduce malaria in endemic regions. Detection of </w:t>
      </w:r>
      <w:r w:rsidRPr="00AF28B8">
        <w:rPr>
          <w:rFonts w:ascii="Calibri" w:hAnsi="Calibri" w:cs="Calibri"/>
          <w:i/>
          <w:iCs/>
          <w:color w:val="000000"/>
          <w:sz w:val="22"/>
          <w:szCs w:val="22"/>
        </w:rPr>
        <w:t>Plasmodium</w:t>
      </w:r>
      <w:r w:rsidRPr="00AF28B8">
        <w:rPr>
          <w:rFonts w:ascii="Calibri" w:hAnsi="Calibri" w:cs="Calibri"/>
          <w:color w:val="000000"/>
          <w:sz w:val="22"/>
          <w:szCs w:val="22"/>
        </w:rPr>
        <w:t> parasites is crucial for measuring efficacy. Highly sensitive </w:t>
      </w:r>
      <w:r w:rsidRPr="00AF28B8">
        <w:rPr>
          <w:rFonts w:ascii="Calibri" w:hAnsi="Calibri" w:cs="Calibri"/>
          <w:i/>
          <w:iCs/>
          <w:color w:val="000000"/>
          <w:sz w:val="22"/>
          <w:szCs w:val="22"/>
        </w:rPr>
        <w:t>P. falciparum</w:t>
      </w:r>
      <w:r w:rsidRPr="00AF28B8">
        <w:rPr>
          <w:rFonts w:ascii="Calibri" w:hAnsi="Calibri" w:cs="Calibri"/>
          <w:color w:val="000000"/>
          <w:sz w:val="22"/>
          <w:szCs w:val="22"/>
        </w:rPr>
        <w:t> (</w:t>
      </w:r>
      <w:r w:rsidRPr="00AF28B8">
        <w:rPr>
          <w:rFonts w:ascii="Calibri" w:hAnsi="Calibri" w:cs="Calibri"/>
          <w:i/>
          <w:iCs/>
          <w:color w:val="000000"/>
          <w:sz w:val="22"/>
          <w:szCs w:val="22"/>
        </w:rPr>
        <w:t>Pf</w:t>
      </w:r>
      <w:r w:rsidRPr="00AF28B8">
        <w:rPr>
          <w:rFonts w:ascii="Calibri" w:hAnsi="Calibri" w:cs="Calibri"/>
          <w:color w:val="000000"/>
          <w:sz w:val="22"/>
          <w:szCs w:val="22"/>
        </w:rPr>
        <w:t>) 18S rRNA quantitative reverse transcription PCR (qRT-PCR) is a powerful tool since it can detect and quantify low-density infections from dried blood spots (DBS). We used qRT-PCR to analyze DBS from participants in three clinical trials in endemic areas. Paired thick blood smear (TBS) results were also evaluated. Clinical sensitivity and specificity of qRT-PCR were calculated for all trials against the TBS comparator. Time-to-event efficacy analysis was conducted for two trials based on TBS and qRT-PCR. Both trials administered antimalarial drugs to all participants at the start, so efficacy was calculated twice: once with all enrolled individuals (per protocol) and once with only those who were qRT-PCR-negative prior to the efficacy window. There were 7761 paired qRT-PCR and TBS results across all studies. The qRT-PCR and TBS results agreed for 6576 (85%). Among results that did not agree, there was a large number of TBS-negative/qRT-PCR-positive results (sensitivity 96.2%; specificity 80.1%), which is expected given the analytical sensitivity of the molecular test. Efficacy estimates based on qRT-PCR were not significantly different than those based on TBS, but infections were detected with qRT-PCR that were missed with TBS in both treatment and control groups. Additionally, we identified 29/389 participants positive for parasites at the start of the efficacy window. Excluding these individuals from efficacy analyses lowered the efficacy estimate for the vaccine trial, but did not change the efficacy for the monoclonal antibody trial. The use of the highly sensitive </w:t>
      </w:r>
      <w:r w:rsidRPr="00AF28B8">
        <w:rPr>
          <w:rFonts w:ascii="Calibri" w:hAnsi="Calibri" w:cs="Calibri"/>
          <w:i/>
          <w:iCs/>
          <w:color w:val="000000"/>
          <w:sz w:val="22"/>
          <w:szCs w:val="22"/>
        </w:rPr>
        <w:t>Pf </w:t>
      </w:r>
      <w:r w:rsidRPr="00AF28B8">
        <w:rPr>
          <w:rFonts w:ascii="Calibri" w:hAnsi="Calibri" w:cs="Calibri"/>
          <w:color w:val="000000"/>
          <w:sz w:val="22"/>
          <w:szCs w:val="22"/>
        </w:rPr>
        <w:t>18S rRNA qRT-PCR for monitoring infections in clinical trials provides more sensitive and consistent detection than TBS, which enhances accuracy and reliability of efficacy estimates for antimalarial interventions, ultimately contributing to better-informed decisions in malaria prevention strategies.</w:t>
      </w:r>
    </w:p>
    <w:p w14:paraId="09E172D3"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25-A-3281-ASTMH</w:t>
      </w:r>
    </w:p>
    <w:p w14:paraId="28FEC4A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50CBC0EB"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Socioeconomic and Demographic Disparities in the Occurrence and Outcomes of Dengue, Zika and Chikungunya in Latin America: A Systematic Review and Meta-Analysis</w:t>
      </w:r>
    </w:p>
    <w:p w14:paraId="33B4C75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(DENV), Zika (ZIKV) and chikungunya (CHIKV) are mosquito-borne diseases that pose significant and growing public health threats in Latin America, yet the impact of social determinants remains underexplored. We conducted a systematic literature review and meta-analysis on socioeconomic and demographic disparities in the occurrence and outcomes of DENV, ZIKV and CHIKV in Latin America. We searched Medline, Embase, LILACS and grey literature (January 2014-June 2024) for general population studies with pre-defined search terms and inclusion/exclusion criteria. Crude estimates were pooled using random-effects meta-analysis to calculate risk ratios (RR), with subgroup analysis by disease and I² statistics to assess heterogeneity. We screened 1,748 records (160 full texts) and included 54 studies involving 84,567 participants from 9 countries, assessing occurrence (n=35) and outcomes (n=21) of DENV (n=31), ZIKV (n=21) and CHIKV (n=20). Pooled crude estimates showed higher infection risks associated with low education [RR 1.12, 95% confidence interval (95% CI) 1.01-1.24; I²=78%], </w:t>
      </w:r>
      <w:r w:rsidRPr="00AF28B8">
        <w:rPr>
          <w:rFonts w:ascii="Calibri" w:hAnsi="Calibri" w:cs="Calibri"/>
          <w:color w:val="000000"/>
          <w:sz w:val="22"/>
          <w:szCs w:val="22"/>
        </w:rPr>
        <w:lastRenderedPageBreak/>
        <w:t>unemployment (RR 1.21, 95% CI 1.03-1.43; I²=45%), low income (RR 1.21, 95% CI 1.09-1.34; I²=18%), low socioeconomic status (RR 1.05, 95% CI 1.02-1.07; I²=8%) and lack of general water distribution (RR 1.24, 95% CI 1.10-1.39; I²=0%). Race and marital status were not significantly associated with infection risk in main analysis. In subgroup analysis, black or brown race were associated with higher risk of CHIKV (RR 1.30, 95% CI 1.13-1.50; I²=0%) and multiple infections (RR 1.14, 95% CI 1.09-1.18; I²=0%). We identified significant socioeconomic and demographic disparities in DENV, ZIKV and CHIKV risk in Latin America. Despite some heterogeneity across studies and indications of publication bias, our analysis provides a comprehensive assessment of current evidence to inform equitable public health policies. Efforts should focus on improving access to preventive services, providing tailored disease education, and ensuring effective vector control. Further research should clarify pathways linking social determinants to disease risk and outcomes.</w:t>
      </w:r>
    </w:p>
    <w:p w14:paraId="394F675C"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25-A-3282-ASTMH</w:t>
      </w:r>
    </w:p>
    <w:p w14:paraId="363D14B5"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605026E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COVID-19 pandemic in parasite populations from the Western Brazilian Amazon</w:t>
      </w:r>
    </w:p>
    <w:p w14:paraId="7DF0C91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Antimalarial resistance is one of the main challenges for malaria eradication and molecular surveillance is essential to avoid the spread of resistant parasites. In this study, we investigated the ex vivo susceptibility of clinical isolates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and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from the Western Brazilian Amazon (Porto Velho, Rondônia) to different antimalarials. We also characterized clinical isolates allowing the correlation of genetic profiles and IC₅₀ phenotypic data. Samples were collected between 2019 and 2023 were analyzed and subjected to ex vivo assays to determine their response to artemisinin, chloroquine, pyronaridine, pyrimethamine, mefloquine, lumefantrine, ferroquine, piperaquine, and amodiaquine. Genetic analysis included amplification and Sanger sequencing of the </w:t>
      </w:r>
      <w:r w:rsidRPr="00AF28B8">
        <w:rPr>
          <w:rFonts w:ascii="Calibri" w:hAnsi="Calibri" w:cs="Calibri"/>
          <w:i/>
          <w:iCs/>
          <w:color w:val="000000"/>
          <w:sz w:val="22"/>
          <w:szCs w:val="22"/>
        </w:rPr>
        <w:t>pfmdr1</w:t>
      </w:r>
      <w:r w:rsidRPr="00AF28B8">
        <w:rPr>
          <w:rFonts w:ascii="Calibri" w:hAnsi="Calibri" w:cs="Calibri"/>
          <w:color w:val="000000"/>
          <w:sz w:val="22"/>
          <w:szCs w:val="22"/>
        </w:rPr>
        <w:t>, </w:t>
      </w:r>
      <w:r w:rsidRPr="00AF28B8">
        <w:rPr>
          <w:rFonts w:ascii="Calibri" w:hAnsi="Calibri" w:cs="Calibri"/>
          <w:i/>
          <w:iCs/>
          <w:color w:val="000000"/>
          <w:sz w:val="22"/>
          <w:szCs w:val="22"/>
        </w:rPr>
        <w:t>pfcrt</w:t>
      </w:r>
      <w:r w:rsidRPr="00AF28B8">
        <w:rPr>
          <w:rFonts w:ascii="Calibri" w:hAnsi="Calibri" w:cs="Calibri"/>
          <w:color w:val="000000"/>
          <w:sz w:val="22"/>
          <w:szCs w:val="22"/>
        </w:rPr>
        <w:t>, </w:t>
      </w:r>
      <w:r w:rsidRPr="00AF28B8">
        <w:rPr>
          <w:rFonts w:ascii="Calibri" w:hAnsi="Calibri" w:cs="Calibri"/>
          <w:i/>
          <w:iCs/>
          <w:color w:val="000000"/>
          <w:sz w:val="22"/>
          <w:szCs w:val="22"/>
        </w:rPr>
        <w:t>pfkelch13</w:t>
      </w:r>
      <w:r w:rsidRPr="00AF28B8">
        <w:rPr>
          <w:rFonts w:ascii="Calibri" w:hAnsi="Calibri" w:cs="Calibri"/>
          <w:color w:val="000000"/>
          <w:sz w:val="22"/>
          <w:szCs w:val="22"/>
        </w:rPr>
        <w:t>, and </w:t>
      </w:r>
      <w:r w:rsidRPr="00AF28B8">
        <w:rPr>
          <w:rFonts w:ascii="Calibri" w:hAnsi="Calibri" w:cs="Calibri"/>
          <w:i/>
          <w:iCs/>
          <w:color w:val="000000"/>
          <w:sz w:val="22"/>
          <w:szCs w:val="22"/>
        </w:rPr>
        <w:t>pfdhfr-ts</w:t>
      </w:r>
      <w:r w:rsidRPr="00AF28B8">
        <w:rPr>
          <w:rFonts w:ascii="Calibri" w:hAnsi="Calibri" w:cs="Calibri"/>
          <w:color w:val="000000"/>
          <w:sz w:val="22"/>
          <w:szCs w:val="22"/>
        </w:rPr>
        <w:t> genes in </w:t>
      </w:r>
      <w:r w:rsidRPr="00AF28B8">
        <w:rPr>
          <w:rFonts w:ascii="Calibri" w:hAnsi="Calibri" w:cs="Calibri"/>
          <w:i/>
          <w:iCs/>
          <w:color w:val="000000"/>
          <w:sz w:val="22"/>
          <w:szCs w:val="22"/>
        </w:rPr>
        <w:t>P. falciparum</w:t>
      </w:r>
      <w:r w:rsidRPr="00AF28B8">
        <w:rPr>
          <w:rFonts w:ascii="Calibri" w:hAnsi="Calibri" w:cs="Calibri"/>
          <w:color w:val="000000"/>
          <w:sz w:val="22"/>
          <w:szCs w:val="22"/>
        </w:rPr>
        <w:t> isolates and </w:t>
      </w:r>
      <w:r w:rsidRPr="00AF28B8">
        <w:rPr>
          <w:rFonts w:ascii="Calibri" w:hAnsi="Calibri" w:cs="Calibri"/>
          <w:i/>
          <w:iCs/>
          <w:color w:val="000000"/>
          <w:sz w:val="22"/>
          <w:szCs w:val="22"/>
        </w:rPr>
        <w:t>pvmdr1</w:t>
      </w:r>
      <w:r w:rsidRPr="00AF28B8">
        <w:rPr>
          <w:rFonts w:ascii="Calibri" w:hAnsi="Calibri" w:cs="Calibri"/>
          <w:color w:val="000000"/>
          <w:sz w:val="22"/>
          <w:szCs w:val="22"/>
        </w:rPr>
        <w:t> and </w:t>
      </w:r>
      <w:r w:rsidRPr="00AF28B8">
        <w:rPr>
          <w:rFonts w:ascii="Calibri" w:hAnsi="Calibri" w:cs="Calibri"/>
          <w:i/>
          <w:iCs/>
          <w:color w:val="000000"/>
          <w:sz w:val="22"/>
          <w:szCs w:val="22"/>
        </w:rPr>
        <w:t>pvcrt-o</w:t>
      </w:r>
      <w:r w:rsidRPr="00AF28B8">
        <w:rPr>
          <w:rFonts w:ascii="Calibri" w:hAnsi="Calibri" w:cs="Calibri"/>
          <w:color w:val="000000"/>
          <w:sz w:val="22"/>
          <w:szCs w:val="22"/>
        </w:rPr>
        <w:t> in </w:t>
      </w:r>
      <w:r w:rsidRPr="00AF28B8">
        <w:rPr>
          <w:rFonts w:ascii="Calibri" w:hAnsi="Calibri" w:cs="Calibri"/>
          <w:i/>
          <w:iCs/>
          <w:color w:val="000000"/>
          <w:sz w:val="22"/>
          <w:szCs w:val="22"/>
        </w:rPr>
        <w:t>P. vivax</w:t>
      </w:r>
      <w:r w:rsidRPr="00AF28B8">
        <w:rPr>
          <w:rFonts w:ascii="Calibri" w:hAnsi="Calibri" w:cs="Calibri"/>
          <w:color w:val="000000"/>
          <w:sz w:val="22"/>
          <w:szCs w:val="22"/>
        </w:rPr>
        <w:t> isolates. Ex vivo assays indicated that most isolates are sensitive to current antimalarials, except for pyrimethamine. A high variation in chloroquine susceptibility was observed in both </w:t>
      </w:r>
      <w:r w:rsidRPr="00AF28B8">
        <w:rPr>
          <w:rFonts w:ascii="Calibri" w:hAnsi="Calibri" w:cs="Calibri"/>
          <w:i/>
          <w:iCs/>
          <w:color w:val="000000"/>
          <w:sz w:val="22"/>
          <w:szCs w:val="22"/>
        </w:rPr>
        <w:t>P. falciparum</w:t>
      </w:r>
      <w:r w:rsidRPr="00AF28B8">
        <w:rPr>
          <w:rFonts w:ascii="Calibri" w:hAnsi="Calibri" w:cs="Calibri"/>
          <w:color w:val="000000"/>
          <w:sz w:val="22"/>
          <w:szCs w:val="22"/>
        </w:rPr>
        <w:t> and </w:t>
      </w:r>
      <w:r w:rsidRPr="00AF28B8">
        <w:rPr>
          <w:rFonts w:ascii="Calibri" w:hAnsi="Calibri" w:cs="Calibri"/>
          <w:i/>
          <w:iCs/>
          <w:color w:val="000000"/>
          <w:sz w:val="22"/>
          <w:szCs w:val="22"/>
        </w:rPr>
        <w:t>P. vivax</w:t>
      </w:r>
      <w:r w:rsidRPr="00AF28B8">
        <w:rPr>
          <w:rFonts w:ascii="Calibri" w:hAnsi="Calibri" w:cs="Calibri"/>
          <w:color w:val="000000"/>
          <w:sz w:val="22"/>
          <w:szCs w:val="22"/>
        </w:rPr>
        <w:t> isolates over the analyzed period, which included part of the COVID-19 pandemic, when hydroxychloroquine was broadly used as COVID treatment. Sequence analysis identified mutations previously associated with antimalarial resistance in the Amazon region, with its frequency changing over the period of study. The percentage of isolates with </w:t>
      </w:r>
      <w:r w:rsidRPr="00AF28B8">
        <w:rPr>
          <w:rFonts w:ascii="Calibri" w:hAnsi="Calibri" w:cs="Calibri"/>
          <w:i/>
          <w:iCs/>
          <w:color w:val="000000"/>
          <w:sz w:val="22"/>
          <w:szCs w:val="22"/>
        </w:rPr>
        <w:t>pfcrt </w:t>
      </w:r>
      <w:r w:rsidRPr="00AF28B8">
        <w:rPr>
          <w:rFonts w:ascii="Calibri" w:hAnsi="Calibri" w:cs="Calibri"/>
          <w:color w:val="000000"/>
          <w:sz w:val="22"/>
          <w:szCs w:val="22"/>
        </w:rPr>
        <w:t>mutations increased over the study period, indicating selection of resistant parasites. Furthermore, no mutations associated with artemisinin resistance were detected. Isolates of </w:t>
      </w:r>
      <w:r w:rsidRPr="00AF28B8">
        <w:rPr>
          <w:rFonts w:ascii="Calibri" w:hAnsi="Calibri" w:cs="Calibri"/>
          <w:i/>
          <w:iCs/>
          <w:color w:val="000000"/>
          <w:sz w:val="22"/>
          <w:szCs w:val="22"/>
        </w:rPr>
        <w:t>P. vivax</w:t>
      </w:r>
      <w:r w:rsidRPr="00AF28B8">
        <w:rPr>
          <w:rFonts w:ascii="Calibri" w:hAnsi="Calibri" w:cs="Calibri"/>
          <w:color w:val="000000"/>
          <w:sz w:val="22"/>
          <w:szCs w:val="22"/>
        </w:rPr>
        <w:t> with distinct chloroquine susceptibility presented a mutant </w:t>
      </w:r>
      <w:r w:rsidRPr="00AF28B8">
        <w:rPr>
          <w:rFonts w:ascii="Calibri" w:hAnsi="Calibri" w:cs="Calibri"/>
          <w:i/>
          <w:iCs/>
          <w:color w:val="000000"/>
          <w:sz w:val="22"/>
          <w:szCs w:val="22"/>
        </w:rPr>
        <w:t>pvmdr1 </w:t>
      </w:r>
      <w:r w:rsidRPr="00AF28B8">
        <w:rPr>
          <w:rFonts w:ascii="Calibri" w:hAnsi="Calibri" w:cs="Calibri"/>
          <w:color w:val="000000"/>
          <w:sz w:val="22"/>
          <w:szCs w:val="22"/>
        </w:rPr>
        <w:t>profile. Nucleotide insertion in the </w:t>
      </w:r>
      <w:r w:rsidRPr="00AF28B8">
        <w:rPr>
          <w:rFonts w:ascii="Calibri" w:hAnsi="Calibri" w:cs="Calibri"/>
          <w:i/>
          <w:iCs/>
          <w:color w:val="000000"/>
          <w:sz w:val="22"/>
          <w:szCs w:val="22"/>
        </w:rPr>
        <w:t>pvcrt </w:t>
      </w:r>
      <w:r w:rsidRPr="00AF28B8">
        <w:rPr>
          <w:rFonts w:ascii="Calibri" w:hAnsi="Calibri" w:cs="Calibri"/>
          <w:color w:val="000000"/>
          <w:sz w:val="22"/>
          <w:szCs w:val="22"/>
        </w:rPr>
        <w:t>promoter sequences were also detected in parasites with lower chloroquine susceptibility. Our findings reinforce the need for continuous monitoring of antimalarial resistance in the Amazon, highlighting the importance of ex vivo testing and the identification of genetic markers as complementary tools in malaria molecular and epidemiological surveillance.</w:t>
      </w:r>
    </w:p>
    <w:p w14:paraId="195ECC5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25-A-3283-ASTMH</w:t>
      </w:r>
    </w:p>
    <w:p w14:paraId="64D2424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714596B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Evaluation of Self-reported Lymphedema and Hydrocele from an Integrated Nationwide Remapping Survey for Lymphatic Filariasis, Dominican Republic, 2024</w:t>
      </w:r>
    </w:p>
    <w:p w14:paraId="15B43DDB"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Dominican Republic has met the epidemiological criteria for eliminating lymphatic filariasis (LF) as a public health problem from its 3 historically endemic foci and plans to submit its dossier to the World Health Organization (WHO) for validation in 2025. The second component of the Global Program to Eliminate Lymphatic Filariasis is to alleviate suffering associated with LF through targeted Morbidity Management and Disability Prevention (MMDP) programs. During 2022-2024, potential cases of LF were identified during a nationwide integrated LF remapping survey. Among 16,127 adults, 177 self-reported morbidity: 169 (1%) lymphedema and 20 (0.3%) of 6,275 adult males hydrocele (inclusive of 12 who reported both). During November-December 2024, teams comprised of members from the national </w:t>
      </w:r>
      <w:r w:rsidRPr="00AF28B8">
        <w:rPr>
          <w:rFonts w:ascii="Calibri" w:hAnsi="Calibri" w:cs="Calibri"/>
          <w:color w:val="000000"/>
          <w:sz w:val="22"/>
          <w:szCs w:val="22"/>
        </w:rPr>
        <w:lastRenderedPageBreak/>
        <w:t>Program to Eliminate Lymphatic Filariasis (PEFL) and trained local clinicians visited these individuals to evaluate whether the self-reported morbidities were clinically compatible with lymphedema and hydrocele due to LF. Among these 177 individuals, 113 (63.8%) were located and consented to be examined. Twenty (18.7%) presented findings compatible with lymphedema due to LF, and 3 (33.3%) already received hydrocele-correcting surgery. Teams were referred to 15 additional suspected cases of lymphedema who were also examined. In total, 35 persons (ages 33-97 years, 77% female) were confirmed to be living with lymphedema due to LF in 13 provinces, 12 (34.3%) of whom reported having never received specialized care. Twenty-eight (80%) reported experiencing acute attacks (median annual frequency = 4). The distribution of severity according to WHO stages of lymphedema was: I (14.3%), II (17.1%), III (11.4%), IV (2.9%), V (14.3%), VI (8.6%), VII (20%), unreported (11.4%). The nationwide survey and clinical examination of individuals with self-reported lymphedema and/or hydrocele provides evidence of persons living with chronic LF morbidities outside the historically endemic foci in the country. PEFL has factored these results into MMDP program plans to train health professionals to make available the Essential Package of Care in these areas.</w:t>
      </w:r>
    </w:p>
    <w:p w14:paraId="3EB5BDC5"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25-A-3284-ASTMH</w:t>
      </w:r>
    </w:p>
    <w:p w14:paraId="5D3E05C8"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2F70B3FB"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Leveraging malaria campaign data to inform population estimates on Bioko Island</w:t>
      </w:r>
    </w:p>
    <w:p w14:paraId="11B5745C"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Precise household counts and accurate population estimates are crucial for determining denominators and optimizing health intervention delivery. Accurate census data and growth rates used to generate annual population projections are often unavailable in low-resource settings. High quality health census and intervention data provide a unique opportunity to adjust population estimates. The Bioko Island Malaria Elimination Program (BIMEP) has leveraged a georeferenced household database that is continuously updated during field activities and that represents the backbone of the Campaign Information Management System (CIMS), a spatial decision support system for health interventions on Bioko. During island-wide, door-to-door long-lasting insecticidal nets distribution campaigns conducted in 2015 and 2018, the BIMEP effectively produced health census data by visiting 87% and 94% of the island’s households, respectively. Malaria indicator surveys and indoor residual spraying campaigns, which are both conducted every year, continuously provide updated data on household populations. We triangulated the health census data from 2015 and 2018, and the updated household population data from the annual campaigns to characterize baseline populations and growth rates and compared them with projections based on UN growth rates. When applied to the observed 2015 baseline population, the latter overestimated the population in 2018 by 26%, while our triangulation overestimated the same population by only 4%. Overestimations were more notable in rural areas, where UN growth rates overestimated the population by 50% and our triangulation by 8%. Our findings show that applying UN growth rates can yield significantly overinflated results, particularly at lower administrative levels and in rural areas. We show the effect can compound annually and also mask population migration dynamics. We critically demonstrate the utility of using routinely collected health information data to adjust population estimates and provide more accurate denominators for health intervention planning and deployment.</w:t>
      </w:r>
    </w:p>
    <w:p w14:paraId="793DAE8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25-A-3285-ASTMH</w:t>
      </w:r>
    </w:p>
    <w:p w14:paraId="4E5D91B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76AAF78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Oral ivermectin is safe in children weighing 5 to less than 15 kg - a multicenter trial</w:t>
      </w:r>
    </w:p>
    <w:p w14:paraId="17E81500"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Ivermectin is a widely used anthelminthic drug for the control of neglected tropical diseases. Approximately 400 million treatments are provided annually by mass drug administration (MDA) for onchocerciasis and lymphatic filariasis. MDAs for scabies have been performed in Ethiopia and the South Pacific. However, children weighing less than 15 kg are excluded from ivermectin MDA due to a lack of safety information. A multicenter trial was conducted in The Gambia, Kenya, and Brazil to evaluate the safety, pharmacokinetics, and efficacy of ivermectin in scabies-infected children weighing 5 to less than </w:t>
      </w:r>
      <w:r w:rsidRPr="00AF28B8">
        <w:rPr>
          <w:rFonts w:ascii="Calibri" w:hAnsi="Calibri" w:cs="Calibri"/>
          <w:color w:val="000000"/>
          <w:sz w:val="22"/>
          <w:szCs w:val="22"/>
        </w:rPr>
        <w:lastRenderedPageBreak/>
        <w:t>15 kg. Participants were randomly assigned to treatments of ivermectin at 200, 400, or 800 µg/kg co-administered with placebo cream or controls consisting of permethrin cream with placebo tablets. Participants were treated on day 0 and 7. This was a double-blind study with participants, parents, drug administrators, and assessors blinded to treatments provided. Across the three sites, a total of 240 participants were enrolled in the trial, and 21 were withdrawn or lost to follow up. Self-withdrawals were attributed to inability to comply with the study schedule or blood collection, and not due to safety concerns. Venous blood samples were collected on days 0, 3, 7, 10, 14 for biochemistry, pharmacokinetic and hematology measurements. One participant had a severe adverse event with transient liver enzyme increase, possibly related to study treatment, and was also co-administered cloxacillin for a septic abscess on their right foot. The participant was observed up to 32 days wherein all liver enzymes returned to normal baseline, and no abnormal liver disease was noted. All other adverse events possibly related to treatments were mild and self-limiting and in agreement with that observed in persons greater than 15 kg. Scabies lesion quantification occurred on days 0, 7, 14. As expected, both ivermectin and permethrin treatments were efficacious in this weight class. The Ivermectin Safety in Small Children trial provides further evidence that ivermectin in children weighing less than 15 kg is as safe and efficacious as in persons weighing more than 15 kg.</w:t>
      </w:r>
    </w:p>
    <w:p w14:paraId="3D7A51C7"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25-A-3286-ASTMH</w:t>
      </w:r>
    </w:p>
    <w:p w14:paraId="18A022A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525E0E9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Link between stagnant water during periods of high rainfall and the transmission of human leptospirosis cases in Monteria, Colombia.</w:t>
      </w:r>
    </w:p>
    <w:p w14:paraId="7D62EAA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Human leptospirosis is a zoonosis with a high incidence in both tropical and subtropical regions, with social and environmental characteristics that include poverty, lack of drinking water and sanitation, high rainfall, and flooding. The objective was to establish the link between stagnant waters during periods of high precipitation and the transmission of cases of human leptospirosis in Monteria, Colombia. A descriptive, prospective, cross-sectional study with non-probability sampling was conducted. Samples were taken at ten points where rainfall-induced waters converge in peri-household areas. These samples were selected from the risk survey, where travel through flooded areas was established to travel to homes, work, and school. Water samples were cultured in EMJH medium. Isolates were confirmed for Leptospira spp. by PCR and characterized using MLST for six loci: adK, icdA, lipL32, lipL41, rrS2, and secY. Leptospira spp. were isolated from four sites; two of the isolates corresponded to pathogenic species, L.</w:t>
      </w:r>
      <w:r w:rsidRPr="00AF28B8">
        <w:rPr>
          <w:rFonts w:ascii="Calibri" w:hAnsi="Calibri" w:cs="Calibri"/>
          <w:i/>
          <w:iCs/>
          <w:color w:val="000000"/>
          <w:sz w:val="22"/>
          <w:szCs w:val="22"/>
        </w:rPr>
        <w:t> interrogans</w:t>
      </w:r>
      <w:r w:rsidRPr="00AF28B8">
        <w:rPr>
          <w:rFonts w:ascii="Calibri" w:hAnsi="Calibri" w:cs="Calibri"/>
          <w:color w:val="000000"/>
          <w:sz w:val="22"/>
          <w:szCs w:val="22"/>
        </w:rPr>
        <w:t> serogroup Pomona serovar Pomona and L. </w:t>
      </w:r>
      <w:r w:rsidRPr="00AF28B8">
        <w:rPr>
          <w:rFonts w:ascii="Calibri" w:hAnsi="Calibri" w:cs="Calibri"/>
          <w:i/>
          <w:iCs/>
          <w:color w:val="000000"/>
          <w:sz w:val="22"/>
          <w:szCs w:val="22"/>
        </w:rPr>
        <w:t>interrogans</w:t>
      </w:r>
      <w:r w:rsidRPr="00AF28B8">
        <w:rPr>
          <w:rFonts w:ascii="Calibri" w:hAnsi="Calibri" w:cs="Calibri"/>
          <w:color w:val="000000"/>
          <w:sz w:val="22"/>
          <w:szCs w:val="22"/>
        </w:rPr>
        <w:t> serogroup Grippotyphosa serovar Grippotyphosa. In one of the sampling sites, the associated patient was a 41-year-old male who presented with fever, myalgia, and headache; confirmed by seroconversion to the Sejroe serogroup titer of 1:3200 using the MAT Microagglutination test. In the other site, two male patients, aged 33 and 46, presented with fever, myalgia, headache, arthralgia, and conjunctival ejection. The diagnosis was made by blood PCR and the species L. i</w:t>
      </w:r>
      <w:r w:rsidRPr="00AF28B8">
        <w:rPr>
          <w:rFonts w:ascii="Calibri" w:hAnsi="Calibri" w:cs="Calibri"/>
          <w:i/>
          <w:iCs/>
          <w:color w:val="000000"/>
          <w:sz w:val="22"/>
          <w:szCs w:val="22"/>
        </w:rPr>
        <w:t>nterrogans </w:t>
      </w:r>
      <w:r w:rsidRPr="00AF28B8">
        <w:rPr>
          <w:rFonts w:ascii="Calibri" w:hAnsi="Calibri" w:cs="Calibri"/>
          <w:color w:val="000000"/>
          <w:sz w:val="22"/>
          <w:szCs w:val="22"/>
        </w:rPr>
        <w:t>was associated. A link between the transmission of L. </w:t>
      </w:r>
      <w:r w:rsidRPr="00AF28B8">
        <w:rPr>
          <w:rFonts w:ascii="Calibri" w:hAnsi="Calibri" w:cs="Calibri"/>
          <w:i/>
          <w:iCs/>
          <w:color w:val="000000"/>
          <w:sz w:val="22"/>
          <w:szCs w:val="22"/>
        </w:rPr>
        <w:t>interrogans</w:t>
      </w:r>
      <w:r w:rsidRPr="00AF28B8">
        <w:rPr>
          <w:rFonts w:ascii="Calibri" w:hAnsi="Calibri" w:cs="Calibri"/>
          <w:color w:val="000000"/>
          <w:sz w:val="22"/>
          <w:szCs w:val="22"/>
        </w:rPr>
        <w:t> present in stagnant waters and its association with cases of leptospirosis was established. The findings contribute to the targeting of prevention and control strategies and contribute to the "One Health" approach by determining the circulating species and their role in the transmission of human leptospirosis in the context of the interface between human, animal, and environmental health.</w:t>
      </w:r>
    </w:p>
    <w:p w14:paraId="56D2130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25-A-3288-ASTMH</w:t>
      </w:r>
    </w:p>
    <w:p w14:paraId="54305964"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5DE24278"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Multipathogen Viral-Vectored Vaccine Against Malaria, SARS-Cov-2 and Mpox</w:t>
      </w:r>
    </w:p>
    <w:p w14:paraId="4C1CDA1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We have developed a multivalent malaria vaccine based on two viral vectors, m8Δ/AAV1, comprising a highly attenuated vaccinia virus strain (m8Δ) and adeno-associated virus serotype 1 (AAV1). In our previous work, this platform encoding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w:t>
      </w:r>
      <w:r w:rsidRPr="00AF28B8">
        <w:rPr>
          <w:rFonts w:ascii="Calibri" w:hAnsi="Calibri" w:cs="Calibri"/>
          <w:i/>
          <w:iCs/>
          <w:color w:val="000000"/>
          <w:sz w:val="22"/>
          <w:szCs w:val="22"/>
        </w:rPr>
        <w:t>Pf</w:t>
      </w:r>
      <w:r w:rsidRPr="00AF28B8">
        <w:rPr>
          <w:rFonts w:ascii="Calibri" w:hAnsi="Calibri" w:cs="Calibri"/>
          <w:color w:val="000000"/>
          <w:sz w:val="22"/>
          <w:szCs w:val="22"/>
        </w:rPr>
        <w:t xml:space="preserve">) circumsporozoite protein (CSP) and its fusion form (s25) provided sterile protection and transmission blocking against malaria in mice. In the </w:t>
      </w:r>
      <w:r w:rsidRPr="00AF28B8">
        <w:rPr>
          <w:rFonts w:ascii="Calibri" w:hAnsi="Calibri" w:cs="Calibri"/>
          <w:color w:val="000000"/>
          <w:sz w:val="22"/>
          <w:szCs w:val="22"/>
        </w:rPr>
        <w:lastRenderedPageBreak/>
        <w:t>present study, we employed this system to establish a multipathogen vaccine by incorporating the full-length spike (S) protein of the SARS-CoV-2 Omicron variant, aiming to develop a single vaccine targeting malaria, COVID-19, and monkeypox—the latter via cross-protection induced by the vaccinia-based vector. The newly constructed vaccine, m8Δ-Pf(s25-CSP)-Omicron-S, expressed s25-CSP and S antigens in mammalian cells. BALB/c mice were immunized with a heterologous prime-boost regimen: priming with m8Δ-Pf(s25-CSP)-Omicron-S, followed by boosting with AAV1 vectors encoding Pf(s25-CSP) and Omicron-S. This regimen induced strong antigen-specific IgG responses and robust cellular immunity. Importantly, all vaccinated mice were protected against malaria sporozoite challenge. Additionally, neutralization assays showed effective and potent inhibition of both SARS-CoV-2 and monkeypox viruses </w:t>
      </w:r>
      <w:r w:rsidRPr="00AF28B8">
        <w:rPr>
          <w:rFonts w:ascii="Calibri" w:hAnsi="Calibri" w:cs="Calibri"/>
          <w:i/>
          <w:iCs/>
          <w:color w:val="000000"/>
          <w:sz w:val="22"/>
          <w:szCs w:val="22"/>
        </w:rPr>
        <w:t>in vitro</w:t>
      </w:r>
      <w:r w:rsidRPr="00AF28B8">
        <w:rPr>
          <w:rFonts w:ascii="Calibri" w:hAnsi="Calibri" w:cs="Calibri"/>
          <w:color w:val="000000"/>
          <w:sz w:val="22"/>
          <w:szCs w:val="22"/>
        </w:rPr>
        <w:t>. These findings demonstrate the potential of the m8Δ/AAV1 platform as a multivalent and multipathogen vaccine system. The heterologous prime-boost strategy effectively induces broad and protective immunity against multiple pathogens of global concern.</w:t>
      </w:r>
    </w:p>
    <w:p w14:paraId="09E6D4A3"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25-A-3289-ASTMH</w:t>
      </w:r>
    </w:p>
    <w:p w14:paraId="77781A7F"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Immunology, Pathology, Cellular and Molecular Biology</w:t>
      </w:r>
    </w:p>
    <w:p w14:paraId="559D7D8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function and mechanism research of intrahepatic lymphangiogenesis in </w:t>
      </w:r>
      <w:r w:rsidRPr="00AF28B8">
        <w:rPr>
          <w:rFonts w:ascii="Calibri" w:hAnsi="Calibri" w:cs="Calibri"/>
          <w:b/>
          <w:bCs/>
          <w:i/>
          <w:iCs/>
          <w:color w:val="000000"/>
          <w:sz w:val="22"/>
          <w:szCs w:val="22"/>
        </w:rPr>
        <w:t>Schistosomiasis Japonica</w:t>
      </w:r>
      <w:r w:rsidRPr="00AF28B8">
        <w:rPr>
          <w:rFonts w:ascii="Calibri" w:hAnsi="Calibri" w:cs="Calibri"/>
          <w:b/>
          <w:bCs/>
          <w:color w:val="000000"/>
          <w:sz w:val="22"/>
          <w:szCs w:val="22"/>
        </w:rPr>
        <w:t>-induced liver fibrosis</w:t>
      </w:r>
    </w:p>
    <w:p w14:paraId="15E6C7D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i/>
          <w:iCs/>
          <w:color w:val="000000"/>
          <w:sz w:val="22"/>
          <w:szCs w:val="22"/>
        </w:rPr>
        <w:t>Schistosomiasis japonica</w:t>
      </w:r>
      <w:r w:rsidRPr="00AF28B8">
        <w:rPr>
          <w:rFonts w:ascii="Calibri" w:hAnsi="Calibri" w:cs="Calibri"/>
          <w:color w:val="000000"/>
          <w:sz w:val="22"/>
          <w:szCs w:val="22"/>
        </w:rPr>
        <w:t> is a parasitic disease that seriously endangers human health. Excessive deposition of extracellular matrix due to the granulomas results in liver fibrosis, and in severe cases, it can progress to liver cirrhosis, posing a threat to the patient's life. Lymphangiogenesis has been observed in the process of fibrosis in various organs, including renal or cardiac fibrosis. However, the function of intrahepatic lymphangiogenesis in </w:t>
      </w:r>
      <w:r w:rsidRPr="00AF28B8">
        <w:rPr>
          <w:rFonts w:ascii="Calibri" w:hAnsi="Calibri" w:cs="Calibri"/>
          <w:i/>
          <w:iCs/>
          <w:color w:val="000000"/>
          <w:sz w:val="22"/>
          <w:szCs w:val="22"/>
        </w:rPr>
        <w:t>Schistosomiasis Japonica</w:t>
      </w:r>
      <w:r w:rsidRPr="00AF28B8">
        <w:rPr>
          <w:rFonts w:ascii="Calibri" w:hAnsi="Calibri" w:cs="Calibri"/>
          <w:color w:val="000000"/>
          <w:sz w:val="22"/>
          <w:szCs w:val="22"/>
        </w:rPr>
        <w:t>-induced liver fibrosis remain to be known. </w:t>
      </w:r>
      <w:r w:rsidRPr="00AF28B8">
        <w:rPr>
          <w:rFonts w:ascii="Calibri" w:hAnsi="Calibri" w:cs="Calibri"/>
          <w:b/>
          <w:bCs/>
          <w:color w:val="000000"/>
          <w:sz w:val="22"/>
          <w:szCs w:val="22"/>
        </w:rPr>
        <w:t>Methods: </w:t>
      </w:r>
      <w:r w:rsidRPr="00AF28B8">
        <w:rPr>
          <w:rFonts w:ascii="Calibri" w:hAnsi="Calibri" w:cs="Calibri"/>
          <w:color w:val="000000"/>
          <w:sz w:val="22"/>
          <w:szCs w:val="22"/>
        </w:rPr>
        <w:t>C57BL/6 mice were infected with </w:t>
      </w:r>
      <w:r w:rsidRPr="00AF28B8">
        <w:rPr>
          <w:rFonts w:ascii="Calibri" w:hAnsi="Calibri" w:cs="Calibri"/>
          <w:i/>
          <w:iCs/>
          <w:color w:val="000000"/>
          <w:sz w:val="22"/>
          <w:szCs w:val="22"/>
        </w:rPr>
        <w:t>Schistosoma japonicum</w:t>
      </w:r>
      <w:r w:rsidRPr="00AF28B8">
        <w:rPr>
          <w:rFonts w:ascii="Calibri" w:hAnsi="Calibri" w:cs="Calibri"/>
          <w:color w:val="000000"/>
          <w:sz w:val="22"/>
          <w:szCs w:val="22"/>
        </w:rPr>
        <w:t> for 7 weeks to construct liver fibrosis model. Intrahepatic lymphangiogenesis was assessed by immunofluorescence. The vitro study was conducted to explore the mechanism of intrahepatic lymphangiogenesis in </w:t>
      </w:r>
      <w:r w:rsidRPr="00AF28B8">
        <w:rPr>
          <w:rFonts w:ascii="Calibri" w:hAnsi="Calibri" w:cs="Calibri"/>
          <w:i/>
          <w:iCs/>
          <w:color w:val="000000"/>
          <w:sz w:val="22"/>
          <w:szCs w:val="22"/>
        </w:rPr>
        <w:t>Schistosomiasis Japonica</w:t>
      </w:r>
      <w:r w:rsidRPr="00AF28B8">
        <w:rPr>
          <w:rFonts w:ascii="Calibri" w:hAnsi="Calibri" w:cs="Calibri"/>
          <w:color w:val="000000"/>
          <w:sz w:val="22"/>
          <w:szCs w:val="22"/>
        </w:rPr>
        <w:t>-induced liver fibrosis. The adeno-associated virus overexpressing vascular endothelial growth factor-C (AAV-VEGF-C) and MAZ-51 was used to confirm the function of intrahepatic lymphangiogenesis in </w:t>
      </w:r>
      <w:r w:rsidRPr="00AF28B8">
        <w:rPr>
          <w:rFonts w:ascii="Calibri" w:hAnsi="Calibri" w:cs="Calibri"/>
          <w:i/>
          <w:iCs/>
          <w:color w:val="000000"/>
          <w:sz w:val="22"/>
          <w:szCs w:val="22"/>
        </w:rPr>
        <w:t>Schistosomiasis Japonica</w:t>
      </w:r>
      <w:r w:rsidRPr="00AF28B8">
        <w:rPr>
          <w:rFonts w:ascii="Calibri" w:hAnsi="Calibri" w:cs="Calibri"/>
          <w:color w:val="000000"/>
          <w:sz w:val="22"/>
          <w:szCs w:val="22"/>
        </w:rPr>
        <w:t>-induced liver fibrosis. </w:t>
      </w:r>
      <w:r w:rsidRPr="00AF28B8">
        <w:rPr>
          <w:rFonts w:ascii="Calibri" w:hAnsi="Calibri" w:cs="Calibri"/>
          <w:b/>
          <w:bCs/>
          <w:color w:val="000000"/>
          <w:sz w:val="22"/>
          <w:szCs w:val="22"/>
        </w:rPr>
        <w:t>Results: </w:t>
      </w:r>
      <w:r w:rsidRPr="00AF28B8">
        <w:rPr>
          <w:rFonts w:ascii="Calibri" w:hAnsi="Calibri" w:cs="Calibri"/>
          <w:color w:val="000000"/>
          <w:sz w:val="22"/>
          <w:szCs w:val="22"/>
        </w:rPr>
        <w:t>Compared with the sham group, the number and area of intrahepatic lymphatic vessels (LVs) around the portal tract significantly increased in </w:t>
      </w:r>
      <w:r w:rsidRPr="00AF28B8">
        <w:rPr>
          <w:rFonts w:ascii="Calibri" w:hAnsi="Calibri" w:cs="Calibri"/>
          <w:i/>
          <w:iCs/>
          <w:color w:val="000000"/>
          <w:sz w:val="22"/>
          <w:szCs w:val="22"/>
        </w:rPr>
        <w:t>Schistosomiasis Japonica</w:t>
      </w:r>
      <w:r w:rsidRPr="00AF28B8">
        <w:rPr>
          <w:rFonts w:ascii="Calibri" w:hAnsi="Calibri" w:cs="Calibri"/>
          <w:color w:val="000000"/>
          <w:sz w:val="22"/>
          <w:szCs w:val="22"/>
        </w:rPr>
        <w:t>-induced liver fibrosis group. Mechanistically, schistosomiasis egg protein (SEA) could promote VEGF-C secretion of macrophage by STAT6 pathway, which induced intrahepatic lymphangiogenesis. Additionally, stimulation of lymphangiogenesis with AAV-VEGF-C significantly decreased the degree of liver fibrosis in mice with </w:t>
      </w:r>
      <w:r w:rsidRPr="00AF28B8">
        <w:rPr>
          <w:rFonts w:ascii="Calibri" w:hAnsi="Calibri" w:cs="Calibri"/>
          <w:i/>
          <w:iCs/>
          <w:color w:val="000000"/>
          <w:sz w:val="22"/>
          <w:szCs w:val="22"/>
        </w:rPr>
        <w:t>Schistosoma japonicum</w:t>
      </w:r>
      <w:r w:rsidRPr="00AF28B8">
        <w:rPr>
          <w:rFonts w:ascii="Calibri" w:hAnsi="Calibri" w:cs="Calibri"/>
          <w:color w:val="000000"/>
          <w:sz w:val="22"/>
          <w:szCs w:val="22"/>
        </w:rPr>
        <w:t> infection and MAZ-51 could aggravate liver fibrosis by inhibit intrahepatic lymphangiogenesis. </w:t>
      </w:r>
      <w:r w:rsidRPr="00AF28B8">
        <w:rPr>
          <w:rFonts w:ascii="Calibri" w:hAnsi="Calibri" w:cs="Calibri"/>
          <w:b/>
          <w:bCs/>
          <w:color w:val="000000"/>
          <w:sz w:val="22"/>
          <w:szCs w:val="22"/>
        </w:rPr>
        <w:t>Conclusion: </w:t>
      </w:r>
      <w:r w:rsidRPr="00AF28B8">
        <w:rPr>
          <w:rFonts w:ascii="Calibri" w:hAnsi="Calibri" w:cs="Calibri"/>
          <w:color w:val="000000"/>
          <w:sz w:val="22"/>
          <w:szCs w:val="22"/>
        </w:rPr>
        <w:t>The present study is the first to explore the relationship between intrahepatic lymphangiogenesis and </w:t>
      </w:r>
      <w:r w:rsidRPr="00AF28B8">
        <w:rPr>
          <w:rFonts w:ascii="Calibri" w:hAnsi="Calibri" w:cs="Calibri"/>
          <w:i/>
          <w:iCs/>
          <w:color w:val="000000"/>
          <w:sz w:val="22"/>
          <w:szCs w:val="22"/>
        </w:rPr>
        <w:t>Schistosomiasis Japonica</w:t>
      </w:r>
      <w:r w:rsidRPr="00AF28B8">
        <w:rPr>
          <w:rFonts w:ascii="Calibri" w:hAnsi="Calibri" w:cs="Calibri"/>
          <w:color w:val="000000"/>
          <w:sz w:val="22"/>
          <w:szCs w:val="22"/>
        </w:rPr>
        <w:t>-induced liver fibrosis, which suggested that promoting intrahepatic lymphangiogenesis may be a promising strategy to alleviate liver fibrosis in patients with </w:t>
      </w:r>
      <w:r w:rsidRPr="00AF28B8">
        <w:rPr>
          <w:rFonts w:ascii="Calibri" w:hAnsi="Calibri" w:cs="Calibri"/>
          <w:i/>
          <w:iCs/>
          <w:color w:val="000000"/>
          <w:sz w:val="22"/>
          <w:szCs w:val="22"/>
        </w:rPr>
        <w:t>Schistosoma japonicum</w:t>
      </w:r>
      <w:r w:rsidRPr="00AF28B8">
        <w:rPr>
          <w:rFonts w:ascii="Calibri" w:hAnsi="Calibri" w:cs="Calibri"/>
          <w:color w:val="000000"/>
          <w:sz w:val="22"/>
          <w:szCs w:val="22"/>
        </w:rPr>
        <w:t> infection.</w:t>
      </w:r>
    </w:p>
    <w:p w14:paraId="518E5F39"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25-A-3290-ASTMH</w:t>
      </w:r>
    </w:p>
    <w:p w14:paraId="5DE7E3C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241AFE0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Larval source management as a feasible intervention for vector control in urban Malabo: generating evidence of its impact in a relatively isolated urban community</w:t>
      </w:r>
    </w:p>
    <w:p w14:paraId="3A8F074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Bioko Island Malaria Elimination Project (BIMEP) implemented larval source management (LSM) across urban Malabo in 2023 before experiencing a service interruption in 2024. This interruption led to significant increases in malaria prevalence in some areas, including Buena Esperanza II (BE), an urban community relatively isolated from the larger urban conglomerate. BE's housing structure (generally good quality with limited mosquito entry points) makes it unsuitable for indoor residual spraying (IRS), creating an opportunity to evaluate LSM as a standalone intervention. From March to September 2025, trained teams will systematically identify and treat potential mosquito breeding sites in BE using manually applied </w:t>
      </w:r>
      <w:r w:rsidRPr="00AF28B8">
        <w:rPr>
          <w:rFonts w:ascii="Calibri" w:hAnsi="Calibri" w:cs="Calibri"/>
          <w:i/>
          <w:iCs/>
          <w:color w:val="000000"/>
          <w:sz w:val="22"/>
          <w:szCs w:val="22"/>
        </w:rPr>
        <w:t>Bacillus thuringiensis israelensis</w:t>
      </w:r>
      <w:r w:rsidRPr="00AF28B8">
        <w:rPr>
          <w:rFonts w:ascii="Calibri" w:hAnsi="Calibri" w:cs="Calibri"/>
          <w:color w:val="000000"/>
          <w:sz w:val="22"/>
          <w:szCs w:val="22"/>
        </w:rPr>
        <w:t xml:space="preserve"> larvicide with 10-day revisit cycles. Real-time </w:t>
      </w:r>
      <w:r w:rsidRPr="00AF28B8">
        <w:rPr>
          <w:rFonts w:ascii="Calibri" w:hAnsi="Calibri" w:cs="Calibri"/>
          <w:color w:val="000000"/>
          <w:sz w:val="22"/>
          <w:szCs w:val="22"/>
        </w:rPr>
        <w:lastRenderedPageBreak/>
        <w:t>monitoring systems will ensure comprehensive coverage of all breeding sites. Malaria prevalence from the 2024 Malaria Indicator Survey (MIS) will serve as baseline, with the 2025 MIS (August-September) providing comparative data to assess impact. Prevalence changes in BE will be compared with areas receiving IRS alone or combined interventions. Preliminary data already shows multiple breeding sites in BE, confirming the relevance of LSM in this setting. This study will provide operational evidence on LSM efficacy in urban settings where IRS is not feasible. Results will inform optimal intervention combinations for urban malaria control in Equatorial Guinea and similar settings, while acknowledging potential confounding factors such as seasonal variation and population movement.</w:t>
      </w:r>
    </w:p>
    <w:p w14:paraId="1C167733"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25-A-3291-ASTMH</w:t>
      </w:r>
    </w:p>
    <w:p w14:paraId="24E79B8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Immunology, Pathology, Cellular and Molecular Biology</w:t>
      </w:r>
    </w:p>
    <w:p w14:paraId="6447104A"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Soluble Egg Antigen of </w:t>
      </w:r>
      <w:r w:rsidRPr="00AF28B8">
        <w:rPr>
          <w:rFonts w:ascii="Calibri" w:hAnsi="Calibri" w:cs="Calibri"/>
          <w:b/>
          <w:bCs/>
          <w:i/>
          <w:iCs/>
          <w:color w:val="000000"/>
          <w:sz w:val="22"/>
          <w:szCs w:val="22"/>
        </w:rPr>
        <w:t>Schistosoma japonicum</w:t>
      </w:r>
      <w:r w:rsidRPr="00AF28B8">
        <w:rPr>
          <w:rFonts w:ascii="Calibri" w:hAnsi="Calibri" w:cs="Calibri"/>
          <w:b/>
          <w:bCs/>
          <w:color w:val="000000"/>
          <w:sz w:val="22"/>
          <w:szCs w:val="22"/>
        </w:rPr>
        <w:t> Ameliorates Androgenetic Alopecia in Mice via Metabolic-Immune Balance</w:t>
      </w:r>
    </w:p>
    <w:p w14:paraId="1548DD3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Androgenetic alopecia (AGA), the most prevalent form of hair loss, remains a therapeutic challenge due to limited treatment efficacy. Emerging evidence implicates interleukin-17 (IL-17) as a critical mediator in AGA pathogenesis, where Th17 cell-driven autoimmune responses exacerbate follicular damage. Building on our prior findings that </w:t>
      </w:r>
      <w:r w:rsidRPr="00AF28B8">
        <w:rPr>
          <w:rFonts w:ascii="Calibri" w:hAnsi="Calibri" w:cs="Calibri"/>
          <w:b/>
          <w:bCs/>
          <w:i/>
          <w:iCs/>
          <w:color w:val="000000"/>
          <w:sz w:val="22"/>
          <w:szCs w:val="22"/>
        </w:rPr>
        <w:t>Schistosoma japonicum</w:t>
      </w:r>
      <w:r w:rsidRPr="00AF28B8">
        <w:rPr>
          <w:rFonts w:ascii="Calibri" w:hAnsi="Calibri" w:cs="Calibri"/>
          <w:b/>
          <w:bCs/>
          <w:color w:val="000000"/>
          <w:sz w:val="22"/>
          <w:szCs w:val="22"/>
        </w:rPr>
        <w:t> soluble egg antigen (SEA) modulates IL-17/IL-10 balance to mitigate allograft rejection in murine skin transplantation models, we hypothesized that SEA may exert therapeutic effects in AGA.</w:t>
      </w:r>
      <w:r w:rsidRPr="00AF28B8">
        <w:rPr>
          <w:rFonts w:ascii="Calibri" w:hAnsi="Calibri" w:cs="Calibri"/>
          <w:color w:val="000000"/>
          <w:sz w:val="22"/>
          <w:szCs w:val="22"/>
        </w:rPr>
        <w:t> </w:t>
      </w:r>
      <w:r w:rsidRPr="00AF28B8">
        <w:rPr>
          <w:rFonts w:ascii="Calibri" w:hAnsi="Calibri" w:cs="Calibri"/>
          <w:b/>
          <w:bCs/>
          <w:color w:val="000000"/>
          <w:sz w:val="22"/>
          <w:szCs w:val="22"/>
        </w:rPr>
        <w:t>In this study, subcutaneous administration of SEA significantly improved hair regrowth in AGA mouse models, corroborated by histopathological evidence of reduced follicular miniaturization. Transcriptomic profiling revealed SEA-mediated suppression of IL-17 signaling pathways, further validated by ELISA showing decreased IL-17 levels in treated skin tissues. Intriguingly, integrated transcriptomic and untargeted metabolomic analyses demonstrated SEA-induced activation of fatty acid metabolism pathways. This metabolic reprogramming correlated with restored IL-17/IL-10 equilibrium and attenuated follicular inflammation, suggesting a mechanistic link between lipid metabolism homeostasis and immune modulation.</w:t>
      </w:r>
      <w:r w:rsidRPr="00AF28B8">
        <w:rPr>
          <w:rFonts w:ascii="Calibri" w:hAnsi="Calibri" w:cs="Calibri"/>
          <w:color w:val="000000"/>
          <w:sz w:val="22"/>
          <w:szCs w:val="22"/>
        </w:rPr>
        <w:t> </w:t>
      </w:r>
      <w:r w:rsidRPr="00AF28B8">
        <w:rPr>
          <w:rFonts w:ascii="Calibri" w:hAnsi="Calibri" w:cs="Calibri"/>
          <w:b/>
          <w:bCs/>
          <w:color w:val="000000"/>
          <w:sz w:val="22"/>
          <w:szCs w:val="22"/>
        </w:rPr>
        <w:t>Our findings establish SEA as a novel candidate for AGA therapy, leveraging its dual capacity to rebalance inflammatory cytokines and enhance metabolic resilience in hair follicles. This study provides foundational insights into parasite-derived antigens as potential clinical strategies for immune-metabolic disorders, with implications for advancing AGA treatment paradigms.</w:t>
      </w:r>
    </w:p>
    <w:p w14:paraId="275A99B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25-A-3292-ASTMH</w:t>
      </w:r>
    </w:p>
    <w:p w14:paraId="59C8A194"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00EB944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Climate-informed Lagged Time-Series Modelling informs Adaptations to the Delivery of Seasonal Malaria Chemoprevention in Northern Cameroon</w:t>
      </w:r>
    </w:p>
    <w:p w14:paraId="68A3C4F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2016, Seasonal Malaria Chemoprevention was introduced in all 47 Health Districts (HDs) in the North and Far North regions of Cameroon with highly seasonal malaria transmission to reduce morbidity and mortality. A 4 cycle SMC campaign was implemented from July to September yearly until 2021 when concerns on its impact were raised. Further, observed changes in rainfall and other environmental parameters compelled an assessment of the SMC campaign time window (start and number of cycles) to achieve desired outcomes. A lagged time-series modelling analyses employing weekly reported malaria cases from the DHIS2 and remotely sensed climate data was used and various lag times (2,4,6 and 8 weeks) created to account for delayed effects and to determine the periods that optimised the delivery of SMC campaigns. Sensitivity analysis was employed to identify the thresholds of rainfall associated with peaks of malaria cases. Correlation analyses were used to identify candidate health districts (HD) for possible extension of SMC imple-mentation period. Based on WHO SMC district inclusion criteria, combined with climatic/rainfall modelling, this study categorised the different groups of health districts with forecasted scenarios to optimise impact. The lagged time series analyses highlighted 3 categories of districts: HDs with negative correlations between rainfall and malaria transmission peaks; HD with a positive correlation and short time lags (2 to 4 weeks) between rainfall and malaria cases; and HD with a </w:t>
      </w:r>
      <w:r w:rsidRPr="00AF28B8">
        <w:rPr>
          <w:rFonts w:ascii="Calibri" w:hAnsi="Calibri" w:cs="Calibri"/>
          <w:color w:val="000000"/>
          <w:sz w:val="22"/>
          <w:szCs w:val="22"/>
        </w:rPr>
        <w:lastRenderedPageBreak/>
        <w:t>positive correlation and a long time lag (6-8 weeks) between rainfall and malaria cases. Sensitivity analyses performed over previous 5 years (2018-2022) of data identified a threshold of 100 mm rainfall associated with peaks of malaria cases in 19 HDs as early as June. Thirty-two HDs exhibited strong correlations between rainfall and peaks of malaria cases after 8 weeks indicating these districts would benefit from 5 cycles of SMC running up to October. Lagged time series modelling of epidemiological and climatic data was used to tailor SMC delivery in northern Cameroon allowing the NMCP to better evaluate SMC delivery and optimise it for impact.</w:t>
      </w:r>
    </w:p>
    <w:p w14:paraId="6DC78CB8"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25-A-3293-ASTMH</w:t>
      </w:r>
    </w:p>
    <w:p w14:paraId="1B6E7079"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6DD8EB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and geographical distribution of G6PD deficiency in Papua New Guinea</w:t>
      </w:r>
    </w:p>
    <w:p w14:paraId="2CB934F6"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Lack of routine testing for glucose-6-phosphate dehydrogenase (G6PD) deficiency in many Plasmodium vivax (Pv) endemic countries, including Papua New Guinea (PNG), currently hinders effective treatment of P. vivax malaria. An effective dose of an 8-aminoquinoline (primaquine or tafenoquine) is required, however individuals with G6PD deficiency are at increased risk of haemolysis when treated with these drugs. The Government of PNG has committed itself to eliminating malaria by 2030 and to achieve this ambitious goal, the National Malaria Control Program (NMCP) has prioritised generating evidence on the prevalence and geographical distribution of G6PD deficiency and the feasibility of shorter course, higher daily dose primaquine treatment. This study of point of care G6PD testing with SD Biosensor STANDARD quantitative G6PD test was undertaken on consenting patients with non-falciparum malaria by Pf/Pan rapid diagnostic test at four health clinics across PNG. This was a component of the SCOPE parent study investigating the feasibility of a revised P. vivax case management package. Training, including post assessment surveys, were conducted at each of the four sites to ensure research staff competency in performing G6PD test. Thus far, the overall prevalence of G6PD deficiency was 3.5% (28/794), of whom 74.1% male and 25.9% female. The prevalence of G6PD deficiency varied across the four sites, with 3.5% in West Sepik, 3.0% in East Sepik, 5.4% in Madang and 1.7% in East New Britain. The overall prevalence of G6PD intermediates was 5.2%, of whom 44.2% male and 55.8% female. This data provides important insight for NMCP and Provincial Health Authorities as they consider changing treatment guidelines to enable the implementation of safe and effective primaquine treatment. It highlights that point of care quantitative G6PD testing is feasible and that the majority of individuals can safely receive primaquine treatment. It also provides data on the geographical heterogeneity of G6PD deficiency that can be used to help inform health policy and planning in PNG.</w:t>
      </w:r>
    </w:p>
    <w:p w14:paraId="58318E9E"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25-A-3294-ASTMH</w:t>
      </w:r>
    </w:p>
    <w:p w14:paraId="003927A8"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2BB30CDB"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Investigating the pharmacogenetic basis of Nevirapine-induced cutaneous reactions among selected HIV patients in Ghana.</w:t>
      </w:r>
    </w:p>
    <w:p w14:paraId="0F01099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Nevirapine (NVP), a widely used non-nucleoside reverse transcriptase inhibitor (NNRTI), is a key component of highly active antiretroviral therapy (HAART) in low and middle-income countries. Despite its effectiveness, NVP use is associated with adverse drug reactions (ADRs), including hepatotoxicity and cutaneous hypersensitivity reactions. Genetic susceptibility has been reported, particularly involving polymorphisms in cytochrome P450 enzymes and human leukocyte antigen (HLA) alleles. However, their associations have not been fully translated into clinical screening strategies in African populations due to limited high-resolution HLA typing data. This study aimed to profile HLA-A and HLA-B alleles in 58 Ghanaian HIV-positive individuals and to investigate potential associations with NVP-induced skin rashes while evaluating the limitations of current HLA typing methodologies. Peripheral blood samples were obtained from HIV-1-infected individuals undergoing NVP treatment, categorized into rash and tolerant groups. HLA-A and HLA-B loci were typed using Sanger sequence-based typing (SBT) following locus-specific PCR amplification. Allele assignment was performed via BLAST analysis using the IPD-IMGT/HLA database. Allele-level genotyping was limited, with success in only 10% of HLA-A and 28.6% of HLA-B </w:t>
      </w:r>
      <w:r w:rsidRPr="00AF28B8">
        <w:rPr>
          <w:rFonts w:ascii="Calibri" w:hAnsi="Calibri" w:cs="Calibri"/>
          <w:color w:val="000000"/>
          <w:sz w:val="22"/>
          <w:szCs w:val="22"/>
        </w:rPr>
        <w:lastRenderedPageBreak/>
        <w:t>samples, while serotype-level typing was more successful (83.3% for HLA-A and 64.3% for HLA-B). High ambiguity at the allele level highlighted the limitations of current PCR-based Sanger sequencing methods. Although no statistically significant association was found between specific HLA alleles and Nevirapine-induced rash, differences in allele frequency between rash and tolerant groups suggest a possible genetic influence. The study emphasizes the need for advanced HLA typing techniques such as next-generation sequencing (NGS), broader sequence coverage, and combined typing strategies to enhance pharmacogenetic screening. A larger, prospective NGS-based study is recommended to validate findings and inform the implementation of genetic screening in HIV treatment in African settings.</w:t>
      </w:r>
    </w:p>
    <w:p w14:paraId="35D9105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25-A-3295-ASTMH</w:t>
      </w:r>
    </w:p>
    <w:p w14:paraId="63558FF5"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6480917A"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Modernizing Data Infrastructure for Eradication of Guinea Worm Disease</w:t>
      </w:r>
    </w:p>
    <w:p w14:paraId="3359EF9B"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Guinea worm (GW) disease is a neglected tropical disease caused by the nematode roundworm parasite Dracunculus medinensis. The global effort to eradicate Guinea worm disease has achieved significant progress through national eradication programs in the health ministries of affected countries. Historically, GW-affected countries collected surveillance and intervention data on paper, then shared these data in discrete spreadsheets for each combination of country, time interval, and topic. These practices limited or prevented analysis of GW data through global or longitudinal perspectives. To address these challenges and support the last-mile push toward eradication, we built infrastructure that improved four stages of data operations: collection, organization, storage, and analytics. Improvements to collection included electronic data collection in multiple countries and digitization of handwritten files. To better organize data, we wrote version-controlled computer code to standardize and unify spreadsheets into eight topic-specific datasets that spanned seven countries for the years 2007-2025. We stored the datasets in a relational database and used business intelligence software to build interactive visualizations. The overall infrastructure enables us to monitor programmatic activities, analyze trends, and inform strategies. This work provides a new tool in the effort to eradicate Guinea worm disease and provides lessons for using data from disparate field-based settings.</w:t>
      </w:r>
    </w:p>
    <w:p w14:paraId="1C49D192"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25-A-3296-ASTMH</w:t>
      </w:r>
    </w:p>
    <w:p w14:paraId="56F993B9"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3FA4F733"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Epidemiological characterization of leptospirosis in horses (Equus caballus) and their caregivers in a region of the Colombian Caribbean.</w:t>
      </w:r>
    </w:p>
    <w:p w14:paraId="36AC34F2"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Leptospirosis is a globally distributed zoonotic disease affecting a wide variety of animals. Although common in horses, the disease is infrequently diagnosed, primarily due to its subclinical presentation. An analytical observational study was conducted, epidemiologically characterizing leptospirosis in horses (Equus caballus) and their caregivers in the department of Córdoba. Using simple random sampling, 382 horses were selected, and serum samples were collected to determine leptospirosis seroprevalence by microagglutination (MAT). After signing the informed consent form, serum samples were taken from workers involved in the care and handling of horses. An epidemiological survey was completed, providing a sociodemographic characterization of the population, and an association between risk factors and the occurrence of occupational leptospirosis in equine caregivers was established through descriptive and inferential statistical analyses. In horses, seropositivity was 86.39% and in humans 59.8% (n=67). The most frequent seropositivity in humans and horses was to the Australis serogroup. Risk factors found were dairy farming (p:0.041, CI:1.02-6.472, OR: 2.57), keeping pigs at home (p:0.032, CI:1.06-5.196, OR: 2.35); frequenting dam-type water sources (p:0.026, CI:1.08-6.843, OR: 2.75); proximity of the home to rivers and streams (p:0.028, CI:1.09-5.173, OR: 2.37); and increased the risk of leptospirosis prevalence by 2.57, 2.35, 2.75, and 2.37 times, respectively, compared to those without these antecedents. These findings, from a public health perspective, warrant short-term educational interventions, as they are associated with a higher likelihood of infection in this population. The results presented should be considered a baseline of information obtained in Colombia that allows for planning </w:t>
      </w:r>
      <w:r w:rsidRPr="00AF28B8">
        <w:rPr>
          <w:rFonts w:ascii="Calibri" w:hAnsi="Calibri" w:cs="Calibri"/>
          <w:color w:val="000000"/>
          <w:sz w:val="22"/>
          <w:szCs w:val="22"/>
        </w:rPr>
        <w:lastRenderedPageBreak/>
        <w:t>the implementation of a new approach, where educational activities for caregivers structured under the operational concepts of "One Health" are necessary.</w:t>
      </w:r>
    </w:p>
    <w:p w14:paraId="07780474"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25-A-3297-ASTMH</w:t>
      </w:r>
    </w:p>
    <w:p w14:paraId="224F9622"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623F4E7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Dietary risk factors associated with Creutzfeldt-Jakob disease: A systematic review and meta-analysis of case-control studies</w:t>
      </w:r>
    </w:p>
    <w:p w14:paraId="31B253AC"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Creutzfeldt-Jakob disease (CJD) is a rare neurodegenerative disease caused by prions. Historically, dietary exposure from contaminated animal products has been proposed as a risk factor for its development. However, epidemiological evidence is inconsistent. To address this gap, we conducted a systematic review and meta-analysis of case-control studies to assess the association of dietary exposures with CJD odds. We searched Pubmed, Cochrane Library, Scopus, Web of Science and Embase from inception to March 2025. Only case control studies assessing dietary intake and in patients with CJD were considered. A random-effects meta-analysis with Hartung-Knapp adjustment was performed to assess the effect of dietary exposure and CJD disease. We measured the certainty of the evidence using GRADE assessment. After screening 7304 articles, 9 studies were included. The meta-analysis showed a statistically significant association with liver consumption (OR 1.27 95% CI [1.06; 1.54];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0%; p=0.03), with consistency in the direction of studies effect estimates. In contrast, beef (OR 1.28 95% CI [0.80; 2.06];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62%; p=0.30) and sausage (OR 2.48 95% CI [0.93; 6.59];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77%; p=0.07) consumption showed substantial heterogeneity with no significant association. Consumption of raw meat (OR 1.50 95% CI [0.79; 2.87];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47%; p=0.17) and brain (OR 0.85 95% CI [0.62; 1.41];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47%; p=0.54) presented moderate heterogeneity with no significant association. Finally, veal (OR 1.21 95% CI [0.90; 1.64];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0%; p=0.21), kidney (OR 1.18 95% CI [0.86; 1.63];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22%; p=0.31) and pork (OR 1.29 95% CI [0.88; 1.88]; I</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0%; p=0.14) showed no significant association. Liver consumption may be associated with increased odds of CJD. The evidence regarding raw meat, organ meats and processed meats requires further evaluation with subgroups analyses by future evidence syntheses. The findings underscore the importance of differentiating between meat sources in prion disease epidemiology. Further large-scale studies with standardized dietary assessments are needed to strengthen the evidence base.</w:t>
      </w:r>
    </w:p>
    <w:p w14:paraId="2140AD8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25-A-3298-ASTMH</w:t>
      </w:r>
    </w:p>
    <w:p w14:paraId="494EB950"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6C2809A7"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High prevalence of antimicrobial resistance genes in wastewater biofilms an evidence of interspecies gene transfer in Sindh Province, Pakistan</w:t>
      </w:r>
    </w:p>
    <w:p w14:paraId="5707327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spread of antimicrobial-resistant (AR) bacteria is a critical global concern. Wastewater is a common source of these microbes, which often contaminate drinking water sources. Environmental biofilms are ubiquitous in the built and natural environment and often harbor AR bacteria carrying mobile AR genes. These bacteria can transfer their AR genes to other recipient bacteria, including pathogenic bacteria species, but traditional metagenomic analysis of environmental samples does not yield data on AR gene host. Consequently, mobile AR gene transfer cannot be inferred without metagenomic deconvolution. We tested six wastewater biofilm samples, aliquoting half for DNA cross-linking and Hi-C metagenomic sequencing and half for traditional shotgun metagenomics. Proximity ligation (Hi-C) sequencing data was combined with shotgun metagenomic sequencing data to assemble metagenomes and associate mobile genetic elements with their host cells. The most commonly detected AR gene classes included beta-lactams, mercury, macrolide, aminoglycoside, and tetracycline AR genes. Colistin, glycopeptide, lincosamide, macrolide, nitroimidazole, and phenicol AR genes were predominantly located on bacterial chromosomes, while copper, copper/silver, mercury, and silver resistance genes were most frequently plasmid-located. Other AR gene classes were found on both the chromosome and on plasmids (e.g., aminoglycoside, arsenic, beta-lactam, quinolone, sulfonamide, and tetracycline AR genes). In some cases, the same ARG was identified on a plasmid and the chromosome within the same bacterial host. Phylogenetic analysis of assembled plasmids and taxonomic clusters revealed plasmid sharing between </w:t>
      </w:r>
      <w:r w:rsidRPr="00AF28B8">
        <w:rPr>
          <w:rFonts w:ascii="Calibri" w:hAnsi="Calibri" w:cs="Calibri"/>
          <w:color w:val="000000"/>
          <w:sz w:val="22"/>
          <w:szCs w:val="22"/>
        </w:rPr>
        <w:lastRenderedPageBreak/>
        <w:t>bacterial species, some of which were not closely related taxa. Mobile ARGs are common in environmental biofilms, particularly in wastewater. These genes have the potential to spread between species within biofilms, as evidenced by shared plasmids between different bacterial species. Environmental biofilms should be considered an important source of mobile ARG dissemination between bacterial species.</w:t>
      </w:r>
    </w:p>
    <w:p w14:paraId="4A280786"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25-A-3299-ASTMH</w:t>
      </w:r>
    </w:p>
    <w:p w14:paraId="7CB58907"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5B56BA37"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Nasopharyngeal Resistome Surveillance Using BacCapSeq Reveals Acquired Resistance Genes During SARS-CoV-2 and Other Respiratory Viral Infections in Malaysia</w:t>
      </w:r>
    </w:p>
    <w:p w14:paraId="2932C6B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human nasopharynx serves as a critical yet underexplored reservoir for antibiotic-resistant bacteria that can cause severe invasive diseases such as pneumonia and meningitis. During the COVID-19 pandemic, bacterial co-infections further complicated case management in South-East Asia (SEA), a Region already burdened by high antimicrobial resistance (AMR). However, the impact of SARS-CoV-2 infections on the nasopharyngeal resistome remains poorly characterized. In this study, we applied Bacterial Capture Sequencing (BacCapSeq), a culture-independent, high-resolution method for profiling the microbial resistome and taxonomy from a single nasopharyngeal swab. We screened 68 symptomatic young to middle-aged adults presenting with influenza-like illness symptoms using viral capture sequencing (VirCapSeq-VERT) and identified 40 SARS-CoV-2 positive cases, 17 positive for other respiratory viruses (e.g., Influenza A/B, rhinovirus), and 11 virus-negative samples. All were further analyzed using BacCapSeq. Resistance gene profiling using the Resistance Gene Identifier (RGI) against the CARD database (Perfect and Strict cutoffs) revealed a high and ubiquitous prevalence of acquired and potentially mobile resistance genes, regardless of whether subjects were infected with a respiratory virus. Key genes particularly targeting beta-lactams and tetracyclines, including OXA-355, OXA-418, TEM-181 (beta-lactamases), and tet(M), tet(Q) were identified - pointing to potential horizontal gene transfer from clinical sources. BacCapSeq demonstrates robustness in overcoming challenges in defining the human nasopharyngeal resistome such as low microbial biomass and host DNA contamination, while providing a baseline for resistome monitoring in the Region. These insights reinforces the need for targeted antimicrobial stewardship in managing COVID-19 complications, especially secondary bacterial infections. The study also hightlights nasal microbiome’s role as stealthy carriers of AMR with cross-border transmission potential - underscoring the urgency for inclusive, globally coordinated containment efforts.</w:t>
      </w:r>
    </w:p>
    <w:p w14:paraId="1BFF3D0B"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25-A-3300-ASTMH</w:t>
      </w:r>
    </w:p>
    <w:p w14:paraId="29D5968E"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01FD8AF9"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framework for assessing integrated disease control potential in multipathogen contexts: Case studies from Cambodia and Bangladesh</w:t>
      </w:r>
    </w:p>
    <w:p w14:paraId="76C92D9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Advances in multipathogen surveillance have made it easier to measure multiple infectious diseases in a single survey. Yet, global health programs have largely maintained a single-pathogen focus. There is a potential for synergy in integrated global health programs, such as co-administration of vaccines and antiparasitic medications, but to our knowledge, there is no formal guidance for how to improve the efficiency of multiple programs simultaneously. To address this gap, we used an ecological measure of species diversity (Rao’s quadratic entropy) to quantify multipathogen burden in two large-scale surveys in Bangladesh (n=90 clusters, 5,933 children) and Cambodia (n=100 clusters, 2,150 women). In both settings, we identified geographic areas with high, multilayered pathogen burdens, illustrating potential for synergy through integrated program delivery. We compared the efficiency of a Rao-guided intervention to single-disease approaches, measuring how many spatial clusters would need to be visited to reach 50% of cases (either infections or unvaccinated children). In Bangladesh, we examined the extent of soil-transmitted helminth burden that could be targeted with deworming in conjunction with a routine measles vaccination campaign. Compared to a strategy that prioritized only measles </w:t>
      </w:r>
      <w:r w:rsidRPr="00AF28B8">
        <w:rPr>
          <w:rFonts w:ascii="Calibri" w:hAnsi="Calibri" w:cs="Calibri"/>
          <w:color w:val="000000"/>
          <w:sz w:val="22"/>
          <w:szCs w:val="22"/>
        </w:rPr>
        <w:lastRenderedPageBreak/>
        <w:t>vaccine coverage, we found that a vaccination campaign informed by Rao’s quadratic entropy could achieve large efficiency improvements for treating helminth infections: 22% (Ascaris lumbricoides), 49% (hookworm), and 53% (Trichuris trichiura). In Cambodia, we compared a multipathogen approach to three single-pathogen strategies targeting vector-borne diseases. Our results showed that a Rao-guided strategy could target lymphatic filariasis, Plasmodium falciparum, Plasmodium vivax, and Strongyloides stercoralis by visiting 32%, 84%, 70%, and 22% fewer clusters, respectively. These findings suggest that in settings with geographic overlap of multiple diseases, integrated control programs could gain substantial efficiency if guided by Rao’s measure of multipathogen burden versus a strategy based on a single pathogen.</w:t>
      </w:r>
    </w:p>
    <w:p w14:paraId="1EE6464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25-A-3301-ASTMH</w:t>
      </w:r>
    </w:p>
    <w:p w14:paraId="03241075"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Planetary Health including Climate Change</w:t>
      </w:r>
    </w:p>
    <w:p w14:paraId="1997FE1F"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Effect of Extreme Heat Exposure on Electrolyte Loss, Dehydration, and Hypotension Among Agricultural Workers in Northwestern Bangladesh</w:t>
      </w:r>
    </w:p>
    <w:p w14:paraId="76FCA5C8"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Bangladesh experiences high humidity and recurrent heatwaves, especially in summer, posing serious health risks to agricultural workers. Despite growing concerns, limited evidence exists on the physiological and biochemical effects of occupational heat exposure among farmers in this climatic context. This study assessed the impact of a typical workday’s heat exposure on key health indicators of farmers in Naogaon district.</w:t>
      </w:r>
      <w:r w:rsidRPr="00AF28B8">
        <w:rPr>
          <w:rFonts w:ascii="Calibri" w:hAnsi="Calibri" w:cs="Calibri"/>
          <w:color w:val="000000"/>
          <w:sz w:val="22"/>
          <w:szCs w:val="22"/>
        </w:rPr>
        <w:br/>
        <w:t>A cross-sectional study was conducted among 100 farmers between April 1 and May 30, 2024—Bangladesh’s peak summer period. Participants were assessed before and after a 6-hour work shift. Health parameters included blood pressure, body temperature, serum electrolytes (Na⁺, K⁺, Cl⁻), urinary electrolytes, urine specific gravity, and sweat electrolytes. Heat exposure was quantified using Wet Bulb Globe Temperature (WBGT). Statistical analyses involved independent-sample t-tests and Mann-Whitney U tests.</w:t>
      </w:r>
      <w:r w:rsidRPr="00AF28B8">
        <w:rPr>
          <w:rFonts w:ascii="Calibri" w:hAnsi="Calibri" w:cs="Calibri"/>
          <w:color w:val="000000"/>
          <w:sz w:val="22"/>
          <w:szCs w:val="22"/>
        </w:rPr>
        <w:br/>
        <w:t>Post-shift measurements showed a significant drop in systolic (116 to 105.5 mmHg) and diastolic blood pressure (66.5 to 60.5 mmHg), indicating hypotension (p &lt; 0.001). Serum sodium slightly increased (153.8 to 157.35 mmol/L), while potassium declined (4.33 to 4.23 mmol/L), though not statistically significant. Urinary potassium (p = 0.01) and chloride (p = 0.02) excretion rose, suggesting renal compensation. Urine specific gravity increased significantly post-shift (p &lt; 0.001), reflecting dehydration. WBGT rose from 30.75°C to 32.40°C (p &lt; 0.001), and sweat electrolyte loss correlated positively with WBGT.</w:t>
      </w:r>
      <w:r w:rsidRPr="00AF28B8">
        <w:rPr>
          <w:rFonts w:ascii="Calibri" w:hAnsi="Calibri" w:cs="Calibri"/>
          <w:color w:val="000000"/>
          <w:sz w:val="22"/>
          <w:szCs w:val="22"/>
        </w:rPr>
        <w:br/>
        <w:t>Extended occupational heat exposure in agricultural workers results in dehydration, electrolyte imbalance, and hypotension, potentially increasing the risk of heat-related illnesses. Context-specific hydration strategies, rest breaks, and climate-adaptive safety protocols are urgently needed to protect farmers’ health and productivity.</w:t>
      </w:r>
    </w:p>
    <w:p w14:paraId="5570D52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25-A-3302-ASTMH</w:t>
      </w:r>
    </w:p>
    <w:p w14:paraId="64AF125C"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2B604CA8"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Prevalence and Associated Risk Factors of Post-Transplant </w:t>
      </w:r>
      <w:r w:rsidRPr="00AF28B8">
        <w:rPr>
          <w:rFonts w:ascii="Calibri" w:hAnsi="Calibri" w:cs="Calibri"/>
          <w:b/>
          <w:bCs/>
          <w:i/>
          <w:iCs/>
          <w:color w:val="000000"/>
          <w:sz w:val="22"/>
          <w:szCs w:val="22"/>
        </w:rPr>
        <w:t>Toxoplasma gondii </w:t>
      </w:r>
      <w:r w:rsidRPr="00AF28B8">
        <w:rPr>
          <w:rFonts w:ascii="Calibri" w:hAnsi="Calibri" w:cs="Calibri"/>
          <w:b/>
          <w:bCs/>
          <w:color w:val="000000"/>
          <w:sz w:val="22"/>
          <w:szCs w:val="22"/>
        </w:rPr>
        <w:t>Infection Among Kidney Transplant Recipients and Patients with Uremia in Central-southern China</w:t>
      </w:r>
    </w:p>
    <w:p w14:paraId="28699ED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w:t>
      </w:r>
      <w:r w:rsidRPr="00AF28B8">
        <w:rPr>
          <w:rFonts w:ascii="Calibri" w:hAnsi="Calibri" w:cs="Calibri"/>
          <w:i/>
          <w:iCs/>
          <w:color w:val="000000"/>
          <w:sz w:val="22"/>
          <w:szCs w:val="22"/>
        </w:rPr>
        <w:t>Toxoplasma gondii (T. gondii) </w:t>
      </w:r>
      <w:r w:rsidRPr="00AF28B8">
        <w:rPr>
          <w:rFonts w:ascii="Calibri" w:hAnsi="Calibri" w:cs="Calibri"/>
          <w:color w:val="000000"/>
          <w:sz w:val="22"/>
          <w:szCs w:val="22"/>
        </w:rPr>
        <w:t>is an opportunistic intracellular parasite</w:t>
      </w:r>
      <w:r w:rsidRPr="00AF28B8">
        <w:rPr>
          <w:rFonts w:ascii="Calibri" w:hAnsi="Calibri" w:cs="Calibri"/>
          <w:i/>
          <w:iCs/>
          <w:color w:val="000000"/>
          <w:sz w:val="22"/>
          <w:szCs w:val="22"/>
        </w:rPr>
        <w:t> and</w:t>
      </w:r>
      <w:r w:rsidRPr="00AF28B8">
        <w:rPr>
          <w:rFonts w:ascii="Calibri" w:hAnsi="Calibri" w:cs="Calibri"/>
          <w:color w:val="000000"/>
          <w:sz w:val="22"/>
          <w:szCs w:val="22"/>
        </w:rPr>
        <w:t> is a big threaten for patients with uremia and solid organ transplantation recipients, especially for kidney transplant recipients. However, </w:t>
      </w:r>
      <w:r w:rsidRPr="00AF28B8">
        <w:rPr>
          <w:rFonts w:ascii="Calibri" w:hAnsi="Calibri" w:cs="Calibri"/>
          <w:i/>
          <w:iCs/>
          <w:color w:val="000000"/>
          <w:sz w:val="22"/>
          <w:szCs w:val="22"/>
        </w:rPr>
        <w:t>Toxoplasma </w:t>
      </w:r>
      <w:r w:rsidRPr="00AF28B8">
        <w:rPr>
          <w:rFonts w:ascii="Calibri" w:hAnsi="Calibri" w:cs="Calibri"/>
          <w:color w:val="000000"/>
          <w:sz w:val="22"/>
          <w:szCs w:val="22"/>
        </w:rPr>
        <w:t>seroprevalence in these patient populations remain unclear, and the risk factors of post transplantation </w:t>
      </w:r>
      <w:r w:rsidRPr="00AF28B8">
        <w:rPr>
          <w:rFonts w:ascii="Calibri" w:hAnsi="Calibri" w:cs="Calibri"/>
          <w:i/>
          <w:iCs/>
          <w:color w:val="000000"/>
          <w:sz w:val="22"/>
          <w:szCs w:val="22"/>
        </w:rPr>
        <w:t>T. gondii </w:t>
      </w:r>
      <w:r w:rsidRPr="00AF28B8">
        <w:rPr>
          <w:rFonts w:ascii="Calibri" w:hAnsi="Calibri" w:cs="Calibri"/>
          <w:color w:val="000000"/>
          <w:sz w:val="22"/>
          <w:szCs w:val="22"/>
        </w:rPr>
        <w:t>infection were not well-defined in China and globally. </w:t>
      </w:r>
      <w:r w:rsidRPr="00AF28B8">
        <w:rPr>
          <w:rFonts w:ascii="Calibri" w:hAnsi="Calibri" w:cs="Calibri"/>
          <w:b/>
          <w:bCs/>
          <w:color w:val="000000"/>
          <w:sz w:val="22"/>
          <w:szCs w:val="22"/>
        </w:rPr>
        <w:t>Methods</w:t>
      </w:r>
      <w:r w:rsidRPr="00AF28B8">
        <w:rPr>
          <w:rFonts w:ascii="Calibri" w:hAnsi="Calibri" w:cs="Calibri"/>
          <w:color w:val="000000"/>
          <w:sz w:val="22"/>
          <w:szCs w:val="22"/>
        </w:rPr>
        <w:t>: Post-transplant or uremiapatient’s serum collected from transplant center of 3</w:t>
      </w:r>
      <w:r w:rsidRPr="00AF28B8">
        <w:rPr>
          <w:rFonts w:ascii="Calibri" w:hAnsi="Calibri" w:cs="Calibri"/>
          <w:color w:val="000000"/>
          <w:sz w:val="22"/>
          <w:szCs w:val="22"/>
          <w:vertAlign w:val="superscript"/>
        </w:rPr>
        <w:t>rd</w:t>
      </w:r>
      <w:r w:rsidRPr="00AF28B8">
        <w:rPr>
          <w:rFonts w:ascii="Calibri" w:hAnsi="Calibri" w:cs="Calibri"/>
          <w:color w:val="000000"/>
          <w:sz w:val="22"/>
          <w:szCs w:val="22"/>
        </w:rPr>
        <w:t> Xiangya hospital of Central South University were detected by IHA to detect anti-</w:t>
      </w:r>
      <w:r w:rsidRPr="00AF28B8">
        <w:rPr>
          <w:rFonts w:ascii="Calibri" w:hAnsi="Calibri" w:cs="Calibri"/>
          <w:i/>
          <w:iCs/>
          <w:color w:val="000000"/>
          <w:sz w:val="22"/>
          <w:szCs w:val="22"/>
        </w:rPr>
        <w:t>Toxoplasma </w:t>
      </w:r>
      <w:r w:rsidRPr="00AF28B8">
        <w:rPr>
          <w:rFonts w:ascii="Calibri" w:hAnsi="Calibri" w:cs="Calibri"/>
          <w:color w:val="000000"/>
          <w:sz w:val="22"/>
          <w:szCs w:val="22"/>
        </w:rPr>
        <w:t>IgG. A retrospective cross-sectional study was performed with these patient’s medical records and a questionnaire was also conducted.</w:t>
      </w:r>
      <w:r w:rsidRPr="00AF28B8">
        <w:rPr>
          <w:rFonts w:ascii="Calibri" w:hAnsi="Calibri" w:cs="Calibri"/>
          <w:b/>
          <w:bCs/>
          <w:color w:val="000000"/>
          <w:sz w:val="22"/>
          <w:szCs w:val="22"/>
        </w:rPr>
        <w:t>Results</w:t>
      </w:r>
      <w:r w:rsidRPr="00AF28B8">
        <w:rPr>
          <w:rFonts w:ascii="Calibri" w:hAnsi="Calibri" w:cs="Calibri"/>
          <w:color w:val="000000"/>
          <w:sz w:val="22"/>
          <w:szCs w:val="22"/>
        </w:rPr>
        <w:t>: The results indicated that approximately 10.59% of the kidney recipients in central-southern China were seropositive for </w:t>
      </w:r>
      <w:r w:rsidRPr="00AF28B8">
        <w:rPr>
          <w:rFonts w:ascii="Calibri" w:hAnsi="Calibri" w:cs="Calibri"/>
          <w:i/>
          <w:iCs/>
          <w:color w:val="000000"/>
          <w:sz w:val="22"/>
          <w:szCs w:val="22"/>
        </w:rPr>
        <w:t>T. gondii</w:t>
      </w:r>
      <w:r w:rsidRPr="00AF28B8">
        <w:rPr>
          <w:rFonts w:ascii="Calibri" w:hAnsi="Calibri" w:cs="Calibri"/>
          <w:color w:val="000000"/>
          <w:sz w:val="22"/>
          <w:szCs w:val="22"/>
        </w:rPr>
        <w:t xml:space="preserve"> post-transplant. While the </w:t>
      </w:r>
      <w:r w:rsidRPr="00AF28B8">
        <w:rPr>
          <w:rFonts w:ascii="Calibri" w:hAnsi="Calibri" w:cs="Calibri"/>
          <w:color w:val="000000"/>
          <w:sz w:val="22"/>
          <w:szCs w:val="22"/>
        </w:rPr>
        <w:lastRenderedPageBreak/>
        <w:t>prevalence in patients with uremia was about 24.12%. We identified that keeping cats and a lower percentage of CD3+T cells and CD8+T cells were associated with higher prevalence of </w:t>
      </w:r>
      <w:r w:rsidRPr="00AF28B8">
        <w:rPr>
          <w:rFonts w:ascii="Calibri" w:hAnsi="Calibri" w:cs="Calibri"/>
          <w:i/>
          <w:iCs/>
          <w:color w:val="000000"/>
          <w:sz w:val="22"/>
          <w:szCs w:val="22"/>
        </w:rPr>
        <w:t>T. gondii </w:t>
      </w:r>
      <w:r w:rsidRPr="00AF28B8">
        <w:rPr>
          <w:rFonts w:ascii="Calibri" w:hAnsi="Calibri" w:cs="Calibri"/>
          <w:color w:val="000000"/>
          <w:sz w:val="22"/>
          <w:szCs w:val="22"/>
        </w:rPr>
        <w:t>IgG+ in uremia patients when compared with kidney transplant recipients. </w:t>
      </w:r>
      <w:r w:rsidRPr="00AF28B8">
        <w:rPr>
          <w:rFonts w:ascii="Calibri" w:hAnsi="Calibri" w:cs="Calibri"/>
          <w:b/>
          <w:bCs/>
          <w:color w:val="000000"/>
          <w:sz w:val="22"/>
          <w:szCs w:val="22"/>
        </w:rPr>
        <w:t>Conclusions</w:t>
      </w:r>
      <w:r w:rsidRPr="00AF28B8">
        <w:rPr>
          <w:rFonts w:ascii="Calibri" w:hAnsi="Calibri" w:cs="Calibri"/>
          <w:color w:val="000000"/>
          <w:sz w:val="22"/>
          <w:szCs w:val="22"/>
        </w:rPr>
        <w:t>: This study suggested that kidney recipients and those uremia patients in the waiting list are susceptible to </w:t>
      </w:r>
      <w:r w:rsidRPr="00AF28B8">
        <w:rPr>
          <w:rFonts w:ascii="Calibri" w:hAnsi="Calibri" w:cs="Calibri"/>
          <w:i/>
          <w:iCs/>
          <w:color w:val="000000"/>
          <w:sz w:val="22"/>
          <w:szCs w:val="22"/>
        </w:rPr>
        <w:t>T. gondii</w:t>
      </w:r>
      <w:r w:rsidRPr="00AF28B8">
        <w:rPr>
          <w:rFonts w:ascii="Calibri" w:hAnsi="Calibri" w:cs="Calibri"/>
          <w:color w:val="000000"/>
          <w:sz w:val="22"/>
          <w:szCs w:val="22"/>
        </w:rPr>
        <w:t> infection. Immune status and keeping cats are associated with the seroprevalence in those patients. However, </w:t>
      </w:r>
      <w:r w:rsidRPr="00AF28B8">
        <w:rPr>
          <w:rFonts w:ascii="Calibri" w:hAnsi="Calibri" w:cs="Calibri"/>
          <w:i/>
          <w:iCs/>
          <w:color w:val="000000"/>
          <w:sz w:val="22"/>
          <w:szCs w:val="22"/>
        </w:rPr>
        <w:t>T. gondii</w:t>
      </w:r>
      <w:r w:rsidRPr="00AF28B8">
        <w:rPr>
          <w:rFonts w:ascii="Calibri" w:hAnsi="Calibri" w:cs="Calibri"/>
          <w:color w:val="000000"/>
          <w:sz w:val="22"/>
          <w:szCs w:val="22"/>
        </w:rPr>
        <w:t> infection is a neglected problem, screening and monitoring deserves more attention in the clinic.</w:t>
      </w:r>
    </w:p>
    <w:p w14:paraId="76FEDDAA"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25-A-3303-ASTMH</w:t>
      </w:r>
    </w:p>
    <w:p w14:paraId="2A8ABADF"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272FB715"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Hand-Carry Supply Chain for Research Laboratories: Challenges, and Way Forward</w:t>
      </w:r>
    </w:p>
    <w:p w14:paraId="6C8F71B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Hand-carrying laboratory supplies across borders is done for various reasons and it can be a complex endeavor and could put the carrier at risk if proper procedure is not followed. Failure to comply with import/export and safety regulations can lead to confiscation, fines, or legal charges. We undertook a short 6-question survey on hand-carry supply chain to understand the issues from the researcher’s perspective with the goal of finding solutions to de-risk hand-carry transportation of laboratory supplies. Between November 2024-March 2025, through our REDCap portal, we received 62 responses from the public health and research community. Our findings so far show that the reasons researchers resort to hand-carrying supplies are because of the urgent need of the supplies (35/52, 67.3%), cost-effectiveness (34/52, 65.4%), reliability (28/52, 54%), and the lack of alternative routes (29/52, 56%). This practice is most common for transport to/from low- and middle-income countries in Africa (28/53, 53%), Latin America (22/53, 42%), and Southeast Asia (17/53, 32%). Hand-carried supplies consist primarily of time- and temperature-sensitive biological specimens (23/53, 44%), chemical reagents (37/53, 70%), and laboratory consumables (42/53, 79%). In Africa and Southeast Asia, due to complex customs rules, manufacturing limitations and shipping delays, over 54% of the respondents say they hand-carry lab supplies once every 3-6 months to ensure the continuity of laboratory operations. Laboratories must comply with regulatory rules including shipping restrictions on biological and chemical materials, this puts the researcher in a difficult place with the lack of reliable alternatives. A multi-dimensional and collaborative approach is needed to strengthen regional laboratory supply infrastructure, to establish regional supply hubs, and to consider model law for customs and regulations to ease the burden of hand-carry supplies. We will report on our efforts in aligning this collaborative to empower laboratory, regulatory, trade and policy makers to find workable and inclusive solutions for this challenge.</w:t>
      </w:r>
    </w:p>
    <w:p w14:paraId="5609CE65"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25-A-3306-ASTMH</w:t>
      </w:r>
    </w:p>
    <w:p w14:paraId="513FE7F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1BB29818"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Mapping current and future levels of insecticide resistance in malaria vectors across Africa</w:t>
      </w:r>
    </w:p>
    <w:p w14:paraId="2D818E6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For two decades, long-lasting insecticidal nets (LLINs) has provided cost effective and efficacious malaria control in Africa. Over the same period, the African malaria vectors have developed increasing levels of resistance to the pyrethroid insecticides used in LLINs. With recent reductions in global malaria funding there is unlikely to be sufficient budget to replace all standard LLINs with the newer and more costly resistance-evading dual active ingredient (dual-AI) nets. Effective malaria control will depend on sub-national spatial prioritisation to allocate combinations of standard LLINs, dual AI nets, and alternative interventions (e.g. indoor residual spraying IRS).</w:t>
      </w:r>
      <w:r w:rsidRPr="00AF28B8">
        <w:rPr>
          <w:rFonts w:ascii="Calibri" w:hAnsi="Calibri" w:cs="Calibri"/>
          <w:color w:val="000000"/>
          <w:sz w:val="22"/>
          <w:szCs w:val="22"/>
        </w:rPr>
        <w:br/>
        <w:t xml:space="preserve">Using the Vector Atlas' unprecedented dataset of more than 23,000 susceptibility bioassays from across Africa and a new Bayesian semimechanistic geospatial model of trait evolution we provide the first high resolution Africa-wide maps quantifying of levels of phenotypic resistance among malaria vectors to all the major insecticides used in malaria vector control (both LLIN and IRS). Our analyses indicate that continent-wide patterns of resistance are consistent with independent selection acting on for pre-existing resistance traits in all areas where LLINs have been deployed. By quantifying rates of selection for resistance against each insecticide, and the environmental drivers of selection, our model can robustly extrapolate levels of resistance to unsampled locations, and to future years under scenarios of </w:t>
      </w:r>
      <w:r w:rsidRPr="00AF28B8">
        <w:rPr>
          <w:rFonts w:ascii="Calibri" w:hAnsi="Calibri" w:cs="Calibri"/>
          <w:color w:val="000000"/>
          <w:sz w:val="22"/>
          <w:szCs w:val="22"/>
        </w:rPr>
        <w:lastRenderedPageBreak/>
        <w:t>future use of insecticides. We use these model predictions to identify areas where standard LLIN will continue to be effective and where the roll out of alternative intervention mixes is most needed, and by when.</w:t>
      </w:r>
    </w:p>
    <w:p w14:paraId="5E40323F"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25-A-3307-ASTMH</w:t>
      </w:r>
    </w:p>
    <w:p w14:paraId="5FD48343"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76BC7C26" w14:textId="10E5D192"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UW-Madison Global Health Institute: Advancing a One Health Approach from Wisconsin to the World, with a Focus on Childhood Blindness and Malnutrition Prevention</w:t>
      </w:r>
    </w:p>
    <w:p w14:paraId="37F3C3B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UW-Madison Global Health Institute embraces a global health ethic that fosters deeper understanding of the complex determinants of health and disease for people, animals, and ecosystems through a One Health model. We uniquely apply research and education both within and across disciplines, advancing health today and ensuring health tomorrow by connecting Wisconsin and the world.</w:t>
      </w:r>
      <w:r w:rsidRPr="00AF28B8">
        <w:rPr>
          <w:rFonts w:ascii="Calibri" w:hAnsi="Calibri" w:cs="Calibri"/>
          <w:color w:val="000000"/>
          <w:sz w:val="22"/>
          <w:szCs w:val="22"/>
        </w:rPr>
        <w:br/>
        <w:t>We are physicians, veterinarians, scientists, engineers, and economists proactively unifying the talent and expertise through a multidisciplinary lens from academia, government, NGOs, health officials, and industry. We tackle global health response and security issues through our collaborative and innovative One Health Centers in India, Colombia, Mexico, South Africa and Rwanda.</w:t>
      </w:r>
      <w:r w:rsidRPr="00AF28B8">
        <w:rPr>
          <w:rFonts w:ascii="Calibri" w:hAnsi="Calibri" w:cs="Calibri"/>
          <w:color w:val="000000"/>
          <w:sz w:val="22"/>
          <w:szCs w:val="22"/>
        </w:rPr>
        <w:br/>
        <w:t>This comparative study demonstrates our collaborative One Health efforts in India and Colombia to tackle Vitamin A deficiency in children. Vitamin A is a critical nutrient for maintaining healthy vision, immune function, and skin health. At both One Health centers, we have partnered with local nonprofits, private sector, and government to evaluate the prevalence of Vitamin deficiencies in children ages 0-6 and 6-12 living in rural communities. Our efforts focus on evaluating the incidence of blindness caused by scarring (xerophthalmia) resulting from Vitamin A deficiency.</w:t>
      </w:r>
      <w:r w:rsidRPr="00AF28B8">
        <w:rPr>
          <w:rFonts w:ascii="Calibri" w:hAnsi="Calibri" w:cs="Calibri"/>
          <w:color w:val="000000"/>
          <w:sz w:val="22"/>
          <w:szCs w:val="22"/>
        </w:rPr>
        <w:br/>
        <w:t>We have designed and implemented a targeted intervention to educate and treat Vitamin A deficiency in the communities with highest prevalence. Post intervention data analysis expects to show an overall improved Z-score, particularly in weight for age, enhanced growth and cognitive development in children with prior nutritional deficits, improved visual acuity, and improved awareness of nutritional deficiencies in the rural communities targeted.</w:t>
      </w:r>
      <w:r w:rsidRPr="00AF28B8">
        <w:rPr>
          <w:rFonts w:ascii="Calibri" w:hAnsi="Calibri" w:cs="Calibri"/>
          <w:color w:val="000000"/>
          <w:sz w:val="22"/>
          <w:szCs w:val="22"/>
        </w:rPr>
        <w:br/>
        <w:t>The comparative study aims to provide scientific evidence of the effectiveness of early nutritional intervention and awareness to prevent blindness from Vitamin A deficiency in rural settings. The hope is to apply lessons learned in both countries to advise further policies and protocols for nutrition, early childhood development and blindness prevention.</w:t>
      </w:r>
    </w:p>
    <w:p w14:paraId="1DA79AA6"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25-A-3308-ASTMH</w:t>
      </w:r>
    </w:p>
    <w:p w14:paraId="41E48601"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76F5BAF0"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Microstratification for Targeted Mass Insecticide Treated Net (ITN) Distribution Campaign in Ouagadougou, Burkina Faso: A Data-Driven Decision-Making Approach</w:t>
      </w:r>
    </w:p>
    <w:p w14:paraId="4C117C94"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Urban malaria control demands precision-guided interventions informed by high-resolution transmission mapping. In Ouagadougou—a city with starkly heterogeneous malaria transmission, the Permanent Secretariat for Malaria Elimination (SP/Palu) employed a microstratification approach to optimize mass insecticide-treated net (ITN) distribution campaigns. Eight potential prioritization criteria were initially evaluated, including transmission intensity, severe malaria burden in children under five, age distribution of uncomplicated malaria, health care access, vulnerable populations, ITN usage, frequency of mosquito species, and mosquito larval site ecology. Data were compiled from multiple sources, including 2023 DHIS2 health facility records, 2021 Demographic and Health Survey (DHS) data, and geospatial datasets on administrative boundaries, demographics, and environmental characteristics. Indicators were analyzed at the arrondissement level while considering health district boundaries to establish a granular yet operationally relevant level of analysis. DHIS2 facilities were mapped to sub-arrondissements using GPS coordinates from the master facilities list, capturing approximately 67% of case-handling facilities, while DHS indicators were mapped using survey cluster GPS coordinates. </w:t>
      </w:r>
      <w:r w:rsidRPr="00AF28B8">
        <w:rPr>
          <w:rFonts w:ascii="Calibri" w:hAnsi="Calibri" w:cs="Calibri"/>
          <w:color w:val="000000"/>
          <w:sz w:val="22"/>
          <w:szCs w:val="22"/>
        </w:rPr>
        <w:lastRenderedPageBreak/>
        <w:t>Through data review, criteria were eliminated based on data availability, quality, or homogeneity, leaving six final criteria—test positivity rate among suspected cases, proportion of uncomplicated cases in children under 5, household wealth, displaced populations, bed net usage, and density of breeding sites. These six indicators were stratified and used to drive a strategic decision tree that prioritized Ouagadougou's seventeen sub-arrondissements into five distinct risk levels. This framework provided SP/Palu with data-driven guidance for targeted ITN distribution, enhancing resource allocation efficiency. This methodology demonstrates the value of microstratification in tailoring public health interventions, offering a replicable model for strategic malaria control planning</w:t>
      </w:r>
    </w:p>
    <w:p w14:paraId="55E5091D"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25-A-3309-ASTMH</w:t>
      </w:r>
    </w:p>
    <w:p w14:paraId="4E9B8516"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3F4D77E1" w14:textId="77777777"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Coronavirus and paramyxovirus prevalence in Philippine pteropodid fruit bats</w:t>
      </w:r>
    </w:p>
    <w:p w14:paraId="19FCD93E"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Bats are reservoirs for a multitude of zoonotic viruses listed as WHO priority pathogens including highly pathogenic paramyxoviruses, coronaviruses and filoviruses. Cross-species transmission of bat-borne viruses to naïve hosts, such as humans and livestock, often results in significant mortality and economic cost. Coronaviruses are responsible for several outbreaks in the past two decades (SARS-CoV, MERS-CoV, SADS-CoV, SARS-CoV-2) and the Philippines has experienced outbreaks of Nipah and Hendra virus, but there are still knowledge gaps in the circulation of these bat-borne viruses. This project aims to identify temporal trends and the associated environmental risk factors that may influence viral load and persistence by surveying the Philippines bat population longitudinally across two years. We have screened 7,043 rectal swabs collected from 10 fruit bat species across five sites in the Philippines between July 2023 to February 2025 for the presence of coronaviruses and paramyxoviruses. The highest prevalence of coronavirus was detected in </w:t>
      </w:r>
      <w:r w:rsidRPr="00AF28B8">
        <w:rPr>
          <w:rFonts w:ascii="Calibri" w:hAnsi="Calibri" w:cs="Calibri"/>
          <w:i/>
          <w:iCs/>
          <w:color w:val="000000"/>
          <w:sz w:val="22"/>
          <w:szCs w:val="22"/>
        </w:rPr>
        <w:t>Rousettus amplexicaudatus, </w:t>
      </w:r>
      <w:r w:rsidRPr="00AF28B8">
        <w:rPr>
          <w:rFonts w:ascii="Calibri" w:hAnsi="Calibri" w:cs="Calibri"/>
          <w:color w:val="000000"/>
          <w:sz w:val="22"/>
          <w:szCs w:val="22"/>
        </w:rPr>
        <w:t>followed by </w:t>
      </w:r>
      <w:r w:rsidRPr="00AF28B8">
        <w:rPr>
          <w:rFonts w:ascii="Calibri" w:hAnsi="Calibri" w:cs="Calibri"/>
          <w:i/>
          <w:iCs/>
          <w:color w:val="000000"/>
          <w:sz w:val="22"/>
          <w:szCs w:val="22"/>
        </w:rPr>
        <w:t>Ptenochirus jagori</w:t>
      </w:r>
      <w:r w:rsidRPr="00AF28B8">
        <w:rPr>
          <w:rFonts w:ascii="Calibri" w:hAnsi="Calibri" w:cs="Calibri"/>
          <w:color w:val="000000"/>
          <w:sz w:val="22"/>
          <w:szCs w:val="22"/>
        </w:rPr>
        <w:t>. Coronavirus sequences were obtained from 227 individual bats from several bat species collected during this period. Preliminary analysis suggest that the circulating coronaviruses in Pteropodid fruit bats from the Philippines belong to genus </w:t>
      </w:r>
      <w:r w:rsidRPr="00AF28B8">
        <w:rPr>
          <w:rFonts w:ascii="Calibri" w:hAnsi="Calibri" w:cs="Calibri"/>
          <w:i/>
          <w:iCs/>
          <w:color w:val="000000"/>
          <w:sz w:val="22"/>
          <w:szCs w:val="22"/>
        </w:rPr>
        <w:t>Betacoronavirus</w:t>
      </w:r>
      <w:r w:rsidRPr="00AF28B8">
        <w:rPr>
          <w:rFonts w:ascii="Calibri" w:hAnsi="Calibri" w:cs="Calibri"/>
          <w:color w:val="000000"/>
          <w:sz w:val="22"/>
          <w:szCs w:val="22"/>
        </w:rPr>
        <w:t>, subgenus</w:t>
      </w:r>
      <w:r w:rsidRPr="00AF28B8">
        <w:rPr>
          <w:rFonts w:ascii="Calibri" w:hAnsi="Calibri" w:cs="Calibri"/>
          <w:i/>
          <w:iCs/>
          <w:color w:val="000000"/>
          <w:sz w:val="22"/>
          <w:szCs w:val="22"/>
        </w:rPr>
        <w:t> Nobecovirus</w:t>
      </w:r>
      <w:r w:rsidRPr="00AF28B8">
        <w:rPr>
          <w:rFonts w:ascii="Calibri" w:hAnsi="Calibri" w:cs="Calibri"/>
          <w:color w:val="000000"/>
          <w:sz w:val="22"/>
          <w:szCs w:val="22"/>
        </w:rPr>
        <w:t>. Paramyxovirus prevalence was the highest in </w:t>
      </w:r>
      <w:r w:rsidRPr="00AF28B8">
        <w:rPr>
          <w:rFonts w:ascii="Calibri" w:hAnsi="Calibri" w:cs="Calibri"/>
          <w:i/>
          <w:iCs/>
          <w:color w:val="000000"/>
          <w:sz w:val="22"/>
          <w:szCs w:val="22"/>
        </w:rPr>
        <w:t>Desmalopex leucopterus </w:t>
      </w:r>
      <w:r w:rsidRPr="00AF28B8">
        <w:rPr>
          <w:rFonts w:ascii="Calibri" w:hAnsi="Calibri" w:cs="Calibri"/>
          <w:color w:val="000000"/>
          <w:sz w:val="22"/>
          <w:szCs w:val="22"/>
        </w:rPr>
        <w:t>and the 3 Pteropus species. Paramyxovirus sequences were obtained from 90 individual bats from several bat species collected during this period. Preliminary analysis suggest that the circulating paramyxoviruses in Pteropodid fruit bats from the Philippines belongs to the </w:t>
      </w:r>
      <w:r w:rsidRPr="00AF28B8">
        <w:rPr>
          <w:rFonts w:ascii="Calibri" w:hAnsi="Calibri" w:cs="Calibri"/>
          <w:i/>
          <w:iCs/>
          <w:color w:val="000000"/>
          <w:sz w:val="22"/>
          <w:szCs w:val="22"/>
        </w:rPr>
        <w:t>Henipavirus</w:t>
      </w:r>
      <w:r w:rsidRPr="00AF28B8">
        <w:rPr>
          <w:rFonts w:ascii="Calibri" w:hAnsi="Calibri" w:cs="Calibri"/>
          <w:color w:val="000000"/>
          <w:sz w:val="22"/>
          <w:szCs w:val="22"/>
        </w:rPr>
        <w:t>, </w:t>
      </w:r>
      <w:r w:rsidRPr="00AF28B8">
        <w:rPr>
          <w:rFonts w:ascii="Calibri" w:hAnsi="Calibri" w:cs="Calibri"/>
          <w:i/>
          <w:iCs/>
          <w:color w:val="000000"/>
          <w:sz w:val="22"/>
          <w:szCs w:val="22"/>
        </w:rPr>
        <w:t>Orthorubulavirus </w:t>
      </w:r>
      <w:r w:rsidRPr="00AF28B8">
        <w:rPr>
          <w:rFonts w:ascii="Calibri" w:hAnsi="Calibri" w:cs="Calibri"/>
          <w:color w:val="000000"/>
          <w:sz w:val="22"/>
          <w:szCs w:val="22"/>
        </w:rPr>
        <w:t>and</w:t>
      </w:r>
      <w:r w:rsidRPr="00AF28B8">
        <w:rPr>
          <w:rFonts w:ascii="Calibri" w:hAnsi="Calibri" w:cs="Calibri"/>
          <w:i/>
          <w:iCs/>
          <w:color w:val="000000"/>
          <w:sz w:val="22"/>
          <w:szCs w:val="22"/>
        </w:rPr>
        <w:t> Pararubulavirus</w:t>
      </w:r>
      <w:r w:rsidRPr="00AF28B8">
        <w:rPr>
          <w:rFonts w:ascii="Calibri" w:hAnsi="Calibri" w:cs="Calibri"/>
          <w:color w:val="000000"/>
          <w:sz w:val="22"/>
          <w:szCs w:val="22"/>
        </w:rPr>
        <w:t> genera with multiple other host species.</w:t>
      </w:r>
    </w:p>
    <w:p w14:paraId="1426E596" w14:textId="77777777" w:rsidR="00EE434E" w:rsidRPr="00AF28B8" w:rsidRDefault="00EE434E" w:rsidP="00EE434E">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25-A-3310-ASTMH</w:t>
      </w:r>
    </w:p>
    <w:p w14:paraId="3342589A" w14:textId="77777777" w:rsidR="00EE434E" w:rsidRPr="00AF28B8" w:rsidRDefault="00EE434E" w:rsidP="00EE434E">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134DCCC3" w14:textId="5BA58CD4" w:rsidR="00EE434E" w:rsidRPr="00AF28B8" w:rsidRDefault="00EE434E" w:rsidP="00EE434E">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Modeling Antibody Kinetics Following Shigella Infection Using a Two-Phase Bayesian Hierarchical Framework</w:t>
      </w:r>
    </w:p>
    <w:p w14:paraId="2AB50CE3" w14:textId="77777777" w:rsidR="00EE434E" w:rsidRPr="00AF28B8" w:rsidRDefault="00EE434E" w:rsidP="00EE434E">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Shigellosis is an acute diarrheal disease caused by infection with Shigella bacteria, primarily affecting children under five in low-resource settings. Despite ongoing development of candidate vaccines, reliable tools to characterize the natural immune response to Shigella infection remain limited. A deeper understanding of the magnitude, timing, and persistence of antibody responses is essential for designing effective serosurveillance systems, developing thresholds for recent exposure, and refining population-level seroincidence estimation. In this study, we modeled antibody kinetics to multiple Shigella antigens following natural infection. We analyzed longitudinal blood samples from 48 individuals with culture- or PCR-confirmed Shigella infection in Dhaka, Bangladesh, representing one of the few well-characterized prospective Shigella cohorts available globally. Samples were tested for IgA and IgG responses using a multiplex bead-based immunoassay targeting five Shigella antigens: the conserved virulence factor IpaB and O-specific polysaccharides (OSP) from S. flexneri 2a, 3a, 6, and S. sonnei. These serotypes account for the majority of global Shigella burden. Antibody kinetics were estimated using within-host two-phase Bayesian hierarchical models implemented with the serodynamics package in R. The model captured key kinetic parameters including the estimated baseline level (y</w:t>
      </w:r>
      <w:r w:rsidRPr="00AF28B8">
        <w:rPr>
          <w:rFonts w:ascii="Calibri" w:hAnsi="Calibri" w:cs="Calibri"/>
          <w:color w:val="000000"/>
          <w:sz w:val="22"/>
          <w:szCs w:val="22"/>
          <w:vertAlign w:val="subscript"/>
        </w:rPr>
        <w:t>0</w:t>
      </w:r>
      <w:r w:rsidRPr="00AF28B8">
        <w:rPr>
          <w:rFonts w:ascii="Calibri" w:hAnsi="Calibri" w:cs="Calibri"/>
          <w:color w:val="000000"/>
          <w:sz w:val="22"/>
          <w:szCs w:val="22"/>
        </w:rPr>
        <w:t xml:space="preserve">), decay rate (α), and decay shape (r), as </w:t>
      </w:r>
      <w:r w:rsidRPr="00AF28B8">
        <w:rPr>
          <w:rFonts w:ascii="Calibri" w:hAnsi="Calibri" w:cs="Calibri"/>
          <w:color w:val="000000"/>
          <w:sz w:val="22"/>
          <w:szCs w:val="22"/>
        </w:rPr>
        <w:lastRenderedPageBreak/>
        <w:t>well as the derived time to peak (t</w:t>
      </w:r>
      <w:r w:rsidRPr="00AF28B8">
        <w:rPr>
          <w:rFonts w:ascii="Calibri" w:hAnsi="Calibri" w:cs="Calibri"/>
          <w:color w:val="000000"/>
          <w:sz w:val="22"/>
          <w:szCs w:val="22"/>
          <w:vertAlign w:val="subscript"/>
        </w:rPr>
        <w:t>1</w:t>
      </w:r>
      <w:r w:rsidRPr="00AF28B8">
        <w:rPr>
          <w:rFonts w:ascii="Calibri" w:hAnsi="Calibri" w:cs="Calibri"/>
          <w:color w:val="000000"/>
          <w:sz w:val="22"/>
          <w:szCs w:val="22"/>
        </w:rPr>
        <w:t>) and peak antibody level (y</w:t>
      </w:r>
      <w:r w:rsidRPr="00AF28B8">
        <w:rPr>
          <w:rFonts w:ascii="Calibri" w:hAnsi="Calibri" w:cs="Calibri"/>
          <w:color w:val="000000"/>
          <w:sz w:val="22"/>
          <w:szCs w:val="22"/>
          <w:vertAlign w:val="subscript"/>
        </w:rPr>
        <w:t>1</w:t>
      </w:r>
      <w:r w:rsidRPr="00AF28B8">
        <w:rPr>
          <w:rFonts w:ascii="Calibri" w:hAnsi="Calibri" w:cs="Calibri"/>
          <w:color w:val="000000"/>
          <w:sz w:val="22"/>
          <w:szCs w:val="22"/>
        </w:rPr>
        <w:t>). We observed substantial heterogeneity across individuals, antigens, and isotypes. IgA responses generally peaked early and declined rapidly, while IgG responses were more sustained. For example, S. flexneri 2a and 3a IgA responses declined steeply, while IgG responses to S. sonnei and IpaB remained elevated above baseline (y</w:t>
      </w:r>
      <w:r w:rsidRPr="00AF28B8">
        <w:rPr>
          <w:rFonts w:ascii="Calibri" w:hAnsi="Calibri" w:cs="Calibri"/>
          <w:color w:val="000000"/>
          <w:sz w:val="22"/>
          <w:szCs w:val="22"/>
          <w:vertAlign w:val="subscript"/>
        </w:rPr>
        <w:t>0</w:t>
      </w:r>
      <w:r w:rsidRPr="00AF28B8">
        <w:rPr>
          <w:rFonts w:ascii="Calibri" w:hAnsi="Calibri" w:cs="Calibri"/>
          <w:color w:val="000000"/>
          <w:sz w:val="22"/>
          <w:szCs w:val="22"/>
        </w:rPr>
        <w:t>) for over 200 days post-infection. These findings highlight the dynamic, antigen-specific nature of Shigella seroresponse and demonstrate the utility of Bayesian hierarchical modeling for quantifying individual-level kinetics and supporting future seroincidence estimation efforts.</w:t>
      </w:r>
    </w:p>
    <w:p w14:paraId="2EC2DAE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25-A-3312-ASTMH</w:t>
      </w:r>
    </w:p>
    <w:p w14:paraId="04539B6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Viruses - Epidemiology</w:t>
      </w:r>
    </w:p>
    <w:p w14:paraId="167E1BC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Mapping Immunity Gaps: Lessons from Measles and Rubella Seroepidemiology in Low- and Middle-Income Countries in Asia</w:t>
      </w:r>
    </w:p>
    <w:p w14:paraId="7EFBAAA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Seroepidemiological evaluation plays a crucial role in assessing population immunity to measles and rubella, particularly in low- and middle-income countries (LMICs) in Asia. By identifying immunity gaps, serosurveys provide essential data to guide immunization policies and support elimination strategies. This presentation shares lessons from field serosurveys conducted in the Lao People’s Democratic Republic (Lao PDR) and the Socialist Republic of Vietnam. In Lao PDR, surveys conducted in 2014 and 2019 showed substantial increases in measles and rubella seroprevalence, surpassing elimination thresholds—reflecting enhanced immunization efforts and cold chain improvements. In Vietnam, a 2019 survey across four South Central provinces indicated consistently high routine immunization coverage, with measles vaccine coverage among infants under one year ranging from 96.3% to 99.2% (2015-2020), suggesting strong population immunity. A 2024 regional review of 130 measles and rubella serosurveys (2014-2024) revealed significant variability in sampling strategies, ELISA assay types, and target populations, highlighting the need for standardized survey protocols and the use of multiplex serology to improve data quality. Common challenges include reliance on convenience sampling, limited age group inclusion, and lack of quantitative antibody data. Broader age coverage, including pre-EPI cohorts, was essential for evaluating long-term immunization impact. In conclusion, repeated implementation of well-designed, standardized serosurveys using robust methods is essential to identify immunity gaps and prevent future outbreaks in LMICs.&lt;!--EndFragment--&gt;</w:t>
      </w:r>
    </w:p>
    <w:p w14:paraId="17CFC0D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25-A-3313-ASTMH</w:t>
      </w:r>
    </w:p>
    <w:p w14:paraId="182498B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Vaccines and Immunotherapeutics</w:t>
      </w:r>
    </w:p>
    <w:p w14:paraId="4F049F2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Pharmacokinetic and pharmacodynamic analysis of the CIS43LS monoclonal antibody against malaria in a Phase 2 trial of Malian adults</w:t>
      </w:r>
    </w:p>
    <w:p w14:paraId="7F5B0EE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CIS43LS is a long-acting monoclonal antibody (mAb) that targets the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circumsporozoite protein on sporozoites, the infective form of malaria parasites. In the first proof-of-concept field trial of an anti-malaria mAb (NCT04329104), a single intravenous dose of CIS43LS was safe and protective against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infection in Malian adults, with 75.0% and 88.2% efficacy by blood smear at 10 mg and 40 mg of CIS43LS per kilogram of body weight, respectively, over a 6-month malaria season. Here, we report the pharmacokinetic and pharmacodynamic analysis of CIS43LS in the Phase 2 trial participants. Among participants in the efficacy study, observed half-life (</w:t>
      </w:r>
      <w:r w:rsidRPr="007C7CE8">
        <w:rPr>
          <w:rFonts w:ascii="Calibri" w:eastAsia="Times New Roman" w:hAnsi="Calibri" w:cs="Calibri"/>
          <w:i/>
          <w:iCs/>
          <w:color w:val="000000"/>
          <w:kern w:val="0"/>
          <w:sz w:val="22"/>
          <w:szCs w:val="22"/>
          <w14:ligatures w14:val="none"/>
        </w:rPr>
        <w:t>t</w:t>
      </w:r>
      <w:r w:rsidRPr="007C7CE8">
        <w:rPr>
          <w:rFonts w:ascii="Calibri" w:eastAsia="Times New Roman" w:hAnsi="Calibri" w:cs="Calibri"/>
          <w:i/>
          <w:iCs/>
          <w:color w:val="000000"/>
          <w:kern w:val="0"/>
          <w:sz w:val="22"/>
          <w:szCs w:val="22"/>
          <w:vertAlign w:val="subscript"/>
          <w14:ligatures w14:val="none"/>
        </w:rPr>
        <w:t>1/2</w:t>
      </w:r>
      <w:r w:rsidRPr="007C7CE8">
        <w:rPr>
          <w:rFonts w:ascii="Calibri" w:eastAsia="Times New Roman" w:hAnsi="Calibri" w:cs="Calibri"/>
          <w:color w:val="000000"/>
          <w:kern w:val="0"/>
          <w:sz w:val="22"/>
          <w:szCs w:val="22"/>
          <w14:ligatures w14:val="none"/>
        </w:rPr>
        <w:t>) (median 60.5 days, Q1=54.3, Q3=67.3 days) significantly varied with the month of CIS43LS administration and malaria transmission intensity but not with age, sex, body-mass index, or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infection status at enrollment. CIS43LS </w:t>
      </w:r>
      <w:r w:rsidRPr="007C7CE8">
        <w:rPr>
          <w:rFonts w:ascii="Calibri" w:eastAsia="Times New Roman" w:hAnsi="Calibri" w:cs="Calibri"/>
          <w:i/>
          <w:iCs/>
          <w:color w:val="000000"/>
          <w:kern w:val="0"/>
          <w:sz w:val="22"/>
          <w:szCs w:val="22"/>
          <w14:ligatures w14:val="none"/>
        </w:rPr>
        <w:t>t</w:t>
      </w:r>
      <w:r w:rsidRPr="007C7CE8">
        <w:rPr>
          <w:rFonts w:ascii="Calibri" w:eastAsia="Times New Roman" w:hAnsi="Calibri" w:cs="Calibri"/>
          <w:i/>
          <w:iCs/>
          <w:color w:val="000000"/>
          <w:kern w:val="0"/>
          <w:sz w:val="22"/>
          <w:szCs w:val="22"/>
          <w:vertAlign w:val="subscript"/>
          <w14:ligatures w14:val="none"/>
        </w:rPr>
        <w:t>1/2</w:t>
      </w:r>
      <w:r w:rsidRPr="007C7CE8">
        <w:rPr>
          <w:rFonts w:ascii="Calibri" w:eastAsia="Times New Roman" w:hAnsi="Calibri" w:cs="Calibri"/>
          <w:color w:val="000000"/>
          <w:kern w:val="0"/>
          <w:sz w:val="22"/>
          <w:szCs w:val="22"/>
          <w14:ligatures w14:val="none"/>
        </w:rPr>
        <w:t> positively correlated with time-to-smear positivity when dosed at 10 mg/kg but not at 40 mg/kg. Total CIS43LS exposure over time, evaluated as area-under-the-curve quartiles, significantly predicted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xml:space="preserve"> infection risk even after controlling for individual and seasonal malaria transmission risk by Cox proportional hazards modeling. Using a two-compartment population pharmacokinetic model, we report the CIS43LS serum concentrations corresponding to &gt;80% probability of protection from infection at 4-month follow-up, which is a WHO preferred product characteristic for efficacy and duration of anti-malaria mAbs, and &gt;70% probability of </w:t>
      </w:r>
      <w:r w:rsidRPr="007C7CE8">
        <w:rPr>
          <w:rFonts w:ascii="Calibri" w:eastAsia="Times New Roman" w:hAnsi="Calibri" w:cs="Calibri"/>
          <w:color w:val="000000"/>
          <w:kern w:val="0"/>
          <w:sz w:val="22"/>
          <w:szCs w:val="22"/>
          <w14:ligatures w14:val="none"/>
        </w:rPr>
        <w:lastRenderedPageBreak/>
        <w:t>protection from infection at 6-month follow-up. After CIS43LS administration, low-level anti-drug antibodies were transiently detected in 1 of 238 (0.4%) participants. These results indicate that protective levels of CIS43LS can be predictably maintained during a 6-month malaria season and support the continued development of antimalarial mAbs for use in populations at risk of malaria.</w:t>
      </w:r>
    </w:p>
    <w:p w14:paraId="6357D5C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25-A-3314-ASTMH</w:t>
      </w:r>
    </w:p>
    <w:p w14:paraId="3BB080D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Helminths – Nematodes – Filariasis (Epidemiology)</w:t>
      </w:r>
    </w:p>
    <w:p w14:paraId="7D4C951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Results of Stop Treatment Assessments for Onchocerciasis in the Kasese district of Lhubiriha focus, Uganda</w:t>
      </w:r>
    </w:p>
    <w:p w14:paraId="7E01A33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Lhubiriha focus in Kasese district, western Uganda, was one of two remaining foci out of an original 17 that remained under treatment for onchocerciasis (river blindness). The focus borders the Democratic Republic of Congo (DRC) and has undergone mass drug administration (MDA) with ivermectin for 32 years (22 years annually and 10 years bi-annually). In 2022, the Uganda Onchocerciasis Elimination Expert Advisory Committee (UOEEAC) classified the focus as “transmission interruption suspected.” This followed a 2019 epidemiological survey that found a 0.14% (3/3,102) Ov16 seroprevalence in children 5 to 9 years old, along with low monthly fly collections (100-300 bites per man/year), all of which tested negative for Ov L3 infective stage. In 2024, an epidemiological assessment was conducted among children 5-9 years in randomly selected parishes. Using a multi-stage stratified sampling scheme, a minimum number of children per parish was selected based on the parish’s population percentage. All 3,135 samples tested for the Ov16 antibody by ELISA were negative (95% confidence interval [CI]: 0-0.06%). Additionally, all 1,823 DBS samples from children in the adjacent Mutwanga health zone in DRC were negative (95% CI: 0-0.1). Between 2022 and 2024, only 62 </w:t>
      </w:r>
      <w:r w:rsidRPr="007C7CE8">
        <w:rPr>
          <w:rFonts w:ascii="Calibri" w:eastAsia="Times New Roman" w:hAnsi="Calibri" w:cs="Calibri"/>
          <w:i/>
          <w:iCs/>
          <w:color w:val="000000"/>
          <w:kern w:val="0"/>
          <w:sz w:val="22"/>
          <w:szCs w:val="22"/>
          <w14:ligatures w14:val="none"/>
        </w:rPr>
        <w:t>Simulium</w:t>
      </w:r>
      <w:r w:rsidRPr="007C7CE8">
        <w:rPr>
          <w:rFonts w:ascii="Calibri" w:eastAsia="Times New Roman" w:hAnsi="Calibri" w:cs="Calibri"/>
          <w:color w:val="000000"/>
          <w:kern w:val="0"/>
          <w:sz w:val="22"/>
          <w:szCs w:val="22"/>
          <w14:ligatures w14:val="none"/>
        </w:rPr>
        <w:t> flies were collected using the human landing catch method due to the destruction of former breeding sites by the 2020 floods in the Lhubiriha focus and neighboring Beni Butembo region of the DRC. None of the fly pools tested positive for infective L3 </w:t>
      </w:r>
      <w:r w:rsidRPr="007C7CE8">
        <w:rPr>
          <w:rFonts w:ascii="Calibri" w:eastAsia="Times New Roman" w:hAnsi="Calibri" w:cs="Calibri"/>
          <w:i/>
          <w:iCs/>
          <w:color w:val="000000"/>
          <w:kern w:val="0"/>
          <w:sz w:val="22"/>
          <w:szCs w:val="22"/>
          <w14:ligatures w14:val="none"/>
        </w:rPr>
        <w:t>Onchocerca</w:t>
      </w:r>
      <w:r w:rsidRPr="007C7CE8">
        <w:rPr>
          <w:rFonts w:ascii="Calibri" w:eastAsia="Times New Roman" w:hAnsi="Calibri" w:cs="Calibri"/>
          <w:color w:val="000000"/>
          <w:kern w:val="0"/>
          <w:sz w:val="22"/>
          <w:szCs w:val="22"/>
          <w14:ligatures w14:val="none"/>
        </w:rPr>
        <w:t> larvae by O-150 PCR. These findings met WHO criteria for stopping MDA, demonstrating with 95% confidence an Ov16 prevalence of &lt;0.1% in children and fewer than &lt;1/2000 infective black flies. Based on this evidence, the UOEEAC reclassified the Lhubiriha focus as “transmission interrupted” in 2024 and recommended halting MDA and starting post-treatment surveillance in January 2025. Consequently, 158,313 people in this focus no longer require ivermectin treatment for onchocerciasis.</w:t>
      </w:r>
    </w:p>
    <w:p w14:paraId="1FE091C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25-A-3317-ASTMH</w:t>
      </w:r>
    </w:p>
    <w:p w14:paraId="0544B2A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Maternal, Newborn and Child Health and Nutrition</w:t>
      </w:r>
    </w:p>
    <w:p w14:paraId="37861E6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Prevalence and Factors associated with Missed Opportunities for Childhood Vaccination in Osun State, Nigeria, A Mixed-Method Study</w:t>
      </w:r>
    </w:p>
    <w:p w14:paraId="2F48898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In sub-Saharan Africa, over 31 million children under five are affected by vaccine-preventable diseases. In Nigeria, vaccination coverage for basic antigens remains critically low at 33.8%, far below the national target of 80%. A significant contributor to this gap is missed opportunities for vaccination (MOV) among eligible children. This study aimed to determine the prevalence of MOV and identify sociodemographic, and health service-related factors associated with MOV among children aged 0-23 months.</w:t>
      </w:r>
      <w:r w:rsidRPr="007C7CE8">
        <w:rPr>
          <w:rFonts w:ascii="Calibri" w:eastAsia="Times New Roman" w:hAnsi="Calibri" w:cs="Calibri"/>
          <w:color w:val="000000"/>
          <w:kern w:val="0"/>
          <w:sz w:val="22"/>
          <w:szCs w:val="22"/>
          <w14:ligatures w14:val="none"/>
        </w:rPr>
        <w:br/>
        <w:t xml:space="preserve">A cross-sectional study design with a mixed-methods approach was used. Quantitative data were collected through caregiver exit interviews (n=735) and health worker surveys (n=210) using standardized MOV questionnaires across 26 health facilities in six LGAs. A multistage sampling was employed. Immunization status was verified from vaccination cards or facility records. Qualitative data were obtained through focus group discussions with caregivers and health workers. Quantitative data were analyzed with Epi Info version 7 using univariate, bivariate, and multivariate analyses, while qualitative data were analyzed thematically. The prevalence of MOV was 27.6% (203/735). Factors associated with lower odds of MOV included younger child age (0-11 months) (OR: 0.4; 95% CI: 0.2-0.8). Caregivers who visited facilities for vaccination and healthy child visits were significantly less likely to experience MOV compared to those visiting due to illness (OR: 34.8; 95% CI: 14.7-82.4). Other predictors </w:t>
      </w:r>
      <w:r w:rsidRPr="007C7CE8">
        <w:rPr>
          <w:rFonts w:ascii="Calibri" w:eastAsia="Times New Roman" w:hAnsi="Calibri" w:cs="Calibri"/>
          <w:color w:val="000000"/>
          <w:kern w:val="0"/>
          <w:sz w:val="22"/>
          <w:szCs w:val="22"/>
          <w14:ligatures w14:val="none"/>
        </w:rPr>
        <w:lastRenderedPageBreak/>
        <w:t>of MOV included lack of vaccination card availability (OR: 134; 95% CI: 33.0-563.7), longer travel to health facility (&gt;30 minutes) (OR: 2.8; 95% CI: 1.6-5.1), and whether the child was vaccinated on the day of the visit (OR: 28.6; 95% CI: 13.9-58.9).</w:t>
      </w:r>
      <w:r w:rsidRPr="007C7CE8">
        <w:rPr>
          <w:rFonts w:ascii="Calibri" w:eastAsia="Times New Roman" w:hAnsi="Calibri" w:cs="Calibri"/>
          <w:color w:val="000000"/>
          <w:kern w:val="0"/>
          <w:sz w:val="22"/>
          <w:szCs w:val="22"/>
          <w14:ligatures w14:val="none"/>
        </w:rPr>
        <w:br/>
        <w:t>To reduce MOV, strategies must include improved coordination between curative and preventive services, enhanced communication with caregivers, routine training for health workers on vaccine contraindications, and daily immunization services, particularly in primary healthcare centers.</w:t>
      </w:r>
    </w:p>
    <w:p w14:paraId="0CD066B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25-A-3318-ASTMH</w:t>
      </w:r>
    </w:p>
    <w:p w14:paraId="32016B8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Pathogenesis</w:t>
      </w:r>
    </w:p>
    <w:p w14:paraId="7B87B75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Heme processing in the human malaria parasite, </w:t>
      </w:r>
      <w:r w:rsidRPr="007C7CE8">
        <w:rPr>
          <w:rFonts w:ascii="Calibri" w:eastAsia="Times New Roman" w:hAnsi="Calibri" w:cs="Calibri"/>
          <w:b/>
          <w:bCs/>
          <w:i/>
          <w:iCs/>
          <w:color w:val="000000"/>
          <w:kern w:val="0"/>
          <w:sz w:val="22"/>
          <w:szCs w:val="22"/>
          <w14:ligatures w14:val="none"/>
        </w:rPr>
        <w:t>Plasmodium falciparum</w:t>
      </w:r>
      <w:r w:rsidRPr="007C7CE8">
        <w:rPr>
          <w:rFonts w:ascii="Calibri" w:eastAsia="Times New Roman" w:hAnsi="Calibri" w:cs="Calibri"/>
          <w:b/>
          <w:bCs/>
          <w:color w:val="000000"/>
          <w:kern w:val="0"/>
          <w:sz w:val="22"/>
          <w:szCs w:val="22"/>
          <w14:ligatures w14:val="none"/>
        </w:rPr>
        <w:t>: the basal-level native state and response to inhibitors</w:t>
      </w:r>
    </w:p>
    <w:p w14:paraId="2092855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Critical to survival of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is the heme detoxification pathway. This biochemical process occurs within the parasite digestive vacuole (DV) and involves catabolism of hemoglobin (Hb) to release peptides and toxic heme. The latter is incorporated into an inert crystal: hemozoin (HZ). Disruption of the pathway is an attractive antimalarial target, numerous clinically relevant antimalarials (e.g. amodiaquine) inhibit HZ formation. In this study, an in-depth analysis of parameters imperative to heme processing were studied to produce insights into the native state of chloroquine-sensitive NF54 and chloroquine-resistant Dd2 parasites. The growth of and uptake into the DV lumen were studied using confocal microscopy, while immunoblotting was used to study the hemoglobinases Plasmepsins I and IV. Cellular fractionation techniques were used to examine the basal levels of heme-containing species, Hb, free heme and HZ. This led to a comprehensive overview of how the DV and its heme metabolism evolves over time. In NF54, three distinct growth and metabolic phases were observed, while only two were observed for Dd2. A shift in Hb equilibrium was observed for Dd2, which may play an auxiliary role in its resistance mechanism to HZ inhibitors. To further probe intracellular heme processing , the pathway was perturbed with inhibitors that target endocytosis, proteases, and HZ formation. Endocytosis inhibitors did not affect the equilibrium of Hb, heme or HZ, but led to a global decrease in the absolute amount of these species and thus total iron in the parasite. In contrast, protease inhibitors caused a shift in Hb equilibrium marked by increased levels of Hb in treated versus untreated parasites and lower levels of HZ. HZ inhibitors caused an increase of free heme and a decrease of HZ. When these inhibitors were studied over time, it was evident that the most metabolically active trophozoite phase was predominantly affected by these inhibitor classes. Whilst these phenotypic signatures provide crucial pathway insights, these also provide fundamental insights that can aid in mechanistic studies and target deconvolution of antimalarials.</w:t>
      </w:r>
    </w:p>
    <w:p w14:paraId="3013102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25-A-3319-ASTMH</w:t>
      </w:r>
    </w:p>
    <w:p w14:paraId="665ECFE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Planetary Health including Climate Change</w:t>
      </w:r>
    </w:p>
    <w:p w14:paraId="5E5AABC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Risk Perception and Climate Change Coping Strategies in a Vulnerable Coastal Area of Bangladesh</w:t>
      </w:r>
    </w:p>
    <w:p w14:paraId="577DE45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Abstract Title: Risk Perception and Climate Change Coping Strategies in a Vulnerable Coastal Area of Bangladesh</w:t>
      </w:r>
      <w:r w:rsidRPr="007C7CE8">
        <w:rPr>
          <w:rFonts w:ascii="Calibri" w:eastAsia="Times New Roman" w:hAnsi="Calibri" w:cs="Calibri"/>
          <w:color w:val="000000"/>
          <w:kern w:val="0"/>
          <w:sz w:val="22"/>
          <w:szCs w:val="22"/>
          <w14:ligatures w14:val="none"/>
        </w:rPr>
        <w:t>Md Mahmudul Hasan</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Lamiya tasnim Niloy</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Irin Hossain</w:t>
      </w:r>
      <w:r w:rsidRPr="007C7CE8">
        <w:rPr>
          <w:rFonts w:ascii="Calibri" w:eastAsia="Times New Roman" w:hAnsi="Calibri" w:cs="Calibri"/>
          <w:color w:val="000000"/>
          <w:kern w:val="0"/>
          <w:sz w:val="22"/>
          <w:szCs w:val="22"/>
          <w:vertAlign w:val="superscript"/>
          <w14:ligatures w14:val="none"/>
        </w:rPr>
        <w:t>3</w:t>
      </w:r>
      <w:r w:rsidRPr="007C7CE8">
        <w:rPr>
          <w:rFonts w:ascii="Calibri" w:eastAsia="Times New Roman" w:hAnsi="Calibri" w:cs="Calibri"/>
          <w:color w:val="000000"/>
          <w:kern w:val="0"/>
          <w:sz w:val="22"/>
          <w:szCs w:val="22"/>
          <w14:ligatures w14:val="none"/>
        </w:rPr>
        <w:t>, M.M. Aktaruzzaman</w:t>
      </w:r>
      <w:r w:rsidRPr="007C7CE8">
        <w:rPr>
          <w:rFonts w:ascii="Calibri" w:eastAsia="Times New Roman" w:hAnsi="Calibri" w:cs="Calibri"/>
          <w:color w:val="000000"/>
          <w:kern w:val="0"/>
          <w:sz w:val="22"/>
          <w:szCs w:val="22"/>
          <w:vertAlign w:val="superscript"/>
          <w14:ligatures w14:val="none"/>
        </w:rPr>
        <w:t>4</w:t>
      </w:r>
      <w:r w:rsidRPr="007C7CE8">
        <w:rPr>
          <w:rFonts w:ascii="Calibri" w:eastAsia="Times New Roman" w:hAnsi="Calibri" w:cs="Calibri"/>
          <w:color w:val="000000"/>
          <w:kern w:val="0"/>
          <w:sz w:val="22"/>
          <w:szCs w:val="22"/>
          <w14:ligatures w14:val="none"/>
        </w:rPr>
        <w:t>Climate change significantly impacts physical, mental, and socio-economic well-being. This cross-sectional study, conducted from January to December 2020 in Maheshkhali Upazila, a climate-vulnerable island in southern Bangladesh, assessed risk perception, coping strategies, and environmental attitudes among adults aged 18 and above. Using multistage sampling, data were collected through a semi-structured questionnaire and analyzed descriptively. Findings revealed high climate risk perception (mean score 23.35 ± 1.934) and strong coping behavior (mean score 41.84 ± 3.558), reflecting positive environmental attitudes. Education was significantly associated with coping behavior (p=0.002). Environmental attitudes showed significant positive correlations (p&lt;0.05) with climate change knowledge, place attachment, and adaptive behavioral intentions. The study emphasizes the need for targeted policies to enhance adaptive capacity and strengthen behavioral intentions in vulnerable populations.1.</w:t>
      </w:r>
      <w:r w:rsidRPr="007C7CE8">
        <w:rPr>
          <w:rFonts w:ascii="Calibri" w:eastAsia="Times New Roman" w:hAnsi="Calibri" w:cs="Calibri"/>
          <w:i/>
          <w:iCs/>
          <w:color w:val="000000"/>
          <w:kern w:val="0"/>
          <w:sz w:val="22"/>
          <w:szCs w:val="22"/>
          <w14:ligatures w14:val="none"/>
        </w:rPr>
        <w:t>Programme Manager, NCD, Brac Health Programme, BRAC, Dhaka. Email: </w:t>
      </w:r>
      <w:r w:rsidRPr="007C7CE8">
        <w:rPr>
          <w:rFonts w:ascii="Calibri" w:eastAsia="Times New Roman" w:hAnsi="Calibri" w:cs="Calibri"/>
          <w:i/>
          <w:iCs/>
          <w:color w:val="000000"/>
          <w:kern w:val="0"/>
          <w:sz w:val="22"/>
          <w:szCs w:val="22"/>
          <w:u w:val="single"/>
          <w14:ligatures w14:val="none"/>
        </w:rPr>
        <w:t>dr.mhasan1313@gmai.com</w:t>
      </w:r>
      <w:r w:rsidRPr="007C7CE8">
        <w:rPr>
          <w:rFonts w:ascii="Calibri" w:eastAsia="Times New Roman" w:hAnsi="Calibri" w:cs="Calibri"/>
          <w:i/>
          <w:iCs/>
          <w:color w:val="000000"/>
          <w:kern w:val="0"/>
          <w:sz w:val="22"/>
          <w:szCs w:val="22"/>
          <w14:ligatures w14:val="none"/>
        </w:rPr>
        <w:t> </w:t>
      </w:r>
      <w:r w:rsidRPr="007C7CE8">
        <w:rPr>
          <w:rFonts w:ascii="Calibri" w:eastAsia="Times New Roman" w:hAnsi="Calibri" w:cs="Calibri"/>
          <w:color w:val="000000"/>
          <w:kern w:val="0"/>
          <w:sz w:val="22"/>
          <w:szCs w:val="22"/>
          <w14:ligatures w14:val="none"/>
        </w:rPr>
        <w:t>2.</w:t>
      </w:r>
      <w:r w:rsidRPr="007C7CE8">
        <w:rPr>
          <w:rFonts w:ascii="Calibri" w:eastAsia="Times New Roman" w:hAnsi="Calibri" w:cs="Calibri"/>
          <w:i/>
          <w:iCs/>
          <w:color w:val="000000"/>
          <w:kern w:val="0"/>
          <w:sz w:val="22"/>
          <w:szCs w:val="22"/>
          <w14:ligatures w14:val="none"/>
        </w:rPr>
        <w:t xml:space="preserve">Research </w:t>
      </w:r>
      <w:r w:rsidRPr="007C7CE8">
        <w:rPr>
          <w:rFonts w:ascii="Calibri" w:eastAsia="Times New Roman" w:hAnsi="Calibri" w:cs="Calibri"/>
          <w:i/>
          <w:iCs/>
          <w:color w:val="000000"/>
          <w:kern w:val="0"/>
          <w:sz w:val="22"/>
          <w:szCs w:val="22"/>
          <w14:ligatures w14:val="none"/>
        </w:rPr>
        <w:lastRenderedPageBreak/>
        <w:t>Fellow, National Institute of Preventive and Social Medicine (NIPSOM), Dhaka. Email: </w:t>
      </w:r>
      <w:r w:rsidRPr="007C7CE8">
        <w:rPr>
          <w:rFonts w:ascii="Calibri" w:eastAsia="Times New Roman" w:hAnsi="Calibri" w:cs="Calibri"/>
          <w:i/>
          <w:iCs/>
          <w:color w:val="000000"/>
          <w:kern w:val="0"/>
          <w:sz w:val="22"/>
          <w:szCs w:val="22"/>
          <w:u w:val="single"/>
          <w14:ligatures w14:val="none"/>
        </w:rPr>
        <w:t>drlamiyatasnim1@gmail.com</w:t>
      </w:r>
      <w:r w:rsidRPr="007C7CE8">
        <w:rPr>
          <w:rFonts w:ascii="Calibri" w:eastAsia="Times New Roman" w:hAnsi="Calibri" w:cs="Calibri"/>
          <w:i/>
          <w:iCs/>
          <w:color w:val="000000"/>
          <w:kern w:val="0"/>
          <w:sz w:val="22"/>
          <w:szCs w:val="22"/>
          <w14:ligatures w14:val="none"/>
        </w:rPr>
        <w:t> </w:t>
      </w:r>
      <w:r w:rsidRPr="007C7CE8">
        <w:rPr>
          <w:rFonts w:ascii="Calibri" w:eastAsia="Times New Roman" w:hAnsi="Calibri" w:cs="Calibri"/>
          <w:color w:val="000000"/>
          <w:kern w:val="0"/>
          <w:sz w:val="22"/>
          <w:szCs w:val="22"/>
          <w14:ligatures w14:val="none"/>
        </w:rPr>
        <w:t>3.</w:t>
      </w:r>
      <w:r w:rsidRPr="007C7CE8">
        <w:rPr>
          <w:rFonts w:ascii="Calibri" w:eastAsia="Times New Roman" w:hAnsi="Calibri" w:cs="Calibri"/>
          <w:i/>
          <w:iCs/>
          <w:color w:val="000000"/>
          <w:kern w:val="0"/>
          <w:sz w:val="22"/>
          <w:szCs w:val="22"/>
          <w14:ligatures w14:val="none"/>
        </w:rPr>
        <w:t>Assistant Professor, Department of Occupational and Environmental Health, National Institute of Preventive and Social Medicine (NIPSOM), Dhaka. Email: </w:t>
      </w:r>
      <w:r w:rsidRPr="007C7CE8">
        <w:rPr>
          <w:rFonts w:ascii="Calibri" w:eastAsia="Times New Roman" w:hAnsi="Calibri" w:cs="Calibri"/>
          <w:i/>
          <w:iCs/>
          <w:color w:val="000000"/>
          <w:kern w:val="0"/>
          <w:sz w:val="22"/>
          <w:szCs w:val="22"/>
          <w:u w:val="single"/>
          <w14:ligatures w14:val="none"/>
        </w:rPr>
        <w:t>irin.hossain@gmail.com</w:t>
      </w:r>
      <w:r w:rsidRPr="007C7CE8">
        <w:rPr>
          <w:rFonts w:ascii="Calibri" w:eastAsia="Times New Roman" w:hAnsi="Calibri" w:cs="Calibri"/>
          <w:i/>
          <w:iCs/>
          <w:color w:val="000000"/>
          <w:kern w:val="0"/>
          <w:sz w:val="22"/>
          <w:szCs w:val="22"/>
          <w14:ligatures w14:val="none"/>
        </w:rPr>
        <w:t> </w:t>
      </w:r>
      <w:r w:rsidRPr="007C7CE8">
        <w:rPr>
          <w:rFonts w:ascii="Calibri" w:eastAsia="Times New Roman" w:hAnsi="Calibri" w:cs="Calibri"/>
          <w:color w:val="000000"/>
          <w:kern w:val="0"/>
          <w:sz w:val="22"/>
          <w:szCs w:val="22"/>
          <w14:ligatures w14:val="none"/>
        </w:rPr>
        <w:t>4.</w:t>
      </w:r>
      <w:r w:rsidRPr="007C7CE8">
        <w:rPr>
          <w:rFonts w:ascii="Calibri" w:eastAsia="Times New Roman" w:hAnsi="Calibri" w:cs="Calibri"/>
          <w:i/>
          <w:iCs/>
          <w:color w:val="000000"/>
          <w:kern w:val="0"/>
          <w:sz w:val="22"/>
          <w:szCs w:val="22"/>
          <w14:ligatures w14:val="none"/>
        </w:rPr>
        <w:t>Assistant Director &amp; Programme Manager, Filariasis, STH, LD, Kala Azar Elimination, Malaria &amp; ATD Communicable Disease Control, Directorate General of Health Services (DGHS), Ministry of Health &amp; Family Welfare, Bangladesh, Email: </w:t>
      </w:r>
      <w:r w:rsidRPr="007C7CE8">
        <w:rPr>
          <w:rFonts w:ascii="Calibri" w:eastAsia="Times New Roman" w:hAnsi="Calibri" w:cs="Calibri"/>
          <w:i/>
          <w:iCs/>
          <w:color w:val="000000"/>
          <w:kern w:val="0"/>
          <w:sz w:val="22"/>
          <w:szCs w:val="22"/>
          <w:u w:val="single"/>
          <w14:ligatures w14:val="none"/>
        </w:rPr>
        <w:t>mmaktarruzzaman93@gmail.com</w:t>
      </w:r>
    </w:p>
    <w:p w14:paraId="13ADA3A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25-A-3320-ASTMH</w:t>
      </w:r>
    </w:p>
    <w:p w14:paraId="076C843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Cestodes (including taeniasis and cysticercosis, echinococcosis/hydatid disease, and others)</w:t>
      </w:r>
    </w:p>
    <w:p w14:paraId="69198C3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Liver Cyst</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b/>
          <w:bCs/>
          <w:color w:val="000000"/>
          <w:kern w:val="0"/>
          <w:sz w:val="22"/>
          <w:szCs w:val="22"/>
          <w14:ligatures w14:val="none"/>
        </w:rPr>
        <w:t>Echinococcosis Cumulative Incidence Over a 10-year Period in a rural Peruvian community</w:t>
      </w:r>
    </w:p>
    <w:p w14:paraId="14262B4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Human Cyst Echinococcosis (CE) remains a significant public health issue in rural communities of Peru. Understanding the dynamics of CE prevalence and incidence over time is critical for improving prevention and control strategies. However the majority of studies that evaluated the incidence of the disease were performed using information from health referral centers. Using information from two ultrasound screening campaigns conducted in Canchayllo, a rural Peruvian community located in Peruvian central highlands, the current study has been focused on the evaluation of changes in CE prevalence. Thus, analyzing participation of inhabitants in either or both campaigns, we estimate liver CE cumulative incidence over the 10-year period among individuals who tested negative in 2009 and were re-examined in 2019. Liver CE cumulative incidence was fitted by GLM to determinate risk factors. Liver CE prevalence was 6.8% (19/279; CI 95% 1.2% - 9.5%) in 2009 and 9.4% (22/234; CI 95% 5.7% - 13.1%) in 2019. Among individuals screened in both years who tested negative in 2009, the cumulative incidence was 11.27 per 100 inhabitants (17/142; CI 95% 3.91 - 18.62). In addition, 3 people were tested positive in both years. Sex (male) and dogs around his daily activities were considered as risk factors with RR of 1.64 (CI 95% 0.27 - 6.42, p-value = 0.500), and 4.22 (CI 95% 0.81 - 76.5, p-value = 0.200), respectively. These findings highlight the persistent transmission of CE in the region and underscore the need for sustained surveillance and targeted interventions to reduce new infections and protect vulnerable populations.</w:t>
      </w:r>
    </w:p>
    <w:p w14:paraId="1757D75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25-A-3321-ASTMH</w:t>
      </w:r>
    </w:p>
    <w:p w14:paraId="1FED823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Diagnosis - Challenges and Innovations</w:t>
      </w:r>
    </w:p>
    <w:p w14:paraId="75AA699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Octopi: Open and Scalable Microscopy Platform for AI-powered Detection of Malaria and Other Diseases</w:t>
      </w:r>
    </w:p>
    <w:p w14:paraId="25A2140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Access to quantitative, robust, and affordable diagnostic tools is essential to address the global burden of infectious diseases. Manual microscopy remains a cornerstone of diagnostic workflows due to its broad adaptability, but is labor-intensive and prone to human error. Recent advances in artificial intelligence (AI) and robotics offer opportunities to automate and enhance microscopy, enabling high-throughput, multi-disease diagnostics with minimal reliance on complex supply chains, but current automated microscopy platforms are often costly and inflexible. We present Octopi, an open, highly configurable, general-purpose automated microscopy platform for a broad range of diagnostic applications. Applying Octopi to imaging malaria parasites with 4',6-diamidino-2-phenylindole (DAPI) staining, we discovered a spectral shift in fluorescence emission allowing rapid screening of blood smears at low magnification with throughput of around 1 million blood cells per minute. We developed image processing and deep learning-based segmentation and classification pipelines enabling real-time processing for malaria diagnosis. For real-world performance validation, we collected a dataset of 213 clinical samples from Uganda and the United States with around 905 million red blood cells and 1.4 million malaria parasites. Using a ResNet-18 model after one round of retraining, the model achieved on average less than 5 false positive parasites/µL and a per-parasite false negative rate below 8% in our test dataset. This implies a limit of detection (LoD) of around 12 parasites/µL, with patient-level performance exceeding 97% specificity and sensitivity in our independent test dataset from 73 patients/donors. As more data is collected in validation studies, we expect model performance and robustness to improve beyond our proof-of-concept experiments. With significant hardware cost reduction compared to </w:t>
      </w:r>
      <w:r w:rsidRPr="007C7CE8">
        <w:rPr>
          <w:rFonts w:ascii="Calibri" w:eastAsia="Times New Roman" w:hAnsi="Calibri" w:cs="Calibri"/>
          <w:color w:val="000000"/>
          <w:kern w:val="0"/>
          <w:sz w:val="22"/>
          <w:szCs w:val="22"/>
          <w14:ligatures w14:val="none"/>
        </w:rPr>
        <w:lastRenderedPageBreak/>
        <w:t>current automated microscopes, and an open and versatile approach for tackling multiple diseases using standard glass slides, Octopi helps enable an "app store" for equitable, AI-powered diagnostics across numerous diseases.</w:t>
      </w:r>
    </w:p>
    <w:p w14:paraId="55E8587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25-A-3322-ASTMH</w:t>
      </w:r>
    </w:p>
    <w:p w14:paraId="4D97B9D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Epidemiology and Vector Control</w:t>
      </w:r>
    </w:p>
    <w:p w14:paraId="50C0F4F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Disaggregating Dengue: A Spatiotemporal Analysis of Dengue Severity Levels and Their Climatic and Socioeconomic Drivers in Thailand, 2003-2023</w:t>
      </w:r>
    </w:p>
    <w:p w14:paraId="1582D11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Dengue remains a significant public health threat in Southeast Asia, with Thailand experiencing recurrent outbreaks that impose heavy morbidity and mortality burdens. However, most spatiotemporal epidemiological studies treat dengue as a single outcome, overlooking distinctions between mild dengue (dengue fever) and severe forms (dengue hemorrhagic fever and dengue shock syndrome). This aggregated approach limits the ability to identify severity-specific risk profiles and design targeted public health interventions.This study leveraged two decades (2003–2023) of nationwide dengue surveillance data across all 77 Thai provinces to examine the spatiotemporal dynamics of dengue disaggregated by severity. We employed Bayesian spatiotemporal models to assess province-level associations with climatic (minimum/maximum temperature, precipitation) and socioeconomic (poverty, education, income) variables. Descriptive analyses revealed dynamic shifts in severity proportions over time and a growing burden among adolescents and working-age adults. While mild dengue was more widely distributed, severe dengue hotspots were geographically concentrated, with evolving patterns over time.Minimum temperature emerged as the most consistent climatic driver for both dengue types, especially in northern and northeastern Thailand. In contrast, severe dengue was more strongly associated with lower education and higher poverty, suggesting socioeconomic vulnerability plays a larger role in severe disease outcomes. Importantly, several risk factors that were non-significant at the national level revealed strong localized associations at the provincial level—emphasizing the value of fine-scale, stratified analyses.These findings provide critical insights for strengthening dengue surveillance, early warning systems, and equity-focused interventions. By distinguishing between mild and severe dengue in both analysis and policy response, this study supports more precise, data-driven strategies for controlling disease burden in dengue-endemic regions.</w:t>
      </w:r>
    </w:p>
    <w:p w14:paraId="569B667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25-A-3323-ASTMH</w:t>
      </w:r>
    </w:p>
    <w:p w14:paraId="22B7F08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Prevention</w:t>
      </w:r>
    </w:p>
    <w:p w14:paraId="05923A9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Pathways through which intermittent preventive treatment for malaria during pregnancy with dihydroartemisinin-piperaquine, sulfadoxine-pyrimethamine, and their combination affect infant growth: a causal mediation analysis</w:t>
      </w:r>
    </w:p>
    <w:p w14:paraId="55DE6F6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Infants born to mothers receiving IPTp with sulfadoxine-pyrimethamine (IPTp-SP) have better ponderal growth in infancy compared to those receiving dihydroartemisinin-piperaquine (IPTp-DP) or a combined regimen (IPTp-DP+SP), even in settings with high SP resistance. To understand potential mechanisms of IPTp effects on ponderal growth (measured with weight-for-length z-scores [WLZ]), we assessed the mediating role of placental malaria. We leveraged data from children born to mothers randomized 1:1:1 to IPTp-SP, IPTp-DP, or IPTp-DP+SP in Busia, Uganda (NCT 04336189). Monthly IPTp was administered starting at 16-20 weeks gestation, and 861 children were recruited at 4-8 weeks for additional follow-up. We estimated “malarial effects” of IPTp on WLZ through changes in active placental malaria infection at delivery (detected parasites via histology) and “non-malarial effects” through all other pathways. At birth, infants born to mothers receiving IPTp-SP had higher mean WLZ (0.87) compared to IPTp-DP (0.64) or IPTp-DP+SP (0.56). From ages 1-3 months, overall, mean WLZ were similar between IPTp-DP vs IPTp-SP (mean difference = 0 [95% CI -0.21, 0.23]) and lower in IPTp-DP+SP vs IPTp-DP (-0.12 [-0.35, 0.12]). IPTp-DP vs. IPTp-SP had a positive malarial effect on mean WLZ (mean difference = 0.07 [0.01, 0.17]) and a negative non-malarial effect of equal size (-0.07 [-0.27, 0.15]). For IPTp-DP+SP vs. IPTp-SP, the malarial effect was the same (0.07 [0.01, 0.17]), but the negative non-malarial effect was larger (-0.19 [-0.43, </w:t>
      </w:r>
      <w:r w:rsidRPr="007C7CE8">
        <w:rPr>
          <w:rFonts w:ascii="Calibri" w:eastAsia="Times New Roman" w:hAnsi="Calibri" w:cs="Calibri"/>
          <w:color w:val="000000"/>
          <w:kern w:val="0"/>
          <w:sz w:val="22"/>
          <w:szCs w:val="22"/>
          <w14:ligatures w14:val="none"/>
        </w:rPr>
        <w:lastRenderedPageBreak/>
        <w:t>0.04]). In both cases, the malarial effects of IPTp-DP or IPTp-DP+SP appeared to partially counteract negative non-malarial effects on mean WLZ relative to IPTp-SP. From ages 4-6 months, overall differences in mean WLZ were larger between IPTp-DP+SP vs IPTp-SP (-0.19 [-0.34, -0.02]) and IPTp-DP vs IPTp-SP (-0.08 [-0.24, 0.09]), and we found no malarial effects. Children born to mothers receiving IPTp-SP vs IPTp-DP or IPTp-DP+SP had better ponderal growth up to age 6 months. Even though DP and DP+SP improved WLZ at 1-3 months through reductions in placental malaria, these effects were outweighed by non-malarial benefits of SP.</w:t>
      </w:r>
    </w:p>
    <w:p w14:paraId="51646CE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25-A-3324-ASTMH</w:t>
      </w:r>
    </w:p>
    <w:p w14:paraId="14B2B36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Diagnosis - Challenges and Innovations</w:t>
      </w:r>
    </w:p>
    <w:p w14:paraId="26988BC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Barriers to Molecular Diagnostic Access: Low PCR Utilisation for Malaria Among Women and Children in Ghana Despite Clinical Need</w:t>
      </w:r>
    </w:p>
    <w:p w14:paraId="4537D8B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Although PCR-based tests are known for their high accuracy in detecting malaria, Ghana’s healthcare system continues to rely primarily on rapid diagnostic tests (RDTs) and microscopy. Molecular methods like PCR remain underutilised, particularly among vulnerable populations such as women and children. This study investigates the social and health system barriers that limit the use of PCR for malaria diagnosis in both urban and rural settings in Ghana. A mixed-methods approach was employed. Health records from 42 clinics were reviewed, and 600 patients were surveyed across four regions: Greater Accra, Ashanti, Northern, and Volta. The findings revealed significant disparities in diagnostic capacity. While 97% of clinics routinely used RDTs, only 3% had access to PCR testing, primarily in large urban hospitals. Logistic regression analysis identified key factors associated with limited PCR use: rural clinic location (adjusted odds ratio [aOR] = 4.1, 95% CI: 2.3–7.4), low household income (aOR = 3.7, 95% CI: 2.0–6.8), and maternal education below secondary level (aOR = 2.9, 95% CI: 1.5–5.6). In addition, 30 healthcare workers were interviewed. Most (87%) reported a lack of PCR machines, 73% indicated insufficient training, and 65% cited the high cost of PCR testing (approximately GH₵25 per test compared to GH₵10 for an RDT). Notably, 68% of severe malaria cases in referral hospitals required PCR testing to confirm malaria species or assess for drug resistance. These findings highlight a substantial gap between diagnostic needs and current capabilities. To address these challenges, we propose three key strategies: (1) establish laboratory networks to link smaller clinics with larger diagnostic centers, (2) provide PCR training for community health workers, and (3) integrate PCR testing into the national health insurance scheme, prioritizing coverage for pregnant women and young children.</w:t>
      </w:r>
    </w:p>
    <w:p w14:paraId="0A82BD6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25-A-3325-ASTMH</w:t>
      </w:r>
    </w:p>
    <w:p w14:paraId="54A7E93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Clinical Tropical Medicine</w:t>
      </w:r>
    </w:p>
    <w:p w14:paraId="48AB891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Association of Persistent Asymptomatic Giardia Colonization in Infancy with Faltered Linear Growth and Elevated Lipocalin-2</w:t>
      </w:r>
    </w:p>
    <w:p w14:paraId="77B6756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Growth faltering during infancy is of major concern in low-resource settings, where </w:t>
      </w:r>
      <w:r w:rsidRPr="007C7CE8">
        <w:rPr>
          <w:rFonts w:ascii="Calibri" w:eastAsia="Times New Roman" w:hAnsi="Calibri" w:cs="Calibri"/>
          <w:i/>
          <w:iCs/>
          <w:color w:val="000000"/>
          <w:kern w:val="0"/>
          <w:sz w:val="22"/>
          <w:szCs w:val="22"/>
          <w14:ligatures w14:val="none"/>
        </w:rPr>
        <w:t>Giardia lamblia</w:t>
      </w:r>
      <w:r w:rsidRPr="007C7CE8">
        <w:rPr>
          <w:rFonts w:ascii="Calibri" w:eastAsia="Times New Roman" w:hAnsi="Calibri" w:cs="Calibri"/>
          <w:color w:val="000000"/>
          <w:kern w:val="0"/>
          <w:sz w:val="22"/>
          <w:szCs w:val="22"/>
          <w14:ligatures w14:val="none"/>
        </w:rPr>
        <w:t> is often linked to disrupted gut function and impaired growth, even in asymptomatic children. This study enrolled infants up to six months of age from rural settings with high malnutrition to investigate associations between </w:t>
      </w:r>
      <w:r w:rsidRPr="007C7CE8">
        <w:rPr>
          <w:rFonts w:ascii="Calibri" w:eastAsia="Times New Roman" w:hAnsi="Calibri" w:cs="Calibri"/>
          <w:i/>
          <w:iCs/>
          <w:color w:val="000000"/>
          <w:kern w:val="0"/>
          <w:sz w:val="22"/>
          <w:szCs w:val="22"/>
          <w14:ligatures w14:val="none"/>
        </w:rPr>
        <w:t>Giardia</w:t>
      </w:r>
      <w:r w:rsidRPr="007C7CE8">
        <w:rPr>
          <w:rFonts w:ascii="Calibri" w:eastAsia="Times New Roman" w:hAnsi="Calibri" w:cs="Calibri"/>
          <w:color w:val="000000"/>
          <w:kern w:val="0"/>
          <w:sz w:val="22"/>
          <w:szCs w:val="22"/>
          <w14:ligatures w14:val="none"/>
        </w:rPr>
        <w:t> burden and growth trajectories, inflammatory markers, and gut permeability. Serum and fecal samples were collected at 6 and 9mo to assess biomarkers, cytokines, and enteropathogen load. Anthropometric measurements were tracked through 24 months, and gut permeability was assessed during the second year. Infants were categorized into four groups based on Giardia detection: i–never detected, ii–Transient (6mo only), iii–Late (9mo only), and iv–Persistent (6 and 9mo). Among 341 infants, 51.6% were </w:t>
      </w:r>
      <w:r w:rsidRPr="007C7CE8">
        <w:rPr>
          <w:rFonts w:ascii="Calibri" w:eastAsia="Times New Roman" w:hAnsi="Calibri" w:cs="Calibri"/>
          <w:i/>
          <w:iCs/>
          <w:color w:val="000000"/>
          <w:kern w:val="0"/>
          <w:sz w:val="22"/>
          <w:szCs w:val="22"/>
          <w14:ligatures w14:val="none"/>
        </w:rPr>
        <w:t>Giardia</w:t>
      </w:r>
      <w:r w:rsidRPr="007C7CE8">
        <w:rPr>
          <w:rFonts w:ascii="Calibri" w:eastAsia="Times New Roman" w:hAnsi="Calibri" w:cs="Calibri"/>
          <w:color w:val="000000"/>
          <w:kern w:val="0"/>
          <w:sz w:val="22"/>
          <w:szCs w:val="22"/>
          <w14:ligatures w14:val="none"/>
        </w:rPr>
        <w:t>+ve at 6mo, and only 18.75% cleared the infection by 9mo. Those exposed early showed significantly elevated fecal lipocalin-2 (LCN) and serum markers (AGP, GLP-2, and CRP) with reduced leptin. By 9 months, 65.7% of infants were </w:t>
      </w:r>
      <w:r w:rsidRPr="007C7CE8">
        <w:rPr>
          <w:rFonts w:ascii="Calibri" w:eastAsia="Times New Roman" w:hAnsi="Calibri" w:cs="Calibri"/>
          <w:i/>
          <w:iCs/>
          <w:color w:val="000000"/>
          <w:kern w:val="0"/>
          <w:sz w:val="22"/>
          <w:szCs w:val="22"/>
          <w14:ligatures w14:val="none"/>
        </w:rPr>
        <w:t>Giardia</w:t>
      </w:r>
      <w:r w:rsidRPr="007C7CE8">
        <w:rPr>
          <w:rFonts w:ascii="Calibri" w:eastAsia="Times New Roman" w:hAnsi="Calibri" w:cs="Calibri"/>
          <w:color w:val="000000"/>
          <w:kern w:val="0"/>
          <w:sz w:val="22"/>
          <w:szCs w:val="22"/>
          <w14:ligatures w14:val="none"/>
        </w:rPr>
        <w:t>+ve. The ‘Persistent’ group had highest LCN levels [19.23(12-27.15),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=0.001 at 6mo and 22.82 (15.7-33.9),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=0.05 at 9mo] and lowest serum levels of leptin [164.4(100.6-271.9)], IGF-2[19.2(13.1-30.2)]. A positive Spearman correlation between LCN and </w:t>
      </w:r>
      <w:r w:rsidRPr="007C7CE8">
        <w:rPr>
          <w:rFonts w:ascii="Calibri" w:eastAsia="Times New Roman" w:hAnsi="Calibri" w:cs="Calibri"/>
          <w:i/>
          <w:iCs/>
          <w:color w:val="000000"/>
          <w:kern w:val="0"/>
          <w:sz w:val="22"/>
          <w:szCs w:val="22"/>
          <w14:ligatures w14:val="none"/>
        </w:rPr>
        <w:t>Giardia</w:t>
      </w:r>
      <w:r w:rsidRPr="007C7CE8">
        <w:rPr>
          <w:rFonts w:ascii="Calibri" w:eastAsia="Times New Roman" w:hAnsi="Calibri" w:cs="Calibri"/>
          <w:color w:val="000000"/>
          <w:kern w:val="0"/>
          <w:sz w:val="22"/>
          <w:szCs w:val="22"/>
          <w14:ligatures w14:val="none"/>
        </w:rPr>
        <w:t xml:space="preserve"> (p=0.001) disappeared by 9mo, suggesting that even a lower </w:t>
      </w:r>
      <w:r w:rsidRPr="007C7CE8">
        <w:rPr>
          <w:rFonts w:ascii="Calibri" w:eastAsia="Times New Roman" w:hAnsi="Calibri" w:cs="Calibri"/>
          <w:color w:val="000000"/>
          <w:kern w:val="0"/>
          <w:sz w:val="22"/>
          <w:szCs w:val="22"/>
          <w14:ligatures w14:val="none"/>
        </w:rPr>
        <w:lastRenderedPageBreak/>
        <w:t>protozoal burden can sustain inflammation. While a decline in LAZ was seen across the cohort, ‘never-detected’ group had better LAZ and WAZ scores at 24 months, whereas early exposure groups (transient and persistent) reported worst LAZ. The ‘Persistent’ group further bore maximum cumulative fecal enteropathogen burden assessed via TAC assay. No difference was seen in gut permeability among groups, as assessed by dual sugar urinary excretion. Given the risk of poor growth with early </w:t>
      </w:r>
      <w:r w:rsidRPr="007C7CE8">
        <w:rPr>
          <w:rFonts w:ascii="Calibri" w:eastAsia="Times New Roman" w:hAnsi="Calibri" w:cs="Calibri"/>
          <w:i/>
          <w:iCs/>
          <w:color w:val="000000"/>
          <w:kern w:val="0"/>
          <w:sz w:val="22"/>
          <w:szCs w:val="22"/>
          <w14:ligatures w14:val="none"/>
        </w:rPr>
        <w:t>Giardia</w:t>
      </w:r>
      <w:r w:rsidRPr="007C7CE8">
        <w:rPr>
          <w:rFonts w:ascii="Calibri" w:eastAsia="Times New Roman" w:hAnsi="Calibri" w:cs="Calibri"/>
          <w:color w:val="000000"/>
          <w:kern w:val="0"/>
          <w:sz w:val="22"/>
          <w:szCs w:val="22"/>
          <w14:ligatures w14:val="none"/>
        </w:rPr>
        <w:t> colonization, non-antibiotic strategies such as amino acid-based interventions that enhance intestinal epithelial anti-microbial activity should be further explored as anti-protozoal medication are linked to resurgence.</w:t>
      </w:r>
    </w:p>
    <w:p w14:paraId="2DC369B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25-A-3326-ASTMH</w:t>
      </w:r>
    </w:p>
    <w:p w14:paraId="3CBB048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Bionomics, Behavior and Surveillance</w:t>
      </w:r>
    </w:p>
    <w:p w14:paraId="6DA92BE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Close-kin mark-recapture methods to estimate dispersal parameters and barrier strength for mosquitoes</w:t>
      </w:r>
    </w:p>
    <w:p w14:paraId="0E05D84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Close-kin mark-recapture (CKMR) methods have recently been used to infer demographic parameters for several aquatic and terrestrial species. For mosquitoes, the spatial distribution of close-kin pairs has been used to estimate mean dispersal distance, of relevance to vector-borne disease transmission and genetic biocontrol strategies. Close-kin methods have advantages over traditional mark-release-recapture (MRR) methods as the mark is genetic, removing the need for physical marking and recapturing that may interfere with movement behavior. Here, we extend CKMR methods to accommodate spatial structure alongside life history for mosquitoes and comparable insects. We derive kinship probabilities for parent-offspring and full-sibling pairs in a spatial context, where an individual in each pair may be a larva or adult. Using the dengue vector </w:t>
      </w:r>
      <w:r w:rsidRPr="007C7CE8">
        <w:rPr>
          <w:rFonts w:ascii="Calibri" w:eastAsia="Times New Roman" w:hAnsi="Calibri" w:cs="Calibri"/>
          <w:i/>
          <w:iCs/>
          <w:color w:val="000000"/>
          <w:kern w:val="0"/>
          <w:sz w:val="22"/>
          <w:szCs w:val="22"/>
          <w14:ligatures w14:val="none"/>
        </w:rPr>
        <w:t>Aedes aegypti</w:t>
      </w:r>
      <w:r w:rsidRPr="007C7CE8">
        <w:rPr>
          <w:rFonts w:ascii="Calibri" w:eastAsia="Times New Roman" w:hAnsi="Calibri" w:cs="Calibri"/>
          <w:color w:val="000000"/>
          <w:kern w:val="0"/>
          <w:sz w:val="22"/>
          <w:szCs w:val="22"/>
          <w14:ligatures w14:val="none"/>
        </w:rPr>
        <w:t> as a case study, we use an individual-based model of mosquito life history to test the effectiveness of this approach at estimating parameters such as mean dispersal distance, daily staying probability, and the strength of a barrier to movement. Considering a simulated population of 9,025 adult mosquitoes arranged on a 19-by-19 grid, we find the CKMR approach provides unbiased and precise estimates of mean dispersal distance given a total of 2,500 adult females sampled over a three-month period using 25 traps evenly spread throughout the landscape. For this landscape, CKMR outperforms simpler close-kin-based approaches to estimate mean dispersal distance. Another advantage of CKMR is its ability to estimate additional parameters for more complex dispersal kernels, such as the daily staying probability of a zero-inflated exponential kernel, or the strength of a barrier to movement, provided the magnitude of these parameters is greater than 0.5. These results suggest that CKMR provides an insightful characterization of mosquito dispersal that is complementary to commonly-used alternatives such as MRR.</w:t>
      </w:r>
    </w:p>
    <w:p w14:paraId="11468E1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25-A-3327-ASTMH</w:t>
      </w:r>
    </w:p>
    <w:p w14:paraId="5AC58C4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Measures for Control and Elimination of Neglected Tropical Diseases (NTDs)</w:t>
      </w:r>
    </w:p>
    <w:p w14:paraId="67A25E2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Health Systems Capacity for Lymphatic Filariasis Morbidity Management in Coastal Kenya: A Cross-Sectional Facility Assessment</w:t>
      </w:r>
    </w:p>
    <w:p w14:paraId="5B039F8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Background</w:t>
      </w:r>
      <w:r w:rsidRPr="007C7CE8">
        <w:rPr>
          <w:rFonts w:ascii="Calibri" w:eastAsia="Times New Roman" w:hAnsi="Calibri" w:cs="Calibri"/>
          <w:color w:val="000000"/>
          <w:kern w:val="0"/>
          <w:sz w:val="22"/>
          <w:szCs w:val="22"/>
          <w14:ligatures w14:val="none"/>
        </w:rPr>
        <w:t> Lymphatic Filariasis (LF) remains a public health concern in Kenya’s coastal region, where it contributes to chronic morbidity, stigma and reduced quality of life due to complications such as lymphedema. Despite progress made through mass treatment, integration of Morbidity Management and Disability Prevention (MMDP) into routine health systems remains weak. Persistent barriers include limited access to care, shortage; of trained personnel, diagnostic tools, essential medicines and inadequate facility level preparedness. This assessment aimed to evaluate the health system readiness and identify gaps in MMDP service delivery across six LF endemic coastal counties in Kenya. </w:t>
      </w:r>
      <w:r w:rsidRPr="007C7CE8">
        <w:rPr>
          <w:rFonts w:ascii="Calibri" w:eastAsia="Times New Roman" w:hAnsi="Calibri" w:cs="Calibri"/>
          <w:b/>
          <w:bCs/>
          <w:color w:val="000000"/>
          <w:kern w:val="0"/>
          <w:sz w:val="22"/>
          <w:szCs w:val="22"/>
          <w14:ligatures w14:val="none"/>
        </w:rPr>
        <w:t>Methodology</w:t>
      </w:r>
      <w:r w:rsidRPr="007C7CE8">
        <w:rPr>
          <w:rFonts w:ascii="Calibri" w:eastAsia="Times New Roman" w:hAnsi="Calibri" w:cs="Calibri"/>
          <w:color w:val="000000"/>
          <w:kern w:val="0"/>
          <w:sz w:val="22"/>
          <w:szCs w:val="22"/>
          <w14:ligatures w14:val="none"/>
        </w:rPr>
        <w:t xml:space="preserve"> An implementation research using both quantitative and qualitative methods was employed. A cross-sectional assessment was conducted in 99 purposively selected facilities spread across the six LF endemic counties. Data were collected on trained personnel, guideline availability, infrastructure, IEC materials, medication stocks, and surveillance tools. Qualitative insights were gathered through in depth interviews with lymphedema patients and caregivers and focus group </w:t>
      </w:r>
      <w:r w:rsidRPr="007C7CE8">
        <w:rPr>
          <w:rFonts w:ascii="Calibri" w:eastAsia="Times New Roman" w:hAnsi="Calibri" w:cs="Calibri"/>
          <w:color w:val="000000"/>
          <w:kern w:val="0"/>
          <w:sz w:val="22"/>
          <w:szCs w:val="22"/>
          <w14:ligatures w14:val="none"/>
        </w:rPr>
        <w:lastRenderedPageBreak/>
        <w:t>discussions with community health promoters. Data were analyzed and benchmarked against WHO MMDP service provision standards. </w:t>
      </w:r>
      <w:r w:rsidRPr="007C7CE8">
        <w:rPr>
          <w:rFonts w:ascii="Calibri" w:eastAsia="Times New Roman" w:hAnsi="Calibri" w:cs="Calibri"/>
          <w:b/>
          <w:bCs/>
          <w:color w:val="000000"/>
          <w:kern w:val="0"/>
          <w:sz w:val="22"/>
          <w:szCs w:val="22"/>
          <w14:ligatures w14:val="none"/>
        </w:rPr>
        <w:t>Findings </w:t>
      </w:r>
      <w:r w:rsidRPr="007C7CE8">
        <w:rPr>
          <w:rFonts w:ascii="Calibri" w:eastAsia="Times New Roman" w:hAnsi="Calibri" w:cs="Calibri"/>
          <w:color w:val="000000"/>
          <w:kern w:val="0"/>
          <w:sz w:val="22"/>
          <w:szCs w:val="22"/>
          <w14:ligatures w14:val="none"/>
        </w:rPr>
        <w:t>Only 52 healthcare workers were trained in lymphedema management, mostly nurses (25%). Mombasa had the highest proportion of facilities with trained staff (31.2%), while Taita Taveta had none. Guidelines were found in six facilities, with Kilifi leading (66.7%). IEC materials were at 96% of sites. Albendazole was well stocked (77%), but DEC/Ivermectin (6%) and antifungals (24%) were scarce. </w:t>
      </w:r>
      <w:r w:rsidRPr="007C7CE8">
        <w:rPr>
          <w:rFonts w:ascii="Calibri" w:eastAsia="Times New Roman" w:hAnsi="Calibri" w:cs="Calibri"/>
          <w:b/>
          <w:bCs/>
          <w:color w:val="000000"/>
          <w:kern w:val="0"/>
          <w:sz w:val="22"/>
          <w:szCs w:val="22"/>
          <w14:ligatures w14:val="none"/>
        </w:rPr>
        <w:t>Conclusion </w:t>
      </w:r>
      <w:r w:rsidRPr="007C7CE8">
        <w:rPr>
          <w:rFonts w:ascii="Calibri" w:eastAsia="Times New Roman" w:hAnsi="Calibri" w:cs="Calibri"/>
          <w:color w:val="000000"/>
          <w:kern w:val="0"/>
          <w:sz w:val="22"/>
          <w:szCs w:val="22"/>
          <w14:ligatures w14:val="none"/>
        </w:rPr>
        <w:t>Critical disparities in health system capacity to manage LF morbidity persist across coastal Kenya. While IEC coverage is high, lack of trained personnel, poor guideline access, and essential medicine stock-outs undermine effective lymphedema care. Strengthening MMDP via targeted investments, supply chain support, and service integration is urgently needed.</w:t>
      </w:r>
    </w:p>
    <w:p w14:paraId="350C5E0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25-A-3328-ASTMH</w:t>
      </w:r>
    </w:p>
    <w:p w14:paraId="367F234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Water, Sanitation, Hygiene and Environmental Health</w:t>
      </w:r>
    </w:p>
    <w:p w14:paraId="46794F9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Water Quality and Public Health Risks: Occurrence of Vibrios and Multidrug-Resistant Pathogenic </w:t>
      </w:r>
      <w:r w:rsidRPr="007C7CE8">
        <w:rPr>
          <w:rFonts w:ascii="Calibri" w:eastAsia="Times New Roman" w:hAnsi="Calibri" w:cs="Calibri"/>
          <w:b/>
          <w:bCs/>
          <w:i/>
          <w:iCs/>
          <w:color w:val="000000"/>
          <w:kern w:val="0"/>
          <w:sz w:val="22"/>
          <w:szCs w:val="22"/>
          <w14:ligatures w14:val="none"/>
        </w:rPr>
        <w:t>Escherichia coli</w:t>
      </w:r>
      <w:r w:rsidRPr="007C7CE8">
        <w:rPr>
          <w:rFonts w:ascii="Calibri" w:eastAsia="Times New Roman" w:hAnsi="Calibri" w:cs="Calibri"/>
          <w:b/>
          <w:bCs/>
          <w:color w:val="000000"/>
          <w:kern w:val="0"/>
          <w:sz w:val="22"/>
          <w:szCs w:val="22"/>
          <w14:ligatures w14:val="none"/>
        </w:rPr>
        <w:t> in Coastal Rivers of Bangladesh</w:t>
      </w:r>
    </w:p>
    <w:p w14:paraId="36EFCDF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River ecosystems play a crucial role in the water cycle, providing habitats, food sources and drinking water to a wide range of animals, including humans. These water bodies naturally harbor </w:t>
      </w:r>
      <w:r w:rsidRPr="007C7CE8">
        <w:rPr>
          <w:rFonts w:ascii="Calibri" w:eastAsia="Times New Roman" w:hAnsi="Calibri" w:cs="Calibri"/>
          <w:i/>
          <w:iCs/>
          <w:color w:val="000000"/>
          <w:kern w:val="0"/>
          <w:sz w:val="22"/>
          <w:szCs w:val="22"/>
          <w14:ligatures w14:val="none"/>
        </w:rPr>
        <w:t>Escherichia coli </w:t>
      </w:r>
      <w:r w:rsidRPr="007C7CE8">
        <w:rPr>
          <w:rFonts w:ascii="Calibri" w:eastAsia="Times New Roman" w:hAnsi="Calibri" w:cs="Calibri"/>
          <w:color w:val="000000"/>
          <w:kern w:val="0"/>
          <w:sz w:val="22"/>
          <w:szCs w:val="22"/>
          <w14:ligatures w14:val="none"/>
        </w:rPr>
        <w:t>and </w:t>
      </w:r>
      <w:r w:rsidRPr="007C7CE8">
        <w:rPr>
          <w:rFonts w:ascii="Calibri" w:eastAsia="Times New Roman" w:hAnsi="Calibri" w:cs="Calibri"/>
          <w:i/>
          <w:iCs/>
          <w:color w:val="000000"/>
          <w:kern w:val="0"/>
          <w:sz w:val="22"/>
          <w:szCs w:val="22"/>
          <w14:ligatures w14:val="none"/>
        </w:rPr>
        <w:t>Vibrio</w:t>
      </w:r>
      <w:r w:rsidRPr="007C7CE8">
        <w:rPr>
          <w:rFonts w:ascii="Calibri" w:eastAsia="Times New Roman" w:hAnsi="Calibri" w:cs="Calibri"/>
          <w:color w:val="000000"/>
          <w:kern w:val="0"/>
          <w:sz w:val="22"/>
          <w:szCs w:val="22"/>
          <w14:ligatures w14:val="none"/>
        </w:rPr>
        <w:t> spp. that may pose ecological and public health risks. This study explored the water quality of four major coastal rivers (Kholpetua, Kobadakh, Payra and Laukathi) in Bangladesh by exploring </w:t>
      </w:r>
      <w:r w:rsidRPr="007C7CE8">
        <w:rPr>
          <w:rFonts w:ascii="Calibri" w:eastAsia="Times New Roman" w:hAnsi="Calibri" w:cs="Calibri"/>
          <w:i/>
          <w:iCs/>
          <w:color w:val="000000"/>
          <w:kern w:val="0"/>
          <w:sz w:val="22"/>
          <w:szCs w:val="22"/>
          <w14:ligatures w14:val="none"/>
        </w:rPr>
        <w:t>E. coli</w:t>
      </w:r>
      <w:r w:rsidRPr="007C7CE8">
        <w:rPr>
          <w:rFonts w:ascii="Calibri" w:eastAsia="Times New Roman" w:hAnsi="Calibri" w:cs="Calibri"/>
          <w:color w:val="000000"/>
          <w:kern w:val="0"/>
          <w:sz w:val="22"/>
          <w:szCs w:val="22"/>
          <w14:ligatures w14:val="none"/>
        </w:rPr>
        <w:t> and Vibrio populations, their pathogenicity and antibiotic resistance. Water samples were collected three times over the year at 11 different strategic points of four rivers. Among the randomly selected 330 </w:t>
      </w:r>
      <w:r w:rsidRPr="007C7CE8">
        <w:rPr>
          <w:rFonts w:ascii="Calibri" w:eastAsia="Times New Roman" w:hAnsi="Calibri" w:cs="Calibri"/>
          <w:i/>
          <w:iCs/>
          <w:color w:val="000000"/>
          <w:kern w:val="0"/>
          <w:sz w:val="22"/>
          <w:szCs w:val="22"/>
          <w14:ligatures w14:val="none"/>
        </w:rPr>
        <w:t>E. coli</w:t>
      </w:r>
      <w:r w:rsidRPr="007C7CE8">
        <w:rPr>
          <w:rFonts w:ascii="Calibri" w:eastAsia="Times New Roman" w:hAnsi="Calibri" w:cs="Calibri"/>
          <w:color w:val="000000"/>
          <w:kern w:val="0"/>
          <w:sz w:val="22"/>
          <w:szCs w:val="22"/>
          <w14:ligatures w14:val="none"/>
        </w:rPr>
        <w:t> isolates from 33 samples, 93.9% were ESBL producers. All the ESBL </w:t>
      </w:r>
      <w:r w:rsidRPr="007C7CE8">
        <w:rPr>
          <w:rFonts w:ascii="Calibri" w:eastAsia="Times New Roman" w:hAnsi="Calibri" w:cs="Calibri"/>
          <w:i/>
          <w:iCs/>
          <w:color w:val="000000"/>
          <w:kern w:val="0"/>
          <w:sz w:val="22"/>
          <w:szCs w:val="22"/>
          <w14:ligatures w14:val="none"/>
        </w:rPr>
        <w:t>E. coli</w:t>
      </w:r>
      <w:r w:rsidRPr="007C7CE8">
        <w:rPr>
          <w:rFonts w:ascii="Calibri" w:eastAsia="Times New Roman" w:hAnsi="Calibri" w:cs="Calibri"/>
          <w:color w:val="000000"/>
          <w:kern w:val="0"/>
          <w:sz w:val="22"/>
          <w:szCs w:val="22"/>
          <w14:ligatures w14:val="none"/>
        </w:rPr>
        <w:t> were found to be multidrug-resistant and the highest rate was observed in the Laukathi (36.7%) and the lowest in Kobadakh (15.6%). Among the tested ESBL genes, </w:t>
      </w:r>
      <w:r w:rsidRPr="007C7CE8">
        <w:rPr>
          <w:rFonts w:ascii="Calibri" w:eastAsia="Times New Roman" w:hAnsi="Calibri" w:cs="Calibri"/>
          <w:i/>
          <w:iCs/>
          <w:color w:val="000000"/>
          <w:kern w:val="0"/>
          <w:sz w:val="22"/>
          <w:szCs w:val="22"/>
          <w14:ligatures w14:val="none"/>
        </w:rPr>
        <w:t>blaCTX-M</w:t>
      </w:r>
      <w:r w:rsidRPr="007C7CE8">
        <w:rPr>
          <w:rFonts w:ascii="Calibri" w:eastAsia="Times New Roman" w:hAnsi="Calibri" w:cs="Calibri"/>
          <w:color w:val="000000"/>
          <w:kern w:val="0"/>
          <w:sz w:val="22"/>
          <w:szCs w:val="22"/>
          <w14:ligatures w14:val="none"/>
        </w:rPr>
        <w:t> was the most prevalent (91.3%), followed by </w:t>
      </w:r>
      <w:r w:rsidRPr="007C7CE8">
        <w:rPr>
          <w:rFonts w:ascii="Calibri" w:eastAsia="Times New Roman" w:hAnsi="Calibri" w:cs="Calibri"/>
          <w:i/>
          <w:iCs/>
          <w:color w:val="000000"/>
          <w:kern w:val="0"/>
          <w:sz w:val="22"/>
          <w:szCs w:val="22"/>
          <w14:ligatures w14:val="none"/>
        </w:rPr>
        <w:t>blaTEM</w:t>
      </w:r>
      <w:r w:rsidRPr="007C7CE8">
        <w:rPr>
          <w:rFonts w:ascii="Calibri" w:eastAsia="Times New Roman" w:hAnsi="Calibri" w:cs="Calibri"/>
          <w:color w:val="000000"/>
          <w:kern w:val="0"/>
          <w:sz w:val="22"/>
          <w:szCs w:val="22"/>
          <w14:ligatures w14:val="none"/>
        </w:rPr>
        <w:t> (24.6%) and </w:t>
      </w:r>
      <w:r w:rsidRPr="007C7CE8">
        <w:rPr>
          <w:rFonts w:ascii="Calibri" w:eastAsia="Times New Roman" w:hAnsi="Calibri" w:cs="Calibri"/>
          <w:i/>
          <w:iCs/>
          <w:color w:val="000000"/>
          <w:kern w:val="0"/>
          <w:sz w:val="22"/>
          <w:szCs w:val="22"/>
          <w14:ligatures w14:val="none"/>
        </w:rPr>
        <w:t>blaOXA</w:t>
      </w:r>
      <w:r w:rsidRPr="007C7CE8">
        <w:rPr>
          <w:rFonts w:ascii="Calibri" w:eastAsia="Times New Roman" w:hAnsi="Calibri" w:cs="Calibri"/>
          <w:color w:val="000000"/>
          <w:kern w:val="0"/>
          <w:sz w:val="22"/>
          <w:szCs w:val="22"/>
          <w14:ligatures w14:val="none"/>
        </w:rPr>
        <w:t> (1.6%). Among the four rivers, </w:t>
      </w:r>
      <w:r w:rsidRPr="007C7CE8">
        <w:rPr>
          <w:rFonts w:ascii="Calibri" w:eastAsia="Times New Roman" w:hAnsi="Calibri" w:cs="Calibri"/>
          <w:i/>
          <w:iCs/>
          <w:color w:val="000000"/>
          <w:kern w:val="0"/>
          <w:sz w:val="22"/>
          <w:szCs w:val="22"/>
          <w14:ligatures w14:val="none"/>
        </w:rPr>
        <w:t>blaCTX-M</w:t>
      </w:r>
      <w:r w:rsidRPr="007C7CE8">
        <w:rPr>
          <w:rFonts w:ascii="Calibri" w:eastAsia="Times New Roman" w:hAnsi="Calibri" w:cs="Calibri"/>
          <w:color w:val="000000"/>
          <w:kern w:val="0"/>
          <w:sz w:val="22"/>
          <w:szCs w:val="22"/>
          <w14:ligatures w14:val="none"/>
        </w:rPr>
        <w:t> was found in 93.3% of the isolates from Kholpetua, followed by 85.7% in Kobadakh, 88.89% in Payra and 95.5% in Laukathi. Moreover, </w:t>
      </w:r>
      <w:r w:rsidRPr="007C7CE8">
        <w:rPr>
          <w:rFonts w:ascii="Calibri" w:eastAsia="Times New Roman" w:hAnsi="Calibri" w:cs="Calibri"/>
          <w:i/>
          <w:iCs/>
          <w:color w:val="000000"/>
          <w:kern w:val="0"/>
          <w:sz w:val="22"/>
          <w:szCs w:val="22"/>
          <w14:ligatures w14:val="none"/>
        </w:rPr>
        <w:t>blaTEM</w:t>
      </w:r>
      <w:r w:rsidRPr="007C7CE8">
        <w:rPr>
          <w:rFonts w:ascii="Calibri" w:eastAsia="Times New Roman" w:hAnsi="Calibri" w:cs="Calibri"/>
          <w:color w:val="000000"/>
          <w:kern w:val="0"/>
          <w:sz w:val="22"/>
          <w:szCs w:val="22"/>
          <w14:ligatures w14:val="none"/>
        </w:rPr>
        <w:t> was found in 20%, 42.7%, 27.8% and 13.6% of the isolates from Kholpetua, Kobadakh, Payra and Laukathi, respectively. The Laukathi river exhibited the highest prevalence of diarrheagenic ESBL-producing isolates (57.1%), where all of them were enterotoxigenic </w:t>
      </w:r>
      <w:r w:rsidRPr="007C7CE8">
        <w:rPr>
          <w:rFonts w:ascii="Calibri" w:eastAsia="Times New Roman" w:hAnsi="Calibri" w:cs="Calibri"/>
          <w:i/>
          <w:iCs/>
          <w:color w:val="000000"/>
          <w:kern w:val="0"/>
          <w:sz w:val="22"/>
          <w:szCs w:val="22"/>
          <w14:ligatures w14:val="none"/>
        </w:rPr>
        <w:t>E. coli</w:t>
      </w:r>
      <w:r w:rsidRPr="007C7CE8">
        <w:rPr>
          <w:rFonts w:ascii="Calibri" w:eastAsia="Times New Roman" w:hAnsi="Calibri" w:cs="Calibri"/>
          <w:color w:val="000000"/>
          <w:kern w:val="0"/>
          <w:sz w:val="22"/>
          <w:szCs w:val="22"/>
          <w14:ligatures w14:val="none"/>
        </w:rPr>
        <w:t>. The presence of </w:t>
      </w:r>
      <w:r w:rsidRPr="007C7CE8">
        <w:rPr>
          <w:rFonts w:ascii="Calibri" w:eastAsia="Times New Roman" w:hAnsi="Calibri" w:cs="Calibri"/>
          <w:i/>
          <w:iCs/>
          <w:color w:val="000000"/>
          <w:kern w:val="0"/>
          <w:sz w:val="22"/>
          <w:szCs w:val="22"/>
          <w14:ligatures w14:val="none"/>
        </w:rPr>
        <w:t>V. cholerae, V. parahaemolyticus</w:t>
      </w:r>
      <w:r w:rsidRPr="007C7CE8">
        <w:rPr>
          <w:rFonts w:ascii="Calibri" w:eastAsia="Times New Roman" w:hAnsi="Calibri" w:cs="Calibri"/>
          <w:color w:val="000000"/>
          <w:kern w:val="0"/>
          <w:sz w:val="22"/>
          <w:szCs w:val="22"/>
          <w14:ligatures w14:val="none"/>
        </w:rPr>
        <w:t>,</w:t>
      </w:r>
      <w:r w:rsidRPr="007C7CE8">
        <w:rPr>
          <w:rFonts w:ascii="Calibri" w:eastAsia="Times New Roman" w:hAnsi="Calibri" w:cs="Calibri"/>
          <w:i/>
          <w:iCs/>
          <w:color w:val="000000"/>
          <w:kern w:val="0"/>
          <w:sz w:val="22"/>
          <w:szCs w:val="22"/>
          <w14:ligatures w14:val="none"/>
        </w:rPr>
        <w:t> V. alginolyticus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V. vulnificus</w:t>
      </w:r>
      <w:r w:rsidRPr="007C7CE8">
        <w:rPr>
          <w:rFonts w:ascii="Calibri" w:eastAsia="Times New Roman" w:hAnsi="Calibri" w:cs="Calibri"/>
          <w:color w:val="000000"/>
          <w:kern w:val="0"/>
          <w:sz w:val="22"/>
          <w:szCs w:val="22"/>
          <w14:ligatures w14:val="none"/>
        </w:rPr>
        <w:t> in these four rivers implies potential public health risks, which serve as critical resources for drinking, irrigation, and aquaculture. This study highlights the pressing need for stringent policies to reduce the environmental dissemination of AMR, ensure safe wastewater discharge, and mitigate the impacts of agricultural and human activities on riverine systems. Addressing these challenges will require coordinated efforts among policymakers, local communities and researchers to ensure sustainable water quality management and reduce the risks posed to public health and the environment.</w:t>
      </w:r>
    </w:p>
    <w:p w14:paraId="28BD62B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25-A-3329-ASTMH</w:t>
      </w:r>
    </w:p>
    <w:p w14:paraId="04809BC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Biology and Genetics of Insecticide Resistance</w:t>
      </w:r>
    </w:p>
    <w:p w14:paraId="54E451C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Regional Comparison of Anopheles Species Composition and Insecticide Resistance in Malaria Risk Regions of Korea.</w:t>
      </w:r>
    </w:p>
    <w:p w14:paraId="5622BD4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Mosquito-borne diseases such as malaria and Japanese encephalitis remain public health concerns in the Republic of Korea. Among these, malaria continues to be endemic, with 673 cases reported in 2023. Of the eight known </w:t>
      </w:r>
      <w:r w:rsidRPr="007C7CE8">
        <w:rPr>
          <w:rFonts w:ascii="Calibri" w:eastAsia="Times New Roman" w:hAnsi="Calibri" w:cs="Calibri"/>
          <w:i/>
          <w:iCs/>
          <w:color w:val="000000"/>
          <w:kern w:val="0"/>
          <w:sz w:val="22"/>
          <w:szCs w:val="22"/>
          <w14:ligatures w14:val="none"/>
        </w:rPr>
        <w:t>Anopheles</w:t>
      </w:r>
      <w:r w:rsidRPr="007C7CE8">
        <w:rPr>
          <w:rFonts w:ascii="Calibri" w:eastAsia="Times New Roman" w:hAnsi="Calibri" w:cs="Calibri"/>
          <w:color w:val="000000"/>
          <w:kern w:val="0"/>
          <w:sz w:val="22"/>
          <w:szCs w:val="22"/>
          <w14:ligatures w14:val="none"/>
        </w:rPr>
        <w:t> species in Korea, seven are implicated in malaria transmission. Although multiple vector control strategies exist, chemical insecticides remain the primary intervention. However, prolonged use has led to the emergence of insecticide resistance, threatening vector control efficacy. In this study, we conducted a regional survey of </w:t>
      </w:r>
      <w:r w:rsidRPr="007C7CE8">
        <w:rPr>
          <w:rFonts w:ascii="Calibri" w:eastAsia="Times New Roman" w:hAnsi="Calibri" w:cs="Calibri"/>
          <w:i/>
          <w:iCs/>
          <w:color w:val="000000"/>
          <w:kern w:val="0"/>
          <w:sz w:val="22"/>
          <w:szCs w:val="22"/>
          <w14:ligatures w14:val="none"/>
        </w:rPr>
        <w:t>Anopheles</w:t>
      </w:r>
      <w:r w:rsidRPr="007C7CE8">
        <w:rPr>
          <w:rFonts w:ascii="Calibri" w:eastAsia="Times New Roman" w:hAnsi="Calibri" w:cs="Calibri"/>
          <w:color w:val="000000"/>
          <w:kern w:val="0"/>
          <w:sz w:val="22"/>
          <w:szCs w:val="22"/>
          <w14:ligatures w14:val="none"/>
        </w:rPr>
        <w:t> species composition and insecticide resistance patterns in malaria risk areas of Gyeonggi-do, Korea. Species identification was performed using morphological and molecular techniques, and insecticide resistance was assessed through genetic analysis targeting known resistance-associated mutations. The findings indicate that </w:t>
      </w:r>
      <w:r w:rsidRPr="007C7CE8">
        <w:rPr>
          <w:rFonts w:ascii="Calibri" w:eastAsia="Times New Roman" w:hAnsi="Calibri" w:cs="Calibri"/>
          <w:i/>
          <w:iCs/>
          <w:color w:val="000000"/>
          <w:kern w:val="0"/>
          <w:sz w:val="22"/>
          <w:szCs w:val="22"/>
          <w14:ligatures w14:val="none"/>
        </w:rPr>
        <w:t xml:space="preserve">Anopheles </w:t>
      </w:r>
      <w:r w:rsidRPr="007C7CE8">
        <w:rPr>
          <w:rFonts w:ascii="Calibri" w:eastAsia="Times New Roman" w:hAnsi="Calibri" w:cs="Calibri"/>
          <w:i/>
          <w:iCs/>
          <w:color w:val="000000"/>
          <w:kern w:val="0"/>
          <w:sz w:val="22"/>
          <w:szCs w:val="22"/>
          <w14:ligatures w14:val="none"/>
        </w:rPr>
        <w:lastRenderedPageBreak/>
        <w:t>sinensis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An. kleini</w:t>
      </w:r>
      <w:r w:rsidRPr="007C7CE8">
        <w:rPr>
          <w:rFonts w:ascii="Calibri" w:eastAsia="Times New Roman" w:hAnsi="Calibri" w:cs="Calibri"/>
          <w:color w:val="000000"/>
          <w:kern w:val="0"/>
          <w:sz w:val="22"/>
          <w:szCs w:val="22"/>
          <w14:ligatures w14:val="none"/>
        </w:rPr>
        <w:t> are the predominant species across the surveyed regions. Moreover, region-specific differences in insecticide resistance profiles were observed, suggesting the need for localized vector management strategies. These results provide important baseline data to support evidence-based malaria vector surveillance and control in Korea.</w:t>
      </w:r>
    </w:p>
    <w:p w14:paraId="0DC503A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25-A-3330-ASTMH</w:t>
      </w:r>
    </w:p>
    <w:p w14:paraId="5A2AA90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Bacteriology - Enteric Infections</w:t>
      </w:r>
    </w:p>
    <w:p w14:paraId="31A2B58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i/>
          <w:iCs/>
          <w:color w:val="000000"/>
          <w:kern w:val="0"/>
          <w:sz w:val="22"/>
          <w:szCs w:val="22"/>
          <w14:ligatures w14:val="none"/>
        </w:rPr>
        <w:t>Shigella</w:t>
      </w:r>
      <w:r w:rsidRPr="007C7CE8">
        <w:rPr>
          <w:rFonts w:ascii="Calibri" w:eastAsia="Times New Roman" w:hAnsi="Calibri" w:cs="Calibri"/>
          <w:b/>
          <w:bCs/>
          <w:color w:val="000000"/>
          <w:kern w:val="0"/>
          <w:sz w:val="22"/>
          <w:szCs w:val="22"/>
          <w14:ligatures w14:val="none"/>
        </w:rPr>
        <w:t> in Bangladesh AMR trends and vaccine solutions</w:t>
      </w:r>
    </w:p>
    <w:p w14:paraId="4A1AC2E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is a common cause of childhood diarrhea, resulting in growth retardation and growth faltering as well as mortality, especially in low- and middle-income countries. We report here the rates of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prevalence and incidence rates from surveillance activities including the sentinel surveillance in 10 districts of Bangladesh as well as in the “Enterics for Global Health (EFGH)” multicountry study where we aimed to determine the incidence and consequences of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-attributable diarrhea among children aged 6 to 35 months.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species were identified and serotyped from rectal swabs using microbiological methods and quantitative PCR, and antimicrobial susceptibility testing using disc diffusion was performed on </w:t>
      </w:r>
      <w:r w:rsidRPr="007C7CE8">
        <w:rPr>
          <w:rFonts w:ascii="Calibri" w:eastAsia="Times New Roman" w:hAnsi="Calibri" w:cs="Calibri"/>
          <w:i/>
          <w:iCs/>
          <w:color w:val="000000"/>
          <w:kern w:val="0"/>
          <w:sz w:val="22"/>
          <w:szCs w:val="22"/>
          <w14:ligatures w14:val="none"/>
        </w:rPr>
        <w:t>Shigella </w:t>
      </w:r>
      <w:r w:rsidRPr="007C7CE8">
        <w:rPr>
          <w:rFonts w:ascii="Calibri" w:eastAsia="Times New Roman" w:hAnsi="Calibri" w:cs="Calibri"/>
          <w:color w:val="000000"/>
          <w:kern w:val="0"/>
          <w:sz w:val="22"/>
          <w:szCs w:val="22"/>
          <w14:ligatures w14:val="none"/>
        </w:rPr>
        <w:t>isolates. The study also used population and care-seeking data from household surveys to estimate adjusted incidence rates. Between June 2022 and June 2024, a total of 1,361 children were enrolled, with a surveyed population of 396,004. The adjusted incidence rate of </w:t>
      </w:r>
      <w:r w:rsidRPr="007C7CE8">
        <w:rPr>
          <w:rFonts w:ascii="Calibri" w:eastAsia="Times New Roman" w:hAnsi="Calibri" w:cs="Calibri"/>
          <w:i/>
          <w:iCs/>
          <w:color w:val="000000"/>
          <w:kern w:val="0"/>
          <w:sz w:val="22"/>
          <w:szCs w:val="22"/>
          <w14:ligatures w14:val="none"/>
        </w:rPr>
        <w:t>Shigella </w:t>
      </w:r>
      <w:r w:rsidRPr="007C7CE8">
        <w:rPr>
          <w:rFonts w:ascii="Calibri" w:eastAsia="Times New Roman" w:hAnsi="Calibri" w:cs="Calibri"/>
          <w:color w:val="000000"/>
          <w:kern w:val="0"/>
          <w:sz w:val="22"/>
          <w:szCs w:val="22"/>
          <w14:ligatures w14:val="none"/>
        </w:rPr>
        <w:t>diarrhea was 6.10 cases per 100 child-years. Among the 200 identified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isolates, there were 47.5% </w:t>
      </w:r>
      <w:r w:rsidRPr="007C7CE8">
        <w:rPr>
          <w:rFonts w:ascii="Calibri" w:eastAsia="Times New Roman" w:hAnsi="Calibri" w:cs="Calibri"/>
          <w:i/>
          <w:iCs/>
          <w:color w:val="000000"/>
          <w:kern w:val="0"/>
          <w:sz w:val="22"/>
          <w:szCs w:val="22"/>
          <w14:ligatures w14:val="none"/>
        </w:rPr>
        <w:t>S. flexneri</w:t>
      </w:r>
      <w:r w:rsidRPr="007C7CE8">
        <w:rPr>
          <w:rFonts w:ascii="Calibri" w:eastAsia="Times New Roman" w:hAnsi="Calibri" w:cs="Calibri"/>
          <w:color w:val="000000"/>
          <w:kern w:val="0"/>
          <w:sz w:val="22"/>
          <w:szCs w:val="22"/>
          <w14:ligatures w14:val="none"/>
        </w:rPr>
        <w:t>, 33.5% </w:t>
      </w:r>
      <w:r w:rsidRPr="007C7CE8">
        <w:rPr>
          <w:rFonts w:ascii="Calibri" w:eastAsia="Times New Roman" w:hAnsi="Calibri" w:cs="Calibri"/>
          <w:i/>
          <w:iCs/>
          <w:color w:val="000000"/>
          <w:kern w:val="0"/>
          <w:sz w:val="22"/>
          <w:szCs w:val="22"/>
          <w14:ligatures w14:val="none"/>
        </w:rPr>
        <w:t>S. sonnei</w:t>
      </w:r>
      <w:r w:rsidRPr="007C7CE8">
        <w:rPr>
          <w:rFonts w:ascii="Calibri" w:eastAsia="Times New Roman" w:hAnsi="Calibri" w:cs="Calibri"/>
          <w:color w:val="000000"/>
          <w:kern w:val="0"/>
          <w:sz w:val="22"/>
          <w:szCs w:val="22"/>
          <w14:ligatures w14:val="none"/>
        </w:rPr>
        <w:t>, 12.5% </w:t>
      </w:r>
      <w:r w:rsidRPr="007C7CE8">
        <w:rPr>
          <w:rFonts w:ascii="Calibri" w:eastAsia="Times New Roman" w:hAnsi="Calibri" w:cs="Calibri"/>
          <w:i/>
          <w:iCs/>
          <w:color w:val="000000"/>
          <w:kern w:val="0"/>
          <w:sz w:val="22"/>
          <w:szCs w:val="22"/>
          <w14:ligatures w14:val="none"/>
        </w:rPr>
        <w:t>S. boydii</w:t>
      </w:r>
      <w:r w:rsidRPr="007C7CE8">
        <w:rPr>
          <w:rFonts w:ascii="Calibri" w:eastAsia="Times New Roman" w:hAnsi="Calibri" w:cs="Calibri"/>
          <w:color w:val="000000"/>
          <w:kern w:val="0"/>
          <w:sz w:val="22"/>
          <w:szCs w:val="22"/>
          <w14:ligatures w14:val="none"/>
        </w:rPr>
        <w:t>, 5% </w:t>
      </w:r>
      <w:r w:rsidRPr="007C7CE8">
        <w:rPr>
          <w:rFonts w:ascii="Calibri" w:eastAsia="Times New Roman" w:hAnsi="Calibri" w:cs="Calibri"/>
          <w:i/>
          <w:iCs/>
          <w:color w:val="000000"/>
          <w:kern w:val="0"/>
          <w:sz w:val="22"/>
          <w:szCs w:val="22"/>
          <w14:ligatures w14:val="none"/>
        </w:rPr>
        <w:t>S. dysenteriae</w:t>
      </w:r>
      <w:r w:rsidRPr="007C7CE8">
        <w:rPr>
          <w:rFonts w:ascii="Calibri" w:eastAsia="Times New Roman" w:hAnsi="Calibri" w:cs="Calibri"/>
          <w:color w:val="000000"/>
          <w:kern w:val="0"/>
          <w:sz w:val="22"/>
          <w:szCs w:val="22"/>
          <w14:ligatures w14:val="none"/>
        </w:rPr>
        <w:t>, and 1.5% of undetermined type. The isolates showed resistance to various antibiotics, including nalidixic acid (86%), ciprofloxacin (61%), trimethoprim/sulfamethoxazole (39%), ampicillin (37%), azithromycin (30%), and ceftriaxone (15%). Pivmecillinam was found to be 100% sensitive. Also, in the nationwide surveillance the prevalence of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was 1.8% and major burden was among under five children. Evidence generated from EFGH and nationwide surveillance is crucial for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vaccine trials, helping policymakers understand the importance and encourage vaccine availability in high-burden areas. Data on incidence, strain distribution and AMR pattern will help in the use and the design of effective vaccines for prevention of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species and serotypes, prioritizing vaccine development, resource allocation and reducing the incidence of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-related diarrhea and improving child health outcomes.</w:t>
      </w:r>
    </w:p>
    <w:p w14:paraId="7FB4D17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25-A-3331-ASTMH</w:t>
      </w:r>
    </w:p>
    <w:p w14:paraId="56D5AEF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Epidemiology and Vector Control</w:t>
      </w:r>
    </w:p>
    <w:p w14:paraId="5EA6B5B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Assessment of the Co-Infection of </w:t>
      </w:r>
      <w:r w:rsidRPr="007C7CE8">
        <w:rPr>
          <w:rFonts w:ascii="Calibri" w:eastAsia="Times New Roman" w:hAnsi="Calibri" w:cs="Calibri"/>
          <w:b/>
          <w:bCs/>
          <w:i/>
          <w:iCs/>
          <w:color w:val="000000"/>
          <w:kern w:val="0"/>
          <w:sz w:val="22"/>
          <w:szCs w:val="22"/>
          <w14:ligatures w14:val="none"/>
        </w:rPr>
        <w:t>Wolbachia </w:t>
      </w:r>
      <w:r w:rsidRPr="007C7CE8">
        <w:rPr>
          <w:rFonts w:ascii="Calibri" w:eastAsia="Times New Roman" w:hAnsi="Calibri" w:cs="Calibri"/>
          <w:b/>
          <w:bCs/>
          <w:color w:val="000000"/>
          <w:kern w:val="0"/>
          <w:sz w:val="22"/>
          <w:szCs w:val="22"/>
          <w14:ligatures w14:val="none"/>
        </w:rPr>
        <w:t>and </w:t>
      </w:r>
      <w:r w:rsidRPr="007C7CE8">
        <w:rPr>
          <w:rFonts w:ascii="Calibri" w:eastAsia="Times New Roman" w:hAnsi="Calibri" w:cs="Calibri"/>
          <w:b/>
          <w:bCs/>
          <w:i/>
          <w:iCs/>
          <w:color w:val="000000"/>
          <w:kern w:val="0"/>
          <w:sz w:val="22"/>
          <w:szCs w:val="22"/>
          <w14:ligatures w14:val="none"/>
        </w:rPr>
        <w:t>Plasmodium falciparum </w:t>
      </w:r>
      <w:r w:rsidRPr="007C7CE8">
        <w:rPr>
          <w:rFonts w:ascii="Calibri" w:eastAsia="Times New Roman" w:hAnsi="Calibri" w:cs="Calibri"/>
          <w:b/>
          <w:bCs/>
          <w:color w:val="000000"/>
          <w:kern w:val="0"/>
          <w:sz w:val="22"/>
          <w:szCs w:val="22"/>
          <w14:ligatures w14:val="none"/>
        </w:rPr>
        <w:t>in wild </w:t>
      </w:r>
      <w:r w:rsidRPr="007C7CE8">
        <w:rPr>
          <w:rFonts w:ascii="Calibri" w:eastAsia="Times New Roman" w:hAnsi="Calibri" w:cs="Calibri"/>
          <w:b/>
          <w:bCs/>
          <w:i/>
          <w:iCs/>
          <w:color w:val="000000"/>
          <w:kern w:val="0"/>
          <w:sz w:val="22"/>
          <w:szCs w:val="22"/>
          <w14:ligatures w14:val="none"/>
        </w:rPr>
        <w:t>Anopheles funestus </w:t>
      </w:r>
      <w:r w:rsidRPr="007C7CE8">
        <w:rPr>
          <w:rFonts w:ascii="Calibri" w:eastAsia="Times New Roman" w:hAnsi="Calibri" w:cs="Calibri"/>
          <w:b/>
          <w:bCs/>
          <w:color w:val="000000"/>
          <w:kern w:val="0"/>
          <w:sz w:val="22"/>
          <w:szCs w:val="22"/>
          <w14:ligatures w14:val="none"/>
        </w:rPr>
        <w:t>Complex in the Kilombero Valley-Tanzania</w:t>
      </w:r>
    </w:p>
    <w:p w14:paraId="3C9601D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finding of natural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infection in malaria vector species and its negative correlation with human malaria parasites highlights the potential use of the endosymbionts for malaria vector control. However, the interaction between </w:t>
      </w:r>
      <w:r w:rsidRPr="007C7CE8">
        <w:rPr>
          <w:rFonts w:ascii="Calibri" w:eastAsia="Times New Roman" w:hAnsi="Calibri" w:cs="Calibri"/>
          <w:i/>
          <w:iCs/>
          <w:color w:val="000000"/>
          <w:kern w:val="0"/>
          <w:sz w:val="22"/>
          <w:szCs w:val="22"/>
          <w14:ligatures w14:val="none"/>
        </w:rPr>
        <w:t>Wolbachia </w:t>
      </w:r>
      <w:r w:rsidRPr="007C7CE8">
        <w:rPr>
          <w:rFonts w:ascii="Calibri" w:eastAsia="Times New Roman" w:hAnsi="Calibri" w:cs="Calibri"/>
          <w:color w:val="000000"/>
          <w:kern w:val="0"/>
          <w:sz w:val="22"/>
          <w:szCs w:val="22"/>
          <w14:ligatures w14:val="none"/>
        </w:rPr>
        <w:t>and </w:t>
      </w:r>
      <w:r w:rsidRPr="007C7CE8">
        <w:rPr>
          <w:rFonts w:ascii="Calibri" w:eastAsia="Times New Roman" w:hAnsi="Calibri" w:cs="Calibri"/>
          <w:i/>
          <w:iCs/>
          <w:color w:val="000000"/>
          <w:kern w:val="0"/>
          <w:sz w:val="22"/>
          <w:szCs w:val="22"/>
          <w14:ligatures w14:val="none"/>
        </w:rPr>
        <w:t>Plasmodium</w:t>
      </w:r>
      <w:r w:rsidRPr="007C7CE8">
        <w:rPr>
          <w:rFonts w:ascii="Calibri" w:eastAsia="Times New Roman" w:hAnsi="Calibri" w:cs="Calibri"/>
          <w:color w:val="000000"/>
          <w:kern w:val="0"/>
          <w:sz w:val="22"/>
          <w:szCs w:val="22"/>
          <w14:ligatures w14:val="none"/>
        </w:rPr>
        <w:t> parasites in wild </w:t>
      </w:r>
      <w:r w:rsidRPr="007C7CE8">
        <w:rPr>
          <w:rFonts w:ascii="Calibri" w:eastAsia="Times New Roman" w:hAnsi="Calibri" w:cs="Calibri"/>
          <w:i/>
          <w:iCs/>
          <w:color w:val="000000"/>
          <w:kern w:val="0"/>
          <w:sz w:val="22"/>
          <w:szCs w:val="22"/>
          <w14:ligatures w14:val="none"/>
        </w:rPr>
        <w:t>Anopheles </w:t>
      </w:r>
      <w:r w:rsidRPr="007C7CE8">
        <w:rPr>
          <w:rFonts w:ascii="Calibri" w:eastAsia="Times New Roman" w:hAnsi="Calibri" w:cs="Calibri"/>
          <w:color w:val="000000"/>
          <w:kern w:val="0"/>
          <w:sz w:val="22"/>
          <w:szCs w:val="22"/>
          <w14:ligatures w14:val="none"/>
        </w:rPr>
        <w:t>mosquitoes is influenced by the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strain and the </w:t>
      </w:r>
      <w:r w:rsidRPr="007C7CE8">
        <w:rPr>
          <w:rFonts w:ascii="Calibri" w:eastAsia="Times New Roman" w:hAnsi="Calibri" w:cs="Calibri"/>
          <w:i/>
          <w:iCs/>
          <w:color w:val="000000"/>
          <w:kern w:val="0"/>
          <w:sz w:val="22"/>
          <w:szCs w:val="22"/>
          <w14:ligatures w14:val="none"/>
        </w:rPr>
        <w:t>Plasmodium </w:t>
      </w:r>
      <w:r w:rsidRPr="007C7CE8">
        <w:rPr>
          <w:rFonts w:ascii="Calibri" w:eastAsia="Times New Roman" w:hAnsi="Calibri" w:cs="Calibri"/>
          <w:color w:val="000000"/>
          <w:kern w:val="0"/>
          <w:sz w:val="22"/>
          <w:szCs w:val="22"/>
          <w14:ligatures w14:val="none"/>
        </w:rPr>
        <w:t>and </w:t>
      </w:r>
      <w:r w:rsidRPr="007C7CE8">
        <w:rPr>
          <w:rFonts w:ascii="Calibri" w:eastAsia="Times New Roman" w:hAnsi="Calibri" w:cs="Calibri"/>
          <w:i/>
          <w:iCs/>
          <w:color w:val="000000"/>
          <w:kern w:val="0"/>
          <w:sz w:val="22"/>
          <w:szCs w:val="22"/>
          <w14:ligatures w14:val="none"/>
        </w:rPr>
        <w:t>Anopheles</w:t>
      </w:r>
      <w:r w:rsidRPr="007C7CE8">
        <w:rPr>
          <w:rFonts w:ascii="Calibri" w:eastAsia="Times New Roman" w:hAnsi="Calibri" w:cs="Calibri"/>
          <w:color w:val="000000"/>
          <w:kern w:val="0"/>
          <w:sz w:val="22"/>
          <w:szCs w:val="22"/>
          <w14:ligatures w14:val="none"/>
        </w:rPr>
        <w:t> species involved, potentially varying across different ecological settings. In Tanzania, the evidence of natural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infection has only been observed in </w:t>
      </w:r>
      <w:r w:rsidRPr="007C7CE8">
        <w:rPr>
          <w:rFonts w:ascii="Calibri" w:eastAsia="Times New Roman" w:hAnsi="Calibri" w:cs="Calibri"/>
          <w:i/>
          <w:iCs/>
          <w:color w:val="000000"/>
          <w:kern w:val="0"/>
          <w:sz w:val="22"/>
          <w:szCs w:val="22"/>
          <w14:ligatures w14:val="none"/>
        </w:rPr>
        <w:t>Anopheles arabiensis</w:t>
      </w:r>
      <w:r w:rsidRPr="007C7CE8">
        <w:rPr>
          <w:rFonts w:ascii="Calibri" w:eastAsia="Times New Roman" w:hAnsi="Calibri" w:cs="Calibri"/>
          <w:color w:val="000000"/>
          <w:kern w:val="0"/>
          <w:sz w:val="22"/>
          <w:szCs w:val="22"/>
          <w14:ligatures w14:val="none"/>
        </w:rPr>
        <w:t>, while there is limited information in </w:t>
      </w:r>
      <w:r w:rsidRPr="007C7CE8">
        <w:rPr>
          <w:rFonts w:ascii="Calibri" w:eastAsia="Times New Roman" w:hAnsi="Calibri" w:cs="Calibri"/>
          <w:i/>
          <w:iCs/>
          <w:color w:val="000000"/>
          <w:kern w:val="0"/>
          <w:sz w:val="22"/>
          <w:szCs w:val="22"/>
          <w14:ligatures w14:val="none"/>
        </w:rPr>
        <w:t>Anopheles funestus </w:t>
      </w:r>
      <w:r w:rsidRPr="007C7CE8">
        <w:rPr>
          <w:rFonts w:ascii="Calibri" w:eastAsia="Times New Roman" w:hAnsi="Calibri" w:cs="Calibri"/>
          <w:color w:val="000000"/>
          <w:kern w:val="0"/>
          <w:sz w:val="22"/>
          <w:szCs w:val="22"/>
          <w14:ligatures w14:val="none"/>
        </w:rPr>
        <w:t>s.l., a leading malaria vector in the country, and its interaction with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To fill this gap, this study investigated the prevalence of co-infection of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and</w:t>
      </w:r>
      <w:r w:rsidRPr="007C7CE8">
        <w:rPr>
          <w:rFonts w:ascii="Calibri" w:eastAsia="Times New Roman" w:hAnsi="Calibri" w:cs="Calibri"/>
          <w:i/>
          <w:iCs/>
          <w:color w:val="000000"/>
          <w:kern w:val="0"/>
          <w:sz w:val="22"/>
          <w:szCs w:val="22"/>
          <w14:ligatures w14:val="none"/>
        </w:rPr>
        <w:t> P. falciparum</w:t>
      </w:r>
      <w:r w:rsidRPr="007C7CE8">
        <w:rPr>
          <w:rFonts w:ascii="Calibri" w:eastAsia="Times New Roman" w:hAnsi="Calibri" w:cs="Calibri"/>
          <w:color w:val="000000"/>
          <w:kern w:val="0"/>
          <w:sz w:val="22"/>
          <w:szCs w:val="22"/>
          <w14:ligatures w14:val="none"/>
        </w:rPr>
        <w:t> in the </w:t>
      </w:r>
      <w:r w:rsidRPr="007C7CE8">
        <w:rPr>
          <w:rFonts w:ascii="Calibri" w:eastAsia="Times New Roman" w:hAnsi="Calibri" w:cs="Calibri"/>
          <w:i/>
          <w:iCs/>
          <w:color w:val="000000"/>
          <w:kern w:val="0"/>
          <w:sz w:val="22"/>
          <w:szCs w:val="22"/>
          <w14:ligatures w14:val="none"/>
        </w:rPr>
        <w:t>An. funestus</w:t>
      </w:r>
      <w:r w:rsidRPr="007C7CE8">
        <w:rPr>
          <w:rFonts w:ascii="Calibri" w:eastAsia="Times New Roman" w:hAnsi="Calibri" w:cs="Calibri"/>
          <w:color w:val="000000"/>
          <w:kern w:val="0"/>
          <w:sz w:val="22"/>
          <w:szCs w:val="22"/>
          <w14:ligatures w14:val="none"/>
        </w:rPr>
        <w:t> species complex in the Kilombero Valley, Tanzania. Mosquitoes were collected from five villages between November 2023 and June 2024, followed by morphological and molecular identification of the </w:t>
      </w:r>
      <w:r w:rsidRPr="007C7CE8">
        <w:rPr>
          <w:rFonts w:ascii="Calibri" w:eastAsia="Times New Roman" w:hAnsi="Calibri" w:cs="Calibri"/>
          <w:i/>
          <w:iCs/>
          <w:color w:val="000000"/>
          <w:kern w:val="0"/>
          <w:sz w:val="22"/>
          <w:szCs w:val="22"/>
          <w14:ligatures w14:val="none"/>
        </w:rPr>
        <w:t>An. funestus</w:t>
      </w:r>
      <w:r w:rsidRPr="007C7CE8">
        <w:rPr>
          <w:rFonts w:ascii="Calibri" w:eastAsia="Times New Roman" w:hAnsi="Calibri" w:cs="Calibri"/>
          <w:color w:val="000000"/>
          <w:kern w:val="0"/>
          <w:sz w:val="22"/>
          <w:szCs w:val="22"/>
          <w14:ligatures w14:val="none"/>
        </w:rPr>
        <w:t> complex. Conventional polymerase chain reaction and enzyme-linked immunosorbent assay were used for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sporozoite detection respectively. A high prevalence of </w:t>
      </w:r>
      <w:r w:rsidRPr="007C7CE8">
        <w:rPr>
          <w:rFonts w:ascii="Calibri" w:eastAsia="Times New Roman" w:hAnsi="Calibri" w:cs="Calibri"/>
          <w:i/>
          <w:iCs/>
          <w:color w:val="000000"/>
          <w:kern w:val="0"/>
          <w:sz w:val="22"/>
          <w:szCs w:val="22"/>
          <w14:ligatures w14:val="none"/>
        </w:rPr>
        <w:t>Wolbachia </w:t>
      </w:r>
      <w:r w:rsidRPr="007C7CE8">
        <w:rPr>
          <w:rFonts w:ascii="Calibri" w:eastAsia="Times New Roman" w:hAnsi="Calibri" w:cs="Calibri"/>
          <w:color w:val="000000"/>
          <w:kern w:val="0"/>
          <w:sz w:val="22"/>
          <w:szCs w:val="22"/>
          <w14:ligatures w14:val="none"/>
        </w:rPr>
        <w:t>infection (prevalence = 46.50%, N = 400), with a low prevalence of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infection (0.75%, N = 400) in </w:t>
      </w:r>
      <w:r w:rsidRPr="007C7CE8">
        <w:rPr>
          <w:rFonts w:ascii="Calibri" w:eastAsia="Times New Roman" w:hAnsi="Calibri" w:cs="Calibri"/>
          <w:i/>
          <w:iCs/>
          <w:color w:val="000000"/>
          <w:kern w:val="0"/>
          <w:sz w:val="22"/>
          <w:szCs w:val="22"/>
          <w14:ligatures w14:val="none"/>
        </w:rPr>
        <w:t>An. funestus</w:t>
      </w:r>
      <w:r w:rsidRPr="007C7CE8">
        <w:rPr>
          <w:rFonts w:ascii="Calibri" w:eastAsia="Times New Roman" w:hAnsi="Calibri" w:cs="Calibri"/>
          <w:color w:val="000000"/>
          <w:kern w:val="0"/>
          <w:sz w:val="22"/>
          <w:szCs w:val="22"/>
          <w14:ligatures w14:val="none"/>
        </w:rPr>
        <w:t> s.l. was observed. Sequencing of the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DNA for 16S rDNA, </w:t>
      </w:r>
      <w:r w:rsidRPr="007C7CE8">
        <w:rPr>
          <w:rFonts w:ascii="Calibri" w:eastAsia="Times New Roman" w:hAnsi="Calibri" w:cs="Calibri"/>
          <w:i/>
          <w:iCs/>
          <w:color w:val="000000"/>
          <w:kern w:val="0"/>
          <w:sz w:val="22"/>
          <w:szCs w:val="22"/>
          <w14:ligatures w14:val="none"/>
        </w:rPr>
        <w:t>coxA</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wsp</w:t>
      </w:r>
      <w:r w:rsidRPr="007C7CE8">
        <w:rPr>
          <w:rFonts w:ascii="Calibri" w:eastAsia="Times New Roman" w:hAnsi="Calibri" w:cs="Calibri"/>
          <w:color w:val="000000"/>
          <w:kern w:val="0"/>
          <w:sz w:val="22"/>
          <w:szCs w:val="22"/>
          <w14:ligatures w14:val="none"/>
        </w:rPr>
        <w:t> confirmed detection of true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strains. The prevalence of co-infection between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xml:space="preserve"> was 0.25%, N = 400. This study </w:t>
      </w:r>
      <w:r w:rsidRPr="007C7CE8">
        <w:rPr>
          <w:rFonts w:ascii="Calibri" w:eastAsia="Times New Roman" w:hAnsi="Calibri" w:cs="Calibri"/>
          <w:color w:val="000000"/>
          <w:kern w:val="0"/>
          <w:sz w:val="22"/>
          <w:szCs w:val="22"/>
          <w14:ligatures w14:val="none"/>
        </w:rPr>
        <w:lastRenderedPageBreak/>
        <w:t>demonstrates that </w:t>
      </w:r>
      <w:r w:rsidRPr="007C7CE8">
        <w:rPr>
          <w:rFonts w:ascii="Calibri" w:eastAsia="Times New Roman" w:hAnsi="Calibri" w:cs="Calibri"/>
          <w:i/>
          <w:iCs/>
          <w:color w:val="000000"/>
          <w:kern w:val="0"/>
          <w:sz w:val="22"/>
          <w:szCs w:val="22"/>
          <w14:ligatures w14:val="none"/>
        </w:rPr>
        <w:t>An. funestus </w:t>
      </w:r>
      <w:r w:rsidRPr="007C7CE8">
        <w:rPr>
          <w:rFonts w:ascii="Calibri" w:eastAsia="Times New Roman" w:hAnsi="Calibri" w:cs="Calibri"/>
          <w:color w:val="000000"/>
          <w:kern w:val="0"/>
          <w:sz w:val="22"/>
          <w:szCs w:val="22"/>
          <w14:ligatures w14:val="none"/>
        </w:rPr>
        <w:t>complex in the Kilombero valley - Tanzania, are naturally infected with </w:t>
      </w:r>
      <w:r w:rsidRPr="007C7CE8">
        <w:rPr>
          <w:rFonts w:ascii="Calibri" w:eastAsia="Times New Roman" w:hAnsi="Calibri" w:cs="Calibri"/>
          <w:i/>
          <w:iCs/>
          <w:color w:val="000000"/>
          <w:kern w:val="0"/>
          <w:sz w:val="22"/>
          <w:szCs w:val="22"/>
          <w14:ligatures w14:val="none"/>
        </w:rPr>
        <w:t>Wolbachia, </w:t>
      </w:r>
      <w:r w:rsidRPr="007C7CE8">
        <w:rPr>
          <w:rFonts w:ascii="Calibri" w:eastAsia="Times New Roman" w:hAnsi="Calibri" w:cs="Calibri"/>
          <w:color w:val="000000"/>
          <w:kern w:val="0"/>
          <w:sz w:val="22"/>
          <w:szCs w:val="22"/>
          <w14:ligatures w14:val="none"/>
        </w:rPr>
        <w:t>with low co-infection between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in the species complex. Further studies are required to ascertain any association between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co-infection in </w:t>
      </w:r>
      <w:r w:rsidRPr="007C7CE8">
        <w:rPr>
          <w:rFonts w:ascii="Calibri" w:eastAsia="Times New Roman" w:hAnsi="Calibri" w:cs="Calibri"/>
          <w:i/>
          <w:iCs/>
          <w:color w:val="000000"/>
          <w:kern w:val="0"/>
          <w:sz w:val="22"/>
          <w:szCs w:val="22"/>
          <w14:ligatures w14:val="none"/>
        </w:rPr>
        <w:t>An. funestus</w:t>
      </w:r>
      <w:r w:rsidRPr="007C7CE8">
        <w:rPr>
          <w:rFonts w:ascii="Calibri" w:eastAsia="Times New Roman" w:hAnsi="Calibri" w:cs="Calibri"/>
          <w:color w:val="000000"/>
          <w:kern w:val="0"/>
          <w:sz w:val="22"/>
          <w:szCs w:val="22"/>
          <w14:ligatures w14:val="none"/>
        </w:rPr>
        <w:t> complex and delineate factors influencing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 distribution and the potential impacts on malaria transmission in this ecological setting. This study, therefore, provides baseline information for </w:t>
      </w:r>
      <w:r w:rsidRPr="007C7CE8">
        <w:rPr>
          <w:rFonts w:ascii="Calibri" w:eastAsia="Times New Roman" w:hAnsi="Calibri" w:cs="Calibri"/>
          <w:i/>
          <w:iCs/>
          <w:color w:val="000000"/>
          <w:kern w:val="0"/>
          <w:sz w:val="22"/>
          <w:szCs w:val="22"/>
          <w14:ligatures w14:val="none"/>
        </w:rPr>
        <w:t>Wolbachia</w:t>
      </w:r>
      <w:r w:rsidRPr="007C7CE8">
        <w:rPr>
          <w:rFonts w:ascii="Calibri" w:eastAsia="Times New Roman" w:hAnsi="Calibri" w:cs="Calibri"/>
          <w:color w:val="000000"/>
          <w:kern w:val="0"/>
          <w:sz w:val="22"/>
          <w:szCs w:val="22"/>
          <w14:ligatures w14:val="none"/>
        </w:rPr>
        <w:t>-based malaria vector control tools in Tanzania</w:t>
      </w:r>
    </w:p>
    <w:p w14:paraId="61D1CFE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25-A-3332-ASTMH</w:t>
      </w:r>
    </w:p>
    <w:p w14:paraId="4921A43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Parasite Transmission Biology</w:t>
      </w:r>
    </w:p>
    <w:p w14:paraId="2AA6916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Gametocyte production and infectivity among Ugandan uncomplicated malaria patients infected with </w:t>
      </w:r>
      <w:r w:rsidRPr="007C7CE8">
        <w:rPr>
          <w:rFonts w:ascii="Calibri" w:eastAsia="Times New Roman" w:hAnsi="Calibri" w:cs="Calibri"/>
          <w:i/>
          <w:iCs/>
          <w:color w:val="000000"/>
          <w:kern w:val="0"/>
          <w:sz w:val="22"/>
          <w:szCs w:val="22"/>
          <w14:ligatures w14:val="none"/>
        </w:rPr>
        <w:t>P. falciparum </w:t>
      </w:r>
      <w:r w:rsidRPr="007C7CE8">
        <w:rPr>
          <w:rFonts w:ascii="Calibri" w:eastAsia="Times New Roman" w:hAnsi="Calibri" w:cs="Calibri"/>
          <w:color w:val="000000"/>
          <w:kern w:val="0"/>
          <w:sz w:val="22"/>
          <w:szCs w:val="22"/>
          <w14:ligatures w14:val="none"/>
        </w:rPr>
        <w:t>parasites with reduced sensitivity to artemisinins</w:t>
      </w:r>
    </w:p>
    <w:p w14:paraId="5324DCB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Artemisinin partial resistance associated with mutations in PfKelch13 recently emerged in Africa. The prevalence of PfKelch13 mutations can be determined by sequencing and droplet digital PCR (ddPCR). The transmission fitness of PfKelch13 mutant infections is currently unknown and was the focus of this study. We enrolled 235 patients with uncomplicated malaria in Kalongo, Uganda, of whom 77.3% had multiclonal infections. At presentation, 56.7% (132/233) had pure wild-type infections by PfKelch13 sequencing and ddPCR. Conventional PfKelch13 sequencing identified the PfKelch13 C469Y mutation in 29.9% and the A675V mutation in 4.2% of patients as pure or mixed-clone infections. ddPCR had higher sensitivity and increased these prevalences to 33.0% and 7.6%, respectively. Gametocyte carriage by microscopy was 16.8% (20/119) in wild-type, 17.5% (11/63) in mixed and 9.5% (2/21) in pure-mutant infections. By qPCR, these prevalences by 44.2% (61/138), 60.0% (42/70) and 31.8%, (7/22), respectively. qPCR gametocyte density was non-significantly higher in mutant (mixed and pure) compared to pure wild-type infections (p=0.132). Mosquito feeding assays were performed using physiological gametocyte concentrations (whole blood) and after enrichment of gametocytes by magnetic activated cell sorting (MACS). 7.9% (18/227) of patients infected mosquitoes in whole blood feeds and 11.9% (27/227) in MACS feeds. Mosquito infection rates positively associated with gametocyte densities (p&lt;0.001). After adjusting for gametocyte density, mosquito infection rates were not different between wild-type and mutant infections (p≥0.27). Individual infected mosquito guts are undergoing ddPCR; this will provide a higher level of detail. We further collected field-caught mosquitoes and detected salivary gland sporozoites with PfKelch13 mutations, further supporting the transmissibility of mutant infections. We conclude that parasites with C469Y and A675V mutations produce infectious gametocytes and that preliminary analyses provided no evidence for elevated mosquito infection rates.</w:t>
      </w:r>
    </w:p>
    <w:p w14:paraId="4833DFC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25-A-3333-ASTMH</w:t>
      </w:r>
    </w:p>
    <w:p w14:paraId="091B93F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Antimalarial Resistance and Chemotherapy</w:t>
      </w:r>
    </w:p>
    <w:p w14:paraId="0208C5C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Finally - evidence-based regimens for single, low dose primaquine for transmission blocking. How did we do it?</w:t>
      </w:r>
    </w:p>
    <w:p w14:paraId="259707C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WHO recommended single low dose primaquine (SLDPQ, 0.25 mg/kg body weight) in 2012 as a tool to support the elimination of artemisinin-resistant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but we still lack weight-based regimens founded on robust evidence. Applying published safety, transmission blocking, pharmacokinetic data and exploring pharmacokinetic-pharmacodynamic relationships of SLDPQ in African children with acute, uncomplicated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xml:space="preserve">, we derived weight-based, stand-alone, ACT-, triple ACT-, and vivax-matched regimens by following allometric dosing principles and simulating PQ exposure (area under the concentration time curve). The ACTs were dihydroartemisinin piperaquine, artesunate pyronaridine, artesunate amodiaquine (ASAQ), artesunate mefloquine, artemether lumefantrine (AL), and the triple ALAQ. Tablet strengths were predefined: 2.5, 3.75, 5, 7.5, and 15 mg, and no tablet fractions were allowed. The maximum mg/kg dose was set at 0.5, and, primarily for ease of ACT coblistering, 1 tablet = 1 dose. We assessed different mg/kg doses and selected the dosing aiming for a predicted median exposure closest to 1200 ng*h/mL, the exposure predicted for </w:t>
      </w:r>
      <w:r w:rsidRPr="007C7CE8">
        <w:rPr>
          <w:rFonts w:ascii="Calibri" w:eastAsia="Times New Roman" w:hAnsi="Calibri" w:cs="Calibri"/>
          <w:color w:val="000000"/>
          <w:kern w:val="0"/>
          <w:sz w:val="22"/>
          <w:szCs w:val="22"/>
          <w14:ligatures w14:val="none"/>
        </w:rPr>
        <w:lastRenderedPageBreak/>
        <w:t>a 60 kg individual given 15 mg of PQ. The designed 8 regimens had 4-8 dosing bands and all used the full line of PQ tablet strengths, except AL (2.5, 7.5, 15 mg) and ALAQ (2.5, 5, 7.5, 15 mg). The 2.5 mg tablet resulted in a maximum dose of 0.56 mg/kg for ASAQ, as this regimen starts at 4.5 kg, while all other regimens start at 5 kg and resulted in 0.5 mg/kg. Substituting 3.75 mg with 5 mg results in maximum doses of 0.56 mg/kg (ASAQ, ASMQ) and 0.63 mg/kg (all other regimens), risking greater toxicity. Across all dosing bands, 0.17-0.56 mg/kg doses predict median exposures of ~500-2000 ng*mL/h]; regimens with more dosing bands had less variations in exposure. These regimens offer flexibility for malaria control programmes and guidance for drug manufacturers wishing to coblister SLDPQ with ACTs. The WHO should reinstate the 3.75 mg for prequalification and determine which of these regimens should be incorporated into their treatment guidelines to advance malaria elimination.</w:t>
      </w:r>
    </w:p>
    <w:p w14:paraId="2E11490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25-A-3334-ASTMH</w:t>
      </w:r>
    </w:p>
    <w:p w14:paraId="682AD70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Measures for Control and Elimination of Neglected Tropical Diseases (NTDs)</w:t>
      </w:r>
    </w:p>
    <w:p w14:paraId="4E87E05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Providing Evidence on the Status of Transmission and Progress of Onchocerciasis in Liberia</w:t>
      </w:r>
    </w:p>
    <w:p w14:paraId="4DB6374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Despite challenges face by Onchocerciasis endemic countries as they progress towards elimination, Liberia is reducing the overall onchocerciasis burden since 1999 Rapid Epidemiological Mapping of Onchocerciasis conducted by APOC. Breeding Site Assessment data produce maps of potential breeding sites and sites that were found to be positive for larva. The data was used to map and list front line communities close to potential breeding sites and utilized GIS maps to apply 5 km radius to other surrounding communities. Based on the available breeding site data, during the period 2018-2022, Liberia conducted its first programmatic Ov16 serological surveys (pre-stop) to provide evidence on the status of transmission of Onchocerciasis across the fifteen counties. The cross-sectional epidemiological studies objectives were to determine the village level sero-prevalence of Ov16 in children 5-9 years old. A target convenience sample size of 100 children from each frontline communities within 5km of a blackfly breeding site was selected in line with WHO onchocerciasis technical subcommittee guidelines. In 2018, all enrolled consented children were tested for Ov16 using RDT in the field, and DBS were collected to allow subsequent ELISA testing. Of children testing negative for rapid test, 10% was randomly selected for confirmatory testing using SD Ov16 ELISA (Abbott, South Korea). Out of the target sample size of 3,000 within five counties, a sample size of 2,468 was achieved, 91 tested positive for Ov16 via RDT while 104 was positive using confirmatory test ELISA. Additionally, in 2022, RDTs were conducted in the laboratory for ten counties, using Dried Blood Spot (DBS) protein saver filter paper wheels. Out of the target of 15,000, a sample size of 10,950 was achieved. One-hour RDT prevalence result shows 606 positives while Twenty four-hour RDT prevalence result shows 612 positives. The overall Onchocerciasis prevalence after the 2018 and 2022 RDT surveys is 5.3% compared to the 2013 skin snip survey (6.85%) and 1999 REMO prevalence (17.17%). According to WHO, to proceed to a full stop MDA survey, the prevalence threshold for IUs to “pass” pre-stop is &lt;2%.</w:t>
      </w:r>
    </w:p>
    <w:p w14:paraId="6274930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25-A-3335-ASTMH</w:t>
      </w:r>
    </w:p>
    <w:p w14:paraId="2D39A91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Epidemiology</w:t>
      </w:r>
    </w:p>
    <w:p w14:paraId="1818DBF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Recurrence and diversity of Plasmodium ovale infections in coastal Tanzania</w:t>
      </w:r>
    </w:p>
    <w:p w14:paraId="0CBBF2F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Plasmodium ovale</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infections are seldom diagnosed in sub-Saharan Africa. While molecular surveys have revealed substantial prevalence in Tanzania, little is known about the longitudinal patterns of carriage and recurrence.</w:t>
      </w:r>
      <w:r w:rsidRPr="007C7CE8">
        <w:rPr>
          <w:rFonts w:ascii="Calibri" w:eastAsia="Times New Roman" w:hAnsi="Calibri" w:cs="Calibri"/>
          <w:color w:val="000000"/>
          <w:kern w:val="0"/>
          <w:sz w:val="22"/>
          <w:szCs w:val="22"/>
          <w14:ligatures w14:val="none"/>
        </w:rPr>
        <w:br/>
        <w:t>Children and adults &gt; 5 years of age living in the rural Bagamoyo district of coastal Tanzania were screened for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parasitemia by real-time PCR, with 354 out of 3,979 (9%) positive from October 2020 to June 2022. Among these, 74 were enrolled and followed for up to 6 months, with biweekly PCR testing for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infection. Those with persistent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carriage to 4 weeks, and those later diagnosed with incident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or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infection, were offered treatment with artemisinin-based combination therapy (ACT) at the next study visit.</w:t>
      </w:r>
      <w:r w:rsidRPr="007C7CE8">
        <w:rPr>
          <w:rFonts w:ascii="Calibri" w:eastAsia="Times New Roman" w:hAnsi="Calibri" w:cs="Calibri"/>
          <w:color w:val="000000"/>
          <w:kern w:val="0"/>
          <w:sz w:val="22"/>
          <w:szCs w:val="22"/>
          <w14:ligatures w14:val="none"/>
        </w:rPr>
        <w:br/>
        <w:t>Most initial screened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xml:space="preserve"> infections were short-lived, with only 19 out of 74 (26%) persisting a median of </w:t>
      </w:r>
      <w:r w:rsidRPr="007C7CE8">
        <w:rPr>
          <w:rFonts w:ascii="Calibri" w:eastAsia="Times New Roman" w:hAnsi="Calibri" w:cs="Calibri"/>
          <w:color w:val="000000"/>
          <w:kern w:val="0"/>
          <w:sz w:val="22"/>
          <w:szCs w:val="22"/>
          <w14:ligatures w14:val="none"/>
        </w:rPr>
        <w:lastRenderedPageBreak/>
        <w:t>4 days to the enrollment visit; the rest tested negative at enrollment. Just over half of participants (41/74, 55%) developed a recurrent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infection during follow-up, a median of 10 weeks after their first negative test; nine had two recurrences within 6 months. An even larger proportion (49/74, 66%) developed an incident or recurrent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infection within 6 months. The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recurrence/incidence rates were 1.9 (95% CI: 1.5, 2.3) and 2.8 (95% CI: 2.3, 3.4) per person-year at risk, respectively (p &lt; 0.01). The 6-month risk of </w:t>
      </w:r>
      <w:r w:rsidRPr="007C7CE8">
        <w:rPr>
          <w:rFonts w:ascii="Calibri" w:eastAsia="Times New Roman" w:hAnsi="Calibri" w:cs="Calibri"/>
          <w:i/>
          <w:iCs/>
          <w:color w:val="000000"/>
          <w:kern w:val="0"/>
          <w:sz w:val="22"/>
          <w:szCs w:val="22"/>
          <w14:ligatures w14:val="none"/>
        </w:rPr>
        <w:t>Po</w:t>
      </w:r>
      <w:r w:rsidRPr="007C7CE8">
        <w:rPr>
          <w:rFonts w:ascii="Calibri" w:eastAsia="Times New Roman" w:hAnsi="Calibri" w:cs="Calibri"/>
          <w:color w:val="000000"/>
          <w:kern w:val="0"/>
          <w:sz w:val="22"/>
          <w:szCs w:val="22"/>
          <w14:ligatures w14:val="none"/>
        </w:rPr>
        <w:t> recurrence did not differ by sex or between children and adults.</w:t>
      </w:r>
      <w:r w:rsidRPr="007C7CE8">
        <w:rPr>
          <w:rFonts w:ascii="Calibri" w:eastAsia="Times New Roman" w:hAnsi="Calibri" w:cs="Calibri"/>
          <w:color w:val="000000"/>
          <w:kern w:val="0"/>
          <w:sz w:val="22"/>
          <w:szCs w:val="22"/>
          <w14:ligatures w14:val="none"/>
        </w:rPr>
        <w:br/>
      </w:r>
      <w:r w:rsidRPr="007C7CE8">
        <w:rPr>
          <w:rFonts w:ascii="Calibri" w:eastAsia="Times New Roman" w:hAnsi="Calibri" w:cs="Calibri"/>
          <w:i/>
          <w:iCs/>
          <w:color w:val="000000"/>
          <w:kern w:val="0"/>
          <w:sz w:val="22"/>
          <w:szCs w:val="22"/>
          <w14:ligatures w14:val="none"/>
        </w:rPr>
        <w:t>P. ovale</w:t>
      </w:r>
      <w:r w:rsidRPr="007C7CE8">
        <w:rPr>
          <w:rFonts w:ascii="Calibri" w:eastAsia="Times New Roman" w:hAnsi="Calibri" w:cs="Calibri"/>
          <w:color w:val="000000"/>
          <w:kern w:val="0"/>
          <w:sz w:val="22"/>
          <w:szCs w:val="22"/>
          <w14:ligatures w14:val="none"/>
        </w:rPr>
        <w:t> species identification and microsatellite genotyping is ongoing, with expected heterozygosity in three microsatellites across 58 samples calculated at 0.76, 0.78, and 0.94. One pair of baseline and recurrent infections contains the same alleles at all three markers, indicating a homologous recurrence. However, our genotyping thus far indicates most recurrences were heterologous, suggesting re-infection from mosquitoes or relapse from distinct liver hypnozoite clones. The combination of substantial prevalence (by PCR), transient parasitemia/carriage, yet frequent heterologous recurrence underscores a dynamic landscape of transmission and/or relapses occurring under the radar.</w:t>
      </w:r>
    </w:p>
    <w:p w14:paraId="2165C6B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25-A-3338-ASTMH</w:t>
      </w:r>
    </w:p>
    <w:p w14:paraId="5884A55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Genetics, Genomics and Evolution</w:t>
      </w:r>
    </w:p>
    <w:p w14:paraId="73C8763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GENETIC DIVERSITY AND ASYMPTOMATIC TRANSMISSION DYNAMICS OF PLASMODIUM FALCIPARUM IN CHILDREN FROM CAMEROON: IMPLICATIONS FOR MALARIA CONTROL AND VACCINE DEVELOPMENT</w:t>
      </w:r>
    </w:p>
    <w:p w14:paraId="6C6BF3D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Background Malaria remains a significant public health issue in Cameroon, predominantly caused by Plasmodium falciparum. This study investigates the genetic diversity of P. falciparum in children, assesses asymptomatic malaria, and identifies risk factors to inform control strategies. Methods A total of 596 clinical and asymptomatic isolates were analyzed for genetic diversity using PCR and DNA sequencing targeting msp1, msp2, and glurp. Risk factors, such as ITN use and IRS, were evaluated, and biochemical markers (MDA, GSH, CAT, SOD, liver enzymes) and cytokine levels (TNF-α, IL-6, IL-10) were measured. Results Genetic analysis revealed a high diversity of P. falciparum, with 16 genotypes identified for msp1, 27 for msp2, and 5 for glurp. This variation indicates the complex nature of P. falciparum populations in Cameroon, influencing transmission and malaria control. The diversity of these markers could guide vaccine development to target prevalent alleles in the region. Asymptomatic malaria was prevalent in 65.9% by PCR and 59.3% by microscopy, indicating a high rate of undiagnosed infections. Risk factors included poor ITN use (OR = 4.36) and lack of IRS (OR = 6.67). Biochemical analysis showed elevated malondialdehyde (MDA) levels in symptomatic cases, suggesting oxidative stress. Additionally, elevated levels of cytokines (TNF-α, IL-6, IL-10) were observed in asymptomatic cases, indicating immune response involvement despite the lack of symptoms. Conclusions The study highlights the role of asymptomatic carriers in transmission and the high genetic diversity of P. falciparum. Integrated control strategies, including improved ITN/IRS use and vaccine development, are necessary for malaria</w:t>
      </w:r>
    </w:p>
    <w:p w14:paraId="04778E6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25-A-3341-ASTMH</w:t>
      </w:r>
    </w:p>
    <w:p w14:paraId="799EB78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Surveillance and Data Utilization</w:t>
      </w:r>
    </w:p>
    <w:p w14:paraId="58F43D31" w14:textId="79188318"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Long Term Impact Evaluation of a Malaria Surveillance Intervention in Mozambique. Sustaining Data Quality and Usage</w:t>
      </w:r>
    </w:p>
    <w:p w14:paraId="2CDC57A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In partnership with Malaria Consortium, Mozambique’s National Malaria Control Program implemented a three-year (2019-2022) project to enhance malaria surveillance at district and health facility levels. Key interventions included deploying the Integrated Malaria Information System (SIIM), conducting data quality audits (DQA), strengthening supervision, implementing monthly data reviews, facilitating self-DQAs forms, and promoting peer-to-peer exchanges. We evaluated the long-term impact 15-18 months post-implementation using a mixed-methods approach, which included (1) a comparison of pre- (2018), during (2022), and post-project (2024) DQA data; (2) cross-sectional surveys; and (3) key informant interviews (KIIs). The DQA data was evaluated by comparing source documents based on submission timelines, blank fields, and discrepancies in confirmed cases in outpatient books and monthly reports at </w:t>
      </w:r>
      <w:r w:rsidRPr="007C7CE8">
        <w:rPr>
          <w:rFonts w:ascii="Calibri" w:eastAsia="Times New Roman" w:hAnsi="Calibri" w:cs="Calibri"/>
          <w:color w:val="000000"/>
          <w:kern w:val="0"/>
          <w:sz w:val="22"/>
          <w:szCs w:val="22"/>
          <w14:ligatures w14:val="none"/>
        </w:rPr>
        <w:lastRenderedPageBreak/>
        <w:t>health facilities level. Survey results captured healthcare workers' perspectives on data use, SIIM utilization, supervision, and resources. KIIs explored key enablers, challenges, and sustainability factors. Quantitative data were analyzed in R-Studio, ensuring consistency, and qualitative data thematically in NVIVO. At health facility level, completeness improved (2018:90%; 2024:97%), timeliness remained stable (2018:94%; 2022:98%; 2024:90%), but accuracy declined (2018:33%; 2022:87%; 2024:50%). While access to surveillance materials improved, with register book availability reaching 99% across facilities, SIIM utilization for data reviews dropped to 33%. Supervisory visits declined, with only 65% of facilities receiving supportive supervision in 2024. Self-DQA usage dropped from 92% (2022) to 50% (2024), and peer-to-peer exchanges were not sustained. KIIs highlighted staff shortages, turnover, budget constraints, and infrastructure gaps. While some improvements remain, the decline in key indicators is concerning. Further analysis will identify factors supporting sustainability to inform long-term system strengthening.</w:t>
      </w:r>
    </w:p>
    <w:p w14:paraId="1C1B1C6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25-A-3342-ASTMH</w:t>
      </w:r>
    </w:p>
    <w:p w14:paraId="571E400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Antimalarial Resistance and Chemotherapy</w:t>
      </w:r>
    </w:p>
    <w:p w14:paraId="3E8A98B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Community-based health workers critical in implementation of a revised </w:t>
      </w:r>
      <w:r w:rsidRPr="007C7CE8">
        <w:rPr>
          <w:rFonts w:ascii="Calibri" w:eastAsia="Times New Roman" w:hAnsi="Calibri" w:cs="Calibri"/>
          <w:i/>
          <w:iCs/>
          <w:color w:val="000000"/>
          <w:kern w:val="0"/>
          <w:sz w:val="22"/>
          <w:szCs w:val="22"/>
          <w14:ligatures w14:val="none"/>
        </w:rPr>
        <w:t>Plasmodium vivax</w:t>
      </w:r>
      <w:r w:rsidRPr="007C7CE8">
        <w:rPr>
          <w:rFonts w:ascii="Calibri" w:eastAsia="Times New Roman" w:hAnsi="Calibri" w:cs="Calibri"/>
          <w:color w:val="000000"/>
          <w:kern w:val="0"/>
          <w:sz w:val="22"/>
          <w:szCs w:val="22"/>
          <w14:ligatures w14:val="none"/>
        </w:rPr>
        <w:t> case management package in Papua New Guinea.</w:t>
      </w:r>
    </w:p>
    <w:p w14:paraId="6610A3D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For decades, the effective control of </w:t>
      </w:r>
      <w:r w:rsidRPr="007C7CE8">
        <w:rPr>
          <w:rFonts w:ascii="Calibri" w:eastAsia="Times New Roman" w:hAnsi="Calibri" w:cs="Calibri"/>
          <w:i/>
          <w:iCs/>
          <w:color w:val="000000"/>
          <w:kern w:val="0"/>
          <w:sz w:val="22"/>
          <w:szCs w:val="22"/>
          <w14:ligatures w14:val="none"/>
        </w:rPr>
        <w:t>Plasmodium vivax </w:t>
      </w:r>
      <w:r w:rsidRPr="007C7CE8">
        <w:rPr>
          <w:rFonts w:ascii="Calibri" w:eastAsia="Times New Roman" w:hAnsi="Calibri" w:cs="Calibri"/>
          <w:color w:val="000000"/>
          <w:kern w:val="0"/>
          <w:sz w:val="22"/>
          <w:szCs w:val="22"/>
          <w14:ligatures w14:val="none"/>
        </w:rPr>
        <w:t>malaria has been hindered by using low-dose and long duration primaquine (PQ) treatment. Single-dose tafenoquine or shorter-duration, higher daily-dose PQ can overcome this challenge but both are associated with risk of hemolysis in people with glucose-6-phosphate dehydrogenase (G6PD) deficiency. The feasibility of a revised case management package involving testing for G6PD deficiency with the SD Biosensor STANDARD quantitative G6PD test prior to administration of a shorter, higher daily dose primaquine regimen of 1mg/kg over 7 days is being conducted at four health facilities in PNG since 2023. An important component of this package has been a clinical review on Day 3 of treatment to check for side effects and support adherence. This sub-study explored the feasibility of community-based health workers (CbHWs) supporting </w:t>
      </w:r>
      <w:r w:rsidRPr="007C7CE8">
        <w:rPr>
          <w:rFonts w:ascii="Calibri" w:eastAsia="Times New Roman" w:hAnsi="Calibri" w:cs="Calibri"/>
          <w:i/>
          <w:iCs/>
          <w:color w:val="000000"/>
          <w:kern w:val="0"/>
          <w:sz w:val="22"/>
          <w:szCs w:val="22"/>
          <w14:ligatures w14:val="none"/>
        </w:rPr>
        <w:t>Pv</w:t>
      </w:r>
      <w:r w:rsidRPr="007C7CE8">
        <w:rPr>
          <w:rFonts w:ascii="Calibri" w:eastAsia="Times New Roman" w:hAnsi="Calibri" w:cs="Calibri"/>
          <w:color w:val="000000"/>
          <w:kern w:val="0"/>
          <w:sz w:val="22"/>
          <w:szCs w:val="22"/>
          <w14:ligatures w14:val="none"/>
        </w:rPr>
        <w:t> treatment from within communities by undertaking the Day 3 review. CbHWs were provided tools and training to follow-up patients at home with a simple symptom checklist to ensure patients were not experiencing moderate-to-severe side effects of PQ. If serious symptoms were detected, the CbHWs were to refer the participant immediately to nearby health facilities or hospitals for further management. They also encouraged and supported patients to adhere to the full treatment regimen and were equipped with the tools to provide patient and community education on </w:t>
      </w:r>
      <w:r w:rsidRPr="007C7CE8">
        <w:rPr>
          <w:rFonts w:ascii="Calibri" w:eastAsia="Times New Roman" w:hAnsi="Calibri" w:cs="Calibri"/>
          <w:i/>
          <w:iCs/>
          <w:color w:val="000000"/>
          <w:kern w:val="0"/>
          <w:sz w:val="22"/>
          <w:szCs w:val="22"/>
          <w14:ligatures w14:val="none"/>
        </w:rPr>
        <w:t>Pv</w:t>
      </w:r>
      <w:r w:rsidRPr="007C7CE8">
        <w:rPr>
          <w:rFonts w:ascii="Calibri" w:eastAsia="Times New Roman" w:hAnsi="Calibri" w:cs="Calibri"/>
          <w:color w:val="000000"/>
          <w:kern w:val="0"/>
          <w:sz w:val="22"/>
          <w:szCs w:val="22"/>
          <w14:ligatures w14:val="none"/>
        </w:rPr>
        <w:t> malaria. Thus far, CbHWs across all four sites have correctly completed&gt;97% of follow ups, correctly identified and referred patients that required further clinical review and have been an important connection between the community and health facility. Additionally, insights from focus group discussions about implementation and sustainability will be shared. Due to significant human resource constraints in the PNG health sector, utilizing CbHWs was prioritised by Provincial Health Authorities and this study will provide further insights into the feasibility of introducing more community-oriented volunteer programs in the country to aid health programs at the provincial level.</w:t>
      </w:r>
    </w:p>
    <w:p w14:paraId="2769DA9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25-A-3344-ASTMH</w:t>
      </w:r>
    </w:p>
    <w:p w14:paraId="22F31C1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Epidemiology</w:t>
      </w:r>
    </w:p>
    <w:p w14:paraId="638933E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Trends of Plasmodium falciparum sub-patent infections in selected regions of Mainland Tanzania from 2021-2023. Data from country-wide Cross-Sectional surveys</w:t>
      </w:r>
    </w:p>
    <w:p w14:paraId="219A3DA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Addressing sub-patent infections caused by Plasmodium parasites is critical for malaria control, especially in regions aiming to achieve and sustain zero transmission. Sub-patent infections may go undetected by rapid diagnostic tests (RDTs), potentially slowing progress towards malaria control and/or elimination.This study utilized annual health facility-based cross-sectional surveys conducted from 2021 to 2023 to assess trends of P. falciparum sub-patent infections in 10 regions of Mainland Tanzania.The surveys covered regions with varying malaria transmission intensities, including two regions with high, </w:t>
      </w:r>
      <w:r w:rsidRPr="007C7CE8">
        <w:rPr>
          <w:rFonts w:ascii="Calibri" w:eastAsia="Times New Roman" w:hAnsi="Calibri" w:cs="Calibri"/>
          <w:color w:val="000000"/>
          <w:kern w:val="0"/>
          <w:sz w:val="22"/>
          <w:szCs w:val="22"/>
          <w14:ligatures w14:val="none"/>
        </w:rPr>
        <w:lastRenderedPageBreak/>
        <w:t>two with moderate,three having low and three with very low transmission intensities.Dried blood spot (DBS) samples were collected by finger prick and all patients (n=30859) were screened for Plasmodium parasites using RDTs. DNA was extracted from randomly selected RDT-negative DBS (n= 4297) using Tween-Chelex-100 and sub-patent infections were detected by 18S rRNA qPCR .Analysis was conducted on 3711 samples and 384 (10.3%; 95% CI: 9.4-11.4) were qPCR positive. Sub-patent infections decreased significantly from 15.8% in 2021 to 10.7% in 2022, and further to 4.1% in 2023 (p &lt; 0.001). The prevalence of sub-patent infections in school children (aged 5 &lt; 15 years) decreased from 21.9% in 2021 to 15.7% in 2022 and further to 4.3% in 2023 (p&lt;0.001). In under fives, the prevalence decreased from 16.7% in 2021 to 9.2% in 2022 and 4.3% in 2023 (p&lt;0.001), and for adults (aged 15+ years), it decreased from 13.6% in 2021 to 10.5% in 2022 and further to 3.8% in 2023 (p&lt;0.001). The prevalence of sub-patent infections decreased across all transmission strata from 2021 to 2023, with notable declines in moderate (27.8% to 2.2%), high (26.6% to 7.9%), low (17.3% to 4.9%), and very low transmission stratum (11.2% to 2.0%). A remarkable decline in the prevalence of sub-patent infections caused by Plasmodium parasites was observed over the study period, underscoring the importance of surveillance using sensitive tests to detect individuals with these infections and support interventions aimed at achieving malaria elimination.</w:t>
      </w:r>
    </w:p>
    <w:p w14:paraId="353C03B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25-A-3346-ASTMH</w:t>
      </w:r>
    </w:p>
    <w:p w14:paraId="5A683BD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Surveillance and Data Utilization</w:t>
      </w:r>
    </w:p>
    <w:p w14:paraId="6BCD245C" w14:textId="3C6A2701"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Factors Associated with Data Recording Quality in Health Facilities: A Quantitative Analysis of three projects in Mozambique</w:t>
      </w:r>
    </w:p>
    <w:p w14:paraId="37F8DB8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quality of data recording in health facilities is critical for effective healthcare delivery, policymaking, and resource allocation. Persistent challenges related to systemic, infrastructural, and human resource issues affect data quality. This retrospective cross-sectional study analyzed 3,802 data points from 11 provinces (2019–2024) across three malaria surveillance projects. Reporting accuracy was assessed by discrepancies between facility logbooks and monthly summaries, with ≤20% classified as "good quality" and &gt;20% as "poor quality”. Descriptive statistics and logistic regression models were used to assess identify factors that influence data recording quality. Overall, 63% of health facilities accurately reported RDT-confirmed cases, while 90% did so for HTZ-confirmed cases. Significant province-level variations were observed, with Manica (OR = 3.4, p &lt; 0.001), Maputo Province (OR = 3.2, p = 0.003), Niassa (OR = 3.8, p = 0.002), and Inhambane (OR = 3.1, p = 0.001) showing odds of good-quality data, while Zambezia did not. Temporal analysis revealed a significant improvement in 2022 (OR = 1.5, p = 0.038). Interaction effects indicated that the impact of project interventions was not uniform across provinces. The Strengthening malaria surveillance for data-driven decision-making project had a notable positive effect in Manica (OR = 1.4, p = 0.045). Facility types also influenced data quality, with Rural Hospital (RH) (OR = 2.5, p = 0.007) and District Hospital (DH) (OR = 1.7, p = 0.050) outperforming rural health facilities. Despite these improvements, negative interactions in certain facility types such as RH in Inhambane (OR = -4.6, p &lt; 0.001) and Manica (OR = -3.8, p = 0.001) suggest disparities in implementation effectiveness across different health service levels, suggesting project specific improvements in this province. The findings highlight the interplay of temporal, geographic, and project-specific factors in data quality, emphasizing the need for systemic interventions such as digital tools, targeted training, and equitable resource allocation to strengthen data recording.</w:t>
      </w:r>
    </w:p>
    <w:p w14:paraId="610A987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25-A-3347-ASTMH</w:t>
      </w:r>
    </w:p>
    <w:p w14:paraId="6E88FA6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Surveillance and Data Utilization</w:t>
      </w:r>
    </w:p>
    <w:p w14:paraId="17FC33F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Reactive malaria survey using LAMP/PCR to validate residual malaria foci in Palawan, Philippines</w:t>
      </w:r>
    </w:p>
    <w:p w14:paraId="4161604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Despite 17 years of intensive malaria control efforts supported by the Global Fund in Palawan Island, the Philippines, malaria incidence has plateaued, suggesting the presence of residual transmission. This study hypothesized that undetected reservoirs - particularly asymptomatic parasite carriers (APCs) below the detection thresholds of conventional diagnostics such as rapid diagnostic tests (RDTs) and </w:t>
      </w:r>
      <w:r w:rsidRPr="007C7CE8">
        <w:rPr>
          <w:rFonts w:ascii="Calibri" w:eastAsia="Times New Roman" w:hAnsi="Calibri" w:cs="Calibri"/>
          <w:color w:val="000000"/>
          <w:kern w:val="0"/>
          <w:sz w:val="22"/>
          <w:szCs w:val="22"/>
          <w14:ligatures w14:val="none"/>
        </w:rPr>
        <w:lastRenderedPageBreak/>
        <w:t>microscopy - were sustaining transmission. The project aimed to elucidate the epidemiological characteristics of these hidden carriers, defined as part of a "residual malaria focus" (RMF), through the use of sensitive nucleic acid testings, including loop-mediated isothermal amplification (LAMP) and polymerase chain reaction (PCR), and to design targeted interventions. In the southern municipalities of Bataraza, Brooke’s Point, and Rizal, malaria cases were identified through an online surveillance database. Index cases (ICs) were located, and the screening by RDTs was conducted among IC households and their neighborhoods. Dried blood samples were collected from participants and analyzed at the University of the Philippines Manila. A total of 1,428 samples were collected and tested by LAMP/PCR to assess the diagnostic performance of RDTs and detect malaria parasites, including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Reactive case detection revealed asymptomatic infections in 2.94% of participants by RDTs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=29; </w:t>
      </w:r>
      <w:r w:rsidRPr="007C7CE8">
        <w:rPr>
          <w:rFonts w:ascii="Calibri" w:eastAsia="Times New Roman" w:hAnsi="Calibri" w:cs="Calibri"/>
          <w:i/>
          <w:iCs/>
          <w:color w:val="000000"/>
          <w:kern w:val="0"/>
          <w:sz w:val="22"/>
          <w:szCs w:val="22"/>
          <w14:ligatures w14:val="none"/>
        </w:rPr>
        <w:t>P.v.</w:t>
      </w:r>
      <w:r w:rsidRPr="007C7CE8">
        <w:rPr>
          <w:rFonts w:ascii="Calibri" w:eastAsia="Times New Roman" w:hAnsi="Calibri" w:cs="Calibri"/>
          <w:color w:val="000000"/>
          <w:kern w:val="0"/>
          <w:sz w:val="22"/>
          <w:szCs w:val="22"/>
          <w14:ligatures w14:val="none"/>
        </w:rPr>
        <w:t>=10;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&amp;</w:t>
      </w:r>
      <w:r w:rsidRPr="007C7CE8">
        <w:rPr>
          <w:rFonts w:ascii="Calibri" w:eastAsia="Times New Roman" w:hAnsi="Calibri" w:cs="Calibri"/>
          <w:i/>
          <w:iCs/>
          <w:color w:val="000000"/>
          <w:kern w:val="0"/>
          <w:sz w:val="22"/>
          <w:szCs w:val="22"/>
          <w14:ligatures w14:val="none"/>
        </w:rPr>
        <w:t>P.v.</w:t>
      </w:r>
      <w:r w:rsidRPr="007C7CE8">
        <w:rPr>
          <w:rFonts w:ascii="Calibri" w:eastAsia="Times New Roman" w:hAnsi="Calibri" w:cs="Calibri"/>
          <w:color w:val="000000"/>
          <w:kern w:val="0"/>
          <w:sz w:val="22"/>
          <w:szCs w:val="22"/>
          <w14:ligatures w14:val="none"/>
        </w:rPr>
        <w:t>=3), while LAMP/PCR identified a markedly higher prevalence of 12.2%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=72; </w:t>
      </w:r>
      <w:r w:rsidRPr="007C7CE8">
        <w:rPr>
          <w:rFonts w:ascii="Calibri" w:eastAsia="Times New Roman" w:hAnsi="Calibri" w:cs="Calibri"/>
          <w:i/>
          <w:iCs/>
          <w:color w:val="000000"/>
          <w:kern w:val="0"/>
          <w:sz w:val="22"/>
          <w:szCs w:val="22"/>
          <w14:ligatures w14:val="none"/>
        </w:rPr>
        <w:t>P.v.</w:t>
      </w:r>
      <w:r w:rsidRPr="007C7CE8">
        <w:rPr>
          <w:rFonts w:ascii="Calibri" w:eastAsia="Times New Roman" w:hAnsi="Calibri" w:cs="Calibri"/>
          <w:color w:val="000000"/>
          <w:kern w:val="0"/>
          <w:sz w:val="22"/>
          <w:szCs w:val="22"/>
          <w14:ligatures w14:val="none"/>
        </w:rPr>
        <w:t>=72;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&amp;</w:t>
      </w:r>
      <w:r w:rsidRPr="007C7CE8">
        <w:rPr>
          <w:rFonts w:ascii="Calibri" w:eastAsia="Times New Roman" w:hAnsi="Calibri" w:cs="Calibri"/>
          <w:i/>
          <w:iCs/>
          <w:color w:val="000000"/>
          <w:kern w:val="0"/>
          <w:sz w:val="22"/>
          <w:szCs w:val="22"/>
          <w14:ligatures w14:val="none"/>
        </w:rPr>
        <w:t>P.v.</w:t>
      </w:r>
      <w:r w:rsidRPr="007C7CE8">
        <w:rPr>
          <w:rFonts w:ascii="Calibri" w:eastAsia="Times New Roman" w:hAnsi="Calibri" w:cs="Calibri"/>
          <w:color w:val="000000"/>
          <w:kern w:val="0"/>
          <w:sz w:val="22"/>
          <w:szCs w:val="22"/>
          <w14:ligatures w14:val="none"/>
        </w:rPr>
        <w:t>=25; </w:t>
      </w:r>
      <w:r w:rsidRPr="007C7CE8">
        <w:rPr>
          <w:rFonts w:ascii="Calibri" w:eastAsia="Times New Roman" w:hAnsi="Calibri" w:cs="Calibri"/>
          <w:i/>
          <w:iCs/>
          <w:color w:val="000000"/>
          <w:kern w:val="0"/>
          <w:sz w:val="22"/>
          <w:szCs w:val="22"/>
          <w14:ligatures w14:val="none"/>
        </w:rPr>
        <w:t>P.ovale</w:t>
      </w:r>
      <w:r w:rsidRPr="007C7CE8">
        <w:rPr>
          <w:rFonts w:ascii="Calibri" w:eastAsia="Times New Roman" w:hAnsi="Calibri" w:cs="Calibri"/>
          <w:color w:val="000000"/>
          <w:kern w:val="0"/>
          <w:sz w:val="22"/>
          <w:szCs w:val="22"/>
          <w14:ligatures w14:val="none"/>
        </w:rPr>
        <w:t>=1; </w:t>
      </w:r>
      <w:r w:rsidRPr="007C7CE8">
        <w:rPr>
          <w:rFonts w:ascii="Calibri" w:eastAsia="Times New Roman" w:hAnsi="Calibri" w:cs="Calibri"/>
          <w:i/>
          <w:iCs/>
          <w:color w:val="000000"/>
          <w:kern w:val="0"/>
          <w:sz w:val="22"/>
          <w:szCs w:val="22"/>
          <w14:ligatures w14:val="none"/>
        </w:rPr>
        <w:t>P.malariae</w:t>
      </w:r>
      <w:r w:rsidRPr="007C7CE8">
        <w:rPr>
          <w:rFonts w:ascii="Calibri" w:eastAsia="Times New Roman" w:hAnsi="Calibri" w:cs="Calibri"/>
          <w:color w:val="000000"/>
          <w:kern w:val="0"/>
          <w:sz w:val="22"/>
          <w:szCs w:val="22"/>
          <w14:ligatures w14:val="none"/>
        </w:rPr>
        <w:t>=4). These findings highlighted a substantial burden of undetected malaria infections not captured by routine surveillance, representing a persistent obstacle to elimination. The study underscored the critical need to identify and manage APCs as part of ‘last mile’ strategies to eliminate malaria. Enhanced surveillance incorporating highly sensitive diagnostics is essential to effectively target RMFs and interrupt transmission in Palawan and other endemic regions.</w:t>
      </w:r>
    </w:p>
    <w:p w14:paraId="4FB707F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25-A-3348-ASTMH</w:t>
      </w:r>
    </w:p>
    <w:p w14:paraId="3BBA555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Schistosomiasis and Other Trematodes – Diagnostics and Treatment</w:t>
      </w:r>
    </w:p>
    <w:p w14:paraId="7668E20A" w14:textId="4F6731CC"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 Cas13-based assay for detection of circulating microRNAs (miRNAs) associated with schistosomiasis</w:t>
      </w:r>
    </w:p>
    <w:p w14:paraId="30B4880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Liver fibrosis is one of the primary complications of schistosomiasis, a neglected tropical disease (NTD) caused by the parasitic worms </w:t>
      </w:r>
      <w:r w:rsidRPr="007C7CE8">
        <w:rPr>
          <w:rFonts w:ascii="Calibri" w:eastAsia="Times New Roman" w:hAnsi="Calibri" w:cs="Calibri"/>
          <w:i/>
          <w:iCs/>
          <w:color w:val="000000"/>
          <w:kern w:val="0"/>
          <w:sz w:val="22"/>
          <w:szCs w:val="22"/>
          <w14:ligatures w14:val="none"/>
        </w:rPr>
        <w:t>S. haematobium</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S. mansoni</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S. japonicum</w:t>
      </w:r>
      <w:r w:rsidRPr="007C7CE8">
        <w:rPr>
          <w:rFonts w:ascii="Calibri" w:eastAsia="Times New Roman" w:hAnsi="Calibri" w:cs="Calibri"/>
          <w:color w:val="000000"/>
          <w:kern w:val="0"/>
          <w:sz w:val="22"/>
          <w:szCs w:val="22"/>
          <w14:ligatures w14:val="none"/>
        </w:rPr>
        <w:t> that afflicts over 200 million people worldwide. Staging liver fibrosis is crucial to determine patient prognosis and response to treatment. The presence of specific miRNAs in the blood of patients is associated with the degree of fibrosis, as well as clearance of the parasites by praziquantel treatment. However, current methods for miRNA detection, such as RT-qPCR or RNA-seq, are biased by the extraction method used, require laboratories and trained personnel to process, and are not available for point-of-care diagnosis. To address these issues, we developed a CRISPR-Cas13a (RNA-directed RNA nuclease) assay for detection of host miRNAs associated with schistosomiasis. We designed guide RNAs targeting 5 miRNAs associated with schistosomiasis disease progression and treatment. We first tested these guides using synthetic miRNAs in the presence of reporter molecules that fluoresce after cleavage by activated Cas13a. Preliminary results showed a limit-of-detection better than ~100,000 copies/µL. We then tested our assay in contrived samples by spiking healthy patient plasma with the synthetic miRNAs, and we observed comparable detection levels. Finally, we tested the feasibility of measuring the fluorescent signal from the assay using a portable mobile-phone based microscope (NTDscope) and successfully detected a significant increase in fluorescence for the contrived plasma sample. These results demonstrate the potential for this assay, which requires no RNA purification, reverse transcription, or amplification, to provide POC detection of miRNAs in patient samples. Next, we will optimize assay sensitivity and specificity and then test in schistosomiasis positive patients across varying disease stages.</w:t>
      </w:r>
    </w:p>
    <w:p w14:paraId="18D2574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25-A-3349-ASTMH</w:t>
      </w:r>
    </w:p>
    <w:p w14:paraId="586AC1C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Surveillance and Data Utilization</w:t>
      </w:r>
    </w:p>
    <w:p w14:paraId="1299466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Quantifying residual </w:t>
      </w:r>
      <w:r w:rsidRPr="007C7CE8">
        <w:rPr>
          <w:rFonts w:ascii="Calibri" w:eastAsia="Times New Roman" w:hAnsi="Calibri" w:cs="Calibri"/>
          <w:i/>
          <w:iCs/>
          <w:color w:val="000000"/>
          <w:kern w:val="0"/>
          <w:sz w:val="22"/>
          <w:szCs w:val="22"/>
          <w14:ligatures w14:val="none"/>
        </w:rPr>
        <w:t>Plasmodium vivax</w:t>
      </w:r>
      <w:r w:rsidRPr="007C7CE8">
        <w:rPr>
          <w:rFonts w:ascii="Calibri" w:eastAsia="Times New Roman" w:hAnsi="Calibri" w:cs="Calibri"/>
          <w:color w:val="000000"/>
          <w:kern w:val="0"/>
          <w:sz w:val="22"/>
          <w:szCs w:val="22"/>
          <w14:ligatures w14:val="none"/>
        </w:rPr>
        <w:t> transmission in the Philippines using serological markers in a pre elimination context</w:t>
      </w:r>
    </w:p>
    <w:p w14:paraId="1D2F16C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As the Asia-Pacific region continues to make steady progress toward the goal of malaria elimination by 2030, </w:t>
      </w:r>
      <w:r w:rsidRPr="007C7CE8">
        <w:rPr>
          <w:rFonts w:ascii="Calibri" w:eastAsia="Times New Roman" w:hAnsi="Calibri" w:cs="Calibri"/>
          <w:i/>
          <w:iCs/>
          <w:color w:val="000000"/>
          <w:kern w:val="0"/>
          <w:sz w:val="22"/>
          <w:szCs w:val="22"/>
          <w14:ligatures w14:val="none"/>
        </w:rPr>
        <w:t>Plasmodium vivax </w:t>
      </w:r>
      <w:r w:rsidRPr="007C7CE8">
        <w:rPr>
          <w:rFonts w:ascii="Calibri" w:eastAsia="Times New Roman" w:hAnsi="Calibri" w:cs="Calibri"/>
          <w:color w:val="000000"/>
          <w:kern w:val="0"/>
          <w:sz w:val="22"/>
          <w:szCs w:val="22"/>
          <w14:ligatures w14:val="none"/>
        </w:rPr>
        <w:t>poses unique challenges that threaten elimination efforts.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has become a predominant source of infection in the region, attributed to its distinct biological feature of an additional hidden liver-stage, where parasites (hypnozoites) lie dormant for weeks to months before causing a relapse of infection. In the Philippines, the country observed two years of consecutive </w:t>
      </w:r>
      <w:r w:rsidRPr="007C7CE8">
        <w:rPr>
          <w:rFonts w:ascii="Calibri" w:eastAsia="Times New Roman" w:hAnsi="Calibri" w:cs="Calibri"/>
          <w:i/>
          <w:iCs/>
          <w:color w:val="000000"/>
          <w:kern w:val="0"/>
          <w:sz w:val="22"/>
          <w:szCs w:val="22"/>
          <w14:ligatures w14:val="none"/>
        </w:rPr>
        <w:t xml:space="preserve">P. </w:t>
      </w:r>
      <w:r w:rsidRPr="007C7CE8">
        <w:rPr>
          <w:rFonts w:ascii="Calibri" w:eastAsia="Times New Roman" w:hAnsi="Calibri" w:cs="Calibri"/>
          <w:i/>
          <w:iCs/>
          <w:color w:val="000000"/>
          <w:kern w:val="0"/>
          <w:sz w:val="22"/>
          <w:szCs w:val="22"/>
          <w14:ligatures w14:val="none"/>
        </w:rPr>
        <w:lastRenderedPageBreak/>
        <w:t>vivax</w:t>
      </w:r>
      <w:r w:rsidRPr="007C7CE8">
        <w:rPr>
          <w:rFonts w:ascii="Calibri" w:eastAsia="Times New Roman" w:hAnsi="Calibri" w:cs="Calibri"/>
          <w:color w:val="000000"/>
          <w:kern w:val="0"/>
          <w:sz w:val="22"/>
          <w:szCs w:val="22"/>
          <w14:ligatures w14:val="none"/>
        </w:rPr>
        <w:t> outbreaks in the near elimination setting of Sultan Kudarat in Mindanao until 2021, which may be due to undetected sustained transmission from a hidden hypnozoite reservoir. Current commercially available diagnostic tests are not able to detect hypnozoites; however, individuals likely to harbor hypnozoites can be detected using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-specific antibody biomarkers of recent exposure. We are conducting an 18-month prospective study in Kalamansig, Sultan Kudarat, to compare both infection (RDT and PCR) and serological data. We are utilizing rolling health-facility based surveys of both care-seeking individuals and companions, conducted every 2 months. From the first three surveys, we have enrolled 3582 individuals (80.1% care-seekers), with no malaria detected by RDT. Preliminary serological analysis on individuals from the first survey (n=1089) identified 3.4% as having recent exposure to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in the prior 9-months, with higher seropositivity rates observed in the areas where the outbreak previously occurred. We will present further molecular, serological, and geospatial analysis on data from the first five surveys in this presentation. These data will help delineate any residual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burden and will be used to co-develop a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inclusive elimination plan for the country.</w:t>
      </w:r>
    </w:p>
    <w:p w14:paraId="328A2BC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25-A-3350-ASTMH</w:t>
      </w:r>
    </w:p>
    <w:p w14:paraId="79BD8C4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Surveillance and Data Utilization</w:t>
      </w:r>
    </w:p>
    <w:p w14:paraId="77BBD26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Enhancing health centre surveillance to measure the combined impact of RTS,S malaria vaccine and dual-AI bed nets on age-specific </w:t>
      </w:r>
      <w:r w:rsidRPr="007C7CE8">
        <w:rPr>
          <w:rFonts w:ascii="Calibri" w:eastAsia="Times New Roman" w:hAnsi="Calibri" w:cs="Calibri"/>
          <w:b/>
          <w:bCs/>
          <w:i/>
          <w:iCs/>
          <w:color w:val="000000"/>
          <w:kern w:val="0"/>
          <w:sz w:val="22"/>
          <w:szCs w:val="22"/>
          <w14:ligatures w14:val="none"/>
        </w:rPr>
        <w:t>Plasmodium falciparum</w:t>
      </w:r>
      <w:r w:rsidRPr="007C7CE8">
        <w:rPr>
          <w:rFonts w:ascii="Calibri" w:eastAsia="Times New Roman" w:hAnsi="Calibri" w:cs="Calibri"/>
          <w:b/>
          <w:bCs/>
          <w:color w:val="000000"/>
          <w:kern w:val="0"/>
          <w:sz w:val="22"/>
          <w:szCs w:val="22"/>
          <w14:ligatures w14:val="none"/>
        </w:rPr>
        <w:t> malaria epidemiology</w:t>
      </w:r>
    </w:p>
    <w:p w14:paraId="7B841D1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control progress in Malawi has stalled since 2015, with morbidity rising both locally and globally in 2020-2024. To address this challenge, reliable age-specific malaria epidemiological insights are needed to guide the development of targeted, evidence-based interventions. While the RTS,S malaria vaccine and dual-active ingredient (dual-AI) long-lasting insecticidal nets (LLINs) have proven effective in reducing malaria risk in children under five, their long-term impact on risk of </w:t>
      </w:r>
      <w:r w:rsidRPr="007C7CE8">
        <w:rPr>
          <w:rFonts w:ascii="Calibri" w:eastAsia="Times New Roman" w:hAnsi="Calibri" w:cs="Calibri"/>
          <w:i/>
          <w:iCs/>
          <w:color w:val="000000"/>
          <w:kern w:val="0"/>
          <w:sz w:val="22"/>
          <w:szCs w:val="22"/>
          <w14:ligatures w14:val="none"/>
        </w:rPr>
        <w:t>Plasmodium falciparum(Pf)</w:t>
      </w:r>
      <w:r w:rsidRPr="007C7CE8">
        <w:rPr>
          <w:rFonts w:ascii="Calibri" w:eastAsia="Times New Roman" w:hAnsi="Calibri" w:cs="Calibri"/>
          <w:b/>
          <w:bCs/>
          <w:color w:val="000000"/>
          <w:kern w:val="0"/>
          <w:sz w:val="22"/>
          <w:szCs w:val="22"/>
          <w14:ligatures w14:val="none"/>
        </w:rPr>
        <w:t> </w:t>
      </w:r>
      <w:r w:rsidRPr="007C7CE8">
        <w:rPr>
          <w:rFonts w:ascii="Calibri" w:eastAsia="Times New Roman" w:hAnsi="Calibri" w:cs="Calibri"/>
          <w:color w:val="000000"/>
          <w:kern w:val="0"/>
          <w:sz w:val="22"/>
          <w:szCs w:val="22"/>
          <w14:ligatures w14:val="none"/>
        </w:rPr>
        <w:t>malaria in older children remains unclear. As part of the Malawi International Center of Excellence for Malaria Research, we have established enhanced health center-based surveillance to assess the impact of programmatic implementation of RTS,S vaccine and dual-AI LLINs by comparing malaria incidence and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infection in 36 Health Centers (HCs) across southern Malawi. The approach includes 3 groups of HCs that: a) implemented RTS,S malaria vaccination beginning 2019 (n=10 HCs), b) rolled out malaria vaccine in 2022 (n=10 HCs), and c) without vaccination (control group, n=16 HCs). Selection of the HCs was based on high RTS,S coverage during the 2021 malaria vaccine pilot implementation survey, eco-geographic diversity, and year-round accessibility. Each HC’s target area (involving ~1,000–2,000 residents) was mapped and surveyed to provide a population denominator for incidence estimates, with prior incidence ranging 18-1000 cases per 1000 population in 2023. This enhanced HC surveillance system will provide age-disaggregated malaria incidence data that is currently not available in national DHIS2 records, enabling more accurate measurement of both infection and intervention impacts. The first annual household survey to establish baseline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infection prevalence and intervention use is near completion, with 533 children aged 6 mo-10 yrs enrolled, of whom 254 (49%) are female. Final results and surveillance evaluation will be available by Nov. 2025. These findings will play a critical role in re-shaping Malawi’s national malaria policy, improving program targeting, and informing future control efforts.</w:t>
      </w:r>
    </w:p>
    <w:p w14:paraId="165E2EC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25-A-3351-ASTMH</w:t>
      </w:r>
    </w:p>
    <w:p w14:paraId="3634DC7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Immunology</w:t>
      </w:r>
    </w:p>
    <w:p w14:paraId="24FA6AB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Characterisation of the immune responses induced by the blood-stage vaccine candidate RH5.2/Matrix-M® alone and in combination with the licensed pre-erythrocytic vaccine R21/Matrix-M®.</w:t>
      </w:r>
    </w:p>
    <w:p w14:paraId="35DDC6A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There have been huge advances in vaccines against </w:t>
      </w:r>
      <w:r w:rsidRPr="007C7CE8">
        <w:rPr>
          <w:rFonts w:ascii="Calibri" w:eastAsia="Times New Roman" w:hAnsi="Calibri" w:cs="Calibri"/>
          <w:i/>
          <w:iCs/>
          <w:color w:val="000000"/>
          <w:kern w:val="0"/>
          <w:sz w:val="22"/>
          <w:szCs w:val="22"/>
          <w14:ligatures w14:val="none"/>
        </w:rPr>
        <w:t>Plasmodium falciparum </w:t>
      </w:r>
      <w:r w:rsidRPr="007C7CE8">
        <w:rPr>
          <w:rFonts w:ascii="Calibri" w:eastAsia="Times New Roman" w:hAnsi="Calibri" w:cs="Calibri"/>
          <w:color w:val="000000"/>
          <w:kern w:val="0"/>
          <w:sz w:val="22"/>
          <w:szCs w:val="22"/>
          <w14:ligatures w14:val="none"/>
        </w:rPr>
        <w:t>(</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 malaria, with both R21/Matrix-M® (MM) and RTS,S/AS01 now licensed. Development of a multi-stage vaccine approach, combining pre-erythrocytic vaccines with effective blood-stage component, is now a leading strategy to offer a second line of defence against breakthrough parasites emerging from the liver. Reticulocyte-</w:t>
      </w:r>
      <w:r w:rsidRPr="007C7CE8">
        <w:rPr>
          <w:rFonts w:ascii="Calibri" w:eastAsia="Times New Roman" w:hAnsi="Calibri" w:cs="Calibri"/>
          <w:color w:val="000000"/>
          <w:kern w:val="0"/>
          <w:sz w:val="22"/>
          <w:szCs w:val="22"/>
          <w14:ligatures w14:val="none"/>
        </w:rPr>
        <w:lastRenderedPageBreak/>
        <w:t>binding protein homologue 5 (RH5) is a blood-stage antigen essential for erythrocyte invasion with limited polymorphism. Antibodies induced by RH5 vaccination have demonstrated </w:t>
      </w:r>
      <w:r w:rsidRPr="007C7CE8">
        <w:rPr>
          <w:rFonts w:ascii="Calibri" w:eastAsia="Times New Roman" w:hAnsi="Calibri" w:cs="Calibri"/>
          <w:i/>
          <w:iCs/>
          <w:color w:val="000000"/>
          <w:kern w:val="0"/>
          <w:sz w:val="22"/>
          <w:szCs w:val="22"/>
          <w14:ligatures w14:val="none"/>
        </w:rPr>
        <w:t>in vivo</w:t>
      </w:r>
      <w:r w:rsidRPr="007C7CE8">
        <w:rPr>
          <w:rFonts w:ascii="Calibri" w:eastAsia="Times New Roman" w:hAnsi="Calibri" w:cs="Calibri"/>
          <w:color w:val="000000"/>
          <w:kern w:val="0"/>
          <w:sz w:val="22"/>
          <w:szCs w:val="22"/>
          <w14:ligatures w14:val="none"/>
        </w:rPr>
        <w:t> efficacy against blood-stage malaria challenge in non-human primates. </w:t>
      </w:r>
      <w:r w:rsidRPr="007C7CE8">
        <w:rPr>
          <w:rFonts w:ascii="Calibri" w:eastAsia="Times New Roman" w:hAnsi="Calibri" w:cs="Calibri"/>
          <w:i/>
          <w:iCs/>
          <w:color w:val="000000"/>
          <w:kern w:val="0"/>
          <w:sz w:val="22"/>
          <w:szCs w:val="22"/>
          <w14:ligatures w14:val="none"/>
        </w:rPr>
        <w:t>In vivo</w:t>
      </w:r>
      <w:r w:rsidRPr="007C7CE8">
        <w:rPr>
          <w:rFonts w:ascii="Calibri" w:eastAsia="Times New Roman" w:hAnsi="Calibri" w:cs="Calibri"/>
          <w:color w:val="000000"/>
          <w:kern w:val="0"/>
          <w:sz w:val="22"/>
          <w:szCs w:val="22"/>
          <w14:ligatures w14:val="none"/>
        </w:rPr>
        <w:t> outcome strongly correlated with anti-RH5 serum IgG concentration and </w:t>
      </w:r>
      <w:r w:rsidRPr="007C7CE8">
        <w:rPr>
          <w:rFonts w:ascii="Calibri" w:eastAsia="Times New Roman" w:hAnsi="Calibri" w:cs="Calibri"/>
          <w:i/>
          <w:iCs/>
          <w:color w:val="000000"/>
          <w:kern w:val="0"/>
          <w:sz w:val="22"/>
          <w:szCs w:val="22"/>
          <w14:ligatures w14:val="none"/>
        </w:rPr>
        <w:t>in vitro</w:t>
      </w:r>
      <w:r w:rsidRPr="007C7CE8">
        <w:rPr>
          <w:rFonts w:ascii="Calibri" w:eastAsia="Times New Roman" w:hAnsi="Calibri" w:cs="Calibri"/>
          <w:color w:val="000000"/>
          <w:kern w:val="0"/>
          <w:sz w:val="22"/>
          <w:szCs w:val="22"/>
          <w14:ligatures w14:val="none"/>
        </w:rPr>
        <w:t> functional growth inhibition activity (GIA), with protective threshold of &gt;60% GIA at 2.5mg/mL purified total IgG. This correlation has since been reproduced in a human challenge study. A second generation RH5-based vaccine named “RH5.2” is based on </w:t>
      </w:r>
      <w:r w:rsidRPr="007C7CE8">
        <w:rPr>
          <w:rFonts w:ascii="Calibri" w:eastAsia="Times New Roman" w:hAnsi="Calibri" w:cs="Calibri"/>
          <w:i/>
          <w:iCs/>
          <w:color w:val="000000"/>
          <w:kern w:val="0"/>
          <w:sz w:val="22"/>
          <w:szCs w:val="22"/>
          <w14:ligatures w14:val="none"/>
        </w:rPr>
        <w:t>Pf</w:t>
      </w:r>
      <w:r w:rsidRPr="007C7CE8">
        <w:rPr>
          <w:rFonts w:ascii="Calibri" w:eastAsia="Times New Roman" w:hAnsi="Calibri" w:cs="Calibri"/>
          <w:color w:val="000000"/>
          <w:kern w:val="0"/>
          <w:sz w:val="22"/>
          <w:szCs w:val="22"/>
          <w14:ligatures w14:val="none"/>
        </w:rPr>
        <w:t>3D7 with disordered N-terminus, intrinsic loop and C-terminus removed to better target neutralising epitopes. RH5.2 is arrayed on a hepatitis B surface antigen (HBsAg) VLP scaffold using Spy-Tag/Spy-Catcher plug-and-display technology which aligns delivery platform with both CSP antigen vaccines; RTS,S and R21 (i.e. HBsAg VLP). Here in a Phase Ib (NCT05357560) clinical trial, administering RH5.2-VLP alone and in combination with R21 formulated in MM in Gambian adults and children, as a multi-stage malaria vaccine candidate, we report vaccine immunogenicity, assessing antibody magnitude over time as well as functional GIA. Antibodies to blood-stage component of this study were assessed against both full-length RH5 immunogen (RH5.1) and RH5.2 vaccine immunogen to allow correlation with GIA outcome. This is the first opportunity for analysis of humoral immunogenicity of an RH5-based vaccine in the context of a multi-stage regimen, and for comparison between second generation RH5.2 and previously reported data with the more advanced RH5.1/MM candidate, critical for blood-stage vaccine candidate down selection and multi-stage vaccine development.</w:t>
      </w:r>
    </w:p>
    <w:p w14:paraId="1819CC8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25-A-3352-ASTMH</w:t>
      </w:r>
    </w:p>
    <w:p w14:paraId="30C8402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Elimination</w:t>
      </w:r>
    </w:p>
    <w:p w14:paraId="0D52856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Community Patient Follow-up as a Part of </w:t>
      </w:r>
      <w:r w:rsidRPr="007C7CE8">
        <w:rPr>
          <w:rFonts w:ascii="Calibri" w:eastAsia="Times New Roman" w:hAnsi="Calibri" w:cs="Calibri"/>
          <w:i/>
          <w:iCs/>
          <w:color w:val="000000"/>
          <w:kern w:val="0"/>
          <w:sz w:val="22"/>
          <w:szCs w:val="22"/>
          <w14:ligatures w14:val="none"/>
        </w:rPr>
        <w:t>Plasmodium vivax </w:t>
      </w:r>
      <w:r w:rsidRPr="007C7CE8">
        <w:rPr>
          <w:rFonts w:ascii="Calibri" w:eastAsia="Times New Roman" w:hAnsi="Calibri" w:cs="Calibri"/>
          <w:color w:val="000000"/>
          <w:kern w:val="0"/>
          <w:sz w:val="22"/>
          <w:szCs w:val="22"/>
          <w14:ligatures w14:val="none"/>
        </w:rPr>
        <w:t>Case Management in Cambodia: A Mixed Methods Study</w:t>
      </w:r>
    </w:p>
    <w:p w14:paraId="31D42A0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Community health workers have been key to improvements in global health. In Cambodia, a malaria-endemic country, village malaria workers (VMWs) have helped reduce the malaria burden over the last two decades. In 2021, VMWs were tasked to support health facility workers (HFWs) in conducting follow-up of patients with </w:t>
      </w:r>
      <w:r w:rsidRPr="007C7CE8">
        <w:rPr>
          <w:rFonts w:ascii="Calibri" w:eastAsia="Times New Roman" w:hAnsi="Calibri" w:cs="Calibri"/>
          <w:i/>
          <w:iCs/>
          <w:color w:val="000000"/>
          <w:kern w:val="0"/>
          <w:sz w:val="22"/>
          <w:szCs w:val="22"/>
          <w14:ligatures w14:val="none"/>
        </w:rPr>
        <w:t>Plasmodium vivax</w:t>
      </w:r>
      <w:r w:rsidRPr="007C7CE8">
        <w:rPr>
          <w:rFonts w:ascii="Calibri" w:eastAsia="Times New Roman" w:hAnsi="Calibri" w:cs="Calibri"/>
          <w:color w:val="000000"/>
          <w:kern w:val="0"/>
          <w:sz w:val="22"/>
          <w:szCs w:val="22"/>
          <w14:ligatures w14:val="none"/>
        </w:rPr>
        <w:t> malaria to ensure adherence to treatment and patient safety. Mixed methods were employed to assess current implementation. Qualitative data were collected from policymakers, sub-national program officials, HFWs, VMWs, and patients. Patient-specific quantitative surveillance data were gathered from nine study sites and complemented with national aggregate data. A thematic analysis of the qualitative data was conducted, and key proportions were derived from quantitative data. All data were interpreted with an interpretivist theoretical framework of implementation. Overall, 2,169 patients with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malaria received primaquine in 2021 and 2022, of whom 60% received follow-up visits in 2021 and 90% in 2022; more than half of these visits happened at the community level. Qualitative data indicated that the way and extent to which follow-up was implemented varied depending on the strategies VMWs adopted to ensure that the intervention was feasible. VMWs aimed to achieve the intervention’s purpose as per the guidelines: to enhance adherence and treatment safety. They also sought to achieve additional value attributed to the intervention, including comforting patients or conducting health education. Follow-up visits were well embedded into VMW’s role and responsibilities. This was supported by VMWs’ understanding of the intended purpose and added value they attributed to the intervention and their adaptive implementation strategies to make the intervention feasible. These strategies should be integrated into policy and existing infrastructure while encouraging and resourcing problem-solving to achieve the intervention’s intended purpose and added value.</w:t>
      </w:r>
    </w:p>
    <w:p w14:paraId="335CA96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25-A-3353-ASTMH</w:t>
      </w:r>
    </w:p>
    <w:p w14:paraId="04DAC47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Clinical Tropical Medicine</w:t>
      </w:r>
    </w:p>
    <w:p w14:paraId="57B07F2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Need for Antivenom Quality Control: Preclinical Results Reveal the Potential and Deficiencies of Four Antivenoms to Treat Envenomation by Key Snakes of Medical Importance in Kenya</w:t>
      </w:r>
    </w:p>
    <w:p w14:paraId="290A8DD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lastRenderedPageBreak/>
        <w:t>Antivenom administration is relied upon as the sole therapy for Snakebite envenoming, which is a neglected tropical disease of public health concern. However, deficit in the availability of antivenoms, issues in their safety and effectiveness, and inadequate quality control have hindered snakebite treatment and management in Sub-Saharan Africa. This study aimed to assess the neutralising potencies of four antivenoms (SAIMR polyvalent, AFRIVEN, PANAF-Premium and INOSERP) against key snakes of medical importance in Kenya. The venoms were extracted from wild-caught </w:t>
      </w:r>
      <w:r w:rsidRPr="007C7CE8">
        <w:rPr>
          <w:rFonts w:ascii="Calibri" w:eastAsia="Times New Roman" w:hAnsi="Calibri" w:cs="Calibri"/>
          <w:i/>
          <w:iCs/>
          <w:color w:val="000000"/>
          <w:kern w:val="0"/>
          <w:sz w:val="22"/>
          <w:szCs w:val="22"/>
          <w14:ligatures w14:val="none"/>
        </w:rPr>
        <w:t>Naja ashei</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Naja pallida</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Naja nigricollis</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Dendroaspis polylepis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Bitis arietans</w:t>
      </w:r>
      <w:r w:rsidRPr="007C7CE8">
        <w:rPr>
          <w:rFonts w:ascii="Calibri" w:eastAsia="Times New Roman" w:hAnsi="Calibri" w:cs="Calibri"/>
          <w:color w:val="000000"/>
          <w:kern w:val="0"/>
          <w:sz w:val="22"/>
          <w:szCs w:val="22"/>
          <w14:ligatures w14:val="none"/>
        </w:rPr>
        <w:t> snakes, and their lethal potencies determined using the median Lethal Dose (LD</w:t>
      </w:r>
      <w:r w:rsidRPr="007C7CE8">
        <w:rPr>
          <w:rFonts w:ascii="Calibri" w:eastAsia="Times New Roman" w:hAnsi="Calibri" w:cs="Calibri"/>
          <w:color w:val="000000"/>
          <w:kern w:val="0"/>
          <w:sz w:val="22"/>
          <w:szCs w:val="22"/>
          <w:vertAlign w:val="subscript"/>
          <w14:ligatures w14:val="none"/>
        </w:rPr>
        <w:t>50</w:t>
      </w:r>
      <w:r w:rsidRPr="007C7CE8">
        <w:rPr>
          <w:rFonts w:ascii="Calibri" w:eastAsia="Times New Roman" w:hAnsi="Calibri" w:cs="Calibri"/>
          <w:color w:val="000000"/>
          <w:kern w:val="0"/>
          <w:sz w:val="22"/>
          <w:szCs w:val="22"/>
          <w14:ligatures w14:val="none"/>
        </w:rPr>
        <w:t>) assay. </w:t>
      </w:r>
      <w:r w:rsidRPr="007C7CE8">
        <w:rPr>
          <w:rFonts w:ascii="Calibri" w:eastAsia="Times New Roman" w:hAnsi="Calibri" w:cs="Calibri"/>
          <w:i/>
          <w:iCs/>
          <w:color w:val="000000"/>
          <w:kern w:val="0"/>
          <w:sz w:val="22"/>
          <w:szCs w:val="22"/>
          <w14:ligatures w14:val="none"/>
        </w:rPr>
        <w:t>In vitro</w:t>
      </w:r>
      <w:r w:rsidRPr="007C7CE8">
        <w:rPr>
          <w:rFonts w:ascii="Calibri" w:eastAsia="Times New Roman" w:hAnsi="Calibri" w:cs="Calibri"/>
          <w:color w:val="000000"/>
          <w:kern w:val="0"/>
          <w:sz w:val="22"/>
          <w:szCs w:val="22"/>
          <w14:ligatures w14:val="none"/>
        </w:rPr>
        <w:t> immunological assays (ELISA and immunoblotting) and </w:t>
      </w:r>
      <w:r w:rsidRPr="007C7CE8">
        <w:rPr>
          <w:rFonts w:ascii="Calibri" w:eastAsia="Times New Roman" w:hAnsi="Calibri" w:cs="Calibri"/>
          <w:i/>
          <w:iCs/>
          <w:color w:val="000000"/>
          <w:kern w:val="0"/>
          <w:sz w:val="22"/>
          <w:szCs w:val="22"/>
          <w14:ligatures w14:val="none"/>
        </w:rPr>
        <w:t>in vivo</w:t>
      </w:r>
      <w:r w:rsidRPr="007C7CE8">
        <w:rPr>
          <w:rFonts w:ascii="Calibri" w:eastAsia="Times New Roman" w:hAnsi="Calibri" w:cs="Calibri"/>
          <w:color w:val="000000"/>
          <w:kern w:val="0"/>
          <w:sz w:val="22"/>
          <w:szCs w:val="22"/>
          <w14:ligatures w14:val="none"/>
        </w:rPr>
        <w:t> median effective dose (ED</w:t>
      </w:r>
      <w:r w:rsidRPr="007C7CE8">
        <w:rPr>
          <w:rFonts w:ascii="Calibri" w:eastAsia="Times New Roman" w:hAnsi="Calibri" w:cs="Calibri"/>
          <w:color w:val="000000"/>
          <w:kern w:val="0"/>
          <w:sz w:val="22"/>
          <w:szCs w:val="22"/>
          <w:vertAlign w:val="subscript"/>
          <w14:ligatures w14:val="none"/>
        </w:rPr>
        <w:t>50</w:t>
      </w:r>
      <w:r w:rsidRPr="007C7CE8">
        <w:rPr>
          <w:rFonts w:ascii="Calibri" w:eastAsia="Times New Roman" w:hAnsi="Calibri" w:cs="Calibri"/>
          <w:color w:val="000000"/>
          <w:kern w:val="0"/>
          <w:sz w:val="22"/>
          <w:szCs w:val="22"/>
          <w14:ligatures w14:val="none"/>
        </w:rPr>
        <w:t>) assay were used to assess the efficacy of the abovementioned antivenoms. </w:t>
      </w:r>
      <w:r w:rsidRPr="007C7CE8">
        <w:rPr>
          <w:rFonts w:ascii="Calibri" w:eastAsia="Times New Roman" w:hAnsi="Calibri" w:cs="Calibri"/>
          <w:i/>
          <w:iCs/>
          <w:color w:val="000000"/>
          <w:kern w:val="0"/>
          <w:sz w:val="22"/>
          <w:szCs w:val="22"/>
          <w14:ligatures w14:val="none"/>
        </w:rPr>
        <w:t>In vitro</w:t>
      </w:r>
      <w:r w:rsidRPr="007C7CE8">
        <w:rPr>
          <w:rFonts w:ascii="Calibri" w:eastAsia="Times New Roman" w:hAnsi="Calibri" w:cs="Calibri"/>
          <w:color w:val="000000"/>
          <w:kern w:val="0"/>
          <w:sz w:val="22"/>
          <w:szCs w:val="22"/>
          <w14:ligatures w14:val="none"/>
        </w:rPr>
        <w:t>, SAIMR polyvalent, AFRIVEN and PANAF-Premium showed high venom binding titres and recognised a wide range of venom proteins. INOSERP had the lowest binding titres and poor recognition of the snake venom proteins. These findings are corroborated by </w:t>
      </w:r>
      <w:r w:rsidRPr="007C7CE8">
        <w:rPr>
          <w:rFonts w:ascii="Calibri" w:eastAsia="Times New Roman" w:hAnsi="Calibri" w:cs="Calibri"/>
          <w:i/>
          <w:iCs/>
          <w:color w:val="000000"/>
          <w:kern w:val="0"/>
          <w:sz w:val="22"/>
          <w:szCs w:val="22"/>
          <w14:ligatures w14:val="none"/>
        </w:rPr>
        <w:t>in vivo</w:t>
      </w:r>
      <w:r w:rsidRPr="007C7CE8">
        <w:rPr>
          <w:rFonts w:ascii="Calibri" w:eastAsia="Times New Roman" w:hAnsi="Calibri" w:cs="Calibri"/>
          <w:color w:val="000000"/>
          <w:kern w:val="0"/>
          <w:sz w:val="22"/>
          <w:szCs w:val="22"/>
          <w14:ligatures w14:val="none"/>
        </w:rPr>
        <w:t> results, where SAIMR polyvalent, AFRIVEN and PANAF-Premium showed great neutralising potencies against all the tested snake venoms (&gt; 25 LD</w:t>
      </w:r>
      <w:r w:rsidRPr="007C7CE8">
        <w:rPr>
          <w:rFonts w:ascii="Calibri" w:eastAsia="Times New Roman" w:hAnsi="Calibri" w:cs="Calibri"/>
          <w:color w:val="000000"/>
          <w:kern w:val="0"/>
          <w:sz w:val="22"/>
          <w:szCs w:val="22"/>
          <w:vertAlign w:val="subscript"/>
          <w14:ligatures w14:val="none"/>
        </w:rPr>
        <w:t>50</w:t>
      </w:r>
      <w:r w:rsidRPr="007C7CE8">
        <w:rPr>
          <w:rFonts w:ascii="Calibri" w:eastAsia="Times New Roman" w:hAnsi="Calibri" w:cs="Calibri"/>
          <w:color w:val="000000"/>
          <w:kern w:val="0"/>
          <w:sz w:val="22"/>
          <w:szCs w:val="22"/>
          <w14:ligatures w14:val="none"/>
        </w:rPr>
        <w:t>/ml). INOSERP had the lowest neutralising potency against these snake venoms and failed to neutralise the lethal effects of </w:t>
      </w:r>
      <w:r w:rsidRPr="007C7CE8">
        <w:rPr>
          <w:rFonts w:ascii="Calibri" w:eastAsia="Times New Roman" w:hAnsi="Calibri" w:cs="Calibri"/>
          <w:i/>
          <w:iCs/>
          <w:color w:val="000000"/>
          <w:kern w:val="0"/>
          <w:sz w:val="22"/>
          <w:szCs w:val="22"/>
          <w14:ligatures w14:val="none"/>
        </w:rPr>
        <w:t>N. ashei</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N. pallida</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D. polylepis</w:t>
      </w:r>
      <w:r w:rsidRPr="007C7CE8">
        <w:rPr>
          <w:rFonts w:ascii="Calibri" w:eastAsia="Times New Roman" w:hAnsi="Calibri" w:cs="Calibri"/>
          <w:color w:val="000000"/>
          <w:kern w:val="0"/>
          <w:sz w:val="22"/>
          <w:szCs w:val="22"/>
          <w14:ligatures w14:val="none"/>
        </w:rPr>
        <w:t>. SAIMR polyvalent, AFRIVEN and PANAF-Premium antivenoms depict great potential in the treatment of envenomation by African spitting cobras, black mamba and puff adder snakes in Kenya. INOSERP showed deficiencies in the treatment of envenomation by key snakes of medical importance in Kenya. The findings of this study will greatly contribute to the selection of antivenoms for national treatment needs, by ensuring only effective antivenoms are stocked in healthcare facilities. Having effective antivenoms will significantly decrease snakebite morbidities and mortalities, contributing to improved public health.</w:t>
      </w:r>
    </w:p>
    <w:p w14:paraId="14EFBA4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25-A-3354-ASTMH</w:t>
      </w:r>
    </w:p>
    <w:p w14:paraId="4BC9515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Water, Sanitation, Hygiene and Environmental Health</w:t>
      </w:r>
    </w:p>
    <w:p w14:paraId="0541540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Characterization of Cefotaxime-Resistant </w:t>
      </w:r>
      <w:r w:rsidRPr="007C7CE8">
        <w:rPr>
          <w:rFonts w:ascii="Calibri" w:eastAsia="Times New Roman" w:hAnsi="Calibri" w:cs="Calibri"/>
          <w:b/>
          <w:bCs/>
          <w:i/>
          <w:iCs/>
          <w:color w:val="000000"/>
          <w:kern w:val="0"/>
          <w:sz w:val="22"/>
          <w:szCs w:val="22"/>
          <w14:ligatures w14:val="none"/>
        </w:rPr>
        <w:t>Klebsiella pneumoniae</w:t>
      </w:r>
      <w:r w:rsidRPr="007C7CE8">
        <w:rPr>
          <w:rFonts w:ascii="Calibri" w:eastAsia="Times New Roman" w:hAnsi="Calibri" w:cs="Calibri"/>
          <w:b/>
          <w:bCs/>
          <w:color w:val="000000"/>
          <w:kern w:val="0"/>
          <w:sz w:val="22"/>
          <w:szCs w:val="22"/>
          <w14:ligatures w14:val="none"/>
        </w:rPr>
        <w:t> from Courtyard and Home Environmental Samples in Rural Bangladesh</w:t>
      </w:r>
    </w:p>
    <w:p w14:paraId="3640CAC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Klebsiella pneumoniae</w:t>
      </w:r>
      <w:r w:rsidRPr="007C7CE8">
        <w:rPr>
          <w:rFonts w:ascii="Calibri" w:eastAsia="Times New Roman" w:hAnsi="Calibri" w:cs="Calibri"/>
          <w:color w:val="000000"/>
          <w:kern w:val="0"/>
          <w:sz w:val="22"/>
          <w:szCs w:val="22"/>
          <w14:ligatures w14:val="none"/>
        </w:rPr>
        <w:t> is an opportunistic pathogen primarily responsible for nosocomial infection, which poses life-threatening risks to immunocompromised individuals, especially young children and the elderly. The increasing incidence of antimicrobial resistance among </w:t>
      </w:r>
      <w:r w:rsidRPr="007C7CE8">
        <w:rPr>
          <w:rFonts w:ascii="Calibri" w:eastAsia="Times New Roman" w:hAnsi="Calibri" w:cs="Calibri"/>
          <w:i/>
          <w:iCs/>
          <w:color w:val="000000"/>
          <w:kern w:val="0"/>
          <w:sz w:val="22"/>
          <w:szCs w:val="22"/>
          <w14:ligatures w14:val="none"/>
        </w:rPr>
        <w:t>K. pneumoniae</w:t>
      </w:r>
      <w:r w:rsidRPr="007C7CE8">
        <w:rPr>
          <w:rFonts w:ascii="Calibri" w:eastAsia="Times New Roman" w:hAnsi="Calibri" w:cs="Calibri"/>
          <w:color w:val="000000"/>
          <w:kern w:val="0"/>
          <w:sz w:val="22"/>
          <w:szCs w:val="22"/>
          <w14:ligatures w14:val="none"/>
        </w:rPr>
        <w:t> isolates poses a significant public health challenge. The biofilm-forming capacity enables them to persist as resilient pathogens in the environment. This study aimed to isolate cefotaxime-resistant </w:t>
      </w:r>
      <w:r w:rsidRPr="007C7CE8">
        <w:rPr>
          <w:rFonts w:ascii="Calibri" w:eastAsia="Times New Roman" w:hAnsi="Calibri" w:cs="Calibri"/>
          <w:i/>
          <w:iCs/>
          <w:color w:val="000000"/>
          <w:kern w:val="0"/>
          <w:sz w:val="22"/>
          <w:szCs w:val="22"/>
          <w14:ligatures w14:val="none"/>
        </w:rPr>
        <w:t>K. pneumoniae</w:t>
      </w:r>
      <w:r w:rsidRPr="007C7CE8">
        <w:rPr>
          <w:rFonts w:ascii="Calibri" w:eastAsia="Times New Roman" w:hAnsi="Calibri" w:cs="Calibri"/>
          <w:color w:val="000000"/>
          <w:kern w:val="0"/>
          <w:sz w:val="22"/>
          <w:szCs w:val="22"/>
          <w14:ligatures w14:val="none"/>
        </w:rPr>
        <w:t>, characterize key virulence and ESBL genes, and investigate the antibiotic resistance and biofilm-forming capacity. Thirty-three cefotaxime-resistant </w:t>
      </w:r>
      <w:r w:rsidRPr="007C7CE8">
        <w:rPr>
          <w:rFonts w:ascii="Calibri" w:eastAsia="Times New Roman" w:hAnsi="Calibri" w:cs="Calibri"/>
          <w:i/>
          <w:iCs/>
          <w:color w:val="000000"/>
          <w:kern w:val="0"/>
          <w:sz w:val="22"/>
          <w:szCs w:val="22"/>
          <w14:ligatures w14:val="none"/>
        </w:rPr>
        <w:t>K. pneumoniae</w:t>
      </w:r>
      <w:r w:rsidRPr="007C7CE8">
        <w:rPr>
          <w:rFonts w:ascii="Calibri" w:eastAsia="Times New Roman" w:hAnsi="Calibri" w:cs="Calibri"/>
          <w:color w:val="000000"/>
          <w:kern w:val="0"/>
          <w:sz w:val="22"/>
          <w:szCs w:val="22"/>
          <w14:ligatures w14:val="none"/>
        </w:rPr>
        <w:t> predominantly from courtyard soil were isolated from 279 environmental (courtyard soil, floor and swab) and food samples collected between September and October 2024 in rural Bangladesh. All 33 isolates were multidrug-resistant and 100% resistant to ampicillin, aztreonam, cefepime, ceftazidime, cefotaxime, cefuroxime and ciprofloxacin. Among those isolates, 97% and 76% contained </w:t>
      </w:r>
      <w:r w:rsidRPr="007C7CE8">
        <w:rPr>
          <w:rFonts w:ascii="Calibri" w:eastAsia="Times New Roman" w:hAnsi="Calibri" w:cs="Calibri"/>
          <w:i/>
          <w:iCs/>
          <w:color w:val="000000"/>
          <w:kern w:val="0"/>
          <w:sz w:val="22"/>
          <w:szCs w:val="22"/>
          <w14:ligatures w14:val="none"/>
        </w:rPr>
        <w:t>bla</w:t>
      </w:r>
      <w:r w:rsidRPr="007C7CE8">
        <w:rPr>
          <w:rFonts w:ascii="Calibri" w:eastAsia="Times New Roman" w:hAnsi="Calibri" w:cs="Calibri"/>
          <w:color w:val="000000"/>
          <w:kern w:val="0"/>
          <w:sz w:val="22"/>
          <w:szCs w:val="22"/>
          <w:vertAlign w:val="subscript"/>
          <w14:ligatures w14:val="none"/>
        </w:rPr>
        <w:t>CTX-M</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bla</w:t>
      </w:r>
      <w:r w:rsidRPr="007C7CE8">
        <w:rPr>
          <w:rFonts w:ascii="Calibri" w:eastAsia="Times New Roman" w:hAnsi="Calibri" w:cs="Calibri"/>
          <w:color w:val="000000"/>
          <w:kern w:val="0"/>
          <w:sz w:val="22"/>
          <w:szCs w:val="22"/>
          <w:vertAlign w:val="subscript"/>
          <w14:ligatures w14:val="none"/>
        </w:rPr>
        <w:t>SHV</w:t>
      </w:r>
      <w:r w:rsidRPr="007C7CE8">
        <w:rPr>
          <w:rFonts w:ascii="Calibri" w:eastAsia="Times New Roman" w:hAnsi="Calibri" w:cs="Calibri"/>
          <w:color w:val="000000"/>
          <w:kern w:val="0"/>
          <w:sz w:val="22"/>
          <w:szCs w:val="22"/>
          <w14:ligatures w14:val="none"/>
        </w:rPr>
        <w:t> genes, respectively, whereas in the case of virulence factors, 79%, 97% and 85% harbored </w:t>
      </w:r>
      <w:r w:rsidRPr="007C7CE8">
        <w:rPr>
          <w:rFonts w:ascii="Calibri" w:eastAsia="Times New Roman" w:hAnsi="Calibri" w:cs="Calibri"/>
          <w:i/>
          <w:iCs/>
          <w:color w:val="000000"/>
          <w:kern w:val="0"/>
          <w:sz w:val="22"/>
          <w:szCs w:val="22"/>
          <w14:ligatures w14:val="none"/>
        </w:rPr>
        <w:t>uge, wabG</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fimH</w:t>
      </w:r>
      <w:r w:rsidRPr="007C7CE8">
        <w:rPr>
          <w:rFonts w:ascii="Calibri" w:eastAsia="Times New Roman" w:hAnsi="Calibri" w:cs="Calibri"/>
          <w:color w:val="000000"/>
          <w:kern w:val="0"/>
          <w:sz w:val="22"/>
          <w:szCs w:val="22"/>
          <w14:ligatures w14:val="none"/>
        </w:rPr>
        <w:t> genes, respectively. Biofilm formation assay revealed that 24% of the isolates were strong, 21% moderate and 55% weak biofilm formers at 25ºC. In addition, at 37ºC, 24% of the isolates formed strong, 67% moderate, and 9% weak biofilm. This study highlights the alarming prevalence of multidrug-resistant pathogenic </w:t>
      </w:r>
      <w:r w:rsidRPr="007C7CE8">
        <w:rPr>
          <w:rFonts w:ascii="Calibri" w:eastAsia="Times New Roman" w:hAnsi="Calibri" w:cs="Calibri"/>
          <w:i/>
          <w:iCs/>
          <w:color w:val="000000"/>
          <w:kern w:val="0"/>
          <w:sz w:val="22"/>
          <w:szCs w:val="22"/>
          <w14:ligatures w14:val="none"/>
        </w:rPr>
        <w:t>K. pneumoniae</w:t>
      </w:r>
      <w:r w:rsidRPr="007C7CE8">
        <w:rPr>
          <w:rFonts w:ascii="Calibri" w:eastAsia="Times New Roman" w:hAnsi="Calibri" w:cs="Calibri"/>
          <w:color w:val="000000"/>
          <w:kern w:val="0"/>
          <w:sz w:val="22"/>
          <w:szCs w:val="22"/>
          <w14:ligatures w14:val="none"/>
        </w:rPr>
        <w:t> in environmental and food samples, likely originating from human or animal faeces, demonstrating significant resistance to β-lactam antibiotics and fluoroquinolones. The widespread presence of resistance genes and virulence factors signifies their contribution to pathogenicity and therapeutic challenges. Further research on host-pathogen interactions and environmental persistence could provide valuable insights into the transmission dynamics of </w:t>
      </w:r>
      <w:r w:rsidRPr="007C7CE8">
        <w:rPr>
          <w:rFonts w:ascii="Calibri" w:eastAsia="Times New Roman" w:hAnsi="Calibri" w:cs="Calibri"/>
          <w:i/>
          <w:iCs/>
          <w:color w:val="000000"/>
          <w:kern w:val="0"/>
          <w:sz w:val="22"/>
          <w:szCs w:val="22"/>
          <w14:ligatures w14:val="none"/>
        </w:rPr>
        <w:t>K. pneumoniae</w:t>
      </w:r>
      <w:r w:rsidRPr="007C7CE8">
        <w:rPr>
          <w:rFonts w:ascii="Calibri" w:eastAsia="Times New Roman" w:hAnsi="Calibri" w:cs="Calibri"/>
          <w:color w:val="000000"/>
          <w:kern w:val="0"/>
          <w:sz w:val="22"/>
          <w:szCs w:val="22"/>
          <w14:ligatures w14:val="none"/>
        </w:rPr>
        <w:t>. Given the rapid emergence of resistance, ongoing genomic surveillance is crucial to monitor evolving resistance patterns and tailor public health interventions.</w:t>
      </w:r>
    </w:p>
    <w:p w14:paraId="6EB056B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25-A-3355-ASTMH</w:t>
      </w:r>
    </w:p>
    <w:p w14:paraId="7DFC62B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Water, Sanitation, Hygiene and Environmental Health</w:t>
      </w:r>
    </w:p>
    <w:p w14:paraId="56638FB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lastRenderedPageBreak/>
        <w:t>Diarrhoeal pathogen diversity among children under five years in coastal Anloga District of Ghana</w:t>
      </w:r>
    </w:p>
    <w:p w14:paraId="448C86B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Diarrhoea is the third leading cause of death in under-fives. Several pathogens have been implicated in the etiology of diarrhoea. To ensure effective management, location-specific etiological agents need to be identified. We assessed diarrhoea severity and pathogens in children under five with diarrhoea in a rotavirus-vaccinated population. A cross-sectional study of under-fives reporting with diarrhoea at the district health facility was conducted in the Anloga district, Ghana. Child vaccination status, symptoms, age, and sex were collected. Collected stool samples were transported to the laboratory for pathogen detection using quantitative PCR with customized TaqMan Array cards after total nucleic acid extraction. The Vesikari Clinical Severity Scoring System classified diarrhea cases as mild, moderate or severe. Stool samples were 38 with ages 1- 51 months. with more males (55.3%, 21/38). Almost all, children (97.4%; 37/38) had full rotavirus vaccination. The pathogen with the highest prevalence was </w:t>
      </w:r>
      <w:r w:rsidRPr="007C7CE8">
        <w:rPr>
          <w:rFonts w:ascii="Calibri" w:eastAsia="Times New Roman" w:hAnsi="Calibri" w:cs="Calibri"/>
          <w:i/>
          <w:iCs/>
          <w:color w:val="000000"/>
          <w:kern w:val="0"/>
          <w:sz w:val="22"/>
          <w:szCs w:val="22"/>
          <w14:ligatures w14:val="none"/>
        </w:rPr>
        <w:t>Enteroaggregative Escherichia coli (</w:t>
      </w:r>
      <w:r w:rsidRPr="007C7CE8">
        <w:rPr>
          <w:rFonts w:ascii="Calibri" w:eastAsia="Times New Roman" w:hAnsi="Calibri" w:cs="Calibri"/>
          <w:color w:val="000000"/>
          <w:kern w:val="0"/>
          <w:sz w:val="22"/>
          <w:szCs w:val="22"/>
          <w14:ligatures w14:val="none"/>
        </w:rPr>
        <w:t>EEAC) (53%), </w:t>
      </w:r>
      <w:r w:rsidRPr="007C7CE8">
        <w:rPr>
          <w:rFonts w:ascii="Calibri" w:eastAsia="Times New Roman" w:hAnsi="Calibri" w:cs="Calibri"/>
          <w:i/>
          <w:iCs/>
          <w:color w:val="000000"/>
          <w:kern w:val="0"/>
          <w:sz w:val="22"/>
          <w:szCs w:val="22"/>
          <w14:ligatures w14:val="none"/>
        </w:rPr>
        <w:t>Shigella/ Enteroinvasive Escherichia coli</w:t>
      </w:r>
      <w:r w:rsidRPr="007C7CE8">
        <w:rPr>
          <w:rFonts w:ascii="Calibri" w:eastAsia="Times New Roman" w:hAnsi="Calibri" w:cs="Calibri"/>
          <w:color w:val="000000"/>
          <w:kern w:val="0"/>
          <w:sz w:val="22"/>
          <w:szCs w:val="22"/>
          <w14:ligatures w14:val="none"/>
        </w:rPr>
        <w:t> (Shigella/EIEC (50%) and Norovirus (26%). More had moderate diarrhoea (52.6%, 20/38), and (10.5%, 4/38) had severe diarrhoea. Most children had pathogen co-infections (81.6%,31/38). Norovirus was in almost all (3/4) severe diarrhoea cases. Half of EEAC cases (10/29) had moderate diarrhoea. Rotavirus was identified in 21%(8/38) with none severe. Not significant associations were obtained (p&gt;0.05). Most prevalent pathogen was EAEC. Pathogen co-infection rate was high and could result in high prevalence of diarrhoea in the setting. Norovirus was identified in majority of the severe diarrhoea cases. EAEC cases had mainly moderate diarrhoea.</w:t>
      </w:r>
      <w:r w:rsidRPr="007C7CE8">
        <w:rPr>
          <w:rFonts w:ascii="Calibri" w:eastAsia="Times New Roman" w:hAnsi="Calibri" w:cs="Calibri"/>
          <w:i/>
          <w:iCs/>
          <w:color w:val="000000"/>
          <w:kern w:val="0"/>
          <w:sz w:val="22"/>
          <w:szCs w:val="22"/>
          <w14:ligatures w14:val="none"/>
        </w:rPr>
        <w:t> </w:t>
      </w:r>
      <w:r w:rsidRPr="007C7CE8">
        <w:rPr>
          <w:rFonts w:ascii="Calibri" w:eastAsia="Times New Roman" w:hAnsi="Calibri" w:cs="Calibri"/>
          <w:color w:val="000000"/>
          <w:kern w:val="0"/>
          <w:sz w:val="22"/>
          <w:szCs w:val="22"/>
          <w14:ligatures w14:val="none"/>
        </w:rPr>
        <w:t>Low prevalence of rotavirus cases and their mild severity could reflect the efficacy of the childhood rotavirus vaccination. Given the absence of other diarrhoea vaccines, preventive methods such as enhanced water, hygiene and sanitation practices centered on children under five years need to be intensified.</w:t>
      </w:r>
    </w:p>
    <w:p w14:paraId="5E1804C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25-A-3356-ASTMH</w:t>
      </w:r>
    </w:p>
    <w:p w14:paraId="5A7BFCE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Molecular Biology, Population Genetics and Genomics</w:t>
      </w:r>
    </w:p>
    <w:p w14:paraId="61A286C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Evaluation of Vector Competence of </w:t>
      </w:r>
      <w:r w:rsidRPr="007C7CE8">
        <w:rPr>
          <w:rFonts w:ascii="Calibri" w:eastAsia="Times New Roman" w:hAnsi="Calibri" w:cs="Calibri"/>
          <w:i/>
          <w:iCs/>
          <w:color w:val="000000"/>
          <w:kern w:val="0"/>
          <w:sz w:val="22"/>
          <w:szCs w:val="22"/>
          <w14:ligatures w14:val="none"/>
        </w:rPr>
        <w:t>Culex tritaeniorhynchus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Culex pipiens pallens</w:t>
      </w:r>
      <w:r w:rsidRPr="007C7CE8">
        <w:rPr>
          <w:rFonts w:ascii="Calibri" w:eastAsia="Times New Roman" w:hAnsi="Calibri" w:cs="Calibri"/>
          <w:color w:val="000000"/>
          <w:kern w:val="0"/>
          <w:sz w:val="22"/>
          <w:szCs w:val="22"/>
          <w14:ligatures w14:val="none"/>
        </w:rPr>
        <w:t> for Japanese Encephalitis Virus Genotype III and V</w:t>
      </w:r>
    </w:p>
    <w:p w14:paraId="331A78F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Japanese encephalitis virus (JEV) is a major mosquito-borne pathogen, primarily transmitted by </w:t>
      </w:r>
      <w:r w:rsidRPr="007C7CE8">
        <w:rPr>
          <w:rFonts w:ascii="Calibri" w:eastAsia="Times New Roman" w:hAnsi="Calibri" w:cs="Calibri"/>
          <w:i/>
          <w:iCs/>
          <w:color w:val="000000"/>
          <w:kern w:val="0"/>
          <w:sz w:val="22"/>
          <w:szCs w:val="22"/>
          <w14:ligatures w14:val="none"/>
        </w:rPr>
        <w:t>Culex tritaeniorhynchus</w:t>
      </w:r>
      <w:r w:rsidRPr="007C7CE8">
        <w:rPr>
          <w:rFonts w:ascii="Calibri" w:eastAsia="Times New Roman" w:hAnsi="Calibri" w:cs="Calibri"/>
          <w:color w:val="000000"/>
          <w:kern w:val="0"/>
          <w:sz w:val="22"/>
          <w:szCs w:val="22"/>
          <w14:ligatures w14:val="none"/>
        </w:rPr>
        <w:t> in rural regions. In the Republic of Korea (ROK), genotype V (GV) has become the dominant JEV strain since 2010, raising questions about the vector competence of urban mosquitoes like </w:t>
      </w:r>
      <w:r w:rsidRPr="007C7CE8">
        <w:rPr>
          <w:rFonts w:ascii="Calibri" w:eastAsia="Times New Roman" w:hAnsi="Calibri" w:cs="Calibri"/>
          <w:i/>
          <w:iCs/>
          <w:color w:val="000000"/>
          <w:kern w:val="0"/>
          <w:sz w:val="22"/>
          <w:szCs w:val="22"/>
          <w14:ligatures w14:val="none"/>
        </w:rPr>
        <w:t>Culex pipiens pallens</w:t>
      </w:r>
      <w:r w:rsidRPr="007C7CE8">
        <w:rPr>
          <w:rFonts w:ascii="Calibri" w:eastAsia="Times New Roman" w:hAnsi="Calibri" w:cs="Calibri"/>
          <w:color w:val="000000"/>
          <w:kern w:val="0"/>
          <w:sz w:val="22"/>
          <w:szCs w:val="22"/>
          <w14:ligatures w14:val="none"/>
        </w:rPr>
        <w:t>. This study evaluated the vector competence of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Cx. pipiens pallens</w:t>
      </w:r>
      <w:r w:rsidRPr="007C7CE8">
        <w:rPr>
          <w:rFonts w:ascii="Calibri" w:eastAsia="Times New Roman" w:hAnsi="Calibri" w:cs="Calibri"/>
          <w:color w:val="000000"/>
          <w:kern w:val="0"/>
          <w:sz w:val="22"/>
          <w:szCs w:val="22"/>
          <w14:ligatures w14:val="none"/>
        </w:rPr>
        <w:t> for JEV GIII and V under laboratory conditions. Mosquitoes were orally infected with GIII and V strains, and assessed infection rate (IR), dissemination rate (DR), and transmission rate (TR) at 7 and 14 days post-infection.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showed consistently high IR, DR, and TR for both genotypes, with over 95% of individuals infected and actively transmitting the virus. In contrast</w:t>
      </w:r>
      <w:r w:rsidRPr="007C7CE8">
        <w:rPr>
          <w:rFonts w:ascii="Calibri" w:eastAsia="Times New Roman" w:hAnsi="Calibri" w:cs="Calibri"/>
          <w:i/>
          <w:iCs/>
          <w:color w:val="000000"/>
          <w:kern w:val="0"/>
          <w:sz w:val="22"/>
          <w:szCs w:val="22"/>
          <w14:ligatures w14:val="none"/>
        </w:rPr>
        <w:t>, Cx. pipiens pallens</w:t>
      </w:r>
      <w:r w:rsidRPr="007C7CE8">
        <w:rPr>
          <w:rFonts w:ascii="Calibri" w:eastAsia="Times New Roman" w:hAnsi="Calibri" w:cs="Calibri"/>
          <w:color w:val="000000"/>
          <w:kern w:val="0"/>
          <w:sz w:val="22"/>
          <w:szCs w:val="22"/>
          <w14:ligatures w14:val="none"/>
        </w:rPr>
        <w:t> demonstrated significantly lower IRs (ranging from 9.6% to 36.9%), though DR and TR were relatively high in the subset of infected individuals. Viral load and titers were also markedly higher in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compared to </w:t>
      </w:r>
      <w:r w:rsidRPr="007C7CE8">
        <w:rPr>
          <w:rFonts w:ascii="Calibri" w:eastAsia="Times New Roman" w:hAnsi="Calibri" w:cs="Calibri"/>
          <w:i/>
          <w:iCs/>
          <w:color w:val="000000"/>
          <w:kern w:val="0"/>
          <w:sz w:val="22"/>
          <w:szCs w:val="22"/>
          <w14:ligatures w14:val="none"/>
        </w:rPr>
        <w:t>Cx. pipiens pallens</w:t>
      </w:r>
      <w:r w:rsidRPr="007C7CE8">
        <w:rPr>
          <w:rFonts w:ascii="Calibri" w:eastAsia="Times New Roman" w:hAnsi="Calibri" w:cs="Calibri"/>
          <w:color w:val="000000"/>
          <w:kern w:val="0"/>
          <w:sz w:val="22"/>
          <w:szCs w:val="22"/>
          <w14:ligatures w14:val="none"/>
        </w:rPr>
        <w:t>, particularly in the head-thorax and salivation samples. Population transmission rate (PTR) further supported the superior vector competence of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across all time points and genotypes. These findings confirm that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is a highly competent vector for JEV GIII and V, and suggest that </w:t>
      </w:r>
      <w:r w:rsidRPr="007C7CE8">
        <w:rPr>
          <w:rFonts w:ascii="Calibri" w:eastAsia="Times New Roman" w:hAnsi="Calibri" w:cs="Calibri"/>
          <w:i/>
          <w:iCs/>
          <w:color w:val="000000"/>
          <w:kern w:val="0"/>
          <w:sz w:val="22"/>
          <w:szCs w:val="22"/>
          <w14:ligatures w14:val="none"/>
        </w:rPr>
        <w:t>Cx. pipiens pallens</w:t>
      </w:r>
      <w:r w:rsidRPr="007C7CE8">
        <w:rPr>
          <w:rFonts w:ascii="Calibri" w:eastAsia="Times New Roman" w:hAnsi="Calibri" w:cs="Calibri"/>
          <w:color w:val="000000"/>
          <w:kern w:val="0"/>
          <w:sz w:val="22"/>
          <w:szCs w:val="22"/>
          <w14:ligatures w14:val="none"/>
        </w:rPr>
        <w:t> may play a notable role in transmission of Japanese encephalitis virus. This study emphasizes the importance of targeted vector surveillance and control strategies for multiple mosquito species, especially given the recent urbanization of JE cases in the ROK.</w:t>
      </w:r>
    </w:p>
    <w:p w14:paraId="199F2CF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25-A-3357-ASTMH</w:t>
      </w:r>
    </w:p>
    <w:p w14:paraId="0A8CD10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Clinical Tropical Medicine</w:t>
      </w:r>
    </w:p>
    <w:p w14:paraId="573BD67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Challenges and Opportunities for Setting up Active Pregnancy Pharmacovigilance in Sub-Saharan Africa: Lessons Learnt from the MiMBa Pregnancy Exposure Registry</w:t>
      </w:r>
    </w:p>
    <w:p w14:paraId="2D9F02F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lastRenderedPageBreak/>
        <w:t>Post-marketing studies for medicines and vaccines are crucial for capturing real-world benefit-harm profiles, especially for groups like pregnant women who are usually excluded from pre-marketing trials. In sub-Saharan Africa (SSA), health information systems are often not sufficiently robust to support population-based safety studies. Active surveillance systems are needed to generate reliable safety data in these settings. We designed a prospective pregnancy exposure registry (PER) in Kenya and Burkina Faso to assess the safety of antimalarials in the first trimester. We developed data systems within routine care to capture information from pregnancy detection to delivery and one-year post-partum. Between February 2021 and March 2025, we enrolled 50,447 women aged 15-49 years and identified 16,097 pregnancies. We recorded 905 antimalarial first-trimester exposures, including 474 artemisinin-based combination therapies. We recorded outcomes for 14,150 (87.9%) of the pregnancies, including 721 (5.1%) spontaneous pregnancy losses (miscarriages and stillbirths) and 86 (0.6%) major congenital anomalies adjudicated by an independent expert panel. The average gestational age at pregnancy detection was slightly lower for community-detected pregnancies than for those first identified in antenatal clinics:16.7 vs 23.4 weeks in Burkina Faso and 18.5 vs 21.7 weeks in Kenya. In Kenya, the largest proportion of first-trimester antimalarial exposures (34.5%, 238/689) was captured from outpatient department, whereas in Burkina Faso most exposures (73.1%, 392/536) were reported by participants themselves. The majority of deliveries took place in health facilities, while 625 (3.9%) occurred at home. However, 38.7% (134/346) and 39.7% (29/73) of miscarriages occurred at home in Kenya and Burkina Faso respectively. PERs in SSA must leverage community health structures to detect early pregnancies, record miscarriages, and drug exposures occurring outside the formal health systems. PER activities at different health service points facilitates data validation and may support cross-therapeutic safety surveillance.</w:t>
      </w:r>
    </w:p>
    <w:p w14:paraId="4841D45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25-A-3359-ASTMH</w:t>
      </w:r>
    </w:p>
    <w:p w14:paraId="207BC4D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Viruses - Emerging Viral Diseases</w:t>
      </w:r>
    </w:p>
    <w:p w14:paraId="473ACDD6" w14:textId="44EE302F"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Emerging arthropod-borne Orthoflavivirus: Tembusu Virus</w:t>
      </w:r>
    </w:p>
    <w:p w14:paraId="35F755E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Arthropod-borne Orthoflaviviruses are an emerging threat to the UK. Orthoflaviviruses that have recently been detected in Europe with cases on the rise include West Nile Virus, Bagaza virus and Usutu virus with migratory birds facilitating the translocation. A related virus, Tembusu Virus is an emerging arthropod-borne Orthoflavivirus first identified in Malaysia in 1955 which remained largely undetected until 2010. In recent years it has spread dramatically through Malaysia, Thailand, China and Taiwan causing devastating disease in the duck farming economy. The zoonotic potential of this virus is uncertain. In order to prepare for the potential introduction of Tembusu Virus into Europe, my project has developed qRT-PCR assays for the sensitive detection of this virus and for assessing the ability of this virus to infect UK mosquitoes. Initially, pan-flavivirus SYBR Green qRT-PCR was used to amplify Tembusu Virus RNA and develop a positive control for future experiments. In addition, I have designed primer pairs for locations across the genome. One combination, that amplifies a segment of the NS3 protein-coding sequence, produced optimal results. In conclusion, this project contributes to the understanding of the neglected arbovirus Tembusu virus with the associated risks of potential introduction into Europe and the UK.</w:t>
      </w:r>
    </w:p>
    <w:p w14:paraId="6CA7132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25-A-3360-ASTMH</w:t>
      </w:r>
    </w:p>
    <w:p w14:paraId="6096744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Other</w:t>
      </w:r>
    </w:p>
    <w:p w14:paraId="06F832D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Baseline Assessment of Tropical Medicine and Hygiene Priorities in Afghanistan: Challenges, Gaps, and Opportunities for Strengthening Control Programs</w:t>
      </w:r>
    </w:p>
    <w:p w14:paraId="7AC35AE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Afghanistan faces a high burden of tropical and neglected diseases, due to conflicts, fragile health system, poverty and poor WASH(water, sanitation and hygiene).Malaria, leishmaniasis, enteric fever, soil transmitted, food borne helminths and other intestinal parasites remain endemic and emerging threats are linked to climate change,urbanization, poor WASH, displacement,low awareness and limited vector control measures,This abstract presents baseline findings to guide tropical medicine and hygiene </w:t>
      </w:r>
      <w:r w:rsidRPr="007C7CE8">
        <w:rPr>
          <w:rFonts w:ascii="Calibri" w:eastAsia="Times New Roman" w:hAnsi="Calibri" w:cs="Calibri"/>
          <w:color w:val="000000"/>
          <w:kern w:val="0"/>
          <w:sz w:val="22"/>
          <w:szCs w:val="22"/>
          <w14:ligatures w14:val="none"/>
        </w:rPr>
        <w:lastRenderedPageBreak/>
        <w:t>program improvements.A mixed-methods study conducted in 2024 across 7 provinces combining routine health data review, stakeholder’s interviews, and community surveys to evaluate tropical disease burden,diagnostic access,WASH conditions, and workforce capacity.Malaria endemic in 60% of country especially eastern and southern provinces with seasonal post monsoon peak, typhoid, enteric&amp;zoonotic helminths, intestinal parasites as longstanding endemic diseases, cutaneous leishmaniasis as highly endemic in urban areas such as Kabul, Kandahar, Herat, Balkh,Nangarhar, CCHF around the Eid Al adha,dengue fever (emerging) has became highly prevalent in eastern provinces bordering Pakistan,with widespread hotspots associated with environmental conditions. Diagnostic capacity for tropical diseases remains limited, particularly at peripheral health centers. National treatment guidelines exist but are variably implemented. Poor WASH status in surveyed areas supporting persistent parasitic spread ,Community awareness of disease prevention was generally low, though willingness to engage in behavior change was high.</w:t>
      </w:r>
      <w:r w:rsidRPr="007C7CE8">
        <w:rPr>
          <w:rFonts w:ascii="Calibri" w:eastAsia="Times New Roman" w:hAnsi="Calibri" w:cs="Calibri"/>
          <w:b/>
          <w:bCs/>
          <w:color w:val="000000"/>
          <w:kern w:val="0"/>
          <w:sz w:val="22"/>
          <w:szCs w:val="22"/>
          <w14:ligatures w14:val="none"/>
        </w:rPr>
        <w:t> </w:t>
      </w:r>
      <w:r w:rsidRPr="007C7CE8">
        <w:rPr>
          <w:rFonts w:ascii="Calibri" w:eastAsia="Times New Roman" w:hAnsi="Calibri" w:cs="Calibri"/>
          <w:color w:val="000000"/>
          <w:kern w:val="0"/>
          <w:sz w:val="22"/>
          <w:szCs w:val="22"/>
          <w14:ligatures w14:val="none"/>
        </w:rPr>
        <w:t>Afghanistan’s tropical disease landscape reflects both long-standing and emerging health threats. Baseline data highlight critical gaps in surveillance, service delivery, and community engagement.Strengthening integrated control strategies, enhancing local health workforce training and scaling up WASH programs are essential to achieving sustainable disease control.These findings support the urgent need for international investment and technical support tailored to fragile settings.</w:t>
      </w:r>
    </w:p>
    <w:p w14:paraId="3382AF2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25-A-3361-ASTMH</w:t>
      </w:r>
    </w:p>
    <w:p w14:paraId="37871CC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Respiratory Infections</w:t>
      </w:r>
    </w:p>
    <w:p w14:paraId="5568BAF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Efficacy and Safety of Natural Medicines for Treatment of Acute Respiratory Viral Infections including SARS-CoV2 in Uganda: Phase 2a Open Label Clinical Trial</w:t>
      </w:r>
    </w:p>
    <w:p w14:paraId="2DD87A8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After the outbreak of Coronavirus disease (COVID-19), cases of acute respiratory infections (ARIs) skyrocketed, resulting in millions of deaths. Several innovations including natural therapeutics were used globally. We conducted a phase 2a open-label, randomized controlled clinical trial to assess efficacy and safety of two natural medicines, Tazcov and Vidicine, each administered with standard of care (SOC) and compared to SOC alone for treatment of COVID-19, influenza-A, and influenza-B. The trial was conducted in Kampala, Uganda including participants aged 18 and more years, presenting with acute respiratory illness, fever, cough and/or sore throat. Five hundred and ten (510) participants (170 per group) were studied with daily visits for 7 days, and on days 14, 28, 60, and 90. The primary endpoint was time to symptom resolution (TTR), while viral clearance and adverse events (AEs) were secondary endpoints. Kaplan-Meier curves and Cox regression were used to analyse TTR and viral clearance; and Poisson regression to analyse incidence of AEs. Hazard ratio (HR) and incidence rate ratio (IRR) with 95% confidence intervals (CI) were estimated to compare efficacy and incidence of AEs between groups. Mean age was 32 (SD=10.3) years and 56.3% were female. Both Tazcov and Vidicine cleared symptoms faster than SOC with median TTR of 4 days compared to 6 days for SOC (Tazcov: HR=1.31, 95%CI=1.05-1.64, p=0.019) and (Vidicine: HR=1.38, 95%CI=1.10-1.74, p=0.006). A total of 85 (16.7%) tested positive for at least one of the 3 viruses at baseline. Both herbal products showed potential for faster viral clearance compared to SOC, though not significant (Tazcov: HR=1.24, 95%CI=0.54-2.84, p=0.606) and (Vidicine: HR=2.31 95%CI=0.81-6.54, p=0.116). Six hundred and two (602) AEs were documented with 69.8% mild, 24.8% moderate, and 5.4% severe. Incidence of AEs was higher for test products than SOC (Tazcov: IRR=1.42, 95%CI=1.16-1.74, p=0.001) and (Vidicine: IRR=1.34, 95%CI=1.10-1.65, p=0.004). Both Tazcov and Vidicine showed better efficacy for faster resolution of ARI symptoms and viral clearance, but with higher incidence of mostly mild AEs.</w:t>
      </w:r>
    </w:p>
    <w:p w14:paraId="64E26C9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25-A-3364-ASTMH</w:t>
      </w:r>
    </w:p>
    <w:p w14:paraId="5D6D5A0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Epidemiology and Vector Control</w:t>
      </w:r>
    </w:p>
    <w:p w14:paraId="4724026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Efficacy of 0.4% S-methoprene Mosquilarv in ovitraps to reduce Aedes density in southern Benin.</w:t>
      </w:r>
    </w:p>
    <w:p w14:paraId="4B7D224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Aedes aegypti and Aedes albopictus are key vectors of arboviruses such as dengue, Zika, and chikungunya. In the absence of effective vaccines, vector control is the most reliable strategy to prevent </w:t>
      </w:r>
      <w:r w:rsidRPr="007C7CE8">
        <w:rPr>
          <w:rFonts w:ascii="Calibri" w:eastAsia="Times New Roman" w:hAnsi="Calibri" w:cs="Calibri"/>
          <w:color w:val="000000"/>
          <w:kern w:val="0"/>
          <w:sz w:val="22"/>
          <w:szCs w:val="22"/>
          <w14:ligatures w14:val="none"/>
        </w:rPr>
        <w:lastRenderedPageBreak/>
        <w:t>outbreaks. Larval source management using insect growth regulators (IGRs), such as S-methoprene, offers a promising approach. This study evaluated the larval co-occurrence of Culicidae species and the efficacy of 0.4% S-methoprene (Mosquilarv) in reducing Aedes larval density in southern Benin. The study took place in two communes: Ifangni and Porto-Novo. A total of 24 oviposition traps were installed in each village and monitored over a 7-day period. Twelve traps were treated with 1.5 mg of 0.4% S-methoprene, while the remaining served as controls. Larval density and species co-occurrence data were collected weekly over four weeks following treatment. The pupal index and presence of Aedes larvae were tracked to assess treatment efficacy. A total of 3,209 Culicidae larvae were collected, with Aedes spp. comprising 72%, followed by Culex spp. (22%) and Anopheles spp. (6%). Significant co-occurrence was observed between Aedes aegypti and Aedes albopictus. Mosquilarv treatment led to a 75-100% reduction in Aedes larval density in treated habitats. The greatest reductions were observed in Porto-Novo and Ifangni. Minimal pupal development was noted post-treatment. The study confirms the larvicidal efficacy and residual activity of 0.4% S-methoprene. Mosquilarv is a valuable component of integrated vector management in urban and peri-urban environments in southern Benin and other countries around the world.</w:t>
      </w:r>
    </w:p>
    <w:p w14:paraId="1A98D71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25-A-3365-ASTMH</w:t>
      </w:r>
    </w:p>
    <w:p w14:paraId="7481146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Vaccines and Immunotherapeutics</w:t>
      </w:r>
    </w:p>
    <w:p w14:paraId="16F98FD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Acceptability, Knowledge, Attitudes and Practices on Malaria Vaccination Among Caregivers in Liberia</w:t>
      </w:r>
    </w:p>
    <w:p w14:paraId="7F0FD07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WHO recommends the use of the RTS,S/AS01 (or RTS,S) and R21/Matrix-M vaccines to reduce malariamorbidity and mortality in children living in areas with moderate to high P. falciparum malariatransmission. In May 2024, Liberia introduced the RTS,S vaccine targeting 38,046 infants in 6 of 15counties, using a four-dose schedule at 5, 6, 7 and 15 months. The 2022 Malaria Indicator Surveyreported that 97% of respondents would have their child take the malaria vaccine. We conducted across-sectional study to assess caregivers’ knowledge, attitudes, and practices (KAP) on malariavaccination using a standardized, structured WHO-adapted questionnaire at 20 randomly selectedimmunization clinics in the 6 counties. All study sites offered free vaccination services. We conducted adescriptive analysis of all variables, calculated the mean &amp; standard deviation for quantitative data &amp;proportions for qualitative variables. Most caregivers were female (95%; 201/211). Over half of them(53%; 111/211) had heard about the malaria vaccine, mainly from a health worker (86%; 95/111). Whilemost (78%; 165/211) knew where to get the malaria vaccine, majority (61%; 129/211) were unaware ofthe vaccine schedule. Most (83%; 176/211) considered it important for their child’s health. Nearly all(97%; 205/211) wanted their child to receive it, and 94% (199/211) felt that close friends and familywould support this decision. Two-thirds of caregivers (67%; 141/211) reported that mothers would needpermission to take children for malaria vaccination. Despite these positive attitudes, vaccine uptakeremains low, with coverage rates of 71%, 57%, 50%, and 5% for doses 1, 2,3 and 4, respectively. Movingforward, immunization stakeholders must strengthen communication strategies to improve awarenessof the vaccine’s safety, benefits, eligibility, and schedule - particularly for male caregivers who are keydecision-makers. Timely reminders directed to caregivers before each dose will address gaps inknowledge. In parallel, reinforcing health worker training, enhancing defaulter tracking, and conductingtargeted evaluations will be essential to improve uptake.</w:t>
      </w:r>
    </w:p>
    <w:p w14:paraId="1CBE641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25-A-3367-ASTMH</w:t>
      </w:r>
    </w:p>
    <w:p w14:paraId="4F138D9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Vaccines and Immunotherapeutics</w:t>
      </w:r>
    </w:p>
    <w:p w14:paraId="3C2AD62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Next-generation Malaria Vaccines: Investigating the full potential of the entire PCRCR complex in the face of </w:t>
      </w:r>
      <w:r w:rsidRPr="007C7CE8">
        <w:rPr>
          <w:rFonts w:ascii="Calibri" w:eastAsia="Times New Roman" w:hAnsi="Calibri" w:cs="Calibri"/>
          <w:i/>
          <w:iCs/>
          <w:color w:val="000000"/>
          <w:kern w:val="0"/>
          <w:sz w:val="22"/>
          <w:szCs w:val="22"/>
          <w14:ligatures w14:val="none"/>
        </w:rPr>
        <w:t>Plasmodium</w:t>
      </w:r>
      <w:r w:rsidRPr="007C7CE8">
        <w:rPr>
          <w:rFonts w:ascii="Calibri" w:eastAsia="Times New Roman" w:hAnsi="Calibri" w:cs="Calibri"/>
          <w:color w:val="000000"/>
          <w:kern w:val="0"/>
          <w:sz w:val="22"/>
          <w:szCs w:val="22"/>
          <w14:ligatures w14:val="none"/>
        </w:rPr>
        <w:t> genetic diversity</w:t>
      </w:r>
    </w:p>
    <w:p w14:paraId="5265A3C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Progress in reducing malaria has plateaued, highlighting the urgent need for more effective vaccines. A major challenge is the extensive antigenic diversity of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xml:space="preserve">, which remains under-evaluated in vaccine development. Here, we present the first comprehensive analysis of the impact of natural genetic diversity across the entire pentameric PCRCR complex (PfPTRAMP, PfCSS, PfRipr, </w:t>
      </w:r>
      <w:r w:rsidRPr="007C7CE8">
        <w:rPr>
          <w:rFonts w:ascii="Calibri" w:eastAsia="Times New Roman" w:hAnsi="Calibri" w:cs="Calibri"/>
          <w:color w:val="000000"/>
          <w:kern w:val="0"/>
          <w:sz w:val="22"/>
          <w:szCs w:val="22"/>
          <w14:ligatures w14:val="none"/>
        </w:rPr>
        <w:lastRenderedPageBreak/>
        <w:t>PfCyRPA, PfRH5) on immune evasion and in vitro vaccine efficacy. Clinical isolates were collected from patients in Kédougou, Senegal. We assessed their phenotypic responses to α-PCRCR monoclonal antibodies (mAbs) and nanobodies using a flow cytometry-based growth inhibition activity (GIA) assay. Inhibition was quantified relative to Naive IgG controls, with α-basigin (MEM-M6/6) mAbs as a positive control. Thirty isolates were tested with a range of mAb concentrations, spanning IC50s reported for laboratory-adapted lines. Next-generation sequencing (NGS) was performed to characterize genetic diversity and investigate associations with GIA phenotypes. Potent α-PfRH5 mAbs from vaccinees achieved &gt;60% inhibition at 100 µg/ml. α-PfCyRPA and α-PfRipr mAbs displayed inhibition levels consistent with previous studies. nAbs against PfPTRAMP and PfCSS tested for the first time on clinical isolates, showed modest inhibition (20-40% at 100 µg/ml), similar to results in laboratory lines. Synergy testing of mAb combinations revealed that the triple-RH5 combination reached 66.7% mean GIA at 10 µg/ml, while single α-PfRH5 mAbs (R5.268, R5.034) outperformed the triple RCR combination with &gt;70% inhibition. NGS revealed seven SNPs in RH5 and nine in Ripr, with C203Y and Y259H as the most prevalent, respectively; analysis of the remaining complex members is ongoing. These findings support the PCRCR complex as a promising, conserved vaccine target, with mAbs retaining efficacy against diverse circulating </w:t>
      </w:r>
      <w:r w:rsidRPr="007C7CE8">
        <w:rPr>
          <w:rFonts w:ascii="Calibri" w:eastAsia="Times New Roman" w:hAnsi="Calibri" w:cs="Calibri"/>
          <w:i/>
          <w:iCs/>
          <w:color w:val="000000"/>
          <w:kern w:val="0"/>
          <w:sz w:val="22"/>
          <w:szCs w:val="22"/>
          <w14:ligatures w14:val="none"/>
        </w:rPr>
        <w:t>P. falciparum</w:t>
      </w:r>
      <w:r w:rsidRPr="007C7CE8">
        <w:rPr>
          <w:rFonts w:ascii="Calibri" w:eastAsia="Times New Roman" w:hAnsi="Calibri" w:cs="Calibri"/>
          <w:color w:val="000000"/>
          <w:kern w:val="0"/>
          <w:sz w:val="22"/>
          <w:szCs w:val="22"/>
          <w14:ligatures w14:val="none"/>
        </w:rPr>
        <w:t> variants. Our results support prioritizing the PCRCR complex for next-generation malaria vaccine development and highlight the importance of integrating genetic diversity into antigen selection strategies.</w:t>
      </w:r>
    </w:p>
    <w:p w14:paraId="2047EEF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25-A-3368-ASTMH</w:t>
      </w:r>
    </w:p>
    <w:p w14:paraId="02A6668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Surveillance and Data Utilization</w:t>
      </w:r>
    </w:p>
    <w:p w14:paraId="44B6F2E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Mapping residual malaria transmission in Vietnam</w:t>
      </w:r>
    </w:p>
    <w:p w14:paraId="3991367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Vietnam has committed to eliminating all malaria by 2030, and declining case numbers highlight the country’s progress; however, challenges including imported cases and pockets of residual transmission remain. To successfully eliminate malaria and to prevent reintroduction of malaria transmission, geostatistical modelling of vulnerability (importation rate) and receptivity (quantified by the reproduction number) of malaria is critical. We train a range of network and geostatistical models on geolocated case data from 2019 to 2022 to predict these strategically vital metrics. The modelling pipeline we employ distinguishes cases by parasite and by importation status, as well as introducing novel techniques for working with biased data in near-elimination settings. Our results illustrate spatially heterogeneous malaria receptivity and vulnerability, as well as seasonal fluctuations in the effective reproduction number of malaria. Despite the average reproduction number being less than one, the spatial pockets and temporal windows of elevated reproduction number could prevent timely elimination of malaria or even lead to a reversal of progress. The predictive maps we present can inform appropriate intervention strategies to advance goals of malaria elimination.</w:t>
      </w:r>
    </w:p>
    <w:p w14:paraId="12E2C2E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25-A-3369-ASTMH</w:t>
      </w:r>
    </w:p>
    <w:p w14:paraId="205BEBB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Elimination</w:t>
      </w:r>
    </w:p>
    <w:p w14:paraId="016D9BA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Case Study of Improved On-Shelf Availability (OSA) of Malaria Health Products in 13 States in Nigeria</w:t>
      </w:r>
    </w:p>
    <w:p w14:paraId="64F8170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Ensuring the consistent availability of essential medical supplies is critical for effective public health interventions. This paper highlights the significant upward trend in On-Shelf Availability (OSA) of tracer malaria health products in 7,058 public health facilities across thirteen Global Fund-supported malaria states in Nigeria. OSA is defined as the proportion of health facilities with malaria tracer products such as Artemether/Lumefantrine 20/120mg (30x6 and 30x24) and Rapid Diagnostic Tests (RDTs), available at the end of each bi-monthly reporting period in the 13 states from 2021 to 2024. The program implemented a comprehensive set of strategies to improve OSA, including real-time data visibility by introducing state-specific analytic tools to identify poor performing health facilities for targeted interventions. Key Performance Indicators (KPI) monitoring and performance reviews leveraging on annual malaria multi-stakeholder coordination meetings were also used to recognize states with good performance, conduct peer reviews and sharing of lessons learned for enhanced inventory management </w:t>
      </w:r>
      <w:r w:rsidRPr="007C7CE8">
        <w:rPr>
          <w:rFonts w:ascii="Calibri" w:eastAsia="Times New Roman" w:hAnsi="Calibri" w:cs="Calibri"/>
          <w:color w:val="000000"/>
          <w:kern w:val="0"/>
          <w:sz w:val="22"/>
          <w:szCs w:val="22"/>
          <w14:ligatures w14:val="none"/>
        </w:rPr>
        <w:lastRenderedPageBreak/>
        <w:t>and improved data quality. These efforts were supported by data-driven advocacy and state-specific capacity-building initiatives that collectively improved data quality, operational efficiency and accountability over the review period. These interventions led to a remarkable improvement in OSA across the 13 states with an average performance of below 50% in 2021 to above 90% by the end of 2024. The increase in OSA reflects the success of data-driven multi-stakeholder supply chain approaches using real-time data analytics and improved last-mile logistics to improve health outcomes towards malaria elimination in Nigeria. The implementation of these evidence-based strategies offers valuable lessons for optimizing supply chain systems in other resource-limited settings.</w:t>
      </w:r>
    </w:p>
    <w:p w14:paraId="1C9923F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25-A-3370-ASTMH</w:t>
      </w:r>
    </w:p>
    <w:p w14:paraId="3A05A2A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Maternal, Newborn and Child Health and Nutrition</w:t>
      </w:r>
    </w:p>
    <w:p w14:paraId="053DDE6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Optimizing Gestational Age Determination in Pregnancy Registries: A Machine Learning Approach for Improved Data Accuracy</w:t>
      </w:r>
    </w:p>
    <w:p w14:paraId="3189C0F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Accurate determination of pregnancy onset informs gestational age, due date, and prenatal care. In perinatal research, it is vital to determine gestational age at exposure and classify birth outcomes correctly. However, real-world pregnancy cohort data often contain inconsistent start dates from ultrasound, maternal recall, fundal height, and newborn examination, affected by recall bias, measurement errors, and clinical assessment variations. Traditional methods using predefined rules or expert validation struggle with large datasets and complex errors. This study explores the use of a machine learning technique (Isolation Forest) to detect anomalous estimated pregnancy start dates and improve the selection of the most reliable estimate. We hypothesize that machine learning can reconcile gestational age discrepancies more reliably than conventional methods. We applied Isolation Forest to an active pregnancy registry comprising 9,935 pregnancies from Homabay County in Kenya. Model features were derived from fundal height, Ballard score, foot length, ultrasound gestational age, maternal recall of last menstrual period, pregnancy outcome, expected delivery date, and actual delivery date. The model identified anomalies by assigning anomaly scores based on deviations from expected delivery dates, gestational age progression checks at each antenatal visit, gestational age per outcome, and cross-method variability. Performance was evaluated using precision, recall, F1-score, and the Area Under the Curve. Flagged anomalies were compared against clinical expert reviews to validate model robustness. The results will showcase the percentage of error rate in estimating pregnancy start date, the percentage of correct pregnancy episode classification, and the expert agreement rate at baseline and post-model implementation. Our findings will highlight the potential of machine learning to enhance the accuracy of gestational age estimation, a crucial factor for pharmacovigilance, pregnancy episode record linkage across multiple registries, and improved perinatal research, particularly in low-resource settings.</w:t>
      </w:r>
    </w:p>
    <w:p w14:paraId="0CBC189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25-A-3371-ASTMH</w:t>
      </w:r>
    </w:p>
    <w:p w14:paraId="2707814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Prevention</w:t>
      </w:r>
    </w:p>
    <w:p w14:paraId="65F6DA9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Assessing the effectiveness of seasonal malaria chemoprevention in Chad with malaria routine surveillance data</w:t>
      </w:r>
    </w:p>
    <w:p w14:paraId="4A2C478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Malaria is one of the leading causes of morbidity and mortality in Chad, with a large part of disease burden concentrated in young children. In order to protect this vulnerable age group, seasonal malaria chemoprevention (SMC) has been proven to be highly effective in randomized trials and is recommended by the WHO to protect those most at risk of severe disease. In the southern district of Moissala, SMC has been administered to children under the age of 5 since 2013 by Médecins Sans Frontières France (MSFF), with an interruption during 2019. Assessing the retrospective impact of the intervention is crucial for decision-makers to ensure appropriate use of limited resources and improve implementation. For example, the timing and number of SMC rounds could be optimized to further reduce malaria cases and burden. However, it is not straightforward to quantify SMC’s public health impact in programmatic settings, due to the absence of formal prospective study design and the </w:t>
      </w:r>
      <w:r w:rsidRPr="007C7CE8">
        <w:rPr>
          <w:rFonts w:ascii="Calibri" w:eastAsia="Times New Roman" w:hAnsi="Calibri" w:cs="Calibri"/>
          <w:color w:val="000000"/>
          <w:kern w:val="0"/>
          <w:sz w:val="22"/>
          <w:szCs w:val="22"/>
          <w14:ligatures w14:val="none"/>
        </w:rPr>
        <w:lastRenderedPageBreak/>
        <w:t>confounding effect of climatic factors. To address these gaps, we developed a compartmental model to represent malaria dynamics in the presence of SMC. The model relies on remote sensing data on temperature and rainfall to account for inter-annual climate variations. It is calibrated to routine data on suspected malaria cases with Bayesian inference techniques. The fitted model is used to quantify the number of cases averted by SMC under various scenarios on deployment and timing. It was found that SMC was highly effective in preventing malaria cases in Moissala and that five rounds of SMC beginning in June resulted in the greatest reduction in malaria cases. Such information can be leveraged for decision-making on intervention deployment and potential scale-up. Additionally, the model is made available as an open source R package for further applications in other settings.</w:t>
      </w:r>
    </w:p>
    <w:p w14:paraId="1FC168E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25-A-3372-ASTMH</w:t>
      </w:r>
    </w:p>
    <w:p w14:paraId="59E3263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Epidemiology and Vector Control</w:t>
      </w:r>
    </w:p>
    <w:p w14:paraId="7A3EB95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Analysis of the larviciding landscape in Sub-Saharan Africa</w:t>
      </w:r>
    </w:p>
    <w:p w14:paraId="53592DE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Analysis of the larviciding landscape in Sub-Saharan Africa</w:t>
      </w:r>
      <w:r w:rsidRPr="007C7CE8">
        <w:rPr>
          <w:rFonts w:ascii="Calibri" w:eastAsia="Times New Roman" w:hAnsi="Calibri" w:cs="Calibri"/>
          <w:color w:val="000000"/>
          <w:kern w:val="0"/>
          <w:sz w:val="22"/>
          <w:szCs w:val="22"/>
          <w14:ligatures w14:val="none"/>
        </w:rPr>
        <w:t>Steven Gowelo</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Anna Francisco</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Michael MacDonald</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Neil F. Lobo</w:t>
      </w:r>
      <w:r w:rsidRPr="007C7CE8">
        <w:rPr>
          <w:rFonts w:ascii="Calibri" w:eastAsia="Times New Roman" w:hAnsi="Calibri" w:cs="Calibri"/>
          <w:color w:val="000000"/>
          <w:kern w:val="0"/>
          <w:sz w:val="22"/>
          <w:szCs w:val="22"/>
          <w:vertAlign w:val="superscript"/>
          <w14:ligatures w14:val="none"/>
        </w:rPr>
        <w:t>1,2</w:t>
      </w:r>
      <w:r w:rsidRPr="007C7CE8">
        <w:rPr>
          <w:rFonts w:ascii="Calibri" w:eastAsia="Times New Roman" w:hAnsi="Calibri" w:cs="Calibri"/>
          <w:color w:val="000000"/>
          <w:kern w:val="0"/>
          <w:sz w:val="22"/>
          <w:szCs w:val="22"/>
          <w14:ligatures w14:val="none"/>
        </w:rPr>
        <w:t>, Allison Tatarsky</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Edward Thomsen</w:t>
      </w:r>
      <w:r w:rsidRPr="007C7CE8">
        <w:rPr>
          <w:rFonts w:ascii="Calibri" w:eastAsia="Times New Roman" w:hAnsi="Calibri" w:cs="Calibri"/>
          <w:color w:val="000000"/>
          <w:kern w:val="0"/>
          <w:sz w:val="22"/>
          <w:szCs w:val="22"/>
          <w:vertAlign w:val="superscript"/>
          <w14:ligatures w14:val="none"/>
        </w:rPr>
        <w:t>11</w:t>
      </w:r>
      <w:r w:rsidRPr="007C7CE8">
        <w:rPr>
          <w:rFonts w:ascii="Calibri" w:eastAsia="Times New Roman" w:hAnsi="Calibri" w:cs="Calibri"/>
          <w:color w:val="000000"/>
          <w:kern w:val="0"/>
          <w:sz w:val="22"/>
          <w:szCs w:val="22"/>
          <w14:ligatures w14:val="none"/>
        </w:rPr>
        <w:t>Malaria Elimination Initiative, University of California San Francisco</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University of Notre Dame</w:t>
      </w:r>
      <w:r w:rsidRPr="007C7CE8">
        <w:rPr>
          <w:rFonts w:ascii="Calibri" w:eastAsia="Times New Roman" w:hAnsi="Calibri" w:cs="Calibri"/>
          <w:color w:val="000000"/>
          <w:kern w:val="0"/>
          <w:sz w:val="22"/>
          <w:szCs w:val="22"/>
          <w14:ligatures w14:val="none"/>
        </w:rPr>
        <w:br/>
        <w:t>Over the past two decades, global efforts to control malaria have yielded significant reductions in malaria incidence, primarily through the use of insecticide-treated nets (ITNs) and indoor residual spraying (IRS). However, recent years have seen a stagnation in the decline of malaria cases, with some regions in Sub-Saharan Africa (SSA) experiencing increases. Widespread insecticide resistance and residual transmission due to gaps in protection (exposure when people are unprotected) have hindered progress. Larviciding offers a promising approach to addressing these biological gaps, yet its implementation status across SSA remains poorly documented. To synthesize best practices and identify knowledge gaps, we are conducting a landscaping review of larviciding in SSA, utilizing a mixed-methods approach that incorporates a comprehensive literature review, online surveys with national malaria programs (NMPs) and larvicide manufacturers, and in-depth interviews with NMPs, larvicide manufacturers, donors, academia, and normative bodies. Preliminary results reveal a notable demand for larviciding interventions in SSA, hindered by limited access to technologies and larvicides, with the latter explained by an exclusive use of bacterial larvicides across the region, as well as the World Health Organization's (WHO) current stance on Larval Source Management (LSM) as a supplementary intervention, which stakeholders argue discourages investment. Conversely, the analysis identifies substantial domestic funding and industry interest in larviciding products as key enablers, reflecting high government support and a promising business opportunity in SSA.</w:t>
      </w:r>
      <w:r w:rsidRPr="007C7CE8">
        <w:rPr>
          <w:rFonts w:ascii="Calibri" w:eastAsia="Times New Roman" w:hAnsi="Calibri" w:cs="Calibri"/>
          <w:b/>
          <w:bCs/>
          <w:color w:val="000000"/>
          <w:kern w:val="0"/>
          <w:sz w:val="22"/>
          <w:szCs w:val="22"/>
          <w14:ligatures w14:val="none"/>
        </w:rPr>
        <w:t>Keywords:</w:t>
      </w:r>
      <w:r w:rsidRPr="007C7CE8">
        <w:rPr>
          <w:rFonts w:ascii="Calibri" w:eastAsia="Times New Roman" w:hAnsi="Calibri" w:cs="Calibri"/>
          <w:color w:val="000000"/>
          <w:kern w:val="0"/>
          <w:sz w:val="22"/>
          <w:szCs w:val="22"/>
          <w14:ligatures w14:val="none"/>
        </w:rPr>
        <w:t> Larviciding, Vector control, Sub-Saharan Africa, Larval Source Management, insecticide resistance.</w:t>
      </w:r>
    </w:p>
    <w:p w14:paraId="1F41BA2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25-A-3374-ASTMH</w:t>
      </w:r>
    </w:p>
    <w:p w14:paraId="379014F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Bionomics, Behavior and Surveillance</w:t>
      </w:r>
    </w:p>
    <w:p w14:paraId="2D81C9B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Characterising mosquito human behaviour overlaps to inform context specific malaria control in Ghana</w:t>
      </w:r>
    </w:p>
    <w:p w14:paraId="67240D8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Characterising mosquito-human behaviour overlaps to inform context-specific malaria control in Ghana</w:t>
      </w:r>
      <w:r w:rsidRPr="007C7CE8">
        <w:rPr>
          <w:rFonts w:ascii="Calibri" w:eastAsia="Times New Roman" w:hAnsi="Calibri" w:cs="Calibri"/>
          <w:color w:val="000000"/>
          <w:kern w:val="0"/>
          <w:sz w:val="22"/>
          <w:szCs w:val="22"/>
          <w14:ligatures w14:val="none"/>
        </w:rPr>
        <w:br/>
        <w:t>Steven Gowelo</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Samuel Oppong</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Ernest Boampong</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Otubea Akrofi</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Christian Atta-Obeng</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Mercy Opiyo</w:t>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 Nana Yaw Peprah</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Keziah Malm</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Allison Tatarsky</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Edward Thomsen</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 Neil F Lobo</w:t>
      </w:r>
      <w:r w:rsidRPr="007C7CE8">
        <w:rPr>
          <w:rFonts w:ascii="Calibri" w:eastAsia="Times New Roman" w:hAnsi="Calibri" w:cs="Calibri"/>
          <w:color w:val="000000"/>
          <w:kern w:val="0"/>
          <w:sz w:val="22"/>
          <w:szCs w:val="22"/>
          <w:vertAlign w:val="superscript"/>
          <w14:ligatures w14:val="none"/>
        </w:rPr>
        <w:t>1,3</w:t>
      </w:r>
      <w:r w:rsidRPr="007C7CE8">
        <w:rPr>
          <w:rFonts w:ascii="Calibri" w:eastAsia="Times New Roman" w:hAnsi="Calibri" w:cs="Calibri"/>
          <w:color w:val="000000"/>
          <w:kern w:val="0"/>
          <w:sz w:val="22"/>
          <w:szCs w:val="22"/>
          <w14:ligatures w14:val="none"/>
        </w:rPr>
        <w:br/>
      </w:r>
      <w:r w:rsidRPr="007C7CE8">
        <w:rPr>
          <w:rFonts w:ascii="Calibri" w:eastAsia="Times New Roman" w:hAnsi="Calibri" w:cs="Calibri"/>
          <w:color w:val="000000"/>
          <w:kern w:val="0"/>
          <w:sz w:val="22"/>
          <w:szCs w:val="22"/>
          <w:vertAlign w:val="superscript"/>
          <w14:ligatures w14:val="none"/>
        </w:rPr>
        <w:t>1</w:t>
      </w:r>
      <w:r w:rsidRPr="007C7CE8">
        <w:rPr>
          <w:rFonts w:ascii="Calibri" w:eastAsia="Times New Roman" w:hAnsi="Calibri" w:cs="Calibri"/>
          <w:color w:val="000000"/>
          <w:kern w:val="0"/>
          <w:sz w:val="22"/>
          <w:szCs w:val="22"/>
          <w14:ligatures w14:val="none"/>
        </w:rPr>
        <w:t>Malaria Elimination Initiative, University of California San Francisco, USA</w:t>
      </w:r>
      <w:r w:rsidRPr="007C7CE8">
        <w:rPr>
          <w:rFonts w:ascii="Calibri" w:eastAsia="Times New Roman" w:hAnsi="Calibri" w:cs="Calibri"/>
          <w:color w:val="000000"/>
          <w:kern w:val="0"/>
          <w:sz w:val="22"/>
          <w:szCs w:val="22"/>
          <w:vertAlign w:val="superscript"/>
          <w14:ligatures w14:val="none"/>
        </w:rPr>
        <w:t>2</w:t>
      </w:r>
      <w:r w:rsidRPr="007C7CE8">
        <w:rPr>
          <w:rFonts w:ascii="Calibri" w:eastAsia="Times New Roman" w:hAnsi="Calibri" w:cs="Calibri"/>
          <w:color w:val="000000"/>
          <w:kern w:val="0"/>
          <w:sz w:val="22"/>
          <w:szCs w:val="22"/>
          <w14:ligatures w14:val="none"/>
        </w:rPr>
        <w:t>Ghana National Malaria Elimination Program</w:t>
      </w:r>
      <w:r w:rsidRPr="007C7CE8">
        <w:rPr>
          <w:rFonts w:ascii="Calibri" w:eastAsia="Times New Roman" w:hAnsi="Calibri" w:cs="Calibri"/>
          <w:color w:val="000000"/>
          <w:kern w:val="0"/>
          <w:sz w:val="22"/>
          <w:szCs w:val="22"/>
          <w:vertAlign w:val="superscript"/>
          <w14:ligatures w14:val="none"/>
        </w:rPr>
        <w:t>3</w:t>
      </w:r>
      <w:r w:rsidRPr="007C7CE8">
        <w:rPr>
          <w:rFonts w:ascii="Calibri" w:eastAsia="Times New Roman" w:hAnsi="Calibri" w:cs="Calibri"/>
          <w:color w:val="000000"/>
          <w:kern w:val="0"/>
          <w:sz w:val="22"/>
          <w:szCs w:val="22"/>
          <w14:ligatures w14:val="none"/>
        </w:rPr>
        <w:t>University of Notre Dame</w:t>
      </w:r>
      <w:r w:rsidRPr="007C7CE8">
        <w:rPr>
          <w:rFonts w:ascii="Calibri" w:eastAsia="Times New Roman" w:hAnsi="Calibri" w:cs="Calibri"/>
          <w:color w:val="000000"/>
          <w:kern w:val="0"/>
          <w:sz w:val="22"/>
          <w:szCs w:val="22"/>
          <w14:ligatures w14:val="none"/>
        </w:rPr>
        <w:br/>
        <w:t xml:space="preserve">Effective malaria vector control requires alignment with mosquito species-specific compositions and bionomic traits. Despite progress in reducing malaria morbidity and mortality in Ghana, malaria remains endemic with high vulnerability among children under five, pregnant women, and the immuno-compromised. To inform tailoring of malaria control interventions in Ghana, we investigated spatial and temporal mosquito behavior and human exposure patterns. Concurrent Human Landing Catches (HLCs) </w:t>
      </w:r>
      <w:r w:rsidRPr="007C7CE8">
        <w:rPr>
          <w:rFonts w:ascii="Calibri" w:eastAsia="Times New Roman" w:hAnsi="Calibri" w:cs="Calibri"/>
          <w:color w:val="000000"/>
          <w:kern w:val="0"/>
          <w:sz w:val="22"/>
          <w:szCs w:val="22"/>
          <w14:ligatures w14:val="none"/>
        </w:rPr>
        <w:lastRenderedPageBreak/>
        <w:t>and anonymized Human Behavior Observations (HBOs) respectively captured hourly mosquito biting rates and human activities indoors and outdoors, including bed net usage. Integrating HBO and HLC data enables precise estimation of actual exposure to bites. Mosquito capture rates and spatiotemporal behaviors were quantified for overall catches and individual species, with adult mosquitoes identified via morphological and molecular techniques. Ongoing analysis of HBO and HLC data will elucidate context-specific protection gaps driving residual malaria transmission. Identifying these gaps will inform tailored interventions adapted to diverse mosquito populations and transmission contexts, transcending one-size-fits-all approaches. This research has significant implications for optimizing malaria control strategies in Ghana and similar settings.</w:t>
      </w:r>
      <w:r w:rsidRPr="007C7CE8">
        <w:rPr>
          <w:rFonts w:ascii="Calibri" w:eastAsia="Times New Roman" w:hAnsi="Calibri" w:cs="Calibri"/>
          <w:b/>
          <w:bCs/>
          <w:color w:val="000000"/>
          <w:kern w:val="0"/>
          <w:sz w:val="22"/>
          <w:szCs w:val="22"/>
          <w14:ligatures w14:val="none"/>
        </w:rPr>
        <w:t>Key Words:</w:t>
      </w:r>
      <w:r w:rsidRPr="007C7CE8">
        <w:rPr>
          <w:rFonts w:ascii="Calibri" w:eastAsia="Times New Roman" w:hAnsi="Calibri" w:cs="Calibri"/>
          <w:color w:val="000000"/>
          <w:kern w:val="0"/>
          <w:sz w:val="22"/>
          <w:szCs w:val="22"/>
          <w14:ligatures w14:val="none"/>
        </w:rPr>
        <w:t> Human Landing Catch, Human Behavior Observation, Gap in protection, mosquito bionomics, vector control, targeted interventions.</w:t>
      </w:r>
    </w:p>
    <w:p w14:paraId="6D26E52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25-A-3376-ASTMH</w:t>
      </w:r>
    </w:p>
    <w:p w14:paraId="0831FA7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Drug Development and Clinical Trials</w:t>
      </w:r>
    </w:p>
    <w:p w14:paraId="00624CE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Perceptions of Shorter Radical Cure Treatment Regimens and their Implementation: A Qualitative Study Among Stakeholders in Cambodia</w:t>
      </w:r>
    </w:p>
    <w:p w14:paraId="562DBB3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Plasmodium vivax</w:t>
      </w:r>
      <w:r w:rsidRPr="007C7CE8">
        <w:rPr>
          <w:rFonts w:ascii="Calibri" w:eastAsia="Times New Roman" w:hAnsi="Calibri" w:cs="Calibri"/>
          <w:color w:val="000000"/>
          <w:kern w:val="0"/>
          <w:sz w:val="22"/>
          <w:szCs w:val="22"/>
          <w14:ligatures w14:val="none"/>
        </w:rPr>
        <w:t> malaria remains a significant public health concern in the Asia Pacific, the Americas, and the Horn of Africa, where acute and recurrent infections cause morbidity, socio-economic burden, and mortality among vulnerable populations. Shorter, more effective, and efficacious treatment options for </w:t>
      </w:r>
      <w:r w:rsidRPr="007C7CE8">
        <w:rPr>
          <w:rFonts w:ascii="Calibri" w:eastAsia="Times New Roman" w:hAnsi="Calibri" w:cs="Calibri"/>
          <w:i/>
          <w:iCs/>
          <w:color w:val="000000"/>
          <w:kern w:val="0"/>
          <w:sz w:val="22"/>
          <w:szCs w:val="22"/>
          <w14:ligatures w14:val="none"/>
        </w:rPr>
        <w:t>P. vivax </w:t>
      </w:r>
      <w:r w:rsidRPr="007C7CE8">
        <w:rPr>
          <w:rFonts w:ascii="Calibri" w:eastAsia="Times New Roman" w:hAnsi="Calibri" w:cs="Calibri"/>
          <w:color w:val="000000"/>
          <w:kern w:val="0"/>
          <w:sz w:val="22"/>
          <w:szCs w:val="22"/>
          <w14:ligatures w14:val="none"/>
        </w:rPr>
        <w:t>malaria, including high-dose primaquine and single-dose tafenoquine, have recently been approved—dependent on the availability of point-of-care G6PD testing. The acceptability and feasibility of implementing these shorter treatment options warrant investigation to inform implementation and mitigate potential challenges. Using qualitative methods (interviews and focus group discussions), policymakers’, healthcare providers’, and malaria service recipients’ perceptions of and opinions regarding 7-day high-dose primaquine and tafenoquine in the context of a pre-elimination setting in Cambodia were explored. Data from 142 participants were thematically analyzed through deductive and inductive coding and memo writing. Policymakers, malaria program officials, and healthcare providers identified the need for shorter treatment regimens due to low adherence and reduced effectiveness of longer treatment regimens. They attributed added value to these new interventions, associating better quality, increased effectiveness, and a decreased burden on healthcare workers. For patients, the main purpose and value of shorter treatment options were reduced opportunity costs by being able to return to work earlier and being cured as quickly as possible. The value attributed was contingent on the treatment options’ side effect profile, with some stakeholders being worried about patients experiencing more side effects. However, patients themselves accepted increased side effects if they persisted for a shorter period. There was demand from policymakers who noted the flexibility of their guidelines for evidence-informed change. They requested further evidence about safety and effectiveness. The uptake of a revised policy is likely but will likely require enhanced patient monitoring.</w:t>
      </w:r>
    </w:p>
    <w:p w14:paraId="33744A1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25-A-3377-ASTMH</w:t>
      </w:r>
    </w:p>
    <w:p w14:paraId="0F4BD23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Helminths – Nematodes – Filariasis (Epidemiology)</w:t>
      </w:r>
    </w:p>
    <w:p w14:paraId="6ACC4AB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Utility of lymphatic filariasis antibody serosurveillance for post-validation surveillance in Tonga</w:t>
      </w:r>
    </w:p>
    <w:p w14:paraId="3A5C2EC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Tonga eliminated lymphatic filariasis (LF) as a public health problem in 2017 and conducted post-validation surveillance (PVS) in 2024. PVS is required to monitor elimination status. LF antibody (Ab) may be more sensitive than antigen (Ag) to detect early transmission signals. We investigated the utility of Abs for PVS by measuring Ab prevalence, risk factors for Ab-positivity (Ab+) and the sensitivity and specificity of Ab to identify Ag-positives (Ag+).A targeted PVS study was conducted in Tonga in May–July 2024. Ag was detected by Alere™ Filariasis Test Strips (FTS) and blood slides examined for microfilariae (Mf). Multiplex bead assays (MBA) were used to detect Ab+ (</w:t>
      </w:r>
      <w:r w:rsidRPr="007C7CE8">
        <w:rPr>
          <w:rFonts w:ascii="Calibri" w:eastAsia="Times New Roman" w:hAnsi="Calibri" w:cs="Calibri"/>
          <w:i/>
          <w:iCs/>
          <w:color w:val="000000"/>
          <w:kern w:val="0"/>
          <w:sz w:val="22"/>
          <w:szCs w:val="22"/>
          <w14:ligatures w14:val="none"/>
        </w:rPr>
        <w:t>Bm14</w:t>
      </w:r>
      <w:r w:rsidRPr="007C7CE8">
        <w:rPr>
          <w:rFonts w:ascii="Calibri" w:eastAsia="Times New Roman" w:hAnsi="Calibri" w:cs="Calibri"/>
          <w:color w:val="000000"/>
          <w:kern w:val="0"/>
          <w:sz w:val="22"/>
          <w:szCs w:val="22"/>
          <w14:ligatures w14:val="none"/>
        </w:rPr>
        <w:t>Ab, </w:t>
      </w:r>
      <w:r w:rsidRPr="007C7CE8">
        <w:rPr>
          <w:rFonts w:ascii="Calibri" w:eastAsia="Times New Roman" w:hAnsi="Calibri" w:cs="Calibri"/>
          <w:i/>
          <w:iCs/>
          <w:color w:val="000000"/>
          <w:kern w:val="0"/>
          <w:sz w:val="22"/>
          <w:szCs w:val="22"/>
          <w14:ligatures w14:val="none"/>
        </w:rPr>
        <w:t>Wb123</w:t>
      </w:r>
      <w:r w:rsidRPr="007C7CE8">
        <w:rPr>
          <w:rFonts w:ascii="Calibri" w:eastAsia="Times New Roman" w:hAnsi="Calibri" w:cs="Calibri"/>
          <w:color w:val="000000"/>
          <w:kern w:val="0"/>
          <w:sz w:val="22"/>
          <w:szCs w:val="22"/>
          <w14:ligatures w14:val="none"/>
        </w:rPr>
        <w:t>Ab) using Ab-specific magnetic fluorescence intensity (MFI-bg) cut-offs. Logistic regression was used to identify risk factors for Ab+ and pairwise comparisons for mean difference in </w:t>
      </w:r>
      <w:r w:rsidRPr="007C7CE8">
        <w:rPr>
          <w:rFonts w:ascii="Calibri" w:eastAsia="Times New Roman" w:hAnsi="Calibri" w:cs="Calibri"/>
          <w:i/>
          <w:iCs/>
          <w:color w:val="000000"/>
          <w:kern w:val="0"/>
          <w:sz w:val="22"/>
          <w:szCs w:val="22"/>
          <w14:ligatures w14:val="none"/>
        </w:rPr>
        <w:t>Bm14</w:t>
      </w:r>
      <w:r w:rsidRPr="007C7CE8">
        <w:rPr>
          <w:rFonts w:ascii="Calibri" w:eastAsia="Times New Roman" w:hAnsi="Calibri" w:cs="Calibri"/>
          <w:color w:val="000000"/>
          <w:kern w:val="0"/>
          <w:sz w:val="22"/>
          <w:szCs w:val="22"/>
          <w14:ligatures w14:val="none"/>
        </w:rPr>
        <w:t>Ab and </w:t>
      </w:r>
      <w:r w:rsidRPr="007C7CE8">
        <w:rPr>
          <w:rFonts w:ascii="Calibri" w:eastAsia="Times New Roman" w:hAnsi="Calibri" w:cs="Calibri"/>
          <w:i/>
          <w:iCs/>
          <w:color w:val="000000"/>
          <w:kern w:val="0"/>
          <w:sz w:val="22"/>
          <w:szCs w:val="22"/>
          <w14:ligatures w14:val="none"/>
        </w:rPr>
        <w:t>Wb123</w:t>
      </w:r>
      <w:r w:rsidRPr="007C7CE8">
        <w:rPr>
          <w:rFonts w:ascii="Calibri" w:eastAsia="Times New Roman" w:hAnsi="Calibri" w:cs="Calibri"/>
          <w:color w:val="000000"/>
          <w:kern w:val="0"/>
          <w:sz w:val="22"/>
          <w:szCs w:val="22"/>
          <w14:ligatures w14:val="none"/>
        </w:rPr>
        <w:t xml:space="preserve">Ab MFI-bg in Ag+ vs Ag-.Of 1787 participants, 1727 (97%) had FTS and MBA results (mean age 29 years; range 5-89). 5/1727 (0.3%) </w:t>
      </w:r>
      <w:r w:rsidRPr="007C7CE8">
        <w:rPr>
          <w:rFonts w:ascii="Calibri" w:eastAsia="Times New Roman" w:hAnsi="Calibri" w:cs="Calibri"/>
          <w:color w:val="000000"/>
          <w:kern w:val="0"/>
          <w:sz w:val="22"/>
          <w:szCs w:val="22"/>
          <w14:ligatures w14:val="none"/>
        </w:rPr>
        <w:lastRenderedPageBreak/>
        <w:t>were Mf+, 39 (2%) Ag+, 53 (3%) </w:t>
      </w:r>
      <w:r w:rsidRPr="007C7CE8">
        <w:rPr>
          <w:rFonts w:ascii="Calibri" w:eastAsia="Times New Roman" w:hAnsi="Calibri" w:cs="Calibri"/>
          <w:i/>
          <w:iCs/>
          <w:color w:val="000000"/>
          <w:kern w:val="0"/>
          <w:sz w:val="22"/>
          <w:szCs w:val="22"/>
          <w14:ligatures w14:val="none"/>
        </w:rPr>
        <w:t>Bm14</w:t>
      </w:r>
      <w:r w:rsidRPr="007C7CE8">
        <w:rPr>
          <w:rFonts w:ascii="Calibri" w:eastAsia="Times New Roman" w:hAnsi="Calibri" w:cs="Calibri"/>
          <w:color w:val="000000"/>
          <w:kern w:val="0"/>
          <w:sz w:val="22"/>
          <w:szCs w:val="22"/>
          <w14:ligatures w14:val="none"/>
        </w:rPr>
        <w:t>Ab+, 88 (5%) </w:t>
      </w:r>
      <w:r w:rsidRPr="007C7CE8">
        <w:rPr>
          <w:rFonts w:ascii="Calibri" w:eastAsia="Times New Roman" w:hAnsi="Calibri" w:cs="Calibri"/>
          <w:i/>
          <w:iCs/>
          <w:color w:val="000000"/>
          <w:kern w:val="0"/>
          <w:sz w:val="22"/>
          <w:szCs w:val="22"/>
          <w14:ligatures w14:val="none"/>
        </w:rPr>
        <w:t>Wb123</w:t>
      </w:r>
      <w:r w:rsidRPr="007C7CE8">
        <w:rPr>
          <w:rFonts w:ascii="Calibri" w:eastAsia="Times New Roman" w:hAnsi="Calibri" w:cs="Calibri"/>
          <w:color w:val="000000"/>
          <w:kern w:val="0"/>
          <w:sz w:val="22"/>
          <w:szCs w:val="22"/>
          <w14:ligatures w14:val="none"/>
        </w:rPr>
        <w:t>Ab+, 41 (2%) </w:t>
      </w:r>
      <w:r w:rsidRPr="007C7CE8">
        <w:rPr>
          <w:rFonts w:ascii="Calibri" w:eastAsia="Times New Roman" w:hAnsi="Calibri" w:cs="Calibri"/>
          <w:i/>
          <w:iCs/>
          <w:color w:val="000000"/>
          <w:kern w:val="0"/>
          <w:sz w:val="22"/>
          <w:szCs w:val="22"/>
          <w14:ligatures w14:val="none"/>
        </w:rPr>
        <w:t>Bm14</w:t>
      </w:r>
      <w:r w:rsidRPr="007C7CE8">
        <w:rPr>
          <w:rFonts w:ascii="Calibri" w:eastAsia="Times New Roman" w:hAnsi="Calibri" w:cs="Calibri"/>
          <w:color w:val="000000"/>
          <w:kern w:val="0"/>
          <w:sz w:val="22"/>
          <w:szCs w:val="22"/>
          <w14:ligatures w14:val="none"/>
        </w:rPr>
        <w:t>Ab+ &amp; </w:t>
      </w:r>
      <w:r w:rsidRPr="007C7CE8">
        <w:rPr>
          <w:rFonts w:ascii="Calibri" w:eastAsia="Times New Roman" w:hAnsi="Calibri" w:cs="Calibri"/>
          <w:i/>
          <w:iCs/>
          <w:color w:val="000000"/>
          <w:kern w:val="0"/>
          <w:sz w:val="22"/>
          <w:szCs w:val="22"/>
          <w14:ligatures w14:val="none"/>
        </w:rPr>
        <w:t>Wb123</w:t>
      </w:r>
      <w:r w:rsidRPr="007C7CE8">
        <w:rPr>
          <w:rFonts w:ascii="Calibri" w:eastAsia="Times New Roman" w:hAnsi="Calibri" w:cs="Calibri"/>
          <w:color w:val="000000"/>
          <w:kern w:val="0"/>
          <w:sz w:val="22"/>
          <w:szCs w:val="22"/>
          <w14:ligatures w14:val="none"/>
        </w:rPr>
        <w:t>Ab+ and 100 (6%) positive to at least one Ab (Ab+). More participants were Ab+ than Ag+ (χ²=45.9</w:t>
      </w:r>
      <w:r w:rsidRPr="007C7CE8">
        <w:rPr>
          <w:rFonts w:ascii="Calibri" w:eastAsia="Times New Roman" w:hAnsi="Calibri" w:cs="Calibri"/>
          <w:i/>
          <w:iCs/>
          <w:color w:val="000000"/>
          <w:kern w:val="0"/>
          <w:sz w:val="22"/>
          <w:szCs w:val="22"/>
          <w14:ligatures w14:val="none"/>
        </w:rPr>
        <w:t>, p</w:t>
      </w:r>
      <w:r w:rsidRPr="007C7CE8">
        <w:rPr>
          <w:rFonts w:ascii="Calibri" w:eastAsia="Times New Roman" w:hAnsi="Calibri" w:cs="Calibri"/>
          <w:color w:val="000000"/>
          <w:kern w:val="0"/>
          <w:sz w:val="22"/>
          <w:szCs w:val="22"/>
          <w14:ligatures w14:val="none"/>
        </w:rPr>
        <w:t>&lt;0.001). Risk factors for Ag+ and Ab+ were male sex (Ab+ adjusted odds ratio [aOR]=2.0; 95% Confidence Interval=1.3-3.1; Ag+ aOR=5.0; 2.3-10.7), age &gt;19 years (Ab+ aOR=4.0; 2.4-6.5; Ag+ aOR=5.0; 2.2-11.6) and residing in outer islands (Ab+ aOR=7.1; 4.3-11.6; Ag+ aOR=11.5; 4.5-29.8). Ab had high specificity (95.8%; 94.7-96.7) and moderate sensitivity (74.0%; 57.9-87.0) for identifying Ag- and Ag+, respectively. Ag+ had higher mean MFI-bg than Ag- for </w:t>
      </w:r>
      <w:r w:rsidRPr="007C7CE8">
        <w:rPr>
          <w:rFonts w:ascii="Calibri" w:eastAsia="Times New Roman" w:hAnsi="Calibri" w:cs="Calibri"/>
          <w:i/>
          <w:iCs/>
          <w:color w:val="000000"/>
          <w:kern w:val="0"/>
          <w:sz w:val="22"/>
          <w:szCs w:val="22"/>
          <w14:ligatures w14:val="none"/>
        </w:rPr>
        <w:t>Bm14</w:t>
      </w:r>
      <w:r w:rsidRPr="007C7CE8">
        <w:rPr>
          <w:rFonts w:ascii="Calibri" w:eastAsia="Times New Roman" w:hAnsi="Calibri" w:cs="Calibri"/>
          <w:color w:val="000000"/>
          <w:kern w:val="0"/>
          <w:sz w:val="22"/>
          <w:szCs w:val="22"/>
          <w14:ligatures w14:val="none"/>
        </w:rPr>
        <w:t>Ab (3.1 v 1.3;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&lt;0.001) and </w:t>
      </w:r>
      <w:r w:rsidRPr="007C7CE8">
        <w:rPr>
          <w:rFonts w:ascii="Calibri" w:eastAsia="Times New Roman" w:hAnsi="Calibri" w:cs="Calibri"/>
          <w:i/>
          <w:iCs/>
          <w:color w:val="000000"/>
          <w:kern w:val="0"/>
          <w:sz w:val="22"/>
          <w:szCs w:val="22"/>
          <w14:ligatures w14:val="none"/>
        </w:rPr>
        <w:t>Wb123</w:t>
      </w:r>
      <w:r w:rsidRPr="007C7CE8">
        <w:rPr>
          <w:rFonts w:ascii="Calibri" w:eastAsia="Times New Roman" w:hAnsi="Calibri" w:cs="Calibri"/>
          <w:color w:val="000000"/>
          <w:kern w:val="0"/>
          <w:sz w:val="22"/>
          <w:szCs w:val="22"/>
          <w14:ligatures w14:val="none"/>
        </w:rPr>
        <w:t>Ab (3.4 v 1.9;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&lt;0.001).Older males from outer islands had the highest risk of being Ag+ and Ab+ and should be included in PVS activities. Ab+ was moderately sensitive to identify Ag+ and highly specific to identify Ag-. MFI-bg for both Ab show potential to discriminate between Ag+ and Ag- participants. A majority of Ag+ would be detected by MBA for Abs if Ag testing was not possible. Integration of LF into other serological surveys using MBA could be a cost- and resource-efficient PVS strategy.</w:t>
      </w:r>
    </w:p>
    <w:p w14:paraId="7D7BFE9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25-A-3378-ASTMH</w:t>
      </w:r>
    </w:p>
    <w:p w14:paraId="18E275F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Bionomics, Behavior and Surveillance</w:t>
      </w:r>
    </w:p>
    <w:p w14:paraId="42D55F6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Patterns and determinants of host seeking behaviour in </w:t>
      </w:r>
      <w:r w:rsidRPr="007C7CE8">
        <w:rPr>
          <w:rFonts w:ascii="Calibri" w:eastAsia="Times New Roman" w:hAnsi="Calibri" w:cs="Calibri"/>
          <w:i/>
          <w:iCs/>
          <w:color w:val="000000"/>
          <w:kern w:val="0"/>
          <w:sz w:val="22"/>
          <w:szCs w:val="22"/>
          <w14:ligatures w14:val="none"/>
        </w:rPr>
        <w:t>Aedes aegypti</w:t>
      </w:r>
      <w:r w:rsidRPr="007C7CE8">
        <w:rPr>
          <w:rFonts w:ascii="Calibri" w:eastAsia="Times New Roman" w:hAnsi="Calibri" w:cs="Calibri"/>
          <w:color w:val="000000"/>
          <w:kern w:val="0"/>
          <w:sz w:val="22"/>
          <w:szCs w:val="22"/>
          <w14:ligatures w14:val="none"/>
        </w:rPr>
        <w:t> from Burkina Faso</w:t>
      </w:r>
    </w:p>
    <w:p w14:paraId="0EBA9D6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Understanding the ecology and behaviour of disease-transmitting mosquitoes is crucial for effective risk prediction and implementation of vector control strategies. We investigated the patterns and determinants of human biting behaviour of the primary dengue vector </w:t>
      </w:r>
      <w:r w:rsidRPr="007C7CE8">
        <w:rPr>
          <w:rFonts w:ascii="Calibri" w:eastAsia="Times New Roman" w:hAnsi="Calibri" w:cs="Calibri"/>
          <w:i/>
          <w:iCs/>
          <w:color w:val="000000"/>
          <w:kern w:val="0"/>
          <w:sz w:val="22"/>
          <w:szCs w:val="22"/>
          <w14:ligatures w14:val="none"/>
        </w:rPr>
        <w:t>Aedes aegypti</w:t>
      </w:r>
      <w:r w:rsidRPr="007C7CE8">
        <w:rPr>
          <w:rFonts w:ascii="Calibri" w:eastAsia="Times New Roman" w:hAnsi="Calibri" w:cs="Calibri"/>
          <w:color w:val="000000"/>
          <w:kern w:val="0"/>
          <w:sz w:val="22"/>
          <w:szCs w:val="22"/>
          <w14:ligatures w14:val="none"/>
        </w:rPr>
        <w:t> in two cities of Burkina Faso, Banfora and Ouagadougou. Collections were made using human landing catches (HLC) at the beginning (May), mid (July) and end (September) of the 2024 rainy season in urban and peri-urban sites in each city. HLCs were performed indoors and outdoors across 24-hours and temperature and humidity were recorded throughout. A total of 2,228 </w:t>
      </w:r>
      <w:r w:rsidRPr="007C7CE8">
        <w:rPr>
          <w:rFonts w:ascii="Calibri" w:eastAsia="Times New Roman" w:hAnsi="Calibri" w:cs="Calibri"/>
          <w:i/>
          <w:iCs/>
          <w:color w:val="000000"/>
          <w:kern w:val="0"/>
          <w:sz w:val="22"/>
          <w:szCs w:val="22"/>
          <w14:ligatures w14:val="none"/>
        </w:rPr>
        <w:t>Aedes</w:t>
      </w:r>
      <w:r w:rsidRPr="007C7CE8">
        <w:rPr>
          <w:rFonts w:ascii="Calibri" w:eastAsia="Times New Roman" w:hAnsi="Calibri" w:cs="Calibri"/>
          <w:color w:val="000000"/>
          <w:kern w:val="0"/>
          <w:sz w:val="22"/>
          <w:szCs w:val="22"/>
          <w14:ligatures w14:val="none"/>
        </w:rPr>
        <w:t> mosquitoes were collected over 96 days of collection, with </w:t>
      </w:r>
      <w:r w:rsidRPr="007C7CE8">
        <w:rPr>
          <w:rFonts w:ascii="Calibri" w:eastAsia="Times New Roman" w:hAnsi="Calibri" w:cs="Calibri"/>
          <w:i/>
          <w:iCs/>
          <w:color w:val="000000"/>
          <w:kern w:val="0"/>
          <w:sz w:val="22"/>
          <w:szCs w:val="22"/>
          <w14:ligatures w14:val="none"/>
        </w:rPr>
        <w:t>Ae. aegypti</w:t>
      </w:r>
      <w:r w:rsidRPr="007C7CE8">
        <w:rPr>
          <w:rFonts w:ascii="Calibri" w:eastAsia="Times New Roman" w:hAnsi="Calibri" w:cs="Calibri"/>
          <w:color w:val="000000"/>
          <w:kern w:val="0"/>
          <w:sz w:val="22"/>
          <w:szCs w:val="22"/>
          <w14:ligatures w14:val="none"/>
        </w:rPr>
        <w:t> representing more than 99%, of which 67.2% were females. Far fewer females were collected in the beginning (3.7%) than in the middle and late rainy season, where numbers were similar. A much higher proportion (72.9%) were collected in urban than peri-urban sites. An overall significant bias toward outdoor biting behaviour of approximately 1.5-fold was found, and was relatively higher in urban sites. Analysis of biting timing showed pronounced peaks at 6-8am and 5.30-7pm, with significantly higher biting in the afternoon-evening period (49.4%), than in the morning (34.3%), and the lowest rate during the night (16.3%). The proportion of indoor bites indoors increased significantly through the day, from 36% in the morning to 48% during the night. Higher temperature significantly reduced biting, though humidity had no effect. The study showed that </w:t>
      </w:r>
      <w:r w:rsidRPr="007C7CE8">
        <w:rPr>
          <w:rFonts w:ascii="Calibri" w:eastAsia="Times New Roman" w:hAnsi="Calibri" w:cs="Calibri"/>
          <w:i/>
          <w:iCs/>
          <w:color w:val="000000"/>
          <w:kern w:val="0"/>
          <w:sz w:val="22"/>
          <w:szCs w:val="22"/>
          <w14:ligatures w14:val="none"/>
        </w:rPr>
        <w:t>Ae. aegypti</w:t>
      </w:r>
      <w:r w:rsidRPr="007C7CE8">
        <w:rPr>
          <w:rFonts w:ascii="Calibri" w:eastAsia="Times New Roman" w:hAnsi="Calibri" w:cs="Calibri"/>
          <w:color w:val="000000"/>
          <w:kern w:val="0"/>
          <w:sz w:val="22"/>
          <w:szCs w:val="22"/>
          <w14:ligatures w14:val="none"/>
        </w:rPr>
        <w:t> show clear seasonal patterns in biting, reflecting variation in abundance, and pose a higher risk of biting in the outdoor peri-domestic environment. Clear peaks in biting during the day indicate the most important risk periods both in- and outdoors, but higher indoor host seeking during the night-time emphasises the value of indoor protective methods, including at night. An indoor biting rate of over 40% is high for African populations and highlights an urgent need for adaptation of control strategies which primarily target </w:t>
      </w:r>
      <w:r w:rsidRPr="007C7CE8">
        <w:rPr>
          <w:rFonts w:ascii="Calibri" w:eastAsia="Times New Roman" w:hAnsi="Calibri" w:cs="Calibri"/>
          <w:i/>
          <w:iCs/>
          <w:color w:val="000000"/>
          <w:kern w:val="0"/>
          <w:sz w:val="22"/>
          <w:szCs w:val="22"/>
          <w14:ligatures w14:val="none"/>
        </w:rPr>
        <w:t>Aedes</w:t>
      </w:r>
      <w:r w:rsidRPr="007C7CE8">
        <w:rPr>
          <w:rFonts w:ascii="Calibri" w:eastAsia="Times New Roman" w:hAnsi="Calibri" w:cs="Calibri"/>
          <w:color w:val="000000"/>
          <w:kern w:val="0"/>
          <w:sz w:val="22"/>
          <w:szCs w:val="22"/>
          <w14:ligatures w14:val="none"/>
        </w:rPr>
        <w:t> adults outdoors.</w:t>
      </w:r>
    </w:p>
    <w:p w14:paraId="283488B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25-A-3379-ASTMH</w:t>
      </w:r>
    </w:p>
    <w:p w14:paraId="026D1B8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Water, Sanitation, Hygiene and Environmental Health</w:t>
      </w:r>
    </w:p>
    <w:p w14:paraId="2EC62ED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Public Health at Risk: The Impact of Flooding in Accra's Vulnerable Communities</w:t>
      </w:r>
    </w:p>
    <w:p w14:paraId="03FEA57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Flooding in Accra, Ghana’s capital, has become a recurring public health crisis, exacerbated by rapid urban expansion, informal settlements in flood-prone zones, poor drainage systems, and ineffective waste management. Major waterways like the Odaw River frequently overflow during heavy rains, submerging communities, disrupting services, and exposing residents to serious health risks. This study investigated the drivers of urban flooding and its public health implications. Fourteen key informants from institutions including the National Disaster Management Organization (NADMO), Town and Country Planning Department (TCPD), Accra Metropolitan Assembly (AMA), Environmental Protection Agency (EPA), and Ghana Meteorological Agency (GMet) were purposively selected for in-depth </w:t>
      </w:r>
      <w:r w:rsidRPr="007C7CE8">
        <w:rPr>
          <w:rFonts w:ascii="Calibri" w:eastAsia="Times New Roman" w:hAnsi="Calibri" w:cs="Calibri"/>
          <w:color w:val="000000"/>
          <w:kern w:val="0"/>
          <w:sz w:val="22"/>
          <w:szCs w:val="22"/>
          <w14:ligatures w14:val="none"/>
        </w:rPr>
        <w:lastRenderedPageBreak/>
        <w:t>interviews. Thematic analysis of transcribed interviews identified unregulated development of blocked drains, and encroachment on waterways as major contributors to flood risk. Flooding was found to severely impact water quality, sanitation, and hygiene, increasing the incidence of waterborne diseases such as cholera, typhoid, and dysentery, particularly in vulnerable, low-income communities. GIS-based mapping identified several high-risk zones with repeated exposure to flooding and public health threats. The study recommends an integrated response that includes public health-focused urban planning, resilient drainage infrastructure, and strict enforcement of environmental health regulations. Investments in flood defences, waste management, and green infrastructure are urgently needed to reduce health risks and build community resilience in flood-prone areas of Accra.</w:t>
      </w:r>
    </w:p>
    <w:p w14:paraId="5B1E0CF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25-A-3380-ASTMH</w:t>
      </w:r>
    </w:p>
    <w:p w14:paraId="2AE5021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Bacteriology - Enteric Infections</w:t>
      </w:r>
    </w:p>
    <w:p w14:paraId="2E8D8DA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Typhoid fever complications and mortality: an updated systematic review and meta-analysis</w:t>
      </w:r>
    </w:p>
    <w:p w14:paraId="077F6DE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Contemporary estimates of the prevalence of complications and case fatality ratio (CFR) in culture-confirmed typhoid fever (TF) and typhoid intestinal perforations (TIP) are needed to inform typhoid prevention and control. We updated our 2020 systematic review and meta-analysis. We included surgical (TIP) and non-surgical (TF) studies of complications or CFR published in PubMed and Web of Science from 01 January 1980-31 January 2024. We synthesized the prevalence of pre-defined list of complications and pooled CFR estimates using an inverse variance random effects meta-analysis with logit transformation. We stratified prevalences by United Nations region, sub-region, country, age groups, and setting of recruitment. We performed meta-regression to investigate heterogeneity of moderators of CFR by country, age group, setting of recruitment, median year of data collection, and study quality. We included 107 TF reports yielding 191 estimates from 130 study sites, and 46 TIP reports yielding 49 estimates from 59 study sites. Delirium or confusion was the most prevalent TF complications reported in 706 (26.5%) of 2,662 cases. The overall pooled TF CFR (95% CI) was 1.9% (1.5-2.5%) among 24,485 TF cases and was higher in Africa at 4.1% (2.5-6.6%) compared to Asia at 1.3% (0.9-1.7%), in facility-based sites at 2.1% (1.6-2.8%) compared to community-based sites at 0.9% (0.5-1.5%,) and among age ≤15 years at 2.8% (1.8-4.3%) compared to all ages at 1.5% (1.4-2.4%). Wound or surgical site infection was the most prevalent post-operative TIP complication reported in 1,537 (50.7%) of 3,030 TIP patients. The overall pooled TIP CFR was 16.4% (13.4-19.9%) among 4,092 TIP patients. The median year of data collection was negatively correlated with TF CFR with r (95% CI) -0.4 (-0.5- -0.3) and not correlated with TIP CFR at -0.1 (-0.3-0.2). Moderators accounted for 32.4% (p&lt;0.001) and 35.2% (p&lt;0.05) of total heterogeneity for TF CFR and TIP CFR, respectively. We provide updated evidence valuable for modelling studies, burden of disease estimation, and evidence synthesis to support decisions on vaccine and non-vaccine measures to control TF and TIP.</w:t>
      </w:r>
    </w:p>
    <w:p w14:paraId="3EA8CA0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25-A-3381-ASTMH</w:t>
      </w:r>
    </w:p>
    <w:p w14:paraId="6C5C545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Genetics, Genomics and Evolution</w:t>
      </w:r>
    </w:p>
    <w:p w14:paraId="2D1BDAC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Molecular Investigation of Malaria Resurgence in Ethiopia</w:t>
      </w:r>
    </w:p>
    <w:p w14:paraId="20A5E4F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After decades of progress in malaria control, Ethiopia has experienced a significant malaria resurgence since 2019. The country reported &gt;7 million malaria cases in 2024, prompting urgent public health investigations. While the national malaria program has identified environmental and operational factors that contribute to transmission, the role of parasite genetics in the resurgence remains underexplored. This study reports on the molecular characteristics of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(Pf) parasites from localities affected by resurgence across Ethiopia. Among 2,079 samples collected from eleven hsebtinel sites, including 1,326 (64%)Pf, 577 </w:t>
      </w:r>
      <w:r w:rsidRPr="007C7CE8">
        <w:rPr>
          <w:rFonts w:ascii="Calibri" w:eastAsia="Times New Roman" w:hAnsi="Calibri" w:cs="Calibri"/>
          <w:i/>
          <w:iCs/>
          <w:color w:val="000000"/>
          <w:kern w:val="0"/>
          <w:sz w:val="22"/>
          <w:szCs w:val="22"/>
          <w14:ligatures w14:val="none"/>
        </w:rPr>
        <w:t>P. vivax </w:t>
      </w:r>
      <w:r w:rsidRPr="007C7CE8">
        <w:rPr>
          <w:rFonts w:ascii="Calibri" w:eastAsia="Times New Roman" w:hAnsi="Calibri" w:cs="Calibri"/>
          <w:color w:val="000000"/>
          <w:kern w:val="0"/>
          <w:sz w:val="22"/>
          <w:szCs w:val="22"/>
          <w14:ligatures w14:val="none"/>
        </w:rPr>
        <w:t>(Pv)</w:t>
      </w:r>
      <w:r w:rsidRPr="007C7CE8">
        <w:rPr>
          <w:rFonts w:ascii="Calibri" w:eastAsia="Times New Roman" w:hAnsi="Calibri" w:cs="Calibri"/>
          <w:i/>
          <w:iCs/>
          <w:color w:val="000000"/>
          <w:kern w:val="0"/>
          <w:sz w:val="22"/>
          <w:szCs w:val="22"/>
          <w14:ligatures w14:val="none"/>
        </w:rPr>
        <w:t>,</w:t>
      </w:r>
      <w:r w:rsidRPr="007C7CE8">
        <w:rPr>
          <w:rFonts w:ascii="Calibri" w:eastAsia="Times New Roman" w:hAnsi="Calibri" w:cs="Calibri"/>
          <w:color w:val="000000"/>
          <w:kern w:val="0"/>
          <w:sz w:val="22"/>
          <w:szCs w:val="22"/>
          <w14:ligatures w14:val="none"/>
        </w:rPr>
        <w:t xml:space="preserve"> and 176 mixed Pf/Pv cases were identified by 18S real-timePCR. 384 randomly selected Pf samples underwent amplicon-based sequencing using the Pf-SMARRT protocol and analysed using SeekDeep at the Ethiopian Public Health Institute (EPHI) to investigate drug resistance and parasite relatedness. Among these, validated and candidate artemisinin partial resistance (ArtR) markers in Kelch13 propeller were prevalent: 622I (20.0%), 675V (1.0%),441L </w:t>
      </w:r>
      <w:r w:rsidRPr="007C7CE8">
        <w:rPr>
          <w:rFonts w:ascii="Calibri" w:eastAsia="Times New Roman" w:hAnsi="Calibri" w:cs="Calibri"/>
          <w:color w:val="000000"/>
          <w:kern w:val="0"/>
          <w:sz w:val="22"/>
          <w:szCs w:val="22"/>
          <w14:ligatures w14:val="none"/>
        </w:rPr>
        <w:lastRenderedPageBreak/>
        <w:t>(5.5%), 574L (1.2%), 433D (1.1%), and 656E (0.8%) with high spatial heterogeneity at the regional level . The 622I mutation was found at particularly high frequencies in the north bordering Eritrea, nearing fixation (75%) at Aberegeleye health center in Tigray. Several spatially heterogeneous resistance markers were reported for </w:t>
      </w:r>
      <w:r w:rsidRPr="007C7CE8">
        <w:rPr>
          <w:rFonts w:ascii="Calibri" w:eastAsia="Times New Roman" w:hAnsi="Calibri" w:cs="Calibri"/>
          <w:i/>
          <w:iCs/>
          <w:color w:val="000000"/>
          <w:kern w:val="0"/>
          <w:sz w:val="22"/>
          <w:szCs w:val="22"/>
          <w14:ligatures w14:val="none"/>
        </w:rPr>
        <w:t>pfcrt</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pfmdr1</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pfdhfr</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pfdhps</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Pfhrp2 </w:t>
      </w:r>
      <w:r w:rsidRPr="007C7CE8">
        <w:rPr>
          <w:rFonts w:ascii="Calibri" w:eastAsia="Times New Roman" w:hAnsi="Calibri" w:cs="Calibri"/>
          <w:color w:val="000000"/>
          <w:kern w:val="0"/>
          <w:sz w:val="22"/>
          <w:szCs w:val="22"/>
          <w14:ligatures w14:val="none"/>
        </w:rPr>
        <w:t>deletions were 22.9%. Population genomic analysis revealed the majority (73.1%) of samples are monoclonal, with high within-site relatedness (IBD &gt; 0.9), indicating localized clonal expansion during the resurgence. Overall weak genetic structure observed in PCA, combined with high IBD links (&gt;0.9) between geographically distant sites, suggests parasite movement across regions facilitated by human mobility or shared outbreak sources. Epidemiological analyses of the drivers of resurgence are ongoing. Initial findings reveal emergence and expansion of K13 mutations across sites in Ethiopia and indicate that containment strategies may be required.</w:t>
      </w:r>
    </w:p>
    <w:p w14:paraId="174E4A5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25-A-3383-ASTMH</w:t>
      </w:r>
    </w:p>
    <w:p w14:paraId="3187180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Prevention</w:t>
      </w:r>
    </w:p>
    <w:p w14:paraId="26B1299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Evaluating the Dual Health and Educational Benefits of Malaria Chemoprevention in School-aged Children: A Cost-Benefit Analysis Across Ten High-Burden Countries</w:t>
      </w:r>
    </w:p>
    <w:p w14:paraId="759490E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School-aged children are increasingly understood to harbor considerable burden of malaria, experiencing substantial health and educational consequences of infection as well as contributing to the transmission reservoir. Despite progress in malaria control among children under the age of five, school-aged children are inadequately protected by current intervention strategies, creating a gap in prevention efforts and missed opportunities for broader societal gains. We evaluate the financial and economic impacts of Intermittent Preventive Treatment for malaria in school-aged children (IPTsc) across ten “High Burden High Impact” (HBHI) countries: Nigeria, Democratic Republic of Congo, Mozambique, Mali, Niger, Burkina Faso, Uganda, Tanzania, Ghana, and Cameroon. Using benefit-cost analysis, we incorporate data from recent randomized controlled trials to estimate IPTsc’s effects on incidence of malaria and educational outcomes, including reduced absenteeism and improved literacy. Collectively in the ten HBHI countries, IPTsc cost $422 million to implement (range: $9-113 million per country) and generated $5.7 billion in societal net benefits, with a benefit-cost ratio of 13.3, driven by mortality-related savings and human capital gains. Benefits outweigh costs in all countries (BCR range: 3.7-39.5), with Nigeria achieving the highest returns. Results are sensitive to education outcome metrics, drug choice, and discount rates. While IPTsc is cost-beneficial in all settings, its cost-effectiveness relative to other malaria and educational interventions is less convincing. This study advances the evidence base for malaria chemoprevention targeting school-aged children, highlighting IPTsc’s dual health and educational benefits and the importance of considering multi-sectoral outcomes. Policymakers can leverage these findings to prioritize IPTsc, enhancing resource allocation for malaria control and human capital development in high-burden settings.</w:t>
      </w:r>
    </w:p>
    <w:p w14:paraId="5F87664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25-A-3384-ASTMH</w:t>
      </w:r>
    </w:p>
    <w:p w14:paraId="686B778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Cestodes (including taeniasis and cysticercosis, echinococcosis/hydatid disease, and others)</w:t>
      </w:r>
    </w:p>
    <w:p w14:paraId="7DD63A2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Late Recurrence Of Cystic Echinococcosis In A Patient With Previous Surgery. The Role Of Crowding Effect</w:t>
      </w:r>
    </w:p>
    <w:p w14:paraId="1E82EE6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Cystic Echinococcosis (CE) is a chronic infection caused by the cestode </w:t>
      </w:r>
      <w:r w:rsidRPr="007C7CE8">
        <w:rPr>
          <w:rFonts w:ascii="Calibri" w:eastAsia="Times New Roman" w:hAnsi="Calibri" w:cs="Calibri"/>
          <w:i/>
          <w:iCs/>
          <w:color w:val="000000"/>
          <w:kern w:val="0"/>
          <w:sz w:val="22"/>
          <w:szCs w:val="22"/>
          <w14:ligatures w14:val="none"/>
        </w:rPr>
        <w:t>Echinococcus granulosus</w:t>
      </w:r>
      <w:r w:rsidRPr="007C7CE8">
        <w:rPr>
          <w:rFonts w:ascii="Calibri" w:eastAsia="Times New Roman" w:hAnsi="Calibri" w:cs="Calibri"/>
          <w:color w:val="000000"/>
          <w:kern w:val="0"/>
          <w:sz w:val="22"/>
          <w:szCs w:val="22"/>
          <w14:ligatures w14:val="none"/>
        </w:rPr>
        <w:t xml:space="preserve"> causing parasitic cysts in the liver and lungs of the intermediate host.Liver is the most frequent anatomical location. Cysts are classified in different stages according to the WHO Informal Working Group of Echinococcosis. Surgical removal is indicated for large CE2 and CE3b cysts and in case of specific locations at risk of rupture or biliary fistulas. Cyst recurrence is usually observed at the site of surgery, either due to incomplete removal of the endocyst or spillage of cyst contents. However, recurrence may occur in other locations without evidence of re-exposure, possibly owning to the so-called “crowding effect”. Here we present the case of a 46-year-old man known to our Clinic for a large CE3b liver cyst spanning hepatic segments one-to-four. After a five-year follow-up, in March 2013 he underwent </w:t>
      </w:r>
      <w:r w:rsidRPr="007C7CE8">
        <w:rPr>
          <w:rFonts w:ascii="Calibri" w:eastAsia="Times New Roman" w:hAnsi="Calibri" w:cs="Calibri"/>
          <w:color w:val="000000"/>
          <w:kern w:val="0"/>
          <w:sz w:val="22"/>
          <w:szCs w:val="22"/>
          <w14:ligatures w14:val="none"/>
        </w:rPr>
        <w:lastRenderedPageBreak/>
        <w:t>surgical removal of the cyst, without complications. He carried out regular peri-procedural prophylaxis with Albendazole. The following ultrasound checks (carried out every six months) always showed stability of the surgical cavity and no sign of new lesions. However, in October 2015 a new cystic lesion compatible with CE1 was spotted in the second liver segment. The patient was started on a three-months course of Albendazole, after which the lesion became completely solid (CE4). The patient was monitored on a yearly basis for the following eight years, during which the cyst always remained inactive. The” crowding effect” hypothesizes proglottid inhibition by dominant parasites at time of liver implantation by consumption of available resources. Removal of the dominant cyst may lead to proliferation of dormant parasite due to nutrients access. While studied on other cestodes, it offers a valid explanation to cyst recurrence in our patient, making a case for further studies.</w:t>
      </w:r>
    </w:p>
    <w:p w14:paraId="1FFF8F8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25-A-3385-ASTMH</w:t>
      </w:r>
    </w:p>
    <w:p w14:paraId="2A30E4F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Viruses - Epidemiology</w:t>
      </w:r>
    </w:p>
    <w:p w14:paraId="30CB90F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Utility of serosurveillance to provide early warning of vaccine preventable disease outbreaks: measles seroprevalence before and after a national outbreak in Samoa</w:t>
      </w:r>
    </w:p>
    <w:p w14:paraId="0C8471E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Serosurveillance of vaccine preventable diseases (VPDs) is the gold standard for assessing population immunity. In October 2019, a measles outbreak in Samoa caused &gt;5700 cases and 83 deaths, prompting nationwide mandatory vaccination targeting those aged 6 months-19 years and non-pregnant women 20-35 years. In 2018 in Samoa, measles vaccination coverage was only 41% in ≤1-year-olds, well below the target of 95% to minimise the risk of outbreaks. This study aimed to assess the utility of serosurveillance to provide early warning of VPD outbreaks.Longitudinal serosurveys of community members aged ≥5 years took place in the same 8 villages in Samoa in 2018, 2019 and 2023. Multiplex bead assays were used to detect antibodies to measles (</w:t>
      </w:r>
      <w:r w:rsidRPr="007C7CE8">
        <w:rPr>
          <w:rFonts w:ascii="Calibri" w:eastAsia="Times New Roman" w:hAnsi="Calibri" w:cs="Calibri"/>
          <w:i/>
          <w:iCs/>
          <w:color w:val="000000"/>
          <w:kern w:val="0"/>
          <w:sz w:val="22"/>
          <w:szCs w:val="22"/>
          <w14:ligatures w14:val="none"/>
        </w:rPr>
        <w:t>Mev</w:t>
      </w:r>
      <w:r w:rsidRPr="007C7CE8">
        <w:rPr>
          <w:rFonts w:ascii="Calibri" w:eastAsia="Times New Roman" w:hAnsi="Calibri" w:cs="Calibri"/>
          <w:color w:val="000000"/>
          <w:kern w:val="0"/>
          <w:sz w:val="22"/>
          <w:szCs w:val="22"/>
          <w14:ligatures w14:val="none"/>
        </w:rPr>
        <w:t> Ab+) and other diseases. Logistic regression was used to estimate associations between </w:t>
      </w:r>
      <w:r w:rsidRPr="007C7CE8">
        <w:rPr>
          <w:rFonts w:ascii="Calibri" w:eastAsia="Times New Roman" w:hAnsi="Calibri" w:cs="Calibri"/>
          <w:i/>
          <w:iCs/>
          <w:color w:val="000000"/>
          <w:kern w:val="0"/>
          <w:sz w:val="22"/>
          <w:szCs w:val="22"/>
          <w14:ligatures w14:val="none"/>
        </w:rPr>
        <w:t>Mev</w:t>
      </w:r>
      <w:r w:rsidRPr="007C7CE8">
        <w:rPr>
          <w:rFonts w:ascii="Calibri" w:eastAsia="Times New Roman" w:hAnsi="Calibri" w:cs="Calibri"/>
          <w:color w:val="000000"/>
          <w:kern w:val="0"/>
          <w:sz w:val="22"/>
          <w:szCs w:val="22"/>
          <w14:ligatures w14:val="none"/>
        </w:rPr>
        <w:t> Ab+ and year, age and sex. Seroprevalence by age and year was estimated using post-estimation margins.3384 participants were included (881 in 2018; 1022 in 2019; 1034 in 2023). Year (χ²=157.0;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&lt;0.001) and age (χ²=96.3;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&lt;0.001) were strong predictors of </w:t>
      </w:r>
      <w:r w:rsidRPr="007C7CE8">
        <w:rPr>
          <w:rFonts w:ascii="Calibri" w:eastAsia="Times New Roman" w:hAnsi="Calibri" w:cs="Calibri"/>
          <w:i/>
          <w:iCs/>
          <w:color w:val="000000"/>
          <w:kern w:val="0"/>
          <w:sz w:val="22"/>
          <w:szCs w:val="22"/>
          <w14:ligatures w14:val="none"/>
        </w:rPr>
        <w:t>Mev</w:t>
      </w:r>
      <w:r w:rsidRPr="007C7CE8">
        <w:rPr>
          <w:rFonts w:ascii="Calibri" w:eastAsia="Times New Roman" w:hAnsi="Calibri" w:cs="Calibri"/>
          <w:color w:val="000000"/>
          <w:kern w:val="0"/>
          <w:sz w:val="22"/>
          <w:szCs w:val="22"/>
          <w14:ligatures w14:val="none"/>
        </w:rPr>
        <w:t> Ab+. 375 (43.3%; 95% Confidence Interval:40.0-46.6%) participants were </w:t>
      </w:r>
      <w:r w:rsidRPr="007C7CE8">
        <w:rPr>
          <w:rFonts w:ascii="Calibri" w:eastAsia="Times New Roman" w:hAnsi="Calibri" w:cs="Calibri"/>
          <w:i/>
          <w:iCs/>
          <w:color w:val="000000"/>
          <w:kern w:val="0"/>
          <w:sz w:val="22"/>
          <w:szCs w:val="22"/>
          <w14:ligatures w14:val="none"/>
        </w:rPr>
        <w:t>Mev</w:t>
      </w:r>
      <w:r w:rsidRPr="007C7CE8">
        <w:rPr>
          <w:rFonts w:ascii="Calibri" w:eastAsia="Times New Roman" w:hAnsi="Calibri" w:cs="Calibri"/>
          <w:color w:val="000000"/>
          <w:kern w:val="0"/>
          <w:sz w:val="22"/>
          <w:szCs w:val="22"/>
          <w14:ligatures w14:val="none"/>
        </w:rPr>
        <w:t> Ab+ in 2018, 447 (46.0%; 42.9-49.1%) in 2019 and 971 (97.4%; 96.2-98.2%) in 2023. From 2018-2023, predicted prevalence increased significantly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&lt;0.001) among 5-35-year-olds from 34.0% (30.5-37.6%) in 2018 to 96.6% (95.1-98.0%) in 2023; and among ≥36-year-olds from 77.8% (71.7-83.8%) in 2018 to 99.7% (99.1-100.0%) in 2023. By 2023, the only age group with </w:t>
      </w:r>
      <w:r w:rsidRPr="007C7CE8">
        <w:rPr>
          <w:rFonts w:ascii="Calibri" w:eastAsia="Times New Roman" w:hAnsi="Calibri" w:cs="Calibri"/>
          <w:i/>
          <w:iCs/>
          <w:color w:val="000000"/>
          <w:kern w:val="0"/>
          <w:sz w:val="22"/>
          <w:szCs w:val="22"/>
          <w14:ligatures w14:val="none"/>
        </w:rPr>
        <w:t>Mev</w:t>
      </w:r>
      <w:r w:rsidRPr="007C7CE8">
        <w:rPr>
          <w:rFonts w:ascii="Calibri" w:eastAsia="Times New Roman" w:hAnsi="Calibri" w:cs="Calibri"/>
          <w:color w:val="000000"/>
          <w:kern w:val="0"/>
          <w:sz w:val="22"/>
          <w:szCs w:val="22"/>
          <w14:ligatures w14:val="none"/>
        </w:rPr>
        <w:t> Ab+ below 95% was 20-29-year-olds (94.5%; 89.4-97.2%). The increase in </w:t>
      </w:r>
      <w:r w:rsidRPr="007C7CE8">
        <w:rPr>
          <w:rFonts w:ascii="Calibri" w:eastAsia="Times New Roman" w:hAnsi="Calibri" w:cs="Calibri"/>
          <w:i/>
          <w:iCs/>
          <w:color w:val="000000"/>
          <w:kern w:val="0"/>
          <w:sz w:val="22"/>
          <w:szCs w:val="22"/>
          <w14:ligatures w14:val="none"/>
        </w:rPr>
        <w:t>Mev</w:t>
      </w:r>
      <w:r w:rsidRPr="007C7CE8">
        <w:rPr>
          <w:rFonts w:ascii="Calibri" w:eastAsia="Times New Roman" w:hAnsi="Calibri" w:cs="Calibri"/>
          <w:color w:val="000000"/>
          <w:kern w:val="0"/>
          <w:sz w:val="22"/>
          <w:szCs w:val="22"/>
          <w14:ligatures w14:val="none"/>
        </w:rPr>
        <w:t> Ab+ from pre- to post-outbreak, especially among 5-35-year-olds, reflects the substantial increase in population immunity from a combination of infection and vaccination. These findings demonstrate the utility of serosurveys to provide early warning of potential outbreaks of VPDs by identifying immunity gaps that can inform national vaccination strategies and catch-up campaigns targeting subgroups with low immunity.</w:t>
      </w:r>
    </w:p>
    <w:p w14:paraId="50116FA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25-A-3386-ASTMH</w:t>
      </w:r>
    </w:p>
    <w:p w14:paraId="47F5F66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One Health: The Interface of Humans, Ecosystems, and Animal Health</w:t>
      </w:r>
    </w:p>
    <w:p w14:paraId="41FA638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Anthropological Contributions to Nipah Virus Outbreak Investigation: A One Health Approach from Case Studies in Bangladesh, 2025</w:t>
      </w:r>
    </w:p>
    <w:p w14:paraId="3DC8D58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Recent Nipah virus (NiV) outbreaks in Bangladesh underscore the need to integrate sociocultural factors into outbreak investigations, emphasizing the critical role of anthropologists in assessing social, cultural, economic, and political challenges. The Institute of Epidemiology, Disease Control and Research (IEDCR) and icddr,b formed a multidisciplinary team- epidemiologists, wildlife experts, and anthropologists to investigate three outbreaks from January 30 to March 4, 2025. All three cases were fatal. In the first case, cultural and emotional barriers emerged as the family mourned the recent deceased. The anthropology team (AT) identified a relative of the deceased who had served as an attendant and engaged him to help reach the husband and family elders. AT consoled them and obtained consent for the investigation. AT created a supportive environment for contact tracing and biological specimen </w:t>
      </w:r>
      <w:r w:rsidRPr="007C7CE8">
        <w:rPr>
          <w:rFonts w:ascii="Calibri" w:eastAsia="Times New Roman" w:hAnsi="Calibri" w:cs="Calibri"/>
          <w:color w:val="000000"/>
          <w:kern w:val="0"/>
          <w:sz w:val="22"/>
          <w:szCs w:val="22"/>
          <w14:ligatures w14:val="none"/>
        </w:rPr>
        <w:lastRenderedPageBreak/>
        <w:t>collection, navigating the </w:t>
      </w:r>
      <w:r w:rsidRPr="007C7CE8">
        <w:rPr>
          <w:rFonts w:ascii="Calibri" w:eastAsia="Times New Roman" w:hAnsi="Calibri" w:cs="Calibri"/>
          <w:i/>
          <w:iCs/>
          <w:color w:val="000000"/>
          <w:kern w:val="0"/>
          <w:sz w:val="22"/>
          <w:szCs w:val="22"/>
          <w14:ligatures w14:val="none"/>
        </w:rPr>
        <w:t>Qulkhwani </w:t>
      </w:r>
      <w:r w:rsidRPr="007C7CE8">
        <w:rPr>
          <w:rFonts w:ascii="Calibri" w:eastAsia="Times New Roman" w:hAnsi="Calibri" w:cs="Calibri"/>
          <w:color w:val="000000"/>
          <w:kern w:val="0"/>
          <w:sz w:val="22"/>
          <w:szCs w:val="22"/>
          <w14:ligatures w14:val="none"/>
        </w:rPr>
        <w:t>mourning ritual with cultural sensitivity. Three high-risk contacts were advised to isolate, and AT provided social and psychological support to them. AT worked with the epidemiology team to ensure proper biosafety precautions in culturally sensitive burial after the second case’s death and confirmed NiV exposure through raw date palm sap (RDPS) consumption, a known NiV exposure source in Bangladesh, overcoming the vendor’s reluctance to disclose details. The third case had multiple instances of exposure to raw date palm sap. AT gathered the community’s illness narratives and care-seeking and identified the source RDPS tree, local sap harvester, bat roosts, sap consumption practices, frequent bat visits to the trees and a lack of protective measures. AT provided bat roost locations to the wildlife veterinary team near the source trees for biological sampling from bats. Awareness programs were implemented in affected villages to mitigate knowledge gaps regarding Nipah transmission, stigma, and rumors. These findings underscore anthropology’s vital role in One Health research and how interdisciplinary collaboration enhances outbreak response, risk communication, and disease prevention.</w:t>
      </w:r>
    </w:p>
    <w:p w14:paraId="5CB5AC8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25-A-3387-ASTMH</w:t>
      </w:r>
    </w:p>
    <w:p w14:paraId="40A8D89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Bionomics, Behavior and Surveillance</w:t>
      </w:r>
    </w:p>
    <w:p w14:paraId="2889E40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Genetic shifts of Japanese encephalitis virus(JEV) from mosquitoes in the Republic of Korea, 2017-2022</w:t>
      </w:r>
    </w:p>
    <w:p w14:paraId="4CFD01A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Genetic shifts of Japanese encephalitis virus (JEV) from mosquitoes in the Republic of Korea, 2017-2022</w:t>
      </w:r>
      <w:r w:rsidRPr="007C7CE8">
        <w:rPr>
          <w:rFonts w:ascii="Calibri" w:eastAsia="Times New Roman" w:hAnsi="Calibri" w:cs="Calibri"/>
          <w:color w:val="000000"/>
          <w:kern w:val="0"/>
          <w:sz w:val="22"/>
          <w:szCs w:val="22"/>
          <w14:ligatures w14:val="none"/>
        </w:rPr>
        <w:br/>
        <w:t>Division of Vectors and Parasitic Diseases, Korea Disease Control and Prevention Agency, Cheongju, Korea</w:t>
      </w:r>
      <w:r w:rsidRPr="007C7CE8">
        <w:rPr>
          <w:rFonts w:ascii="Calibri" w:eastAsia="Times New Roman" w:hAnsi="Calibri" w:cs="Calibri"/>
          <w:color w:val="000000"/>
          <w:kern w:val="0"/>
          <w:sz w:val="22"/>
          <w:szCs w:val="22"/>
          <w14:ligatures w14:val="none"/>
        </w:rPr>
        <w:br/>
        <w:t>Japanese encephalitis virus (JEV) is transmitted by mosquitoes and circulates in Asia. It is classified into five genotypes (GI-GV) based on the nucleotide sequence of the envelope (E) gene. Although extensive surveillance has been conducted, genotypic variations and the distribution of mosquito species remain significantly underreported, especially in the Republic of Korea. With a nationwide mosquito collection from 2017 to 2022, we collected 1,102,031 mosquitoes belong to 9 genera and 30 species from 32 sites. The predominant species were </w:t>
      </w:r>
      <w:r w:rsidRPr="007C7CE8">
        <w:rPr>
          <w:rFonts w:ascii="Calibri" w:eastAsia="Times New Roman" w:hAnsi="Calibri" w:cs="Calibri"/>
          <w:i/>
          <w:iCs/>
          <w:color w:val="000000"/>
          <w:kern w:val="0"/>
          <w:sz w:val="22"/>
          <w:szCs w:val="22"/>
          <w14:ligatures w14:val="none"/>
        </w:rPr>
        <w:t>Aedes vexans</w:t>
      </w:r>
      <w:r w:rsidRPr="007C7CE8">
        <w:rPr>
          <w:rFonts w:ascii="Calibri" w:eastAsia="Times New Roman" w:hAnsi="Calibri" w:cs="Calibri"/>
          <w:color w:val="000000"/>
          <w:kern w:val="0"/>
          <w:sz w:val="22"/>
          <w:szCs w:val="22"/>
          <w14:ligatures w14:val="none"/>
        </w:rPr>
        <w:t> (34.2%), </w:t>
      </w:r>
      <w:r w:rsidRPr="007C7CE8">
        <w:rPr>
          <w:rFonts w:ascii="Calibri" w:eastAsia="Times New Roman" w:hAnsi="Calibri" w:cs="Calibri"/>
          <w:i/>
          <w:iCs/>
          <w:color w:val="000000"/>
          <w:kern w:val="0"/>
          <w:sz w:val="22"/>
          <w:szCs w:val="22"/>
          <w14:ligatures w14:val="none"/>
        </w:rPr>
        <w:t>Culex pipiens</w:t>
      </w:r>
      <w:r w:rsidRPr="007C7CE8">
        <w:rPr>
          <w:rFonts w:ascii="Calibri" w:eastAsia="Times New Roman" w:hAnsi="Calibri" w:cs="Calibri"/>
          <w:color w:val="000000"/>
          <w:kern w:val="0"/>
          <w:sz w:val="22"/>
          <w:szCs w:val="22"/>
          <w14:ligatures w14:val="none"/>
        </w:rPr>
        <w:t> complex (17.9%),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(13.4%), </w:t>
      </w:r>
      <w:r w:rsidRPr="007C7CE8">
        <w:rPr>
          <w:rFonts w:ascii="Calibri" w:eastAsia="Times New Roman" w:hAnsi="Calibri" w:cs="Calibri"/>
          <w:i/>
          <w:iCs/>
          <w:color w:val="000000"/>
          <w:kern w:val="0"/>
          <w:sz w:val="22"/>
          <w:szCs w:val="22"/>
          <w14:ligatures w14:val="none"/>
        </w:rPr>
        <w:t>Ae. albopictus</w:t>
      </w:r>
      <w:r w:rsidRPr="007C7CE8">
        <w:rPr>
          <w:rFonts w:ascii="Calibri" w:eastAsia="Times New Roman" w:hAnsi="Calibri" w:cs="Calibri"/>
          <w:color w:val="000000"/>
          <w:kern w:val="0"/>
          <w:sz w:val="22"/>
          <w:szCs w:val="22"/>
          <w14:ligatures w14:val="none"/>
        </w:rPr>
        <w:t> (4.0%), and </w:t>
      </w:r>
      <w:r w:rsidRPr="007C7CE8">
        <w:rPr>
          <w:rFonts w:ascii="Calibri" w:eastAsia="Times New Roman" w:hAnsi="Calibri" w:cs="Calibri"/>
          <w:i/>
          <w:iCs/>
          <w:color w:val="000000"/>
          <w:kern w:val="0"/>
          <w:sz w:val="22"/>
          <w:szCs w:val="22"/>
          <w14:ligatures w14:val="none"/>
        </w:rPr>
        <w:t>Cx. orientalis</w:t>
      </w:r>
      <w:r w:rsidRPr="007C7CE8">
        <w:rPr>
          <w:rFonts w:ascii="Calibri" w:eastAsia="Times New Roman" w:hAnsi="Calibri" w:cs="Calibri"/>
          <w:color w:val="000000"/>
          <w:kern w:val="0"/>
          <w:sz w:val="22"/>
          <w:szCs w:val="22"/>
          <w14:ligatures w14:val="none"/>
        </w:rPr>
        <w:t> (0.6%). JEV was detected in 49 pools, with the majority from </w:t>
      </w:r>
      <w:r w:rsidRPr="007C7CE8">
        <w:rPr>
          <w:rFonts w:ascii="Calibri" w:eastAsia="Times New Roman" w:hAnsi="Calibri" w:cs="Calibri"/>
          <w:i/>
          <w:iCs/>
          <w:color w:val="000000"/>
          <w:kern w:val="0"/>
          <w:sz w:val="22"/>
          <w:szCs w:val="22"/>
          <w14:ligatures w14:val="none"/>
        </w:rPr>
        <w:t>Cx. pipiens</w:t>
      </w:r>
      <w:r w:rsidRPr="007C7CE8">
        <w:rPr>
          <w:rFonts w:ascii="Calibri" w:eastAsia="Times New Roman" w:hAnsi="Calibri" w:cs="Calibri"/>
          <w:color w:val="000000"/>
          <w:kern w:val="0"/>
          <w:sz w:val="22"/>
          <w:szCs w:val="22"/>
          <w14:ligatures w14:val="none"/>
        </w:rPr>
        <w:t> complex and </w:t>
      </w:r>
      <w:r w:rsidRPr="007C7CE8">
        <w:rPr>
          <w:rFonts w:ascii="Calibri" w:eastAsia="Times New Roman" w:hAnsi="Calibri" w:cs="Calibri"/>
          <w:i/>
          <w:iCs/>
          <w:color w:val="000000"/>
          <w:kern w:val="0"/>
          <w:sz w:val="22"/>
          <w:szCs w:val="22"/>
          <w14:ligatures w14:val="none"/>
        </w:rPr>
        <w:t>Cx. tritaeniorhynchus</w:t>
      </w:r>
      <w:r w:rsidRPr="007C7CE8">
        <w:rPr>
          <w:rFonts w:ascii="Calibri" w:eastAsia="Times New Roman" w:hAnsi="Calibri" w:cs="Calibri"/>
          <w:color w:val="000000"/>
          <w:kern w:val="0"/>
          <w:sz w:val="22"/>
          <w:szCs w:val="22"/>
          <w14:ligatures w14:val="none"/>
        </w:rPr>
        <w:t>. Genetic analyses identified genotypes I, III, and V, with genotype V becoming dominant from 2020 onwards. The emergence of genotype V as the dominant strain and the increasing diversity of mosquito vectors highlight the need for ongoing surveillance. These findings underscore the importance of developing vaccines effective against all JEV genotypes to mitigate public health risks.</w:t>
      </w:r>
    </w:p>
    <w:p w14:paraId="2136721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25-A-3388-ASTMH</w:t>
      </w:r>
    </w:p>
    <w:p w14:paraId="40C2A15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Prevention</w:t>
      </w:r>
    </w:p>
    <w:p w14:paraId="05B42BB3" w14:textId="00BB4316"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Integrating evidence from novel chemoprevention trials to estimate protective efficacy of sulfadoxine-pyrimethamine against malaria parasites across different sub-Saharan Africa resistance profiles</w:t>
      </w:r>
    </w:p>
    <w:p w14:paraId="6BFD222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Sulfadoxine-pyrimethamine (SP) is used for perennial malaria chemoprevention (PMC) in children to reduce malaria burden and mortality. SP chemoprevention strategies are threatened by drug resistance, and evidence from chemoprevention efficacy trials remains scarce. Previous research has quantified the impact of resistance on protective efficacy against clinical infection, through pooled analysis of PCR-confirmed reinfections in therapeutic efficacy trials across multiple sites, validated by trials of intermittent preventative treatment with SP in infants. Overall, protective efficacy against East Africa genotypes was lower compared to those present in West Africa, which remain susceptible to SP. However, the influence of emerging parasite genotypes, such as those carrying the dihydropteroate synthase</w:t>
      </w:r>
      <w:r w:rsidRPr="007C7CE8">
        <w:rPr>
          <w:rFonts w:ascii="Calibri" w:eastAsia="Times New Roman" w:hAnsi="Calibri" w:cs="Calibri"/>
          <w:i/>
          <w:iCs/>
          <w:color w:val="000000"/>
          <w:kern w:val="0"/>
          <w:sz w:val="22"/>
          <w:szCs w:val="22"/>
          <w14:ligatures w14:val="none"/>
        </w:rPr>
        <w:t> (dhps) </w:t>
      </w:r>
      <w:r w:rsidRPr="007C7CE8">
        <w:rPr>
          <w:rFonts w:ascii="Calibri" w:eastAsia="Times New Roman" w:hAnsi="Calibri" w:cs="Calibri"/>
          <w:color w:val="000000"/>
          <w:kern w:val="0"/>
          <w:sz w:val="22"/>
          <w:szCs w:val="22"/>
          <w14:ligatures w14:val="none"/>
        </w:rPr>
        <w:t>431V mutation currently spreading in West Africa, remains unknown. The Parasite Clearance and Protection from Infection (PCPI) studies conducted in Cameroon and Zambia were designed to quantify the impact of mutations in the </w:t>
      </w:r>
      <w:r w:rsidRPr="007C7CE8">
        <w:rPr>
          <w:rFonts w:ascii="Calibri" w:eastAsia="Times New Roman" w:hAnsi="Calibri" w:cs="Calibri"/>
          <w:i/>
          <w:iCs/>
          <w:color w:val="000000"/>
          <w:kern w:val="0"/>
          <w:sz w:val="22"/>
          <w:szCs w:val="22"/>
          <w14:ligatures w14:val="none"/>
        </w:rPr>
        <w:t>dhps</w:t>
      </w:r>
      <w:r w:rsidRPr="007C7CE8">
        <w:rPr>
          <w:rFonts w:ascii="Calibri" w:eastAsia="Times New Roman" w:hAnsi="Calibri" w:cs="Calibri"/>
          <w:color w:val="000000"/>
          <w:kern w:val="0"/>
          <w:sz w:val="22"/>
          <w:szCs w:val="22"/>
          <w14:ligatures w14:val="none"/>
        </w:rPr>
        <w:t xml:space="preserve"> 431 and 540 codon loci. Here, we combine data from chemoprevention trials and reinfection data from therapeutic trials to estimate SP protective </w:t>
      </w:r>
      <w:r w:rsidRPr="007C7CE8">
        <w:rPr>
          <w:rFonts w:ascii="Calibri" w:eastAsia="Times New Roman" w:hAnsi="Calibri" w:cs="Calibri"/>
          <w:color w:val="000000"/>
          <w:kern w:val="0"/>
          <w:sz w:val="22"/>
          <w:szCs w:val="22"/>
          <w14:ligatures w14:val="none"/>
        </w:rPr>
        <w:lastRenderedPageBreak/>
        <w:t>efficacy against malaria parasites with different combinations of resistance mutations, including newly emerging variants. We use a discrete-time model in a Bayesian framework to estimate protective efficacy following drug administration, accounting for underlying malaria incidence and frequency of parasite genotypes. This analysis will present the first estimates of the duration of SP protection duration against the 431V genotype, offering insight into the impact of this emerging mutation. Drug resistance data from various published data sources will be used to extrapolate our findings on genotype-specific protective efficacy across sub-Saharan Africa (SSA). We will present an updated map of SP chemoprevention efficacy at the subnational level across SSA, contributing to the broader evidence base and allowing PMC strategies to be tailored to individual settings based on their epidemiology and drug resistance profile.</w:t>
      </w:r>
    </w:p>
    <w:p w14:paraId="69133D5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25-A-3389-ASTMH</w:t>
      </w:r>
    </w:p>
    <w:p w14:paraId="22259F2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Maternal, Newborn and Child Health and Nutrition</w:t>
      </w:r>
    </w:p>
    <w:p w14:paraId="185785DE" w14:textId="2B094576"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Prevalence of Risk Factors for Adverse Pregnancy Outcomes Among Women Attending Antenatal Care in the First Trimester in Western Kenya</w:t>
      </w:r>
    </w:p>
    <w:p w14:paraId="70B7624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Background:</w:t>
      </w:r>
      <w:r w:rsidRPr="007C7CE8">
        <w:rPr>
          <w:rFonts w:ascii="Calibri" w:eastAsia="Times New Roman" w:hAnsi="Calibri" w:cs="Calibri"/>
          <w:color w:val="000000"/>
          <w:kern w:val="0"/>
          <w:sz w:val="22"/>
          <w:szCs w:val="22"/>
          <w14:ligatures w14:val="none"/>
        </w:rPr>
        <w:br/>
        <w:t>Early antenatal care (ANC) provides a critical window for the identification and management of risk factors associated with adverse pregnancy outcomes. In developing countries like Kenya, conditions such as anemia, malaria, infections, chronic diseases, and nutritional deficiencies remain significant contributors to maternal and perinatal morbidity and mortality. Despite guidelines recommending early ANC initiation, uptake remains suboptimal, and data on the prevalence of early-detected risk factors are limited. </w:t>
      </w:r>
      <w:r w:rsidRPr="007C7CE8">
        <w:rPr>
          <w:rFonts w:ascii="Calibri" w:eastAsia="Times New Roman" w:hAnsi="Calibri" w:cs="Calibri"/>
          <w:b/>
          <w:bCs/>
          <w:color w:val="000000"/>
          <w:kern w:val="0"/>
          <w:sz w:val="22"/>
          <w:szCs w:val="22"/>
          <w14:ligatures w14:val="none"/>
        </w:rPr>
        <w:t>Objective:</w:t>
      </w:r>
      <w:r w:rsidRPr="007C7CE8">
        <w:rPr>
          <w:rFonts w:ascii="Calibri" w:eastAsia="Times New Roman" w:hAnsi="Calibri" w:cs="Calibri"/>
          <w:color w:val="000000"/>
          <w:kern w:val="0"/>
          <w:sz w:val="22"/>
          <w:szCs w:val="22"/>
          <w14:ligatures w14:val="none"/>
        </w:rPr>
        <w:br/>
        <w:t>To determine the prevalence of infectious and non-infectious risk factors for adverse pregnancy outcomes—namely anemia, malaria, sexually transmitted and urinary tract infections, chronic illnesses, and nutritional disorders—among pregnant women attending ANC within the first trimester in selected health facilities in western Kenya. </w:t>
      </w:r>
      <w:r w:rsidRPr="007C7CE8">
        <w:rPr>
          <w:rFonts w:ascii="Calibri" w:eastAsia="Times New Roman" w:hAnsi="Calibri" w:cs="Calibri"/>
          <w:b/>
          <w:bCs/>
          <w:color w:val="000000"/>
          <w:kern w:val="0"/>
          <w:sz w:val="22"/>
          <w:szCs w:val="22"/>
          <w14:ligatures w14:val="none"/>
        </w:rPr>
        <w:t>Methods:</w:t>
      </w:r>
      <w:r w:rsidRPr="007C7CE8">
        <w:rPr>
          <w:rFonts w:ascii="Calibri" w:eastAsia="Times New Roman" w:hAnsi="Calibri" w:cs="Calibri"/>
          <w:color w:val="000000"/>
          <w:kern w:val="0"/>
          <w:sz w:val="22"/>
          <w:szCs w:val="22"/>
          <w14:ligatures w14:val="none"/>
        </w:rPr>
        <w:br/>
        <w:t>This is part of an ongoing randomized trial studying the impact of 1st trimester screening for, and treatment of malaria on adverse pregnancy outcomes (NCT05757167 (clinicaltrials.gov)). Women presenting to antenatal clinics in the 1st trimester are enrolled and undergo malaria testing with high sensitivity RDTs in addition to the routine ANC clinical and laboratory evaluation. Data will be analyzed using descriptive statistics and logistic regression to identify associations between demographic characteristics and prevalence of risk factors. </w:t>
      </w:r>
      <w:r w:rsidRPr="007C7CE8">
        <w:rPr>
          <w:rFonts w:ascii="Calibri" w:eastAsia="Times New Roman" w:hAnsi="Calibri" w:cs="Calibri"/>
          <w:b/>
          <w:bCs/>
          <w:color w:val="000000"/>
          <w:kern w:val="0"/>
          <w:sz w:val="22"/>
          <w:szCs w:val="22"/>
          <w14:ligatures w14:val="none"/>
        </w:rPr>
        <w:t>Results (Preliminary):</w:t>
      </w:r>
      <w:r w:rsidRPr="007C7CE8">
        <w:rPr>
          <w:rFonts w:ascii="Calibri" w:eastAsia="Times New Roman" w:hAnsi="Calibri" w:cs="Calibri"/>
          <w:color w:val="000000"/>
          <w:kern w:val="0"/>
          <w:sz w:val="22"/>
          <w:szCs w:val="22"/>
          <w14:ligatures w14:val="none"/>
        </w:rPr>
        <w:br/>
        <w:t>A total of 419 women have been enrolled since November 2023. We will report the prevalence of various infectious (malaria, HIV, syphilis, urinary tract infections) and non-infectious (anemia, malnutrition, elevated blood pressure, high blood glucose) risk factors. </w:t>
      </w:r>
      <w:r w:rsidRPr="007C7CE8">
        <w:rPr>
          <w:rFonts w:ascii="Calibri" w:eastAsia="Times New Roman" w:hAnsi="Calibri" w:cs="Calibri"/>
          <w:b/>
          <w:bCs/>
          <w:color w:val="000000"/>
          <w:kern w:val="0"/>
          <w:sz w:val="22"/>
          <w:szCs w:val="22"/>
          <w14:ligatures w14:val="none"/>
        </w:rPr>
        <w:t>Conclusion:</w:t>
      </w:r>
      <w:r w:rsidRPr="007C7CE8">
        <w:rPr>
          <w:rFonts w:ascii="Calibri" w:eastAsia="Times New Roman" w:hAnsi="Calibri" w:cs="Calibri"/>
          <w:color w:val="000000"/>
          <w:kern w:val="0"/>
          <w:sz w:val="22"/>
          <w:szCs w:val="22"/>
          <w14:ligatures w14:val="none"/>
        </w:rPr>
        <w:br/>
        <w:t>We will describe the potential role of early ANC attendance to improve maternal and neonatal health outcomes through early identification of pregnancy risk factors.</w:t>
      </w:r>
    </w:p>
    <w:p w14:paraId="4642F6D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25-A-3390-ASTMH</w:t>
      </w:r>
    </w:p>
    <w:p w14:paraId="1204926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Bacteriology - Enteric Infections</w:t>
      </w:r>
    </w:p>
    <w:p w14:paraId="5471AD1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 Comparative study of cholera trends and severity in coastal and non-coastal areas of Bangladesh (2014-2024)</w:t>
      </w:r>
    </w:p>
    <w:p w14:paraId="280A619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Cholera outbreaks are more frequent and severe in coastal regions, mainly because they are close to brackish water sources, which help spread the bacterium </w:t>
      </w:r>
      <w:r w:rsidRPr="007C7CE8">
        <w:rPr>
          <w:rFonts w:ascii="Calibri" w:eastAsia="Times New Roman" w:hAnsi="Calibri" w:cs="Calibri"/>
          <w:i/>
          <w:iCs/>
          <w:color w:val="000000"/>
          <w:kern w:val="0"/>
          <w:sz w:val="22"/>
          <w:szCs w:val="22"/>
          <w14:ligatures w14:val="none"/>
        </w:rPr>
        <w:t>Vibrio cholerae</w:t>
      </w:r>
      <w:r w:rsidRPr="007C7CE8">
        <w:rPr>
          <w:rFonts w:ascii="Calibri" w:eastAsia="Times New Roman" w:hAnsi="Calibri" w:cs="Calibri"/>
          <w:color w:val="000000"/>
          <w:kern w:val="0"/>
          <w:sz w:val="22"/>
          <w:szCs w:val="22"/>
          <w14:ligatures w14:val="none"/>
        </w:rPr>
        <w:t xml:space="preserve">. Coastal communities, especially in countries like Bangladesh, are at greater risk during the rainy season, when flooding and poor sanitation increase the spread of cholera. This study investigated the cholera cases in both coastal (BITID, Satkhira) and non-coastal (Habiganj, Naogaon) areas of Bangladesh over a decade from 2014 to 2024. The study analyzed suspected cholera cases from four sites, focusing on coastal and non-coastal areas. It identified sociodemographic factors, clinical symptoms, and proportions by sites, seasons, dehydration status, and age group. A total of 20,636 suspected cholera patients were enrolled from </w:t>
      </w:r>
      <w:r w:rsidRPr="007C7CE8">
        <w:rPr>
          <w:rFonts w:ascii="Calibri" w:eastAsia="Times New Roman" w:hAnsi="Calibri" w:cs="Calibri"/>
          <w:color w:val="000000"/>
          <w:kern w:val="0"/>
          <w:sz w:val="22"/>
          <w:szCs w:val="22"/>
          <w14:ligatures w14:val="none"/>
        </w:rPr>
        <w:lastRenderedPageBreak/>
        <w:t>2014 to 2024, 9,450 were from the coastal area and 11,186 from the non-coastal area. The coastal area had highest proportion of culture-confirmed </w:t>
      </w:r>
      <w:r w:rsidRPr="007C7CE8">
        <w:rPr>
          <w:rFonts w:ascii="Calibri" w:eastAsia="Times New Roman" w:hAnsi="Calibri" w:cs="Calibri"/>
          <w:i/>
          <w:iCs/>
          <w:color w:val="000000"/>
          <w:kern w:val="0"/>
          <w:sz w:val="22"/>
          <w:szCs w:val="22"/>
          <w14:ligatures w14:val="none"/>
        </w:rPr>
        <w:t>V. cholerae</w:t>
      </w:r>
      <w:r w:rsidRPr="007C7CE8">
        <w:rPr>
          <w:rFonts w:ascii="Calibri" w:eastAsia="Times New Roman" w:hAnsi="Calibri" w:cs="Calibri"/>
          <w:color w:val="000000"/>
          <w:kern w:val="0"/>
          <w:sz w:val="22"/>
          <w:szCs w:val="22"/>
          <w14:ligatures w14:val="none"/>
        </w:rPr>
        <w:t> O1 cases, accounting for 4.6% (951/20636) of all diarrhea cases. In the non-coastal area, 3.9% were found. The 18-45 age group had the highest proportion of culture-confirmed cases, with 56% found in Naogaon. Seasonal fluctuations were also significant, as cholera positivity rates were notably higher during the pre-monsoon season, 23.5% in the coastal area (BITID) compared to 5.2% in the non-coastal region (Habiganj). The analyses revealed protective associations for several sociodemographic factors, including age, education level, toilet type, and various clinical symptoms such as vomiting, fever, and dehydration status, all showing significant correlations (p&lt;0.001). In conclusion, there were significant geographical and seasonal variations in cholera cases in Bangladesh, with a higher proportion in coastal regions during pre-monsoon periods. The study emphasized the need for targeted cholera control strategies in Bangladesh, considering demographic factors, sanitation practices, and seasonal trends in coastal and non-coastal areas. Addressing these challenges is crucial for public health interventions aimed at reducing the burden of cholera in vulnerable communities.</w:t>
      </w:r>
    </w:p>
    <w:p w14:paraId="314E989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25-A-3391-ASTMH</w:t>
      </w:r>
    </w:p>
    <w:p w14:paraId="2F410F0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Bacteriology - Enteric Infections</w:t>
      </w:r>
    </w:p>
    <w:p w14:paraId="6DE9890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 potential new approach to control cholera by implementing Case-area targeted interventions (CATIs) among household contacts and neighbouring households of a cholera patient in Dhaka, Bangladesh</w:t>
      </w:r>
    </w:p>
    <w:p w14:paraId="3339DDE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Vibrio cholerae</w:t>
      </w:r>
      <w:r w:rsidRPr="007C7CE8">
        <w:rPr>
          <w:rFonts w:ascii="Calibri" w:eastAsia="Times New Roman" w:hAnsi="Calibri" w:cs="Calibri"/>
          <w:color w:val="000000"/>
          <w:kern w:val="0"/>
          <w:sz w:val="22"/>
          <w:szCs w:val="22"/>
          <w14:ligatures w14:val="none"/>
        </w:rPr>
        <w:t> causes 3 million cholera cases and 100,000 deaths annually, with over half of the deaths in children. The risk of cholera infection within the household (HH) and also around the HHs of cholera cases is higher than in the overall population. This study aims to evaluate the effectiveness of the case-area targeted interventions (CATIs) approach (single/two doses at 1-month intervals) among HHs and their neighbours to reduce the cholera incidence. We are enrolling cholera cases (index) by rapid diagnostic test (RDT) from the diarrheal patients coming to the icddr,b Dhaka Hospital. There are three arms in this study: the intervention arm receiving a single dose (&lt;5 years will receive two doses of OCV at 14-day intervals according to the WHO guideline), the intervention arm receiving two doses at 1-month intervals, and a no-intervention arm. We are administering OCV by the CATI approach among HH contacts and neighboring HHs (</w:t>
      </w:r>
      <w:r w:rsidRPr="007C7CE8">
        <w:rPr>
          <w:rFonts w:ascii="Cambria Math" w:eastAsia="Times New Roman" w:hAnsi="Cambria Math" w:cs="Cambria Math"/>
          <w:color w:val="000000"/>
          <w:kern w:val="0"/>
          <w:sz w:val="22"/>
          <w:szCs w:val="22"/>
          <w14:ligatures w14:val="none"/>
        </w:rPr>
        <w:t>≧</w:t>
      </w:r>
      <w:r w:rsidRPr="007C7CE8">
        <w:rPr>
          <w:rFonts w:ascii="Calibri" w:eastAsia="Times New Roman" w:hAnsi="Calibri" w:cs="Calibri"/>
          <w:color w:val="000000"/>
          <w:kern w:val="0"/>
          <w:sz w:val="22"/>
          <w:szCs w:val="22"/>
          <w14:ligatures w14:val="none"/>
        </w:rPr>
        <w:t>1-year age and non-pregnant women) residing in the adjacent HHs surrounding the index within a 20-40m radius. Around 150 participants are enrolling from each cluster, and vaccinations are conducted within 48 hours of the index identification. Passive surveillance for cholera is ongoing in the icddr,b hospital. Scheduled active home visits are also conducted for diarrheal patients. A total of 501 diarrheal patients were screened for </w:t>
      </w:r>
      <w:r w:rsidRPr="007C7CE8">
        <w:rPr>
          <w:rFonts w:ascii="Calibri" w:eastAsia="Times New Roman" w:hAnsi="Calibri" w:cs="Calibri"/>
          <w:i/>
          <w:iCs/>
          <w:color w:val="000000"/>
          <w:kern w:val="0"/>
          <w:sz w:val="22"/>
          <w:szCs w:val="22"/>
          <w14:ligatures w14:val="none"/>
        </w:rPr>
        <w:t>V. cholerae</w:t>
      </w:r>
      <w:r w:rsidRPr="007C7CE8">
        <w:rPr>
          <w:rFonts w:ascii="Calibri" w:eastAsia="Times New Roman" w:hAnsi="Calibri" w:cs="Calibri"/>
          <w:color w:val="000000"/>
          <w:kern w:val="0"/>
          <w:sz w:val="22"/>
          <w:szCs w:val="22"/>
          <w14:ligatures w14:val="none"/>
        </w:rPr>
        <w:t> till 14th April 2025, and 70 were cholera-positive by RDT. 62% of RDT-positive cases were positive by culture. We enrolled 12,168 HH contacts, 232 were &lt;1 year of age, and 153 were pregnant. The vaccine coverage was 68% and 65% in two-dose and one-dose arms, respectively, among the eligible population. A total of 220 acute watery diarrheal cases were reported from three arms, of which 48 were culture positive. It is important to evaluate the CATI approach to deliver the OCVs in the local context for the endemic countries to control cholera.</w:t>
      </w:r>
    </w:p>
    <w:p w14:paraId="4E03C2F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25-A-3392-ASTMH</w:t>
      </w:r>
    </w:p>
    <w:p w14:paraId="015B267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Genetics, Genomics and Evolution</w:t>
      </w:r>
    </w:p>
    <w:p w14:paraId="20E0826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Genetic Diversity of Plasmodium Parasites from Individuals with or Without Symptoms of Malaria from Community Surveys Conducted in Three Regions of Mainland Tanzania in 2021 and 2022</w:t>
      </w:r>
    </w:p>
    <w:p w14:paraId="5FF82A1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Asymptomatic P. falciparum infections in the community act as reservoirs of malaria transmission and affect the effectiveness of current control interventions. These infections are often missed in routine surveillance, as those infected do not seek care. This was a cross-sectional study which assessed P. falciparum genetic diversity among community members with or without malaria symptoms. It was carried out between May and July 2021 and 2022 as part of a country-wide malaria molecular </w:t>
      </w:r>
      <w:r w:rsidRPr="007C7CE8">
        <w:rPr>
          <w:rFonts w:ascii="Calibri" w:eastAsia="Times New Roman" w:hAnsi="Calibri" w:cs="Calibri"/>
          <w:color w:val="000000"/>
          <w:kern w:val="0"/>
          <w:sz w:val="22"/>
          <w:szCs w:val="22"/>
          <w14:ligatures w14:val="none"/>
        </w:rPr>
        <w:lastRenderedPageBreak/>
        <w:t>surveillance project in mainland Tanzania. Dried blood spot samples were collected from 5,071 community members aged ≥6 months in three communities, one in each region of Kigoma, Ruvuma, and Tanga. Of the sampled participants, 1,233/5,071 (24.3%) tested positive by rapid diagnostic tests (RDTs) and all RDT-positive samples were sequenced using molecular inversion probes. The overall mean complexity of infection (COI) was 1.3 in 2021 and 1.6 in 2022, increasing in each of the three regions between 2021 and 2022. The proportion of polyclonal infections was higher at 30% (n = 180/601) in 2021 compared to 10.6% (n = 67/632) in 2022. Genetic differentiation among parasite populations was low, with fixation index (FST) values of 0.2 in 2021 and 0.01 in 2022. The discriminant analysis of principal components (DAPC) revealed overlapping clusters, suggesting high gene flow among parasites despite their geographic separation of &gt;1000km. The study concluded that P. falciparum infections among community members were highly diverse and potentially contributed to sustained malaria transmission. These infections hinder control strategies and should be targeted with appropriate interventions.</w:t>
      </w:r>
    </w:p>
    <w:p w14:paraId="4E74D82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25-A-3393-ASTMH</w:t>
      </w:r>
    </w:p>
    <w:p w14:paraId="7394BC6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Bacteriology - Enteric Infections</w:t>
      </w:r>
    </w:p>
    <w:p w14:paraId="2C0BFD9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Performance of Fecal Inflammatory Biomarkers to Identify Watery Shigellosis: Findings from Enterics for Global Health (EFGH)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Surveillance Study, 2022-2024</w:t>
      </w:r>
    </w:p>
    <w:p w14:paraId="630CDC7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Incorporating fecal inflammatory biomarkers in clinical diagnosis could improve appropriate treatment for watery shigellosis cases which are missed by the current syndromic-based antibiotic treatment guidelines. The EFGH-</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study aims to determine incidence and consequences of medically attended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diarrhea in children aged 6-35 months from seven sites located in The Gambia, Kenya, Malawi, Mali, Bangladesh, Pakistan and Peru. Leveraging the EFGH study, we used a SuperLearner ensemble model with leave-one-site-out cross-validation to predict watery shigellosis, incorporating 9 clinical and socio-economic predictors and 4 stool biomarkers: myeloperoxidase (MPO), calprotectin, lipocalin-2 (NGAL), and hemoglobin.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diarrhea was defined as a diarrheal episode attributable to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based on a quantitative polymerase chain reaction (qPCR) cycle threshold (CT) &lt;29.5 detected in rectal swab samples. Whole stool samples were tested for each biomarker using Enzyme-linked immunosorbent assays. We developed prediction algorithms under 3 scenarios: i.) using all 13 predictors, ii.) excluding the biomarkers, and iii.) incrementally adding biomarkers based on their importance derived from the full model. Between June 2022 and August 2024, 3,838 children presented with watery diarrhea and had whole stool tested for the biomarkers from six study sites (excluding Mali); 684 (21.1%) had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by qPCR. The model incorporating all 13 predictors achieved an area under the curve (AUC) of 0.73 [95% CI: 0.68-0.77], with a sensitivity of 0.70 [95%CI: 0.62-0.82] and specificity of 0.66 [95%CI: 0.57-0.73].</w:t>
      </w:r>
      <w:r w:rsidRPr="007C7CE8">
        <w:rPr>
          <w:rFonts w:ascii="Calibri" w:eastAsia="Times New Roman" w:hAnsi="Calibri" w:cs="Calibri"/>
          <w:b/>
          <w:bCs/>
          <w:color w:val="000000"/>
          <w:kern w:val="0"/>
          <w:sz w:val="22"/>
          <w:szCs w:val="22"/>
          <w14:ligatures w14:val="none"/>
        </w:rPr>
        <w:t> </w:t>
      </w:r>
      <w:r w:rsidRPr="007C7CE8">
        <w:rPr>
          <w:rFonts w:ascii="Calibri" w:eastAsia="Times New Roman" w:hAnsi="Calibri" w:cs="Calibri"/>
          <w:color w:val="000000"/>
          <w:kern w:val="0"/>
          <w:sz w:val="22"/>
          <w:szCs w:val="22"/>
          <w14:ligatures w14:val="none"/>
        </w:rPr>
        <w:t>Excluding the biomarkers resulted in a 9% reduction in model performance, with the AUC dropping to 0.64 [95% CI: 0.60-0.71].</w:t>
      </w:r>
      <w:r w:rsidRPr="007C7CE8">
        <w:rPr>
          <w:rFonts w:ascii="Calibri" w:eastAsia="Times New Roman" w:hAnsi="Calibri" w:cs="Calibri"/>
          <w:b/>
          <w:bCs/>
          <w:color w:val="000000"/>
          <w:kern w:val="0"/>
          <w:sz w:val="22"/>
          <w:szCs w:val="22"/>
          <w14:ligatures w14:val="none"/>
        </w:rPr>
        <w:t> </w:t>
      </w:r>
      <w:r w:rsidRPr="007C7CE8">
        <w:rPr>
          <w:rFonts w:ascii="Calibri" w:eastAsia="Times New Roman" w:hAnsi="Calibri" w:cs="Calibri"/>
          <w:color w:val="000000"/>
          <w:kern w:val="0"/>
          <w:sz w:val="22"/>
          <w:szCs w:val="22"/>
          <w14:ligatures w14:val="none"/>
        </w:rPr>
        <w:t>In the incremental models, the addition of hemoglobin and MPO improved the model's discriminatory ability by 5% and 3%, respectively. While calprotectin had marginal contribution (1%) and NGAL none (0%). Our study identified hemoglobin and MPO as potential biomarkers for the diagnosis of watery shigellosis suggesting their potential utility in improving clinical diagnosis in these settings.</w:t>
      </w:r>
    </w:p>
    <w:p w14:paraId="7F7324D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25-A-3394-ASTMH</w:t>
      </w:r>
    </w:p>
    <w:p w14:paraId="7F5A056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Cestodes (including taeniasis and cysticercosis, echinococcosis/hydatid disease, and others)</w:t>
      </w:r>
    </w:p>
    <w:p w14:paraId="3B8D450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Long-term Effectiveness Of 12 Month Albendazole As Post-Rupture Prophylaxis of Secondary Echinococcosis: A Case Report</w:t>
      </w:r>
    </w:p>
    <w:p w14:paraId="359D57C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Cystic Echinococcosis (CE) is a chronic infection causing the formation of parasitic cysts mostly in liver and lungs. The clinical management of CE patients should follow a stage-specific approach as recommended by the WHO Informal Working Group on Echinococcosis. Whenever percutaneous or surgical treatment are performed, peri-procedural prophylaxis with albendazole is imperative to prevent relapses and secondary echinococcosis following spillage into the peritoneum. Here we report on a 17-</w:t>
      </w:r>
      <w:r w:rsidRPr="007C7CE8">
        <w:rPr>
          <w:rFonts w:ascii="Calibri" w:eastAsia="Times New Roman" w:hAnsi="Calibri" w:cs="Calibri"/>
          <w:color w:val="000000"/>
          <w:kern w:val="0"/>
          <w:sz w:val="22"/>
          <w:szCs w:val="22"/>
          <w14:ligatures w14:val="none"/>
        </w:rPr>
        <w:lastRenderedPageBreak/>
        <w:t>year-old Moroccan male with three large CE1 hepatic cysts. Percutaneous aspiration of all three cysts was performed, with albendazole (ABZ) as peri-procedural prophylaxis started three days prior. The microscopical examination of the cyst fluid showed viable protoscolices and hooklets, confirming that all three cysts were fertile. Two hours after the procedure the patient complained of abdominal pain and showed signs of peritonism. Abdominal CT scan confirmed rupture of one cyst and free peritoneal fluid. We aspirated the peritoneal fluid and added praziquantel (PZQ) 25 mg/kg divided into two doses for one week to the ongoing ABZ prophylaxis. Instead of the usual 30 days of post-procedure prophylaxis with ABZ, drug administration was continued for 12 months. A CT scan carried out eight months after rupture showed no signs of peritoneal echinococcosis and partially solid hepatic cysts. The patient was monitored by ultrasound for a total of nine years and never presented signs of secondary echinococcosis. While clinical recommendation cannot be inferred from a single case, our experience suggests that long-term prophylaxis with ABZ is effective in preventing secondary echinococcosis after intraperitoneal rupture of echinococcal cysts.</w:t>
      </w:r>
    </w:p>
    <w:p w14:paraId="703D8FB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25-A-3395-ASTMH</w:t>
      </w:r>
    </w:p>
    <w:p w14:paraId="04C017B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Schistosomiasis and Other Trematodes – Epidemiology and Control</w:t>
      </w:r>
    </w:p>
    <w:p w14:paraId="585A50B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Prevalence, Distribution, and Determinants of Schistosomiasis in the Berekum, Ghana</w:t>
      </w:r>
    </w:p>
    <w:p w14:paraId="1BD6A39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Schistosomiasis remains a major public health concern in endemic regions. This study assessed the prevalence of schistosomiasis, the distribution of intermediate snail hosts, and associated risk factors in Berekum, Ghana. It also examined national schistosomiasis trends from 2019 to 2024. A total of 334 participants were surveyed. Demographic data, water sources, and occupations were recorded. Stool and urine samples were analysed using the Kato-Katz and urine sedimentation techniques to detect </w:t>
      </w:r>
      <w:r w:rsidRPr="007C7CE8">
        <w:rPr>
          <w:rFonts w:ascii="Calibri" w:eastAsia="Times New Roman" w:hAnsi="Calibri" w:cs="Calibri"/>
          <w:i/>
          <w:iCs/>
          <w:color w:val="000000"/>
          <w:kern w:val="0"/>
          <w:sz w:val="22"/>
          <w:szCs w:val="22"/>
          <w14:ligatures w14:val="none"/>
        </w:rPr>
        <w:t>Schistosoma</w:t>
      </w:r>
      <w:r w:rsidRPr="007C7CE8">
        <w:rPr>
          <w:rFonts w:ascii="Calibri" w:eastAsia="Times New Roman" w:hAnsi="Calibri" w:cs="Calibri"/>
          <w:color w:val="000000"/>
          <w:kern w:val="0"/>
          <w:sz w:val="22"/>
          <w:szCs w:val="22"/>
          <w14:ligatures w14:val="none"/>
        </w:rPr>
        <w:t> eggs. Snail collection and cercarial shedding analyses were conducted across four water bodies. Logistic regression was used to identify significant risk factors for infection. Of the participants, 60% were male, and the 21–30 years age group was the most represented (25.7%). A total of 540 snails were collected, with 39.4% testing positive for cercariae. Water Body B recorded the highest cercarial shedding rate (60.5%), with </w:t>
      </w:r>
      <w:r w:rsidRPr="007C7CE8">
        <w:rPr>
          <w:rFonts w:ascii="Calibri" w:eastAsia="Times New Roman" w:hAnsi="Calibri" w:cs="Calibri"/>
          <w:i/>
          <w:iCs/>
          <w:color w:val="000000"/>
          <w:kern w:val="0"/>
          <w:sz w:val="22"/>
          <w:szCs w:val="22"/>
          <w14:ligatures w14:val="none"/>
        </w:rPr>
        <w:t>Biomphalaria</w:t>
      </w:r>
      <w:r w:rsidRPr="007C7CE8">
        <w:rPr>
          <w:rFonts w:ascii="Calibri" w:eastAsia="Times New Roman" w:hAnsi="Calibri" w:cs="Calibri"/>
          <w:color w:val="000000"/>
          <w:kern w:val="0"/>
          <w:sz w:val="22"/>
          <w:szCs w:val="22"/>
          <w14:ligatures w14:val="none"/>
        </w:rPr>
        <w:t> snails showing higher infection rates than </w:t>
      </w:r>
      <w:r w:rsidRPr="007C7CE8">
        <w:rPr>
          <w:rFonts w:ascii="Calibri" w:eastAsia="Times New Roman" w:hAnsi="Calibri" w:cs="Calibri"/>
          <w:i/>
          <w:iCs/>
          <w:color w:val="000000"/>
          <w:kern w:val="0"/>
          <w:sz w:val="22"/>
          <w:szCs w:val="22"/>
          <w14:ligatures w14:val="none"/>
        </w:rPr>
        <w:t>Bulinus</w:t>
      </w:r>
      <w:r w:rsidRPr="007C7CE8">
        <w:rPr>
          <w:rFonts w:ascii="Calibri" w:eastAsia="Times New Roman" w:hAnsi="Calibri" w:cs="Calibri"/>
          <w:color w:val="000000"/>
          <w:kern w:val="0"/>
          <w:sz w:val="22"/>
          <w:szCs w:val="22"/>
          <w14:ligatures w14:val="none"/>
        </w:rPr>
        <w:t>. The 21–30 years age group had the highest prevalence (36.5%), while individuals aged 51 and above had the lowest (13.8%)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 = 0.003). Participants using rivers and streams had the highest infection rates (35.3%), while those using tap water had the lowest (28.0%)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 = 0.038). Farmers had significantly higher odds of infection (OR = 1.50,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 = 0.045) compared to students. Those with a Senior High School education had increased odds of infection (OR = 1.85, </w:t>
      </w:r>
      <w:r w:rsidRPr="007C7CE8">
        <w:rPr>
          <w:rFonts w:ascii="Calibri" w:eastAsia="Times New Roman" w:hAnsi="Calibri" w:cs="Calibri"/>
          <w:i/>
          <w:iCs/>
          <w:color w:val="000000"/>
          <w:kern w:val="0"/>
          <w:sz w:val="22"/>
          <w:szCs w:val="22"/>
          <w14:ligatures w14:val="none"/>
        </w:rPr>
        <w:t>p</w:t>
      </w:r>
      <w:r w:rsidRPr="007C7CE8">
        <w:rPr>
          <w:rFonts w:ascii="Calibri" w:eastAsia="Times New Roman" w:hAnsi="Calibri" w:cs="Calibri"/>
          <w:color w:val="000000"/>
          <w:kern w:val="0"/>
          <w:sz w:val="22"/>
          <w:szCs w:val="22"/>
          <w14:ligatures w14:val="none"/>
        </w:rPr>
        <w:t> = 0.015) compared to individuals with no formal education. National schistosomiasis prevalence remained steady between 24% and 27% from 2019 to 2024, peaking in 2021. Males accounted for a higher proportion of cases (16–19%) than females (8–9%). Targeted interventions should focus on health education, improving access to safe water, and controlling snails in high-risk water bodies.</w:t>
      </w:r>
    </w:p>
    <w:p w14:paraId="144FADE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25-A-3396-ASTMH</w:t>
      </w:r>
    </w:p>
    <w:p w14:paraId="4FCF580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Measures for Control and Elimination of Neglected Tropical Diseases (NTDs)</w:t>
      </w:r>
    </w:p>
    <w:p w14:paraId="6070C79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 Cost Reduction Framework for Transitioning from Paper Based to Digital Reporting Systems for Neglected Tropical Disease Programs in Nigeria</w:t>
      </w:r>
    </w:p>
    <w:p w14:paraId="61A64E9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Neglected Tropical Diseases (NTDs) remain a major health and economic challenge in Nigeria, particularly in rural and underserved communities, due to limited healthcare access, weak infrastructure, and scarce resources. Traditional paper-based systems used for NTD program monitoring, evaluation, and surveillance are critically inefficient, prone to data entry errors, high costs of printing, distribution, storage, and retrieval, and significant delays that hinder timely decision-making.Digital reporting systems using cloud computing, mobile data collection, and real-time analytics offer a sustained solution. These systems improve data quality through validation checks, streamline data processing, enhance responsiveness with immediate analytics, and reduce physical storage needs, ultimately supporting cost-effective program implementation.However, many donors, development </w:t>
      </w:r>
      <w:r w:rsidRPr="007C7CE8">
        <w:rPr>
          <w:rFonts w:ascii="Calibri" w:eastAsia="Times New Roman" w:hAnsi="Calibri" w:cs="Calibri"/>
          <w:color w:val="000000"/>
          <w:kern w:val="0"/>
          <w:sz w:val="22"/>
          <w:szCs w:val="22"/>
          <w14:ligatures w14:val="none"/>
        </w:rPr>
        <w:lastRenderedPageBreak/>
        <w:t>partners, and implementing agencies remain hesitant to invest in digitization due to uncertainty about measurable cost savings and return on investment. Addressing this requires practical, evidence-based frameworks that quantify the financial benefits of digital over paper-based reporting.This study, conducted in Nigeria, analyzed secondary cost data from four implementing partners between 2020 and 2024 to compare the cost structures of paper-based and digital systems. A structured cost reduction framework was developed to evaluate costs related to development, infrastructure, logistics, labour, storage, and data retrieval. Findings indicate that while digitization may not yield immediate cost reductions, it provides substantial long-term financial advantages, especially through reduced indirect costs and improved data quality. Furthermore, the study emphasizes that non-integrated digital systems increase overall costs. For optimal efficiency, digitization efforts must align with existing health information systems, emphasizing interoperability rather than developing parallel platforms.</w:t>
      </w:r>
    </w:p>
    <w:p w14:paraId="4421C30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25-A-3397-ASTMH</w:t>
      </w:r>
    </w:p>
    <w:p w14:paraId="5E44E5D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Security/Emerging Infection Preparedness, Surveillance and Response(s)</w:t>
      </w:r>
    </w:p>
    <w:p w14:paraId="14338A8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Integrated One Health Digital Platform for Outbreak Management</w:t>
      </w:r>
    </w:p>
    <w:p w14:paraId="18565A2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Increased global mobility, climate change, and environmental alterations have contributed to rapid spread of zoonotic infectious diseases. Rapid identification of the causative agent during an outbreak is key to the timely implementation of effective control measures. A well-structured, user-friendly digital system for collecting outbreak data is essential to ensure efficient outbreak management. Considering the current needs to manage outbreaks and streamline data collection, processing and dissemination, the PREPARE-TID team has developed a digital One Health platform that integrates data from diverse sources, enabling real-time outbreak surveillance for health professionals and stakeholder. The platform facilitates collection and integration of anonymized patient data that results from diverse diagnostic methods directly in the field which eventually reduces 85% time that incurred by manual paper based data entry. By including samples from humans, animals, vectors (ticks, mosquitos) and the environment, the system supports a comprehensive One Health approach to disease surveillance. Real-time data accessibility allows experts from multiple disciplines to rapidly identify emerging threats, track disease transmission, and implement timely interventions. The key features of the customizable platform include real-time data entry (90 sec), rapid data syncing, support, adaptable in Android ad iOS, organize data by species and syndromic approach, allowing for more precise analysis and targeted response strategies. Visualizing all results on a dashboard depicting with an interactive map enhances situational awareness, enabling health authorities and researchers to monitor outbreaks, identify patterns, and coordinate responses more effectively. The interconnected system ensures rapid, data-driven decision-making, ultimately strengthening public health preparedness and response.This One Health digital platform has the potential to revolutionize global outbreak surveillance by enabling faster detection, more efficient data integration, and improved coordination of response efforts across borders.</w:t>
      </w:r>
    </w:p>
    <w:p w14:paraId="43CE30D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25-A-3398-ASTMH</w:t>
      </w:r>
    </w:p>
    <w:p w14:paraId="583550D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Epidemiology and Vector Control</w:t>
      </w:r>
    </w:p>
    <w:p w14:paraId="106A6D85" w14:textId="1DBA88A0"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Entomological Risk Assessment of the Yellow Fever Outbreak in Isiolo County, Kenya, 2022</w:t>
      </w:r>
    </w:p>
    <w:p w14:paraId="5DF84A0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Yellow fever virus (YFV), an arbovirus in the </w:t>
      </w:r>
      <w:r w:rsidRPr="007C7CE8">
        <w:rPr>
          <w:rFonts w:ascii="Calibri" w:eastAsia="Times New Roman" w:hAnsi="Calibri" w:cs="Calibri"/>
          <w:i/>
          <w:iCs/>
          <w:color w:val="000000"/>
          <w:kern w:val="0"/>
          <w:sz w:val="22"/>
          <w:szCs w:val="22"/>
          <w14:ligatures w14:val="none"/>
        </w:rPr>
        <w:t>Flaviviridae</w:t>
      </w:r>
      <w:r w:rsidRPr="007C7CE8">
        <w:rPr>
          <w:rFonts w:ascii="Calibri" w:eastAsia="Times New Roman" w:hAnsi="Calibri" w:cs="Calibri"/>
          <w:color w:val="000000"/>
          <w:kern w:val="0"/>
          <w:sz w:val="22"/>
          <w:szCs w:val="22"/>
          <w14:ligatures w14:val="none"/>
        </w:rPr>
        <w:t> family, poses a significant global health threat, necessitating a coordinated and comprehensive response. Kenya recently experienced a yellow fever (YF) outbreak from January to August 2022 in Isiolo County, marking it the first such event in the country since the 1992-1993 outbreak in the Kerio Valley, Elgeyo Marakwet County. The Kenyan Ministry of Health reported 71 cases and 7 fatalities during the 2022 outbreak. We conducted an entomological risk assessment to identify breeding sites, abundance and diversity of mosquito vectors potentially involved in YFV transmission in the region and determine larval indices. We employed CO</w:t>
      </w:r>
      <w:r w:rsidRPr="007C7CE8">
        <w:rPr>
          <w:rFonts w:ascii="Calibri" w:eastAsia="Times New Roman" w:hAnsi="Calibri" w:cs="Calibri"/>
          <w:color w:val="000000"/>
          <w:kern w:val="0"/>
          <w:sz w:val="22"/>
          <w:szCs w:val="22"/>
          <w:vertAlign w:val="subscript"/>
          <w14:ligatures w14:val="none"/>
        </w:rPr>
        <w:t>2</w:t>
      </w:r>
      <w:r w:rsidRPr="007C7CE8">
        <w:rPr>
          <w:rFonts w:ascii="Calibri" w:eastAsia="Times New Roman" w:hAnsi="Calibri" w:cs="Calibri"/>
          <w:color w:val="000000"/>
          <w:kern w:val="0"/>
          <w:sz w:val="22"/>
          <w:szCs w:val="22"/>
          <w14:ligatures w14:val="none"/>
        </w:rPr>
        <w:t xml:space="preserve">-bated BG-sentinels traps and CDC light traps to capture adult mosquitoes during the day and night, respectively, while households were inspected for immature mosquitoes in containers both indoors and outdoors. Ovicups were used to collect mosquito eggs, and soil samples were extracted from tree holes. Collected eggs and </w:t>
      </w:r>
      <w:r w:rsidRPr="007C7CE8">
        <w:rPr>
          <w:rFonts w:ascii="Calibri" w:eastAsia="Times New Roman" w:hAnsi="Calibri" w:cs="Calibri"/>
          <w:color w:val="000000"/>
          <w:kern w:val="0"/>
          <w:sz w:val="22"/>
          <w:szCs w:val="22"/>
          <w14:ligatures w14:val="none"/>
        </w:rPr>
        <w:lastRenderedPageBreak/>
        <w:t>soil samples were dispensed in the laboratory, hatched into larvae and emerging adult mosquitoes were morphologically identified to species level. Our findings indicate the presence of </w:t>
      </w:r>
      <w:r w:rsidRPr="007C7CE8">
        <w:rPr>
          <w:rFonts w:ascii="Calibri" w:eastAsia="Times New Roman" w:hAnsi="Calibri" w:cs="Calibri"/>
          <w:i/>
          <w:iCs/>
          <w:color w:val="000000"/>
          <w:kern w:val="0"/>
          <w:sz w:val="22"/>
          <w:szCs w:val="22"/>
          <w14:ligatures w14:val="none"/>
        </w:rPr>
        <w:t>Ae. aegypti, Ae. furcifer</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Ae. simpsoni</w:t>
      </w:r>
      <w:r w:rsidRPr="007C7CE8">
        <w:rPr>
          <w:rFonts w:ascii="Calibri" w:eastAsia="Times New Roman" w:hAnsi="Calibri" w:cs="Calibri"/>
          <w:color w:val="000000"/>
          <w:kern w:val="0"/>
          <w:sz w:val="22"/>
          <w:szCs w:val="22"/>
          <w14:ligatures w14:val="none"/>
        </w:rPr>
        <w:t> belonging to the </w:t>
      </w:r>
      <w:r w:rsidRPr="007C7CE8">
        <w:rPr>
          <w:rFonts w:ascii="Calibri" w:eastAsia="Times New Roman" w:hAnsi="Calibri" w:cs="Calibri"/>
          <w:i/>
          <w:iCs/>
          <w:color w:val="000000"/>
          <w:kern w:val="0"/>
          <w:sz w:val="22"/>
          <w:szCs w:val="22"/>
          <w14:ligatures w14:val="none"/>
        </w:rPr>
        <w:t>Stegomyia</w:t>
      </w:r>
      <w:r w:rsidRPr="007C7CE8">
        <w:rPr>
          <w:rFonts w:ascii="Calibri" w:eastAsia="Times New Roman" w:hAnsi="Calibri" w:cs="Calibri"/>
          <w:color w:val="000000"/>
          <w:kern w:val="0"/>
          <w:sz w:val="22"/>
          <w:szCs w:val="22"/>
          <w14:ligatures w14:val="none"/>
        </w:rPr>
        <w:t> subgenus. Most were collected as immatures from ovitraps and soil scrapings highlighting their potential role in both sylvatic and urban yellow fever transmission cycles. The larval indices including the Container, House, and Breteau Indices exceeded the WHO-recommended thresholds, indicating high risk area for YFV transmission. This underscores two key points 1) the susceptibility of these vectors to transmit YFV, which can be further evaluated through vector competence experiments and 2) the necessity of assessing the host blood-feeding preferences of these vectors to accurately identify potential reservoirs of the virus in the area. Mosquito vector studies to inform control remains a critical strategy for reducing human exposure to YFV. The study informs policy decisions aimed at enhancing preventive measures against future YF outbreaks and improving vaccination coverage.</w:t>
      </w:r>
    </w:p>
    <w:p w14:paraId="193BD52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25-A-3399-ASTMH</w:t>
      </w:r>
    </w:p>
    <w:p w14:paraId="276D8D1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Bacteriology - Enteric Infections</w:t>
      </w:r>
    </w:p>
    <w:p w14:paraId="30C992B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An updated global systematic review on </w:t>
      </w:r>
      <w:r w:rsidRPr="007C7CE8">
        <w:rPr>
          <w:rFonts w:ascii="Calibri" w:eastAsia="Times New Roman" w:hAnsi="Calibri" w:cs="Calibri"/>
          <w:b/>
          <w:bCs/>
          <w:i/>
          <w:iCs/>
          <w:color w:val="000000"/>
          <w:kern w:val="0"/>
          <w:sz w:val="22"/>
          <w:szCs w:val="22"/>
          <w14:ligatures w14:val="none"/>
        </w:rPr>
        <w:t>Salmonella </w:t>
      </w:r>
      <w:r w:rsidRPr="007C7CE8">
        <w:rPr>
          <w:rFonts w:ascii="Calibri" w:eastAsia="Times New Roman" w:hAnsi="Calibri" w:cs="Calibri"/>
          <w:b/>
          <w:bCs/>
          <w:color w:val="000000"/>
          <w:kern w:val="0"/>
          <w:sz w:val="22"/>
          <w:szCs w:val="22"/>
          <w14:ligatures w14:val="none"/>
        </w:rPr>
        <w:t>Typhi antimicrobial resistance</w:t>
      </w:r>
    </w:p>
    <w:p w14:paraId="400EC35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Updated evidence on antimicrobial resistance (AMR) in Salmonella Typhi is needed to inform empiric treatment and country typhoid conjugate vaccine (TCV) implementation. We updated our 2020 systematic review, including studies published in PubMed and Web of Science through 27 January 2023 reporting the proportion of Salmonella Typhi isolates resistant to antimicrobials. When the number of resistant isolates was not reported but susceptible isolates were, we assumed non-susceptible isolates to be resistant. We classified isolates resistant to ampicillin, chloramphenicol, and trimethoprim-sulfamethoxazole as multidrug-resistant (MDR), and isolates that were MDR and resistant to a fluoroquinolone and a third-generation cephalosporin as extensively drug-resistant (XDR). We computed by decade the median proportions of isolates resistant by United Nations region, combining the 1990s and 2000s due to small numbers, and performed chi-squared test for trend in proportions. Of 317 included reports, 119 were new reports published 2019-2023, collecting data 1991-2022 on AMR on 36,485 Salmonella Typhi (median=57, interquartile range=29.5-163.5 per report) isolates from 33 countries across four UN regions. Of 36,485 isolates from new reports, 33,945 (93.0%) were from Asia. Among new reports 6,279 (32.0%) of 19,615 were MDR, 4,550 (62.7%) of 7,256 were resistant to nalidixic acid, 7,279 (44.6%) of 16,319 were resistant to ciprofloxacin, 2,891 (15.9%) of 18,181 were resistant to third-generation cephalosporins, and 1,384 (11.5%) of 12,056 were resistant to azithromycin. From new reports, the proportion of MDR Salmonella Typhi increased with each consecutive decade for Africa from 1990-2009 through 2010-2019, and decreased for Asia from 1991-2009 through 2010-2019. Of 16 new reports from Pakistan 2,816 (45.7%) of 6,157 isolates were XDR. Our data affirms the need for continued AMR surveillance and control efforts considering the expansion of MDR in Africa, and XDR Salmonella Typhi in Pakistan. Our updated evidence provides inputs to urgently guide decisions on non-vaccine prevention, empiric treatment, and TCV implementation.</w:t>
      </w:r>
    </w:p>
    <w:p w14:paraId="116884F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25-A-3400-ASTMH</w:t>
      </w:r>
    </w:p>
    <w:p w14:paraId="71C1156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Respiratory Infections</w:t>
      </w:r>
    </w:p>
    <w:p w14:paraId="175FC47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National Surveillance-Based Evidence on Factors Affecting Under-Five Mortality Due to Pneumonia and Other Respiratory Diseases in Bangladesh</w:t>
      </w:r>
    </w:p>
    <w:p w14:paraId="50003F2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This study explores the determinants of under-five mortality due to pneumonia and other respiratory diseases (PARD) in Bangladesh, utilizing data from the 2023 Sample Vital Registration System (SVRS). Unlike previous studies relying on hospital or survey data, the SVRS provides a nationally representative sample, offering better insights into child mortality patterns. The study focuses on children under-five who died from PARD, including conditions like influenza, tuberculosis, asthma, and diphtheria. Through multivariable logistic regression, several factors associated with PARD-related under-five mortality were identified. The findings indicate that male children and those under one year of age are more likely to </w:t>
      </w:r>
      <w:r w:rsidRPr="007C7CE8">
        <w:rPr>
          <w:rFonts w:ascii="Calibri" w:eastAsia="Times New Roman" w:hAnsi="Calibri" w:cs="Calibri"/>
          <w:color w:val="000000"/>
          <w:kern w:val="0"/>
          <w:sz w:val="22"/>
          <w:szCs w:val="22"/>
          <w14:ligatures w14:val="none"/>
        </w:rPr>
        <w:lastRenderedPageBreak/>
        <w:t>die from PARD, with winter months presenting higher risks. Additionally, improved household conditions—such as proximity to all-season roads, handwashing practices, and having separate kitchens—were found to reduce mortality risks. The study underscores the importance of age- and sex-specific health interventions, improved hygiene practices, and access to healthcare. It highlights the need for public health strategies focused on poverty reduction, pollution control, and better healthcare access to mitigate the risks of PARD and reduce child mortality. These efforts are crucial for ensuring the health and well-being of future generations in Bangladesh.</w:t>
      </w:r>
    </w:p>
    <w:p w14:paraId="3482962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25-A-3401-ASTMH</w:t>
      </w:r>
    </w:p>
    <w:p w14:paraId="10C8173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Helminths – Nematodes – Intestinal Nematodes</w:t>
      </w:r>
    </w:p>
    <w:p w14:paraId="67303F4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Molecular epidemiology of gastrointestinal helminths in farmers and livestock in coastal Ghana</w:t>
      </w:r>
    </w:p>
    <w:p w14:paraId="40F9330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Zoonotic transmission of gastrointestinal helminths (GIT) poses a significant threat in livestock-dependent communities in Ghana. We used a combined microscopic and molecular approach to investigate the prevalence, diversity, and genetic relatedness of GIT helminths in farmers and their livestock in coastal Ghana. We surveyed 11 districts, collecting fecal samples from 100 farmers, 410 cattle, 237 sheep, and 301 goats. Samples were analyzed microscopically using the formol-ether concentration method. We performed nested PCR on all samples targeting the ITS-2 region of </w:t>
      </w:r>
      <w:r w:rsidRPr="007C7CE8">
        <w:rPr>
          <w:rFonts w:ascii="Calibri" w:eastAsia="Times New Roman" w:hAnsi="Calibri" w:cs="Calibri"/>
          <w:i/>
          <w:iCs/>
          <w:color w:val="000000"/>
          <w:kern w:val="0"/>
          <w:sz w:val="22"/>
          <w:szCs w:val="22"/>
          <w14:ligatures w14:val="none"/>
        </w:rPr>
        <w:t>Trichostrongylus spp., Necator americanus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Oesophagostomum bifurcum</w:t>
      </w:r>
      <w:r w:rsidRPr="007C7CE8">
        <w:rPr>
          <w:rFonts w:ascii="Calibri" w:eastAsia="Times New Roman" w:hAnsi="Calibri" w:cs="Calibri"/>
          <w:color w:val="000000"/>
          <w:kern w:val="0"/>
          <w:sz w:val="22"/>
          <w:szCs w:val="22"/>
          <w14:ligatures w14:val="none"/>
        </w:rPr>
        <w:t>. Additionally, we conducted phylogenetic analyses to evaluate genetic relationships. Prevalence was estimated with 95% confidence intervals (CI). Microscopy revealed strongylid nematodes as the most prevalent GIT helminths, infecting 15.5% (95% CI: 4.2–17.5) of farmers and 68.4% (95% CI: 63.0–65.2) of livestock. PCR identified </w:t>
      </w:r>
      <w:r w:rsidRPr="007C7CE8">
        <w:rPr>
          <w:rFonts w:ascii="Calibri" w:eastAsia="Times New Roman" w:hAnsi="Calibri" w:cs="Calibri"/>
          <w:i/>
          <w:iCs/>
          <w:color w:val="000000"/>
          <w:kern w:val="0"/>
          <w:sz w:val="22"/>
          <w:szCs w:val="22"/>
          <w14:ligatures w14:val="none"/>
        </w:rPr>
        <w:t>Trichostrongylus spp. </w:t>
      </w:r>
      <w:r w:rsidRPr="007C7CE8">
        <w:rPr>
          <w:rFonts w:ascii="Calibri" w:eastAsia="Times New Roman" w:hAnsi="Calibri" w:cs="Calibri"/>
          <w:color w:val="000000"/>
          <w:kern w:val="0"/>
          <w:sz w:val="22"/>
          <w:szCs w:val="22"/>
          <w14:ligatures w14:val="none"/>
        </w:rPr>
        <w:t>and</w:t>
      </w:r>
      <w:r w:rsidRPr="007C7CE8">
        <w:rPr>
          <w:rFonts w:ascii="Calibri" w:eastAsia="Times New Roman" w:hAnsi="Calibri" w:cs="Calibri"/>
          <w:i/>
          <w:iCs/>
          <w:color w:val="000000"/>
          <w:kern w:val="0"/>
          <w:sz w:val="22"/>
          <w:szCs w:val="22"/>
          <w14:ligatures w14:val="none"/>
        </w:rPr>
        <w:t> N. americanus</w:t>
      </w:r>
      <w:r w:rsidRPr="007C7CE8">
        <w:rPr>
          <w:rFonts w:ascii="Calibri" w:eastAsia="Times New Roman" w:hAnsi="Calibri" w:cs="Calibri"/>
          <w:color w:val="000000"/>
          <w:kern w:val="0"/>
          <w:sz w:val="22"/>
          <w:szCs w:val="22"/>
          <w14:ligatures w14:val="none"/>
        </w:rPr>
        <w:t> in 8.5% (95% CI: 3.8–16.1) of farmers, with sequence analysis confirming </w:t>
      </w:r>
      <w:r w:rsidRPr="007C7CE8">
        <w:rPr>
          <w:rFonts w:ascii="Calibri" w:eastAsia="Times New Roman" w:hAnsi="Calibri" w:cs="Calibri"/>
          <w:i/>
          <w:iCs/>
          <w:color w:val="000000"/>
          <w:kern w:val="0"/>
          <w:sz w:val="22"/>
          <w:szCs w:val="22"/>
          <w14:ligatures w14:val="none"/>
        </w:rPr>
        <w:t>T. colubriformis</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T. probolurus</w:t>
      </w:r>
      <w:r w:rsidRPr="007C7CE8">
        <w:rPr>
          <w:rFonts w:ascii="Calibri" w:eastAsia="Times New Roman" w:hAnsi="Calibri" w:cs="Calibri"/>
          <w:color w:val="000000"/>
          <w:kern w:val="0"/>
          <w:sz w:val="22"/>
          <w:szCs w:val="22"/>
          <w14:ligatures w14:val="none"/>
        </w:rPr>
        <w:t>. Livestock harbored diverse nematodes, including </w:t>
      </w:r>
      <w:r w:rsidRPr="007C7CE8">
        <w:rPr>
          <w:rFonts w:ascii="Calibri" w:eastAsia="Times New Roman" w:hAnsi="Calibri" w:cs="Calibri"/>
          <w:i/>
          <w:iCs/>
          <w:color w:val="000000"/>
          <w:kern w:val="0"/>
          <w:sz w:val="22"/>
          <w:szCs w:val="22"/>
          <w14:ligatures w14:val="none"/>
        </w:rPr>
        <w:t>T. colubriformis, T. axei, Haemonchus contortus, </w:t>
      </w:r>
      <w:r w:rsidRPr="007C7CE8">
        <w:rPr>
          <w:rFonts w:ascii="Calibri" w:eastAsia="Times New Roman" w:hAnsi="Calibri" w:cs="Calibri"/>
          <w:color w:val="000000"/>
          <w:kern w:val="0"/>
          <w:sz w:val="22"/>
          <w:szCs w:val="22"/>
          <w14:ligatures w14:val="none"/>
        </w:rPr>
        <w:t>and</w:t>
      </w:r>
      <w:r w:rsidRPr="007C7CE8">
        <w:rPr>
          <w:rFonts w:ascii="Calibri" w:eastAsia="Times New Roman" w:hAnsi="Calibri" w:cs="Calibri"/>
          <w:i/>
          <w:iCs/>
          <w:color w:val="000000"/>
          <w:kern w:val="0"/>
          <w:sz w:val="22"/>
          <w:szCs w:val="22"/>
          <w14:ligatures w14:val="none"/>
        </w:rPr>
        <w:t> Cooperia spp</w:t>
      </w:r>
      <w:r w:rsidRPr="007C7CE8">
        <w:rPr>
          <w:rFonts w:ascii="Calibri" w:eastAsia="Times New Roman" w:hAnsi="Calibri" w:cs="Calibri"/>
          <w:color w:val="000000"/>
          <w:kern w:val="0"/>
          <w:sz w:val="22"/>
          <w:szCs w:val="22"/>
          <w14:ligatures w14:val="none"/>
        </w:rPr>
        <w:t>. Phylogenetic analysis revealed that N. americanus isolates from Ghanaian farmers shared high genetic similarity with isolates from chimpanzees and humans in other regions. This study unveils significant zoonotic risks associated with GIT helminths in coastal Ghana, highlighting the potential for interspecies transmission. Molecular methods significantly enhanced parasite detection compared to microscopy alone. We advocate for "One Health" interventions, including targeted anthelmintic treatments for humans and livestock, improved sanitation, and community education</w:t>
      </w:r>
    </w:p>
    <w:p w14:paraId="33278D6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25-A-3402-ASTMH</w:t>
      </w:r>
    </w:p>
    <w:p w14:paraId="0F67830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Schistosomiasis and Other Trematodes – Immunology, Pathology, Cellular and Molecular Biology</w:t>
      </w:r>
    </w:p>
    <w:p w14:paraId="111B682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De novo</w:t>
      </w:r>
      <w:r w:rsidRPr="007C7CE8">
        <w:rPr>
          <w:rFonts w:ascii="Calibri" w:eastAsia="Times New Roman" w:hAnsi="Calibri" w:cs="Calibri"/>
          <w:color w:val="000000"/>
          <w:kern w:val="0"/>
          <w:sz w:val="22"/>
          <w:szCs w:val="22"/>
          <w14:ligatures w14:val="none"/>
        </w:rPr>
        <w:t> assembly and annotation of the mitochondrial genome of adult </w:t>
      </w:r>
      <w:r w:rsidRPr="007C7CE8">
        <w:rPr>
          <w:rFonts w:ascii="Calibri" w:eastAsia="Times New Roman" w:hAnsi="Calibri" w:cs="Calibri"/>
          <w:i/>
          <w:iCs/>
          <w:color w:val="000000"/>
          <w:kern w:val="0"/>
          <w:sz w:val="22"/>
          <w:szCs w:val="22"/>
          <w14:ligatures w14:val="none"/>
        </w:rPr>
        <w:t>Echinostoma mekongi</w:t>
      </w:r>
      <w:r w:rsidRPr="007C7CE8">
        <w:rPr>
          <w:rFonts w:ascii="Calibri" w:eastAsia="Times New Roman" w:hAnsi="Calibri" w:cs="Calibri"/>
          <w:color w:val="000000"/>
          <w:kern w:val="0"/>
          <w:sz w:val="22"/>
          <w:szCs w:val="22"/>
          <w14:ligatures w14:val="none"/>
        </w:rPr>
        <w:t> (Cambodian isolate) from experimentally infected hamsters</w:t>
      </w:r>
    </w:p>
    <w:p w14:paraId="6376B51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Echinostoma mekongi</w:t>
      </w:r>
      <w:r w:rsidRPr="007C7CE8">
        <w:rPr>
          <w:rFonts w:ascii="Calibri" w:eastAsia="Times New Roman" w:hAnsi="Calibri" w:cs="Calibri"/>
          <w:color w:val="000000"/>
          <w:kern w:val="0"/>
          <w:sz w:val="22"/>
          <w:szCs w:val="22"/>
          <w14:ligatures w14:val="none"/>
        </w:rPr>
        <w:t> was first described as a new intestinal fluke species in 2020, based on specimens collected from humans in Cambodia. Oral infection with </w:t>
      </w:r>
      <w:r w:rsidRPr="007C7CE8">
        <w:rPr>
          <w:rFonts w:ascii="Calibri" w:eastAsia="Times New Roman" w:hAnsi="Calibri" w:cs="Calibri"/>
          <w:i/>
          <w:iCs/>
          <w:color w:val="000000"/>
          <w:kern w:val="0"/>
          <w:sz w:val="22"/>
          <w:szCs w:val="22"/>
          <w14:ligatures w14:val="none"/>
        </w:rPr>
        <w:t>E. mekongi</w:t>
      </w:r>
      <w:r w:rsidRPr="007C7CE8">
        <w:rPr>
          <w:rFonts w:ascii="Calibri" w:eastAsia="Times New Roman" w:hAnsi="Calibri" w:cs="Calibri"/>
          <w:color w:val="000000"/>
          <w:kern w:val="0"/>
          <w:sz w:val="22"/>
          <w:szCs w:val="22"/>
          <w14:ligatures w14:val="none"/>
        </w:rPr>
        <w:t> metacercariae was performed in hamsters, and adult worms were successfully recovered. Here, we generated novel mitochondrial genome data for </w:t>
      </w:r>
      <w:r w:rsidRPr="007C7CE8">
        <w:rPr>
          <w:rFonts w:ascii="Calibri" w:eastAsia="Times New Roman" w:hAnsi="Calibri" w:cs="Calibri"/>
          <w:i/>
          <w:iCs/>
          <w:color w:val="000000"/>
          <w:kern w:val="0"/>
          <w:sz w:val="22"/>
          <w:szCs w:val="22"/>
          <w14:ligatures w14:val="none"/>
        </w:rPr>
        <w:t>E. mekongi</w:t>
      </w:r>
      <w:r w:rsidRPr="007C7CE8">
        <w:rPr>
          <w:rFonts w:ascii="Calibri" w:eastAsia="Times New Roman" w:hAnsi="Calibri" w:cs="Calibri"/>
          <w:color w:val="000000"/>
          <w:kern w:val="0"/>
          <w:sz w:val="22"/>
          <w:szCs w:val="22"/>
          <w14:ligatures w14:val="none"/>
        </w:rPr>
        <w:t>, compared the performance of various </w:t>
      </w:r>
      <w:r w:rsidRPr="007C7CE8">
        <w:rPr>
          <w:rFonts w:ascii="Calibri" w:eastAsia="Times New Roman" w:hAnsi="Calibri" w:cs="Calibri"/>
          <w:i/>
          <w:iCs/>
          <w:color w:val="000000"/>
          <w:kern w:val="0"/>
          <w:sz w:val="22"/>
          <w:szCs w:val="22"/>
          <w14:ligatures w14:val="none"/>
        </w:rPr>
        <w:t>de novo</w:t>
      </w:r>
      <w:r w:rsidRPr="007C7CE8">
        <w:rPr>
          <w:rFonts w:ascii="Calibri" w:eastAsia="Times New Roman" w:hAnsi="Calibri" w:cs="Calibri"/>
          <w:color w:val="000000"/>
          <w:kern w:val="0"/>
          <w:sz w:val="22"/>
          <w:szCs w:val="22"/>
          <w14:ligatures w14:val="none"/>
        </w:rPr>
        <w:t> mitochondrial genome assemblers and annotation tools, and identified the optimal strategy. Our goal was to enhance the understanding of the evolutionary and genetic biology of </w:t>
      </w:r>
      <w:r w:rsidRPr="007C7CE8">
        <w:rPr>
          <w:rFonts w:ascii="Calibri" w:eastAsia="Times New Roman" w:hAnsi="Calibri" w:cs="Calibri"/>
          <w:i/>
          <w:iCs/>
          <w:color w:val="000000"/>
          <w:kern w:val="0"/>
          <w:sz w:val="22"/>
          <w:szCs w:val="22"/>
          <w14:ligatures w14:val="none"/>
        </w:rPr>
        <w:t>Echinostoma</w:t>
      </w:r>
      <w:r w:rsidRPr="007C7CE8">
        <w:rPr>
          <w:rFonts w:ascii="Calibri" w:eastAsia="Times New Roman" w:hAnsi="Calibri" w:cs="Calibri"/>
          <w:color w:val="000000"/>
          <w:kern w:val="0"/>
          <w:sz w:val="22"/>
          <w:szCs w:val="22"/>
          <w14:ligatures w14:val="none"/>
        </w:rPr>
        <w:t> species, including </w:t>
      </w:r>
      <w:r w:rsidRPr="007C7CE8">
        <w:rPr>
          <w:rFonts w:ascii="Calibri" w:eastAsia="Times New Roman" w:hAnsi="Calibri" w:cs="Calibri"/>
          <w:i/>
          <w:iCs/>
          <w:color w:val="000000"/>
          <w:kern w:val="0"/>
          <w:sz w:val="22"/>
          <w:szCs w:val="22"/>
          <w14:ligatures w14:val="none"/>
        </w:rPr>
        <w:t>E. mekongi</w:t>
      </w:r>
      <w:r w:rsidRPr="007C7CE8">
        <w:rPr>
          <w:rFonts w:ascii="Calibri" w:eastAsia="Times New Roman" w:hAnsi="Calibri" w:cs="Calibri"/>
          <w:color w:val="000000"/>
          <w:kern w:val="0"/>
          <w:sz w:val="22"/>
          <w:szCs w:val="22"/>
          <w14:ligatures w14:val="none"/>
        </w:rPr>
        <w:t>. We report a novel, fully annotated circular mitochondrial genome (17,799 bp) of adult </w:t>
      </w:r>
      <w:r w:rsidRPr="007C7CE8">
        <w:rPr>
          <w:rFonts w:ascii="Calibri" w:eastAsia="Times New Roman" w:hAnsi="Calibri" w:cs="Calibri"/>
          <w:i/>
          <w:iCs/>
          <w:color w:val="000000"/>
          <w:kern w:val="0"/>
          <w:sz w:val="22"/>
          <w:szCs w:val="22"/>
          <w14:ligatures w14:val="none"/>
        </w:rPr>
        <w:t>E. mekongi</w:t>
      </w:r>
      <w:r w:rsidRPr="007C7CE8">
        <w:rPr>
          <w:rFonts w:ascii="Calibri" w:eastAsia="Times New Roman" w:hAnsi="Calibri" w:cs="Calibri"/>
          <w:color w:val="000000"/>
          <w:kern w:val="0"/>
          <w:sz w:val="22"/>
          <w:szCs w:val="22"/>
          <w14:ligatures w14:val="none"/>
        </w:rPr>
        <w:t>. This genome comprises 12 protein-coding genes, 22 transfer RNA genes, two ribosomal RNA genes, and one non-coding region. While all </w:t>
      </w:r>
      <w:r w:rsidRPr="007C7CE8">
        <w:rPr>
          <w:rFonts w:ascii="Calibri" w:eastAsia="Times New Roman" w:hAnsi="Calibri" w:cs="Calibri"/>
          <w:i/>
          <w:iCs/>
          <w:color w:val="000000"/>
          <w:kern w:val="0"/>
          <w:sz w:val="22"/>
          <w:szCs w:val="22"/>
          <w14:ligatures w14:val="none"/>
        </w:rPr>
        <w:t>Echinostoma</w:t>
      </w:r>
      <w:r w:rsidRPr="007C7CE8">
        <w:rPr>
          <w:rFonts w:ascii="Calibri" w:eastAsia="Times New Roman" w:hAnsi="Calibri" w:cs="Calibri"/>
          <w:color w:val="000000"/>
          <w:kern w:val="0"/>
          <w:sz w:val="22"/>
          <w:szCs w:val="22"/>
          <w14:ligatures w14:val="none"/>
        </w:rPr>
        <w:t> species share a conserved mitochondrial genome organization, genome sizes range from 14,416 to 17,799 bp among species such as </w:t>
      </w:r>
      <w:r w:rsidRPr="007C7CE8">
        <w:rPr>
          <w:rFonts w:ascii="Calibri" w:eastAsia="Times New Roman" w:hAnsi="Calibri" w:cs="Calibri"/>
          <w:i/>
          <w:iCs/>
          <w:color w:val="000000"/>
          <w:kern w:val="0"/>
          <w:sz w:val="22"/>
          <w:szCs w:val="22"/>
          <w14:ligatures w14:val="none"/>
        </w:rPr>
        <w:t>E. revolutum</w:t>
      </w:r>
      <w:r w:rsidRPr="007C7CE8">
        <w:rPr>
          <w:rFonts w:ascii="Calibri" w:eastAsia="Times New Roman" w:hAnsi="Calibri" w:cs="Calibri"/>
          <w:color w:val="000000"/>
          <w:kern w:val="0"/>
          <w:sz w:val="22"/>
          <w:szCs w:val="22"/>
          <w14:ligatures w14:val="none"/>
        </w:rPr>
        <w:t> (China and Thailand isolates), </w:t>
      </w:r>
      <w:r w:rsidRPr="007C7CE8">
        <w:rPr>
          <w:rFonts w:ascii="Calibri" w:eastAsia="Times New Roman" w:hAnsi="Calibri" w:cs="Calibri"/>
          <w:i/>
          <w:iCs/>
          <w:color w:val="000000"/>
          <w:kern w:val="0"/>
          <w:sz w:val="22"/>
          <w:szCs w:val="22"/>
          <w14:ligatures w14:val="none"/>
        </w:rPr>
        <w:t>E. hortense</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E. mekongi</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E. miyagawai</w:t>
      </w:r>
      <w:r w:rsidRPr="007C7CE8">
        <w:rPr>
          <w:rFonts w:ascii="Calibri" w:eastAsia="Times New Roman" w:hAnsi="Calibri" w:cs="Calibri"/>
          <w:color w:val="000000"/>
          <w:kern w:val="0"/>
          <w:sz w:val="22"/>
          <w:szCs w:val="22"/>
          <w14:ligatures w14:val="none"/>
        </w:rPr>
        <w:t> (Heilongjiang and Hunan isolates), and </w:t>
      </w:r>
      <w:r w:rsidRPr="007C7CE8">
        <w:rPr>
          <w:rFonts w:ascii="Calibri" w:eastAsia="Times New Roman" w:hAnsi="Calibri" w:cs="Calibri"/>
          <w:i/>
          <w:iCs/>
          <w:color w:val="000000"/>
          <w:kern w:val="0"/>
          <w:sz w:val="22"/>
          <w:szCs w:val="22"/>
          <w14:ligatures w14:val="none"/>
        </w:rPr>
        <w:t>E. malayanum</w:t>
      </w:r>
      <w:r w:rsidRPr="007C7CE8">
        <w:rPr>
          <w:rFonts w:ascii="Calibri" w:eastAsia="Times New Roman" w:hAnsi="Calibri" w:cs="Calibri"/>
          <w:color w:val="000000"/>
          <w:kern w:val="0"/>
          <w:sz w:val="22"/>
          <w:szCs w:val="22"/>
          <w14:ligatures w14:val="none"/>
        </w:rPr>
        <w:t>. Among the protein-coding genes, NADH dehydrogenase subunit 2 (ND2), ND4, ND5, and ND6 displayed the highest nucleotide diversity, indicating their potential as informative molecular markers to assess </w:t>
      </w:r>
      <w:r w:rsidRPr="007C7CE8">
        <w:rPr>
          <w:rFonts w:ascii="Calibri" w:eastAsia="Times New Roman" w:hAnsi="Calibri" w:cs="Calibri"/>
          <w:i/>
          <w:iCs/>
          <w:color w:val="000000"/>
          <w:kern w:val="0"/>
          <w:sz w:val="22"/>
          <w:szCs w:val="22"/>
          <w14:ligatures w14:val="none"/>
        </w:rPr>
        <w:t>Echinostoma</w:t>
      </w:r>
      <w:r w:rsidRPr="007C7CE8">
        <w:rPr>
          <w:rFonts w:ascii="Calibri" w:eastAsia="Times New Roman" w:hAnsi="Calibri" w:cs="Calibri"/>
          <w:color w:val="000000"/>
          <w:kern w:val="0"/>
          <w:sz w:val="22"/>
          <w:szCs w:val="22"/>
          <w14:ligatures w14:val="none"/>
        </w:rPr>
        <w:t xml:space="preserve"> species biodiversity. We observed performance differences among the genome assembly and annotation tools. Among them, the GetOrganelle assembler with seed sequences </w:t>
      </w:r>
      <w:r w:rsidRPr="007C7CE8">
        <w:rPr>
          <w:rFonts w:ascii="Calibri" w:eastAsia="Times New Roman" w:hAnsi="Calibri" w:cs="Calibri"/>
          <w:color w:val="000000"/>
          <w:kern w:val="0"/>
          <w:sz w:val="22"/>
          <w:szCs w:val="22"/>
          <w14:ligatures w14:val="none"/>
        </w:rPr>
        <w:lastRenderedPageBreak/>
        <w:t>and the MITOS2 annotator produced the most accurate and complete outputs for </w:t>
      </w:r>
      <w:r w:rsidRPr="007C7CE8">
        <w:rPr>
          <w:rFonts w:ascii="Calibri" w:eastAsia="Times New Roman" w:hAnsi="Calibri" w:cs="Calibri"/>
          <w:i/>
          <w:iCs/>
          <w:color w:val="000000"/>
          <w:kern w:val="0"/>
          <w:sz w:val="22"/>
          <w:szCs w:val="22"/>
          <w14:ligatures w14:val="none"/>
        </w:rPr>
        <w:t>E. mekongi</w:t>
      </w:r>
      <w:r w:rsidRPr="007C7CE8">
        <w:rPr>
          <w:rFonts w:ascii="Calibri" w:eastAsia="Times New Roman" w:hAnsi="Calibri" w:cs="Calibri"/>
          <w:color w:val="000000"/>
          <w:kern w:val="0"/>
          <w:sz w:val="22"/>
          <w:szCs w:val="22"/>
          <w14:ligatures w14:val="none"/>
        </w:rPr>
        <w:t>. In the absence of a closely related reference mitogenome, </w:t>
      </w:r>
      <w:r w:rsidRPr="007C7CE8">
        <w:rPr>
          <w:rFonts w:ascii="Calibri" w:eastAsia="Times New Roman" w:hAnsi="Calibri" w:cs="Calibri"/>
          <w:i/>
          <w:iCs/>
          <w:color w:val="000000"/>
          <w:kern w:val="0"/>
          <w:sz w:val="22"/>
          <w:szCs w:val="22"/>
          <w14:ligatures w14:val="none"/>
        </w:rPr>
        <w:t>de novo</w:t>
      </w:r>
      <w:r w:rsidRPr="007C7CE8">
        <w:rPr>
          <w:rFonts w:ascii="Calibri" w:eastAsia="Times New Roman" w:hAnsi="Calibri" w:cs="Calibri"/>
          <w:color w:val="000000"/>
          <w:kern w:val="0"/>
          <w:sz w:val="22"/>
          <w:szCs w:val="22"/>
          <w14:ligatures w14:val="none"/>
        </w:rPr>
        <w:t> assembly with seed sequences proved to be the most effective approach. Among annotation tools, only MITOS2 provided complete mitogenome annotations. These findings support the use of complete mitochondrial genomes as valuable markers for the molecular identification of zoonotic </w:t>
      </w:r>
      <w:r w:rsidRPr="007C7CE8">
        <w:rPr>
          <w:rFonts w:ascii="Calibri" w:eastAsia="Times New Roman" w:hAnsi="Calibri" w:cs="Calibri"/>
          <w:i/>
          <w:iCs/>
          <w:color w:val="000000"/>
          <w:kern w:val="0"/>
          <w:sz w:val="22"/>
          <w:szCs w:val="22"/>
          <w14:ligatures w14:val="none"/>
        </w:rPr>
        <w:t>Echinostoma</w:t>
      </w:r>
      <w:r w:rsidRPr="007C7CE8">
        <w:rPr>
          <w:rFonts w:ascii="Calibri" w:eastAsia="Times New Roman" w:hAnsi="Calibri" w:cs="Calibri"/>
          <w:color w:val="000000"/>
          <w:kern w:val="0"/>
          <w:sz w:val="22"/>
          <w:szCs w:val="22"/>
          <w14:ligatures w14:val="none"/>
        </w:rPr>
        <w:t> species.</w:t>
      </w:r>
    </w:p>
    <w:p w14:paraId="5C0E444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25-A-3403-ASTMH</w:t>
      </w:r>
    </w:p>
    <w:p w14:paraId="2A5DC9C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Vaccines and Immunotherapeutics</w:t>
      </w:r>
    </w:p>
    <w:p w14:paraId="6B12D8C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Comparative immunogenicity of two pre-erythrocytic malaria vaccines: RTS,S and R21</w:t>
      </w:r>
    </w:p>
    <w:p w14:paraId="4D12D29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RTS,S/AS01 (RTS,S) and R21/Matrix-M (R21) vaccines have been rolled out for children aged 5-36 months at risk of malaria across Africa, despite RTS,S only having been tested in 5-17-month-olds. Higher efficacy was observed among 5-17-month-olds compared with 18-36 months in a Phase 3 clinical trial of R21. No head-to-head comparison of efficacy or immunogenicity of these two vaccines has been conducted. For both vaccines, antibodies to circumsporozoite protein (CSP) are associated with vaccine-induced protection. For R21, higher levels of IgG were reported among 5-17-month-olds than among 18-36-month-olds. We present results of a comparison of immunogenicity using a multiplexed assay to measure IgG antibodies to vaccine antigens in samples from two separate clinical trials among 5-17 month-olds conducted in Burkina Faso; RTS,S Phase 3 clinical trial conducted in Houndé in 2017 (NCT03143218, NCT04319380) and R21 Phase 2b clinical trial conducted in Nanoro in 2019 (NCT03896724). For each study, a primary series of three vaccinations was administered one month apart, and annual, pre- malaria-season booster doses thereafter. Approximately 50 samples per timepoint were randomly chosen and study populations were well-matched with respect to age and sex. Analyses were carried out during a defined time period by the same operators using a Meso Scale Discovery (MSD) bespoke multiplex immunoassay measuring IgG levels to two CSP-antigens (the central NANP repeat region, the C-terminal region of CSP) and Hepatitis B surface antigen (HBsAg). IgG responses to NANP were statistically significantly higher in R21 vaccinated children compared with RTS,S-vaccinated children at all timepoints except 28 days post-primary series, when R21 titres were higher but this was not significant (p=0.08). IgG responses to C-Term were higher in the R21 vaccinated cohort at all post-vaccination timepoints. Levels of IgG against HBsAg were higher in individuals vaccinated with RTS,S than with R21 at all timepoints after vaccination. We observed no difference in immunogenicity between age groups when 5-11 months and 12-17 month-olds were analysed separately.</w:t>
      </w:r>
    </w:p>
    <w:p w14:paraId="66268AC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25-A-3404-ASTMH</w:t>
      </w:r>
    </w:p>
    <w:p w14:paraId="6FA7DC6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Security/Emerging Infection Preparedness, Surveillance and Response(s)</w:t>
      </w:r>
    </w:p>
    <w:p w14:paraId="15BF0D8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Establishing Target Product Profiles for Accelerated Detection and Containment of Lassa Fever in Endemic Regions</w:t>
      </w:r>
    </w:p>
    <w:p w14:paraId="5D777B4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Lassa fever (Lf) is a severe viral hemorrhagic disease caused by the Lassa virus, endemic to West Africa, with an estimated 100,000-300,000 infections and about 5,000 deaths annually. Despite its significant public health impact, Lf remains underreported and frequently misdiagnosed due to limited diagnostic infrastructure, particularly in low-resource settings. To address these critical gaps, FIND, in partnership with the World Health Organization (WHO) and the Coalition for Epidemic Preparedness Innovations (CEPI), developed two Target Product Profiles (TPPs) to guide the development of fit-for-purpose diagnostic tools that address critical gaps in timely detection, particularly in low-resource, endemic settings by establishing clear, consensus-driven performance and operational criteria for both point-of-care (POC) and confirmatory testing. The POC test is tailored for use by minimally trained health workers in community and primary healthcare settings. It must be affordable, provide results within 15-60 minutes, and require minimal sample handling. Ideally, it should distinguish Lf from similar diseases like malaria and dengue, operate in challenging environments, and integrate with digital health systems. The confirmatory test targets district to national-level laboratories and must offer high sensitivity and </w:t>
      </w:r>
      <w:r w:rsidRPr="007C7CE8">
        <w:rPr>
          <w:rFonts w:ascii="Calibri" w:eastAsia="Times New Roman" w:hAnsi="Calibri" w:cs="Calibri"/>
          <w:color w:val="000000"/>
          <w:kern w:val="0"/>
          <w:sz w:val="22"/>
          <w:szCs w:val="22"/>
          <w14:ligatures w14:val="none"/>
        </w:rPr>
        <w:lastRenderedPageBreak/>
        <w:t>specificity, viral load quantification, and compatibility with multi-disease diagnostic platforms. Key features include a quick turnaround time, biosafety, minimal resource requirements, and regulatory compliance. Secure data connectivity and system interoperability are vital for integration with surveillance networks. Developed through a collaborative, expert-driven process, these TPPs provide a strategic framework to guide the development of fit-for-purpose diagnostics crucial for early detection, containment, and improved outbreak preparedness in endemic regions.</w:t>
      </w:r>
    </w:p>
    <w:p w14:paraId="4BC0BD8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25-A-3405-ASTMH</w:t>
      </w:r>
    </w:p>
    <w:p w14:paraId="3C33345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Biology and Genetics of Insecticide Resistance</w:t>
      </w:r>
    </w:p>
    <w:p w14:paraId="136AC63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Detection of A296S Mutation in </w:t>
      </w:r>
      <w:r w:rsidRPr="007C7CE8">
        <w:rPr>
          <w:rFonts w:ascii="Calibri" w:eastAsia="Times New Roman" w:hAnsi="Calibri" w:cs="Calibri"/>
          <w:b/>
          <w:bCs/>
          <w:i/>
          <w:iCs/>
          <w:color w:val="000000"/>
          <w:kern w:val="0"/>
          <w:sz w:val="22"/>
          <w:szCs w:val="22"/>
          <w14:ligatures w14:val="none"/>
        </w:rPr>
        <w:t>Anopheles stephensi </w:t>
      </w:r>
      <w:r w:rsidRPr="007C7CE8">
        <w:rPr>
          <w:rFonts w:ascii="Calibri" w:eastAsia="Times New Roman" w:hAnsi="Calibri" w:cs="Calibri"/>
          <w:b/>
          <w:bCs/>
          <w:color w:val="000000"/>
          <w:kern w:val="0"/>
          <w:sz w:val="22"/>
          <w:szCs w:val="22"/>
          <w14:ligatures w14:val="none"/>
        </w:rPr>
        <w:t>and </w:t>
      </w:r>
      <w:r w:rsidRPr="007C7CE8">
        <w:rPr>
          <w:rFonts w:ascii="Calibri" w:eastAsia="Times New Roman" w:hAnsi="Calibri" w:cs="Calibri"/>
          <w:b/>
          <w:bCs/>
          <w:i/>
          <w:iCs/>
          <w:color w:val="000000"/>
          <w:kern w:val="0"/>
          <w:sz w:val="22"/>
          <w:szCs w:val="22"/>
          <w14:ligatures w14:val="none"/>
        </w:rPr>
        <w:t>Anopheles arabiensis</w:t>
      </w:r>
      <w:r w:rsidRPr="007C7CE8">
        <w:rPr>
          <w:rFonts w:ascii="Calibri" w:eastAsia="Times New Roman" w:hAnsi="Calibri" w:cs="Calibri"/>
          <w:b/>
          <w:bCs/>
          <w:color w:val="000000"/>
          <w:kern w:val="0"/>
          <w:sz w:val="22"/>
          <w:szCs w:val="22"/>
          <w14:ligatures w14:val="none"/>
        </w:rPr>
        <w:t> from Isiolo County, Kenya</w:t>
      </w:r>
    </w:p>
    <w:p w14:paraId="02430E1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i/>
          <w:iCs/>
          <w:color w:val="000000"/>
          <w:kern w:val="0"/>
          <w:sz w:val="22"/>
          <w:szCs w:val="22"/>
          <w14:ligatures w14:val="none"/>
        </w:rPr>
        <w:t>Anopheles stephensi</w:t>
      </w:r>
      <w:r w:rsidRPr="007C7CE8">
        <w:rPr>
          <w:rFonts w:ascii="Calibri" w:eastAsia="Times New Roman" w:hAnsi="Calibri" w:cs="Calibri"/>
          <w:color w:val="000000"/>
          <w:kern w:val="0"/>
          <w:sz w:val="22"/>
          <w:szCs w:val="22"/>
          <w14:ligatures w14:val="none"/>
        </w:rPr>
        <w:t>, traditionally found in South Asia and the Middle, is an invasive competent vector for both </w:t>
      </w:r>
      <w:r w:rsidRPr="007C7CE8">
        <w:rPr>
          <w:rFonts w:ascii="Calibri" w:eastAsia="Times New Roman" w:hAnsi="Calibri" w:cs="Calibri"/>
          <w:i/>
          <w:iCs/>
          <w:color w:val="000000"/>
          <w:kern w:val="0"/>
          <w:sz w:val="22"/>
          <w:szCs w:val="22"/>
          <w14:ligatures w14:val="none"/>
        </w:rPr>
        <w:t>Plasmodium falciparum</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Plasmodium vivax</w:t>
      </w:r>
      <w:r w:rsidRPr="007C7CE8">
        <w:rPr>
          <w:rFonts w:ascii="Calibri" w:eastAsia="Times New Roman" w:hAnsi="Calibri" w:cs="Calibri"/>
          <w:color w:val="000000"/>
          <w:kern w:val="0"/>
          <w:sz w:val="22"/>
          <w:szCs w:val="22"/>
          <w14:ligatures w14:val="none"/>
        </w:rPr>
        <w:t> with ability to exploit a wide range of breeding habitats, including densely populated urban environments unsuitable for native African vectors like </w:t>
      </w:r>
      <w:r w:rsidRPr="007C7CE8">
        <w:rPr>
          <w:rFonts w:ascii="Calibri" w:eastAsia="Times New Roman" w:hAnsi="Calibri" w:cs="Calibri"/>
          <w:i/>
          <w:iCs/>
          <w:color w:val="000000"/>
          <w:kern w:val="0"/>
          <w:sz w:val="22"/>
          <w:szCs w:val="22"/>
          <w14:ligatures w14:val="none"/>
        </w:rPr>
        <w:t>An. arabiensis</w:t>
      </w:r>
      <w:r w:rsidRPr="007C7CE8">
        <w:rPr>
          <w:rFonts w:ascii="Calibri" w:eastAsia="Times New Roman" w:hAnsi="Calibri" w:cs="Calibri"/>
          <w:color w:val="000000"/>
          <w:kern w:val="0"/>
          <w:sz w:val="22"/>
          <w:szCs w:val="22"/>
          <w14:ligatures w14:val="none"/>
        </w:rPr>
        <w:t>, where residents are often immunologically naïve to malaria, raises concerns for urban malaria transmission. This study examined its spread into new ecological niches, and detected the presence of A296S mutation, previously associated with the banned dieldrin in the</w:t>
      </w:r>
      <w:r w:rsidRPr="007C7CE8">
        <w:rPr>
          <w:rFonts w:ascii="Calibri" w:eastAsia="Times New Roman" w:hAnsi="Calibri" w:cs="Calibri"/>
          <w:i/>
          <w:iCs/>
          <w:color w:val="000000"/>
          <w:kern w:val="0"/>
          <w:sz w:val="22"/>
          <w:szCs w:val="22"/>
          <w14:ligatures w14:val="none"/>
        </w:rPr>
        <w:t> rdl</w:t>
      </w:r>
      <w:r w:rsidRPr="007C7CE8">
        <w:rPr>
          <w:rFonts w:ascii="Calibri" w:eastAsia="Times New Roman" w:hAnsi="Calibri" w:cs="Calibri"/>
          <w:color w:val="000000"/>
          <w:kern w:val="0"/>
          <w:sz w:val="22"/>
          <w:szCs w:val="22"/>
          <w14:ligatures w14:val="none"/>
        </w:rPr>
        <w:t> locus. However, A296S mutation confer resistance to other insecticides that target GABA receptors like fipronil and broflanilide. Larval collections were conducted in Shambole (peri-urban) and Town Garage (urban) using dippers. Collected larvae were reared to adults in the insectary and morphologically identified using taxonomic keys. DNA was extracted using the Zymo Tissue/Insect Kit. Species identification were performed using conventional PCR targeting the mitochondrial cytochrome oxidase I (COI) gene and Sanger sequencing. Real-time PCR was performed to genotype the A296S mutation in the GABA receptors. In Shambole, 88.7% were identified as </w:t>
      </w:r>
      <w:r w:rsidRPr="007C7CE8">
        <w:rPr>
          <w:rFonts w:ascii="Calibri" w:eastAsia="Times New Roman" w:hAnsi="Calibri" w:cs="Calibri"/>
          <w:i/>
          <w:iCs/>
          <w:color w:val="000000"/>
          <w:kern w:val="0"/>
          <w:sz w:val="22"/>
          <w:szCs w:val="22"/>
          <w14:ligatures w14:val="none"/>
        </w:rPr>
        <w:t>Anopheles gambiae</w:t>
      </w:r>
      <w:r w:rsidRPr="007C7CE8">
        <w:rPr>
          <w:rFonts w:ascii="Calibri" w:eastAsia="Times New Roman" w:hAnsi="Calibri" w:cs="Calibri"/>
          <w:color w:val="000000"/>
          <w:kern w:val="0"/>
          <w:sz w:val="22"/>
          <w:szCs w:val="22"/>
          <w14:ligatures w14:val="none"/>
        </w:rPr>
        <w:t> s.l., while 11.3% were </w:t>
      </w:r>
      <w:r w:rsidRPr="007C7CE8">
        <w:rPr>
          <w:rFonts w:ascii="Calibri" w:eastAsia="Times New Roman" w:hAnsi="Calibri" w:cs="Calibri"/>
          <w:i/>
          <w:iCs/>
          <w:color w:val="000000"/>
          <w:kern w:val="0"/>
          <w:sz w:val="22"/>
          <w:szCs w:val="22"/>
          <w14:ligatures w14:val="none"/>
        </w:rPr>
        <w:t>An. stephensi</w:t>
      </w:r>
      <w:r w:rsidRPr="007C7CE8">
        <w:rPr>
          <w:rFonts w:ascii="Calibri" w:eastAsia="Times New Roman" w:hAnsi="Calibri" w:cs="Calibri"/>
          <w:color w:val="000000"/>
          <w:kern w:val="0"/>
          <w:sz w:val="22"/>
          <w:szCs w:val="22"/>
          <w14:ligatures w14:val="none"/>
        </w:rPr>
        <w:t>. At the Town Garage site all were identified as </w:t>
      </w:r>
      <w:r w:rsidRPr="007C7CE8">
        <w:rPr>
          <w:rFonts w:ascii="Calibri" w:eastAsia="Times New Roman" w:hAnsi="Calibri" w:cs="Calibri"/>
          <w:i/>
          <w:iCs/>
          <w:color w:val="000000"/>
          <w:kern w:val="0"/>
          <w:sz w:val="22"/>
          <w:szCs w:val="22"/>
          <w14:ligatures w14:val="none"/>
        </w:rPr>
        <w:t>An. stephensi</w:t>
      </w:r>
      <w:r w:rsidRPr="007C7CE8">
        <w:rPr>
          <w:rFonts w:ascii="Calibri" w:eastAsia="Times New Roman" w:hAnsi="Calibri" w:cs="Calibri"/>
          <w:color w:val="000000"/>
          <w:kern w:val="0"/>
          <w:sz w:val="22"/>
          <w:szCs w:val="22"/>
          <w14:ligatures w14:val="none"/>
        </w:rPr>
        <w:t>, and notably found breeding in an old, discarded tyre. Sanger sequencing revealed that 89.9% of </w:t>
      </w:r>
      <w:r w:rsidRPr="007C7CE8">
        <w:rPr>
          <w:rFonts w:ascii="Calibri" w:eastAsia="Times New Roman" w:hAnsi="Calibri" w:cs="Calibri"/>
          <w:i/>
          <w:iCs/>
          <w:color w:val="000000"/>
          <w:kern w:val="0"/>
          <w:sz w:val="22"/>
          <w:szCs w:val="22"/>
          <w14:ligatures w14:val="none"/>
        </w:rPr>
        <w:t>An. gambiae</w:t>
      </w:r>
      <w:r w:rsidRPr="007C7CE8">
        <w:rPr>
          <w:rFonts w:ascii="Calibri" w:eastAsia="Times New Roman" w:hAnsi="Calibri" w:cs="Calibri"/>
          <w:color w:val="000000"/>
          <w:kern w:val="0"/>
          <w:sz w:val="22"/>
          <w:szCs w:val="22"/>
          <w14:ligatures w14:val="none"/>
        </w:rPr>
        <w:t> s.l. specimens were </w:t>
      </w:r>
      <w:r w:rsidRPr="007C7CE8">
        <w:rPr>
          <w:rFonts w:ascii="Calibri" w:eastAsia="Times New Roman" w:hAnsi="Calibri" w:cs="Calibri"/>
          <w:i/>
          <w:iCs/>
          <w:color w:val="000000"/>
          <w:kern w:val="0"/>
          <w:sz w:val="22"/>
          <w:szCs w:val="22"/>
          <w14:ligatures w14:val="none"/>
        </w:rPr>
        <w:t>An. arabiensis</w:t>
      </w:r>
      <w:r w:rsidRPr="007C7CE8">
        <w:rPr>
          <w:rFonts w:ascii="Calibri" w:eastAsia="Times New Roman" w:hAnsi="Calibri" w:cs="Calibri"/>
          <w:color w:val="000000"/>
          <w:kern w:val="0"/>
          <w:sz w:val="22"/>
          <w:szCs w:val="22"/>
          <w14:ligatures w14:val="none"/>
        </w:rPr>
        <w:t>, with 10.1% undetermined. Among </w:t>
      </w:r>
      <w:r w:rsidRPr="007C7CE8">
        <w:rPr>
          <w:rFonts w:ascii="Calibri" w:eastAsia="Times New Roman" w:hAnsi="Calibri" w:cs="Calibri"/>
          <w:i/>
          <w:iCs/>
          <w:color w:val="000000"/>
          <w:kern w:val="0"/>
          <w:sz w:val="22"/>
          <w:szCs w:val="22"/>
          <w14:ligatures w14:val="none"/>
        </w:rPr>
        <w:t>An. arabiensis</w:t>
      </w:r>
      <w:r w:rsidRPr="007C7CE8">
        <w:rPr>
          <w:rFonts w:ascii="Calibri" w:eastAsia="Times New Roman" w:hAnsi="Calibri" w:cs="Calibri"/>
          <w:color w:val="000000"/>
          <w:kern w:val="0"/>
          <w:sz w:val="22"/>
          <w:szCs w:val="22"/>
          <w14:ligatures w14:val="none"/>
        </w:rPr>
        <w:t>, 77.4% were homozygous wild type (A296A), and 22.6% were heterozygous mutants (A296S). In </w:t>
      </w:r>
      <w:r w:rsidRPr="007C7CE8">
        <w:rPr>
          <w:rFonts w:ascii="Calibri" w:eastAsia="Times New Roman" w:hAnsi="Calibri" w:cs="Calibri"/>
          <w:i/>
          <w:iCs/>
          <w:color w:val="000000"/>
          <w:kern w:val="0"/>
          <w:sz w:val="22"/>
          <w:szCs w:val="22"/>
          <w14:ligatures w14:val="none"/>
        </w:rPr>
        <w:t>An. stephensi</w:t>
      </w:r>
      <w:r w:rsidRPr="007C7CE8">
        <w:rPr>
          <w:rFonts w:ascii="Calibri" w:eastAsia="Times New Roman" w:hAnsi="Calibri" w:cs="Calibri"/>
          <w:color w:val="000000"/>
          <w:kern w:val="0"/>
          <w:sz w:val="22"/>
          <w:szCs w:val="22"/>
          <w14:ligatures w14:val="none"/>
        </w:rPr>
        <w:t>, 42.3% were homozygous wild type (A296A), 36.5% heterozygous (A296S), and 21.2% homozygous resistant mutants (S296S), indicating possible fixation of resistance alleles in some urban populations. The presence of </w:t>
      </w:r>
      <w:r w:rsidRPr="007C7CE8">
        <w:rPr>
          <w:rFonts w:ascii="Calibri" w:eastAsia="Times New Roman" w:hAnsi="Calibri" w:cs="Calibri"/>
          <w:i/>
          <w:iCs/>
          <w:color w:val="000000"/>
          <w:kern w:val="0"/>
          <w:sz w:val="22"/>
          <w:szCs w:val="22"/>
          <w14:ligatures w14:val="none"/>
        </w:rPr>
        <w:t>Anopheles stephensi</w:t>
      </w:r>
      <w:r w:rsidRPr="007C7CE8">
        <w:rPr>
          <w:rFonts w:ascii="Calibri" w:eastAsia="Times New Roman" w:hAnsi="Calibri" w:cs="Calibri"/>
          <w:color w:val="000000"/>
          <w:kern w:val="0"/>
          <w:sz w:val="22"/>
          <w:szCs w:val="22"/>
          <w14:ligatures w14:val="none"/>
        </w:rPr>
        <w:t> in an urban tyre habitat previously dominated by </w:t>
      </w:r>
      <w:r w:rsidRPr="007C7CE8">
        <w:rPr>
          <w:rFonts w:ascii="Calibri" w:eastAsia="Times New Roman" w:hAnsi="Calibri" w:cs="Calibri"/>
          <w:i/>
          <w:iCs/>
          <w:color w:val="000000"/>
          <w:kern w:val="0"/>
          <w:sz w:val="22"/>
          <w:szCs w:val="22"/>
          <w14:ligatures w14:val="none"/>
        </w:rPr>
        <w:t>Aedes aegypti</w:t>
      </w:r>
      <w:r w:rsidRPr="007C7CE8">
        <w:rPr>
          <w:rFonts w:ascii="Calibri" w:eastAsia="Times New Roman" w:hAnsi="Calibri" w:cs="Calibri"/>
          <w:color w:val="000000"/>
          <w:kern w:val="0"/>
          <w:sz w:val="22"/>
          <w:szCs w:val="22"/>
          <w14:ligatures w14:val="none"/>
        </w:rPr>
        <w:t> during routine surveillance highlights its invasive and adaptable nature. The high frequency of A296S mutations, especially in urban populations, signals possible intense selection pressure.</w:t>
      </w:r>
    </w:p>
    <w:p w14:paraId="617F4CB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25-A-3407-ASTMH</w:t>
      </w:r>
    </w:p>
    <w:p w14:paraId="6BAFA8B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4CE8F602" w14:textId="18182F6B"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Prioritization of Malaria Insecticide-Treated Net Distribution to Maximize Health Impact and Equity Across Heterogeneous Contexts</w:t>
      </w:r>
    </w:p>
    <w:p w14:paraId="2032901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Insecticide-treated nets (ITNs), typically distributed via three-yearly mass campaigns and routine channels to high-risk groups, have been the most effective malaria control tool for over two decades. This success is threatened by rising mosquito resistance to pyrethroid insecticides, necessitating new and more expensive net products. Amid tightening global funding, national malaria programmes (NMPs) must make the best use of increasingly scarce resources and tailor strategies across areas of heterogeneous transmission and insecticide resistance. WHO guiding principles on prioritizing malaria interventions in resource-constrained settings do not explicitly integrate economic evaluation methods to maximize health impact. We conducted a prioritization analysis of three ITN types (pyrethroid-only, pyrethroid-PBO, and pyrethroid-pyrrole) distributed via four modes (routine, annual community distribution, and two- and three-yearly mass campaigns) in individual districts in Burkina Faso, Ghana, Malawi, Mali, Mozambique, and Senegal. Effectiveness, in disability-adjusted life years averted, was estimated using outputs from transmission dynamics models calibrated to subnational contexts. The </w:t>
      </w:r>
      <w:r w:rsidRPr="007C7CE8">
        <w:rPr>
          <w:rFonts w:ascii="Calibri" w:eastAsia="Times New Roman" w:hAnsi="Calibri" w:cs="Calibri"/>
          <w:color w:val="000000"/>
          <w:kern w:val="0"/>
          <w:sz w:val="22"/>
          <w:szCs w:val="22"/>
          <w14:ligatures w14:val="none"/>
        </w:rPr>
        <w:lastRenderedPageBreak/>
        <w:t>financial and economic costs of each strategy, and cost savings from averted cases, were estimated from both donor and public provider perspectives. We evaluated each strategy’s cost-effectiveness against all others in each district; strategies were then ranked nationally from most to least cost-effective and progressively selected until the NMP budget was reached. We present expansion pathways that identify each country’s most efficient ITN strategy mix across districts for different budget levels, applying operational constraints. Cost-effectiveness frontiers are compared across areas of varying transmission and resistance. Concentration curves show the equity impact of allocation decisions and the trade-off between efficiency and equity. Our analysis, generalizable to other countries, provides timely evidence to help NMPs maximize health impact and equity in a constrained and uncertain funding context.</w:t>
      </w:r>
    </w:p>
    <w:p w14:paraId="4ECF2C6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25-A-3408-ASTMH</w:t>
      </w:r>
    </w:p>
    <w:p w14:paraId="7CE862E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Epidemiology</w:t>
      </w:r>
    </w:p>
    <w:p w14:paraId="7A2659A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Measuring the impact of unprecedented flooding on malaria transmission using antenatal clinic-based surveillance data — Lake Victoria, Tanzania, 2019-2021</w:t>
      </w:r>
    </w:p>
    <w:p w14:paraId="2C4A6F0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As extreme weather events become more frequent due to rising global temperatures, understanding such events' impact on malaria transmission will be crucial. From late 2019 to mid-2020, large amounts of rainfall in eastern Africa caused record-breaking water levels in Lake Victoria. Cross-sectional malaria indicator surveys, which occur every 3 to 5 years, however, cannot capture malaria trends at the temporal or geographic scale of most meteorological events. The Tanzanian Ministry of Health has been conducting malaria surveillance at antenatal clinics (ANC) nationwide since 2014, providing a monthly estimate of malaria prevalence among pregnant women that is less influenced by treatment seeking behaviour, identifies asymptomatic infection, and is geographically granular. Using this data source, we will measure trends in malaria transmission in Tanzanian councils near Lake Victoria from 2019 to 2021, comparing the impact between areas varyingly affected by flooding, as identified by Pietroiusti, et al. Of the 44 councils near Lake Victoria, 21 were identified as affected by the flooding in 2020. Among flooded councils, prevalence at first ANC rose 116% from 6.1% in October 2019 to 13.2% in July 2020. Comparatively, prevalence in non-flood councils only rose 50% over a longer period from October 2019 to December 2020, reaching a maximum of 14.5%. In both areas, malaria prevalence remained high until Lake Victoria water levels began to decline in mid-2021. To translate ANC prevalence into unobserved population-level estimates, we will employ a novel inferential framework that nests an efficient particle Markov Chain Monte Carlo algorithm within an established malaria transmission model. This framework facilitates the reconstruction of community-level prevalence and incidence as well as entomological indicators, such as entomological inoculation rate and effective mosquito population size. These estimates, combined with vector surveillance and meteorological models, have the potential to help malaria control programmes build resilient policies that can flexibly respond to severe flooding.</w:t>
      </w:r>
    </w:p>
    <w:p w14:paraId="3E932AA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25-A-3409-ASTMH</w:t>
      </w:r>
    </w:p>
    <w:p w14:paraId="2ED815D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One Health: The Interface of Humans, Ecosystems, and Animal Health</w:t>
      </w:r>
    </w:p>
    <w:p w14:paraId="32CADCC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Emerging an reemerging zoonotic viruses with spillover potential in Brazil a scoping review</w:t>
      </w:r>
    </w:p>
    <w:p w14:paraId="2B83B76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One Health concept posits that human health is interconnected with environmental preservation and the health of animals and their habitats. This concept is of particular importance for zoonoses. Brazil, with its vast territory and rich biodiversity, faces challenges at the interface of environment, wildlife, and humans. Climate change, deforestation, and the deep social inequality in the country have led to increased human contact with wild flora and fauna, often in an unbalanced manner. In order to better know the existent threaths regarding zoonotic viruses in Brazil, we conducted a scoping review of existing virus with zoonotic spillover potential described in the literature. We created a string that allows for a broad search about new or existant virus and restricted to the following viral families:</w:t>
      </w:r>
      <w:r w:rsidRPr="007C7CE8">
        <w:rPr>
          <w:rFonts w:ascii="Calibri" w:eastAsia="Times New Roman" w:hAnsi="Calibri" w:cs="Calibri"/>
          <w:i/>
          <w:iCs/>
          <w:color w:val="000000"/>
          <w:kern w:val="0"/>
          <w:sz w:val="22"/>
          <w:szCs w:val="22"/>
          <w14:ligatures w14:val="none"/>
        </w:rPr>
        <w:t> Hantaviridae, Phenuiviridae, Nairoviridae, Bornaviridae, Astroviridae, Arenaviridae, Flaviviridae, Coronaviridae, Filoviridae, Paramyxoviridae, Orthomyxoviridae, Poxviridae, Reoviridae, Papillomaviridae, Rhabdoviridae, and Caliciviridae</w:t>
      </w:r>
      <w:r w:rsidRPr="007C7CE8">
        <w:rPr>
          <w:rFonts w:ascii="Calibri" w:eastAsia="Times New Roman" w:hAnsi="Calibri" w:cs="Calibri"/>
          <w:color w:val="000000"/>
          <w:kern w:val="0"/>
          <w:sz w:val="22"/>
          <w:szCs w:val="22"/>
          <w14:ligatures w14:val="none"/>
        </w:rPr>
        <w:t xml:space="preserve">.The search was conducted in PUBMED, LILACS and SCIELO platforms </w:t>
      </w:r>
      <w:r w:rsidRPr="007C7CE8">
        <w:rPr>
          <w:rFonts w:ascii="Calibri" w:eastAsia="Times New Roman" w:hAnsi="Calibri" w:cs="Calibri"/>
          <w:color w:val="000000"/>
          <w:kern w:val="0"/>
          <w:sz w:val="22"/>
          <w:szCs w:val="22"/>
          <w14:ligatures w14:val="none"/>
        </w:rPr>
        <w:lastRenderedPageBreak/>
        <w:t>using English, Spanish, Portuguese, Italian and French languages. Inclusion criteria encompass primary and secundary research studies, virus belonging to the viral families above cited and described in Brazil. Exclusion criteria were viruses not belonging to this families, plant viruses and viruses that not were detected in Brazil. It was found 937 studies. When applying the inclusion and exclusion criteria 285 studies remained . Several viruses were described, including the well known: </w:t>
      </w:r>
      <w:r w:rsidRPr="007C7CE8">
        <w:rPr>
          <w:rFonts w:ascii="Calibri" w:eastAsia="Times New Roman" w:hAnsi="Calibri" w:cs="Calibri"/>
          <w:i/>
          <w:iCs/>
          <w:color w:val="000000"/>
          <w:kern w:val="0"/>
          <w:sz w:val="22"/>
          <w:szCs w:val="22"/>
          <w14:ligatures w14:val="none"/>
        </w:rPr>
        <w:t>Flaviviridae</w:t>
      </w:r>
      <w:r w:rsidRPr="007C7CE8">
        <w:rPr>
          <w:rFonts w:ascii="Calibri" w:eastAsia="Times New Roman" w:hAnsi="Calibri" w:cs="Calibri"/>
          <w:color w:val="000000"/>
          <w:kern w:val="0"/>
          <w:sz w:val="22"/>
          <w:szCs w:val="22"/>
          <w14:ligatures w14:val="none"/>
        </w:rPr>
        <w:t> Dengue, Zika and C hepatitis virus and </w:t>
      </w:r>
      <w:r w:rsidRPr="007C7CE8">
        <w:rPr>
          <w:rFonts w:ascii="Calibri" w:eastAsia="Times New Roman" w:hAnsi="Calibri" w:cs="Calibri"/>
          <w:i/>
          <w:iCs/>
          <w:color w:val="000000"/>
          <w:kern w:val="0"/>
          <w:sz w:val="22"/>
          <w:szCs w:val="22"/>
          <w14:ligatures w14:val="none"/>
        </w:rPr>
        <w:t>Togaviridae </w:t>
      </w:r>
      <w:r w:rsidRPr="007C7CE8">
        <w:rPr>
          <w:rFonts w:ascii="Calibri" w:eastAsia="Times New Roman" w:hAnsi="Calibri" w:cs="Calibri"/>
          <w:color w:val="000000"/>
          <w:kern w:val="0"/>
          <w:sz w:val="22"/>
          <w:szCs w:val="22"/>
          <w14:ligatures w14:val="none"/>
        </w:rPr>
        <w:t>Chikungunya virus. Other results are the relevant and concerning </w:t>
      </w:r>
      <w:r w:rsidRPr="007C7CE8">
        <w:rPr>
          <w:rFonts w:ascii="Calibri" w:eastAsia="Times New Roman" w:hAnsi="Calibri" w:cs="Calibri"/>
          <w:i/>
          <w:iCs/>
          <w:color w:val="000000"/>
          <w:kern w:val="0"/>
          <w:sz w:val="22"/>
          <w:szCs w:val="22"/>
          <w14:ligatures w14:val="none"/>
        </w:rPr>
        <w:t>Hantaviridae</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Arenaviridae </w:t>
      </w:r>
      <w:r w:rsidRPr="007C7CE8">
        <w:rPr>
          <w:rFonts w:ascii="Calibri" w:eastAsia="Times New Roman" w:hAnsi="Calibri" w:cs="Calibri"/>
          <w:color w:val="000000"/>
          <w:kern w:val="0"/>
          <w:sz w:val="22"/>
          <w:szCs w:val="22"/>
          <w14:ligatures w14:val="none"/>
        </w:rPr>
        <w:t>members like Juquitiba, Araraquara , Castelo dos Sonhos virus and Sabiá ,Amapari, Xapuri virus respectvely. The amount of viruses with emerging and reemerging potential Brazil already described in the literature is over 40 members but not so large to a country like Brazil. So further viral surveillance is necessary to prospect viruses with zoonotic importance.</w:t>
      </w:r>
    </w:p>
    <w:p w14:paraId="772085D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25-A-3410-ASTMH</w:t>
      </w:r>
    </w:p>
    <w:p w14:paraId="35BC9B7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Vaccines and Immunotherapeutics</w:t>
      </w:r>
    </w:p>
    <w:p w14:paraId="1FA5345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Evaluating the efficacy of malaria vaccines using the test-negative case-control design with an example from a trial of seasonal malaria vaccination with RTS,S/AS01Ein Burkina Faso and Mali</w:t>
      </w:r>
    </w:p>
    <w:p w14:paraId="1FD4EC9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high protective efficacy of malaria vaccines reported in phase three trials may not be directly translated to vaccine effectiveness(VE) when the vaccines are introduced into a routine immunisation programmes. To evaluate VE, simpler and cheaper methods which rely on routinely collected data such as test negative designs(TNDs) may be useful. TNDs have been used extensively to estimate VE against seasonal influenza, COVID-19 and other vaccines.</w:t>
      </w:r>
      <w:r w:rsidRPr="007C7CE8">
        <w:rPr>
          <w:rFonts w:ascii="Calibri" w:eastAsia="Times New Roman" w:hAnsi="Calibri" w:cs="Calibri"/>
          <w:color w:val="000000"/>
          <w:kern w:val="0"/>
          <w:sz w:val="22"/>
          <w:szCs w:val="22"/>
          <w14:ligatures w14:val="none"/>
        </w:rPr>
        <w:br/>
        <w:t>Data from a phase three trial of seasonal vaccination with the RTS,S/AS01E vaccine with or without seasonal malaria chemoprevention conducted in Burkina Faso and Mali were used for this secondary analysis. Cohort and case-control approaches using TND were used to estimate VE in children in this trial. The primary outcome for the cohort design was uncomplicated clinical malaria, defined as fever and Plasmodium falciparum parasitaemia at a parasite density ≥5000 per µl in children who presented to a health facility. In the TND analysis , cases were children who fulfilled the primary outcome definition in the cohort design while controls were children with fever but with a negative blood slide for malaria. To estimate vaccine effects, Cox and logistics regression models with robust standard errors were used for the cohort and TND respectively. Vaccine efficacy was calculated as (1-Hazard Ratio or Odds ratio)*100.</w:t>
      </w:r>
      <w:r w:rsidRPr="007C7CE8">
        <w:rPr>
          <w:rFonts w:ascii="Calibri" w:eastAsia="Times New Roman" w:hAnsi="Calibri" w:cs="Calibri"/>
          <w:color w:val="000000"/>
          <w:kern w:val="0"/>
          <w:sz w:val="22"/>
          <w:szCs w:val="22"/>
          <w14:ligatures w14:val="none"/>
        </w:rPr>
        <w:br/>
        <w:t>Vaccine efficacy against uncomplicated clinical malaria during the first year after vaccination was 74.5%(95%CIs 65.3-81.3) using the cohort approach and 73.8%(64.2-81.1) using the TND. Vaccine efficacy was higher in Mali compared to Burkina Faso, 67.2%(53.3 - 77) vs 84.7%(71.2-91.9), using the cohort approach. The estimate of vaccine efficacy using TND was similar to that obtained in the cohort approach in each country. The results were also similar when only a sample of the population was used in the TND.</w:t>
      </w:r>
      <w:r w:rsidRPr="007C7CE8">
        <w:rPr>
          <w:rFonts w:ascii="Calibri" w:eastAsia="Times New Roman" w:hAnsi="Calibri" w:cs="Calibri"/>
          <w:color w:val="000000"/>
          <w:kern w:val="0"/>
          <w:sz w:val="22"/>
          <w:szCs w:val="22"/>
          <w14:ligatures w14:val="none"/>
        </w:rPr>
        <w:br/>
        <w:t>TNDs can be attractive designs for evaluation of malaria VE in Africa using routine immunisation programmes and health and disease surveillance systems. TNDs could provide rapid, and continuous measures of VE at low cost. However, TNDs require careful assessment for bias and confounding.</w:t>
      </w:r>
    </w:p>
    <w:p w14:paraId="4684CBD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25-A-3411-ASTMH</w:t>
      </w:r>
    </w:p>
    <w:p w14:paraId="6F8D14C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Clinical Tropical Medicine</w:t>
      </w:r>
    </w:p>
    <w:p w14:paraId="1262108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Early warning scores to diagnose sepsis and predict mortality among febrile adults in northern Tanzania</w:t>
      </w:r>
    </w:p>
    <w:p w14:paraId="57219C0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Sepsis is a leading cause of mortality in low- and middle-income countries (LMICs). The current Sepsis-3 definition is suspected infection plus evidence of organ dysfunction, indicated by a ≥2 point increase in the Sequential Organ Failure Assessment (SOFA). However, SOFA can be impractical in LMIC settings due to reliance on laboratory indices, urine output monitoring, and vasopressor use. Given these feasibility barriers, we evaluated whether bedside early warning scores (EWS) could be alternatives to SOFA for diagnosing sepsis in LMICs. With clinical and laboratory data from a cohort of 618 febrile adult inpatients at two hospitals in northern Tanzania, we assessed Spearman’s rank correlation between SOFA and </w:t>
      </w:r>
      <w:r w:rsidRPr="007C7CE8">
        <w:rPr>
          <w:rFonts w:ascii="Calibri" w:eastAsia="Times New Roman" w:hAnsi="Calibri" w:cs="Calibri"/>
          <w:color w:val="000000"/>
          <w:kern w:val="0"/>
          <w:sz w:val="22"/>
          <w:szCs w:val="22"/>
          <w14:ligatures w14:val="none"/>
        </w:rPr>
        <w:lastRenderedPageBreak/>
        <w:t>three commonly used EWS - Universal Vital Assessment (UVA), National Early Warning Score (NEWS), and quick SOFA (qSOFA). Then, we assessed how well EWS predicted the Sepsis-3 definition (SOFA ≥2) at each score cutoff. Lastly, we evaluated performance of bedside EWS and SOFA in predicting in-hospital and 30-day mortality using area under the receiver operator curve (AUC). Median age was 43.1 years (inter-quartile range [IQR] 30.9, 56.3), 310 (50.2%) participants were female, and median SOFA score was 1 (IQR 0, 2). There were 60 (9.7%) in-hospital deaths and 105 (17.0%) deaths within 30 days. Overall, qSOFA had the strongest correlation with SOFA (rho=0.41, p&lt;0.001), followed by UVA (rho=0.34, p&lt;0.001) and NEWS (rho=0.22, p&lt;0.001). A qSOFA cutoff ≥2 had an 88% sensitivity and 29% specificity for predicting SOFA ≥2, while a UVA cutoff of ≥5 had a 94% specificity and 33% sensitivity. The UVA demonstrated the highest AUC for both in-hospital (0.87, 99.5% CI 0.80-0.93) and 30-day mortality (0.79, 99.5% CI: 0.72-0.86). AUC for 30-day mortality was 0.71 (99.5% CI 0.60-0.82) for SOFA, 0.69 (99.5% CI 0.62-0.76) for qSOFA, and 0.68 (99.5%CI 0.59-0.75) for NEWS. In summary, qSOFA had the best correlation with SOFA and high sensitivity for predicting SOFA ≥2, while UVA offered high specificity and better mortality prediction. Our results suggest certain EWS could serve as a practical, resource-adapted tools for diagnosing sepsis in LMIC settings.</w:t>
      </w:r>
    </w:p>
    <w:p w14:paraId="3F6AC7B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25-A-3412-ASTMH</w:t>
      </w:r>
    </w:p>
    <w:p w14:paraId="7E7C091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Prevention</w:t>
      </w:r>
    </w:p>
    <w:p w14:paraId="7775F39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Contribution of Independent Monitoring to Improving the Quality of Implementation and Coverage of the SMC Campaign in the Koundara Health District, Guinea</w:t>
      </w:r>
    </w:p>
    <w:p w14:paraId="030E330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As part of the 2018 Seasonal Malaria Chemoprevention (SMC) campaign, an independent monitoring mechanism was implemented in the Koundara health district to assess real-time coverage and effectiveness. This initiative aimed to address weaknesses from previous campaigns, including low coverage among target children, limited distributor engagement, and inadequate adherence to guidelines. Its goal was to identify implementation gaps, strengthen accountability, and improve overall campaign performance. A descriptive cross-sectional survey was conducted after each of the four SMC cycles (July to October 2018). Four independent monitors carried out in-process and post-process assessments. A total of 210 households in 21 randomly selected villages across the district’s seven health centers were visited. Mothers or caregivers of children aged 3-59 months were interviewed using a standardized questionnaire covering household visits, treatment administration, reasons for non-treatment, caregiver knowledge, and community involvement. In total, 1,623 children were evaluated. Distribution teams were also assessed, and local authorities consulted. Results showed progressive improvement in key indicators. The proportion of uncovered children fell from 6% to 3%, and households correctly administering follow-up doses rose from 91% to 95%. Local authority involvement increased from 84% to 97%. Reported reasons for non-coverage included child absence (61%), illness (20%), missed households (5%), and transient children (4%). Communication channels cited were social mobilizers (29%), radio (26%), religious leaders (19%), and community health workers (19%). The monitoring system significantly contributed to improved performance, with full-cycle coverage rising from 24% in 2017 to 75% in 2018, according to the post-campaign survey by the London School of Hygiene &amp; Tropical Medicine and Gamal Abdel Nasser University. Independent monitoring proved to be both a deterrent and a mobilizing force, enhancing transparency, discipline, coverage, and community ownership</w:t>
      </w:r>
    </w:p>
    <w:p w14:paraId="52C891A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25-A-3413-ASTMH</w:t>
      </w:r>
    </w:p>
    <w:p w14:paraId="73885BA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Genetics, Genomics and Evolution</w:t>
      </w:r>
    </w:p>
    <w:p w14:paraId="513212E7" w14:textId="72DFCA10"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Probabilistically deciphering hidden reservoirs of Plasmodium vivax in Ethiopia using identity-by-descent and time-to-event data</w:t>
      </w:r>
    </w:p>
    <w:p w14:paraId="090C08F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Dormant liver stage </w:t>
      </w:r>
      <w:r w:rsidRPr="007C7CE8">
        <w:rPr>
          <w:rFonts w:ascii="Calibri" w:eastAsia="Times New Roman" w:hAnsi="Calibri" w:cs="Calibri"/>
          <w:i/>
          <w:iCs/>
          <w:color w:val="000000"/>
          <w:kern w:val="0"/>
          <w:sz w:val="22"/>
          <w:szCs w:val="22"/>
          <w14:ligatures w14:val="none"/>
        </w:rPr>
        <w:t>Plasmodium vivax</w:t>
      </w:r>
      <w:r w:rsidRPr="007C7CE8">
        <w:rPr>
          <w:rFonts w:ascii="Calibri" w:eastAsia="Times New Roman" w:hAnsi="Calibri" w:cs="Calibri"/>
          <w:color w:val="000000"/>
          <w:kern w:val="0"/>
          <w:sz w:val="22"/>
          <w:szCs w:val="22"/>
          <w14:ligatures w14:val="none"/>
        </w:rPr>
        <w:t xml:space="preserve"> parasites can reactive anywhere from weeks to months after the initial infection, resulting in relapse infections, and can maintain transmission despite elimination efforts. Most genetic surveillance tools are unable to distinguish between relapses, reinfections with a </w:t>
      </w:r>
      <w:r w:rsidRPr="007C7CE8">
        <w:rPr>
          <w:rFonts w:ascii="Calibri" w:eastAsia="Times New Roman" w:hAnsi="Calibri" w:cs="Calibri"/>
          <w:color w:val="000000"/>
          <w:kern w:val="0"/>
          <w:sz w:val="22"/>
          <w:szCs w:val="22"/>
          <w14:ligatures w14:val="none"/>
        </w:rPr>
        <w:lastRenderedPageBreak/>
        <w:t>new parasite, or recrudescence due to treatment failure. Recent evidence suggests that combining tools aimed at characterising genetic relatedness through identity-by-descent (IBD) metrics, alongside time-to-event data, could be used to distinguish between relapse events. Microhaplotypes offer a cost-effective, high throughput, alternative to WGS given their ability to capture IBD between infections. We sequenced </w:t>
      </w:r>
      <w:r w:rsidRPr="007C7CE8">
        <w:rPr>
          <w:rFonts w:ascii="Calibri" w:eastAsia="Times New Roman" w:hAnsi="Calibri" w:cs="Calibri"/>
          <w:i/>
          <w:iCs/>
          <w:color w:val="000000"/>
          <w:kern w:val="0"/>
          <w:sz w:val="22"/>
          <w:szCs w:val="22"/>
          <w14:ligatures w14:val="none"/>
        </w:rPr>
        <w:t>P. vivax</w:t>
      </w:r>
      <w:r w:rsidRPr="007C7CE8">
        <w:rPr>
          <w:rFonts w:ascii="Calibri" w:eastAsia="Times New Roman" w:hAnsi="Calibri" w:cs="Calibri"/>
          <w:color w:val="000000"/>
          <w:kern w:val="0"/>
          <w:sz w:val="22"/>
          <w:szCs w:val="22"/>
          <w14:ligatures w14:val="none"/>
        </w:rPr>
        <w:t> infections from 526 individuals enrolled in longitudinal OPRA and IMPROV clinical trials in Ethiopia comparing the effectiveness of long- and short-course radical cure with primaquine (PQ). High rates of recurrent infections were recorded throughout the duration of the trials (~40%). Genotyping was successful for 876 isolates out of 884 (99%) using a 93 marker panel. Analysis of all isolates collected at baseline [Day 0; N = 419] highlighted high relatedness with minimal variation across the study sites, indicative of high transmission. Genotyping data was used to probabilistically estimate relapse recurrent infections (IBD &gt;0.50) from re-infections with a new parasite (IBD &lt;0.50) and was interpreted alongside recurrence rate estimates across treatment arms (i.e. treatment with PQ radical cure versus no radical cure). This identified re-infections (IBD &lt;0.50) inflating the overall rate of recurrent infections in follow-up, potentially altering interpretation of treatment outcome and effectiveness, particularly when comparing 7-day and 14-day PQ radical cure treatment regimens. Microhaplotype genotyping also permitted analysis of recurrent infections at the patient-level. Using a threshold of IBD &gt;95%, it was possible to confirm the ability of a single parasite to persist within individuals across multiple infections, up to 320 days from the initial infection, if no radical cure was given.</w:t>
      </w:r>
    </w:p>
    <w:p w14:paraId="2DC034B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25-A-3414-ASTMH</w:t>
      </w:r>
    </w:p>
    <w:p w14:paraId="41B3DDB3"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Measures for Control and Elimination of Neglected Tropical Diseases (NTDs)</w:t>
      </w:r>
    </w:p>
    <w:p w14:paraId="2C4CE7D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Targeted Social Mobilization Interventions to Boost Drug Compliance for Lymphatic Filariasis Elimination in India: Evidence from the 2025 MDA Campaign</w:t>
      </w:r>
    </w:p>
    <w:p w14:paraId="1D678F8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Lymphatic Filariasis (LF), a non-fatal disease and the second leading cause of physical disability globally, has long posed a major public health challenge in India. The country accounts for an estimated 43% of the global LF burden, placing approximately 620 million residents across 348 endemic districts at risk. In recent years, India has made significant strides toward eliminating LF, aiming to reach the national elimination target by 2027. Global evidence indicates that successful elimination requires high treatment coverage, minimal missed areas, and limited clustering of untreated individuals.Despite progress—most notably an increase in directly observed therapy (DOT) from 16% in 2018 to 46% in 2023—programmatic stagnation was observed, with persistent low drug consumption pockets within many MDA blocks pulling down overall anti-LF drug compliance. Ahead of the 2025 MDA round, these low-coverage areas were systematically identified. Targeted social mobilization activities were then deployed to saturate these areas, followed by focused efforts on drug administration, including re-visits by Drug Administrators (DAs) to reach absentees and address refusals with support from local influencers.The intervention led to a notable improvement in drug adherence, with MDA coverage rising to 67% in six districts of Uttar Pradesh in 2025, up from 47% in 2023. Multivariate logistic regression analysis, controlling for demographic and socioeconomic factors, revealed that the odds of DOT were 51% higher in 2025 compared to 2023 (OR: 1.51; p&lt;0.001; 95% CI: 1.28-1.79). The likelihood of DOT nearly tripled when DAs conducted follow-up visits (OR: 2.79; p&lt;0.001; 95% CI: 2.43-3.19).These findings reaffirm the critical role of targeted social mobilization—especially in low-compliance areas—reinforced through DA engagement and community influencers. As India advances toward the 2027 LF elimination goal, integrating social mobilization into microplanning, supported by robust community networks and real-time feedback, will be essential. The outcomes from 2025 offer a scalable model for high-burden districts.</w:t>
      </w:r>
    </w:p>
    <w:p w14:paraId="28F924A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25-A-3415-ASTMH</w:t>
      </w:r>
    </w:p>
    <w:p w14:paraId="78FEE30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Security/Emerging Infection Preparedness, Surveillance and Response(s)</w:t>
      </w:r>
    </w:p>
    <w:p w14:paraId="655808F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Establishing Target Product Profiles for Accelerated Detection and Containment of Nipah Virus Infections in Endemic Regions</w:t>
      </w:r>
    </w:p>
    <w:p w14:paraId="7D5BBC0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lastRenderedPageBreak/>
        <w:t>Nipah virus (NiV), a highly pathogenic zoonotic virus with a fatality rate often exceeding 70%, poses a significant global health threat due to its potential for human-to-human transmission, absence of specific treatments, and lack of a licensed vaccine. Recognizing the urgent need for enhanced diagnostics, FIND, in collaboration with the World Health Organization (WHO) and the Coalition for Epidemic Preparedness Innovations (CEPI), developed two Target Product Profiles (TPPs) to guide the design of effective diagnostic tools for NiV detection. These TPPs are designed to address critical diagnostic deficiencies by guiding the development of rapid, accurate, and accessible tests for detecting and confirming NiV infections promptly, particularly in outbreak-prone, resource-constrained settings where timely case identification and effective containment are critical. The first TPP targets a point-of-care test for presumptive diagnosis, emphasizing affordability, rapid turnaround, minimal training, and compatibility with peripheral healthcare settings. The test is expected to be environmentally resilient, support digital integration, and ideally distinguish NiV from other endemic febrile illnesses. The second TPP outlines the requirements for a confirmatory test suited for district to national laboratories, with high sensitivity and specificity, viral load quantification, multi-disease compatibility, and data interoperability. These TPPs were developed through a structured, consensus-driven process involving global experts, who contributed via a Delphi-style survey and virtual workshops. They establish standardized performance, operational, and regulatory benchmarks, aiming to accelerate the development of robust diagnostic solutions. These efforts aim to improve early detection, reduce mortality, and bolster global preparedness and response to NiV outbreaks, particularly in vulnerable regions.</w:t>
      </w:r>
    </w:p>
    <w:p w14:paraId="43490E0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25-A-3416-ASTMH</w:t>
      </w:r>
    </w:p>
    <w:p w14:paraId="64AC8A2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Drug Development and Clinical Trials</w:t>
      </w:r>
    </w:p>
    <w:p w14:paraId="4A3C989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KALUMA - A pivotal Phase III trial to evaluate the efficacy, safety and tolerability of the novel anti-malarial drug ganaplacide-lumefantrine (KLU156) in uncomplicated malaria</w:t>
      </w:r>
    </w:p>
    <w:p w14:paraId="11B6A8F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KALUMA is a randomized, open label Phase III clinical trial (NCT05842954) comprising a core phase and an extension phase. In the core phase, over 1500 patients with uncomplicated malaria (&gt;5 kg body weight) were included from 15 countries in Sub-saharan Africa. Patients were randomized 1:1 to treatment with the fixed-dose combination of ganaplacide-lumefantrine solid dispersion formulation (KLU156), or the artemether-lumefantrine control arm. The core phase of the study aimed to confirm the efficacy, safety and tolerability of KLU156, when administered once daily for three days with a light meal in adults and children ≥ 5 kg body weight and ≥ 2 months of age suffering from uncomplicated P. falciparum malaria (with or without other Plasmodium spp. co-infection). The objective was to show non-inferiority between KLU156 and artemether-lumefantrine standard of care for the primary endpoint (PCR-corrected day 29 ACPR), and key secondary endpoint (PCR-uncorrected day 29 ACPR). In the extension phase, the safety, tolerability and efficacy of repeated treatment with KLU156 will be assessed for a maximum of two years in patients with repeat malaria infection who participated in the core phase. A summary of results of the core phase of KALUMA will be presented at the ASTMH 2025 Annual Meeting. The study is part of the EDCTP WANECAM-II program supported by the European Union (RIA2017T-2018) and financially supported by MMV and Novartis.</w:t>
      </w:r>
    </w:p>
    <w:p w14:paraId="277C792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25-A-3417-ASTMH</w:t>
      </w:r>
    </w:p>
    <w:p w14:paraId="6D407ED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Maternal, Newborn and Child Health and Nutrition</w:t>
      </w:r>
    </w:p>
    <w:p w14:paraId="5E4F0EB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Recurrence of Bad Obstetric Outcomes: Preliminary findings from A Prospective, Longitudinal Study of Maternal and Newborn Health (MNH) of the Pregnancy Risk Infant Surveillance and Measurement Alliance</w:t>
      </w:r>
      <w:r w:rsidRPr="007C7CE8">
        <w:rPr>
          <w:rFonts w:ascii="Calibri" w:eastAsia="Times New Roman" w:hAnsi="Calibri" w:cs="Calibri"/>
          <w:b/>
          <w:bCs/>
          <w:i/>
          <w:iCs/>
          <w:color w:val="000000"/>
          <w:kern w:val="0"/>
          <w:sz w:val="22"/>
          <w:szCs w:val="22"/>
          <w14:ligatures w14:val="none"/>
        </w:rPr>
        <w:t> </w:t>
      </w:r>
      <w:r w:rsidRPr="007C7CE8">
        <w:rPr>
          <w:rFonts w:ascii="Calibri" w:eastAsia="Times New Roman" w:hAnsi="Calibri" w:cs="Calibri"/>
          <w:b/>
          <w:bCs/>
          <w:color w:val="000000"/>
          <w:kern w:val="0"/>
          <w:sz w:val="22"/>
          <w:szCs w:val="22"/>
          <w14:ligatures w14:val="none"/>
        </w:rPr>
        <w:t>(PRISMA) Study, Western Kenya</w:t>
      </w:r>
    </w:p>
    <w:p w14:paraId="19F4723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Adverse obstetric history is a known risk factor for poor pregnancy outcomes, but the strength of association for recurrent complications remains an important clinical consideration. PRISMA MNH study is a multi-country, prospective, open cohort study that identifies, screens and enrolls pregnant women through community and facility-based surveillance before 20 weeks of gestation, followed with up to </w:t>
      </w:r>
      <w:r w:rsidRPr="007C7CE8">
        <w:rPr>
          <w:rFonts w:ascii="Calibri" w:eastAsia="Times New Roman" w:hAnsi="Calibri" w:cs="Calibri"/>
          <w:color w:val="000000"/>
          <w:kern w:val="0"/>
          <w:sz w:val="22"/>
          <w:szCs w:val="22"/>
          <w14:ligatures w14:val="none"/>
        </w:rPr>
        <w:lastRenderedPageBreak/>
        <w:t>four antenatal then six postpartum clinic visits within one year. We analyzed data from 1,770 pregnant women (Kenya site) with documented pregnancy outcome. Generalized linear mixed effects models of log-binomial was used, adjusting for HIV, gravida, number of antenatal care visits and point of care hemoglobin measurements. The study analyzed 1,770 pregnancies, reporting the prevalence of adverse obstetric outcomes as follows: macrosomia (4.5%, n = 74), low birth weight (11.3%, n = 191), preterm birth (10.8%, n = 190), and unplanned cesarean delivery (13.8%, n = 241). A history of macrosomia was associated with a 79% increased risk of recurrence (RR 1.79; 95% CI, 1.31-2.45). Prior preterm delivery conferred a 68% higher risk of low birth weight (RR 1.68; 95% CI, 1.29-2.19) and more than doubled the risk of recurrent preterm birth (RR 2.25; 95% CI, 1.36-3.72). An unplanned cesarean delivery nearly tripled the risk of a repeat cesarean (RR 2.94; 95% CI, 2.59-3.34), and a previous pregnancy loss was linked to a twofold increase in the risk of another loss (RR 1.94; 95% CI, 1.42-2.62)</w:t>
      </w:r>
      <w:r w:rsidRPr="007C7CE8">
        <w:rPr>
          <w:rFonts w:ascii="Calibri" w:eastAsia="Times New Roman" w:hAnsi="Calibri" w:cs="Calibri"/>
          <w:i/>
          <w:iCs/>
          <w:color w:val="000000"/>
          <w:kern w:val="0"/>
          <w:sz w:val="22"/>
          <w:szCs w:val="22"/>
          <w14:ligatures w14:val="none"/>
        </w:rPr>
        <w:t>. Previous low birth weight showed a 29% increased risk of recurrence (RR = 1.29, 95% CI: 0.98-1.69), though this association was not statistically significant (p = 0.072).</w:t>
      </w:r>
      <w:r w:rsidRPr="007C7CE8">
        <w:rPr>
          <w:rFonts w:ascii="Calibri" w:eastAsia="Times New Roman" w:hAnsi="Calibri" w:cs="Calibri"/>
          <w:color w:val="000000"/>
          <w:kern w:val="0"/>
          <w:sz w:val="22"/>
          <w:szCs w:val="22"/>
          <w14:ligatures w14:val="none"/>
        </w:rPr>
        <w:t> A history of adverse obstetric outcomes including macrosomia, preterm delivery, and unplanned cesarean significantly increases the risk of recurrence in subsequent pregnancies. These findings highlight the importance of comprehensive obstetric history assessment for risk stratification and targeted preventive interventions in antenatal care.</w:t>
      </w:r>
    </w:p>
    <w:p w14:paraId="51CDE1B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25-A-3418-ASTMH</w:t>
      </w:r>
    </w:p>
    <w:p w14:paraId="62585B54"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 Elimination</w:t>
      </w:r>
    </w:p>
    <w:p w14:paraId="72B4946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Malaria in Africa - Four possible endgames</w:t>
      </w:r>
    </w:p>
    <w:p w14:paraId="14AE536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Malariologists in Africa are busy trying to sustain and enhance effective malaria control over the next few years, but we should also consider the long run. Our current situation is that the burden of malaria in Africa is greatly reduced, but still far too high. This situation is unstable, and in order to sustain it, we are spending more than $3.5bn per year on various transmission-suppressing interventions that need to be frequently replaced.</w:t>
      </w:r>
      <w:r w:rsidRPr="007C7CE8">
        <w:rPr>
          <w:rFonts w:ascii="Calibri" w:eastAsia="Times New Roman" w:hAnsi="Calibri" w:cs="Calibri"/>
          <w:color w:val="000000"/>
          <w:kern w:val="0"/>
          <w:sz w:val="22"/>
          <w:szCs w:val="22"/>
          <w14:ligatures w14:val="none"/>
        </w:rPr>
        <w:br/>
        <w:t>Of course, one possible future pathway is that we continue to intensify, adding layer upon layer of additional short-term suppressive interventions, including two-yearly re-vaccination of the entire population. This could be effective at reducing malaria deaths to a low level, but it would require high levels of sustained funding. It would also bring instability: each additional layer of intervention would drive the system further and further from equilibrium. So what will make the absence of malaria stable in Africa?</w:t>
      </w:r>
      <w:r w:rsidRPr="007C7CE8">
        <w:rPr>
          <w:rFonts w:ascii="Calibri" w:eastAsia="Times New Roman" w:hAnsi="Calibri" w:cs="Calibri"/>
          <w:color w:val="000000"/>
          <w:kern w:val="0"/>
          <w:sz w:val="22"/>
          <w:szCs w:val="22"/>
          <w14:ligatures w14:val="none"/>
        </w:rPr>
        <w:br/>
        <w:t>With this condition, the possible endgames are few and somewhat foreseeable. (A) We develop a dream malaria vaccine as good as the measles vaccine, giving lifelong 100% protection against infection. (B) the four major vector species are completely removed through some form of genetic control, and (C) malaria is deliberately and gradually “built out” of the region through environmental and economic development.</w:t>
      </w:r>
      <w:r w:rsidRPr="007C7CE8">
        <w:rPr>
          <w:rFonts w:ascii="Calibri" w:eastAsia="Times New Roman" w:hAnsi="Calibri" w:cs="Calibri"/>
          <w:color w:val="000000"/>
          <w:kern w:val="0"/>
          <w:sz w:val="22"/>
          <w:szCs w:val="22"/>
          <w14:ligatures w14:val="none"/>
        </w:rPr>
        <w:br/>
        <w:t>(A) would be ideal, but is very unlikely and may be impossible. (B) is probably feasible but success could not be guaranteed. (C) is poorly understood, but we know it would be complex and slow, and would need careful planning across several sectors. On the other hand, (C) has been a conspicuous feature of all the famous success stories of malaria elimination that we have seen so far, from North America and Southern Europe to Sri Lanka and China. Maybe we need to understand it better.</w:t>
      </w:r>
    </w:p>
    <w:p w14:paraId="7EC1F5AC"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25-A-3419-ASTMH</w:t>
      </w:r>
    </w:p>
    <w:p w14:paraId="71FAB93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Schistosomiasis and Other Trematodes – Epidemiology and Control</w:t>
      </w:r>
    </w:p>
    <w:p w14:paraId="3AA0B5B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IDENTIFICATION OF MICROBIAL CONTAMINANTS IN FOOD AND WATER SOURCES IN PUBLIC VENUES IN THE TWIFO-ATTI MORKWA DISTRICT</w:t>
      </w:r>
    </w:p>
    <w:p w14:paraId="426830F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Ensuring the safety of drinking water and food is critical to public health, especially in regions where contamination is common. This study aimed to assess the bacterial quality of sachet water and food sold in the Twifo-Atti Morkwa District. A quantitative research approach was employed, using standard culture techniques for bacterial isolation. Selective media were used to isolate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and </w:t>
      </w:r>
      <w:r w:rsidRPr="007C7CE8">
        <w:rPr>
          <w:rFonts w:ascii="Calibri" w:eastAsia="Times New Roman" w:hAnsi="Calibri" w:cs="Calibri"/>
          <w:i/>
          <w:iCs/>
          <w:color w:val="000000"/>
          <w:kern w:val="0"/>
          <w:sz w:val="22"/>
          <w:szCs w:val="22"/>
          <w14:ligatures w14:val="none"/>
        </w:rPr>
        <w:t>Salmonella</w:t>
      </w:r>
      <w:r w:rsidRPr="007C7CE8">
        <w:rPr>
          <w:rFonts w:ascii="Calibri" w:eastAsia="Times New Roman" w:hAnsi="Calibri" w:cs="Calibri"/>
          <w:color w:val="000000"/>
          <w:kern w:val="0"/>
          <w:sz w:val="22"/>
          <w:szCs w:val="22"/>
          <w14:ligatures w14:val="none"/>
        </w:rPr>
        <w:t xml:space="preserve">, </w:t>
      </w:r>
      <w:r w:rsidRPr="007C7CE8">
        <w:rPr>
          <w:rFonts w:ascii="Calibri" w:eastAsia="Times New Roman" w:hAnsi="Calibri" w:cs="Calibri"/>
          <w:color w:val="000000"/>
          <w:kern w:val="0"/>
          <w:sz w:val="22"/>
          <w:szCs w:val="22"/>
          <w14:ligatures w14:val="none"/>
        </w:rPr>
        <w:lastRenderedPageBreak/>
        <w:t>while </w:t>
      </w:r>
      <w:r w:rsidRPr="007C7CE8">
        <w:rPr>
          <w:rFonts w:ascii="Calibri" w:eastAsia="Times New Roman" w:hAnsi="Calibri" w:cs="Calibri"/>
          <w:i/>
          <w:iCs/>
          <w:color w:val="000000"/>
          <w:kern w:val="0"/>
          <w:sz w:val="22"/>
          <w:szCs w:val="22"/>
          <w14:ligatures w14:val="none"/>
        </w:rPr>
        <w:t>Escherichia coli</w:t>
      </w:r>
      <w:r w:rsidRPr="007C7CE8">
        <w:rPr>
          <w:rFonts w:ascii="Calibri" w:eastAsia="Times New Roman" w:hAnsi="Calibri" w:cs="Calibri"/>
          <w:color w:val="000000"/>
          <w:kern w:val="0"/>
          <w:sz w:val="22"/>
          <w:szCs w:val="22"/>
          <w14:ligatures w14:val="none"/>
        </w:rPr>
        <w:t> (</w:t>
      </w:r>
      <w:r w:rsidRPr="007C7CE8">
        <w:rPr>
          <w:rFonts w:ascii="Calibri" w:eastAsia="Times New Roman" w:hAnsi="Calibri" w:cs="Calibri"/>
          <w:i/>
          <w:iCs/>
          <w:color w:val="000000"/>
          <w:kern w:val="0"/>
          <w:sz w:val="22"/>
          <w:szCs w:val="22"/>
          <w14:ligatures w14:val="none"/>
        </w:rPr>
        <w:t>E. coli</w:t>
      </w:r>
      <w:r w:rsidRPr="007C7CE8">
        <w:rPr>
          <w:rFonts w:ascii="Calibri" w:eastAsia="Times New Roman" w:hAnsi="Calibri" w:cs="Calibri"/>
          <w:color w:val="000000"/>
          <w:kern w:val="0"/>
          <w:sz w:val="22"/>
          <w:szCs w:val="22"/>
          <w14:ligatures w14:val="none"/>
        </w:rPr>
        <w:t>) was identified using selective agar. Bacterial loads were quantified and expressed as colony-forming units per 100 milliliters (CFU/100mL ×10⁻³). The analysis revealed varying levels of bacterial contamination across the different water samples. Sachet water contained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at 14.05 CFU/100ml and </w:t>
      </w:r>
      <w:r w:rsidRPr="007C7CE8">
        <w:rPr>
          <w:rFonts w:ascii="Calibri" w:eastAsia="Times New Roman" w:hAnsi="Calibri" w:cs="Calibri"/>
          <w:i/>
          <w:iCs/>
          <w:color w:val="000000"/>
          <w:kern w:val="0"/>
          <w:sz w:val="22"/>
          <w:szCs w:val="22"/>
          <w14:ligatures w14:val="none"/>
        </w:rPr>
        <w:t>Salmonella</w:t>
      </w:r>
      <w:r w:rsidRPr="007C7CE8">
        <w:rPr>
          <w:rFonts w:ascii="Calibri" w:eastAsia="Times New Roman" w:hAnsi="Calibri" w:cs="Calibri"/>
          <w:color w:val="000000"/>
          <w:kern w:val="0"/>
          <w:sz w:val="22"/>
          <w:szCs w:val="22"/>
          <w14:ligatures w14:val="none"/>
        </w:rPr>
        <w:t> at 44.75 CFU/100ml, totalling 58.80 CFU/100mL. Stored water showed slightly higher contamination levels, with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at 16.45 CFU/100mL and </w:t>
      </w:r>
      <w:r w:rsidRPr="007C7CE8">
        <w:rPr>
          <w:rFonts w:ascii="Calibri" w:eastAsia="Times New Roman" w:hAnsi="Calibri" w:cs="Calibri"/>
          <w:i/>
          <w:iCs/>
          <w:color w:val="000000"/>
          <w:kern w:val="0"/>
          <w:sz w:val="22"/>
          <w:szCs w:val="22"/>
          <w14:ligatures w14:val="none"/>
        </w:rPr>
        <w:t>Salmonella</w:t>
      </w:r>
      <w:r w:rsidRPr="007C7CE8">
        <w:rPr>
          <w:rFonts w:ascii="Calibri" w:eastAsia="Times New Roman" w:hAnsi="Calibri" w:cs="Calibri"/>
          <w:color w:val="000000"/>
          <w:kern w:val="0"/>
          <w:sz w:val="22"/>
          <w:szCs w:val="22"/>
          <w14:ligatures w14:val="none"/>
        </w:rPr>
        <w:t> at 64.20 CFU/100ml, summing up to 80.65 CFU/100mL. Bottled water demonstrated the lowest contamination, with </w:t>
      </w:r>
      <w:r w:rsidRPr="007C7CE8">
        <w:rPr>
          <w:rFonts w:ascii="Calibri" w:eastAsia="Times New Roman" w:hAnsi="Calibri" w:cs="Calibri"/>
          <w:i/>
          <w:iCs/>
          <w:color w:val="000000"/>
          <w:kern w:val="0"/>
          <w:sz w:val="22"/>
          <w:szCs w:val="22"/>
          <w14:ligatures w14:val="none"/>
        </w:rPr>
        <w:t>Shigella</w:t>
      </w:r>
      <w:r w:rsidRPr="007C7CE8">
        <w:rPr>
          <w:rFonts w:ascii="Calibri" w:eastAsia="Times New Roman" w:hAnsi="Calibri" w:cs="Calibri"/>
          <w:color w:val="000000"/>
          <w:kern w:val="0"/>
          <w:sz w:val="22"/>
          <w:szCs w:val="22"/>
          <w14:ligatures w14:val="none"/>
        </w:rPr>
        <w:t> at 2.65 CFU/100mL and </w:t>
      </w:r>
      <w:r w:rsidRPr="007C7CE8">
        <w:rPr>
          <w:rFonts w:ascii="Calibri" w:eastAsia="Times New Roman" w:hAnsi="Calibri" w:cs="Calibri"/>
          <w:i/>
          <w:iCs/>
          <w:color w:val="000000"/>
          <w:kern w:val="0"/>
          <w:sz w:val="22"/>
          <w:szCs w:val="22"/>
          <w14:ligatures w14:val="none"/>
        </w:rPr>
        <w:t>Salmonella</w:t>
      </w:r>
      <w:r w:rsidRPr="007C7CE8">
        <w:rPr>
          <w:rFonts w:ascii="Calibri" w:eastAsia="Times New Roman" w:hAnsi="Calibri" w:cs="Calibri"/>
          <w:color w:val="000000"/>
          <w:kern w:val="0"/>
          <w:sz w:val="22"/>
          <w:szCs w:val="22"/>
          <w14:ligatures w14:val="none"/>
        </w:rPr>
        <w:t> at 39.65 CFU/100mL, for a total of 42.30 CFU/100ml. Food sample analysis showed even higher levels of bacterial contamination. </w:t>
      </w:r>
      <w:r w:rsidRPr="007C7CE8">
        <w:rPr>
          <w:rFonts w:ascii="Calibri" w:eastAsia="Times New Roman" w:hAnsi="Calibri" w:cs="Calibri"/>
          <w:i/>
          <w:iCs/>
          <w:color w:val="000000"/>
          <w:kern w:val="0"/>
          <w:sz w:val="22"/>
          <w:szCs w:val="22"/>
          <w14:ligatures w14:val="none"/>
        </w:rPr>
        <w:t>Waakye</w:t>
      </w:r>
      <w:r w:rsidRPr="007C7CE8">
        <w:rPr>
          <w:rFonts w:ascii="Calibri" w:eastAsia="Times New Roman" w:hAnsi="Calibri" w:cs="Calibri"/>
          <w:color w:val="000000"/>
          <w:kern w:val="0"/>
          <w:sz w:val="22"/>
          <w:szCs w:val="22"/>
          <w14:ligatures w14:val="none"/>
        </w:rPr>
        <w:t> with salad and stew recorded the highest count at 232.67 CFU (×10⁻³), followed by rice with salad and stew at 145.50 CFU (×10⁻³), and banku with groundnut soup at 83.50 CFU (×10⁻³). The findings indicate that although bottled water appears to be the safest among the tested water sources, all examined water and food samples contained bacterial levels that could pose significant health risks. These results highlight the need for regular monitoring and improved treatment of water and food products to prevent foodborne and waterborne disease outbreaks and ensure public health safety.</w:t>
      </w:r>
    </w:p>
    <w:p w14:paraId="322BDE8F"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25-A-3420-ASTMH</w:t>
      </w:r>
    </w:p>
    <w:p w14:paraId="5805D17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7241A0F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Potential</w:t>
      </w:r>
      <w:r w:rsidRPr="007C7CE8">
        <w:rPr>
          <w:rFonts w:ascii="Calibri" w:eastAsia="Times New Roman" w:hAnsi="Calibri" w:cs="Calibri"/>
          <w:b/>
          <w:bCs/>
          <w:color w:val="000000"/>
          <w:kern w:val="0"/>
          <w:sz w:val="22"/>
          <w:szCs w:val="22"/>
          <w14:ligatures w14:val="none"/>
        </w:rPr>
        <w:t> </w:t>
      </w:r>
      <w:r w:rsidRPr="007C7CE8">
        <w:rPr>
          <w:rFonts w:ascii="Calibri" w:eastAsia="Times New Roman" w:hAnsi="Calibri" w:cs="Calibri"/>
          <w:color w:val="000000"/>
          <w:kern w:val="0"/>
          <w:sz w:val="22"/>
          <w:szCs w:val="22"/>
          <w14:ligatures w14:val="none"/>
        </w:rPr>
        <w:t>Impact of Vaccine Introduction on Malaria Cases and Deaths in Sub-Saharan Africa: A Modelling Study</w:t>
      </w:r>
    </w:p>
    <w:p w14:paraId="5AC807C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New vaccines such as R21/Matrix-M (R21) and RTS,S hold the potential to greatly reduce the malaria burden in Sub-Saharan Africa. Mathematical modelling can be used to estimate vaccine impact across endemic settings. For this work, we estimate the potential long-term impact of R21 vaccine rollout across Sub-Saharan Africa using </w:t>
      </w:r>
      <w:r w:rsidRPr="007C7CE8">
        <w:rPr>
          <w:rFonts w:ascii="Calibri" w:eastAsia="Times New Roman" w:hAnsi="Calibri" w:cs="Calibri"/>
          <w:i/>
          <w:iCs/>
          <w:color w:val="000000"/>
          <w:kern w:val="0"/>
          <w:sz w:val="22"/>
          <w:szCs w:val="22"/>
          <w14:ligatures w14:val="none"/>
        </w:rPr>
        <w:t>malariasimulation</w:t>
      </w:r>
      <w:r w:rsidRPr="007C7CE8">
        <w:rPr>
          <w:rFonts w:ascii="Calibri" w:eastAsia="Times New Roman" w:hAnsi="Calibri" w:cs="Calibri"/>
          <w:color w:val="000000"/>
          <w:kern w:val="0"/>
          <w:sz w:val="22"/>
          <w:szCs w:val="22"/>
          <w14:ligatures w14:val="none"/>
        </w:rPr>
        <w:t>, an individual-based malaria transmission model. Vaccine efficacy parameters were previously fit based on phase 2b R21 data data. We estimated the impact on malaria cases and deaths in moderate-to-high transmission admin-1 units in Sub-Saharan Africa based on national forecasts of vaccine coverage in children under 3 years old. Models were run with and without vaccination from 2000 to 2100 to capture lifetime vaccine impact. We calibrated the model to Malaria Atlas Project (MAP) prevalence of infection data, incorporating information on seasonality, vectors, demography, and coverage of other non-vaccine malaria intervention. Under a routine vaccination scenario where vaccines are introduced in 2023, we estimate 818 million (95% uncertainty interval: 590 million- 1.06 billion) malaria cases and 1.91 million (1.33-3.55) deaths averted in Africa through 2050. Through 2100, the vaccine averted 4.26% (3.76-5.05) of malaria cases and 7.90% (3.68-12.66) of all malaria deaths in this region. We estimate that vaccine impact would be greatest in the initial years following vaccine introduction and begin to decline after 10 years as efficacy and immunity wane into older adulthood and populations age. These estimates are dependent on uncertain assumptions about the dynamics of both naturally acquired and vaccine-acquired immunity, as well as the effect of malaria on all-cause child mortality. As longer-term follow up data on vaccine efficacy become available, more context-specific modelling will be needed to assess the long-term impact of vaccination in endemic settings and what factors, such as older target populations and additional booster doses, contribute to greater impact.</w:t>
      </w:r>
    </w:p>
    <w:p w14:paraId="46E043F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25-A-3421-ASTMH</w:t>
      </w:r>
    </w:p>
    <w:p w14:paraId="249C950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Viruses - Epidemiology</w:t>
      </w:r>
    </w:p>
    <w:p w14:paraId="260D1045"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Prevalence and factors associated with Hepatitis B Virus Infection in Tigray Region, Northern Ethiopia</w:t>
      </w:r>
    </w:p>
    <w:p w14:paraId="5E35F6C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Background: </w:t>
      </w:r>
      <w:r w:rsidRPr="007C7CE8">
        <w:rPr>
          <w:rFonts w:ascii="Calibri" w:eastAsia="Times New Roman" w:hAnsi="Calibri" w:cs="Calibri"/>
          <w:color w:val="000000"/>
          <w:kern w:val="0"/>
          <w:sz w:val="22"/>
          <w:szCs w:val="22"/>
          <w14:ligatures w14:val="none"/>
        </w:rPr>
        <w:t>Hepatitis B virus (HBV) infection is a significant public health concern, particularly in low-income countries. This study investigates the prevalence and associated risk factors of HBV in Alamata district of Tigray region, northern Ethiopia, where the HBV vaccine was introduced in the childhood vaccination program in 2007.</w:t>
      </w:r>
      <w:r w:rsidRPr="007C7CE8">
        <w:rPr>
          <w:rFonts w:ascii="Calibri" w:eastAsia="Times New Roman" w:hAnsi="Calibri" w:cs="Calibri"/>
          <w:b/>
          <w:bCs/>
          <w:color w:val="000000"/>
          <w:kern w:val="0"/>
          <w:sz w:val="22"/>
          <w:szCs w:val="22"/>
          <w14:ligatures w14:val="none"/>
        </w:rPr>
        <w:t>Methods:</w:t>
      </w:r>
      <w:r w:rsidRPr="007C7CE8">
        <w:rPr>
          <w:rFonts w:ascii="Calibri" w:eastAsia="Times New Roman" w:hAnsi="Calibri" w:cs="Calibri"/>
          <w:color w:val="000000"/>
          <w:kern w:val="0"/>
          <w:sz w:val="22"/>
          <w:szCs w:val="22"/>
          <w14:ligatures w14:val="none"/>
        </w:rPr>
        <w:t xml:space="preserve">A community-based, cross-sectional study was conducted from December 2019 to June 2020. Data were collected using structured questionnaires and hepatitis B surface antigen (HBsAg) was measured using a rapid diagnostic test. Logistic regression analyses were </w:t>
      </w:r>
      <w:r w:rsidRPr="007C7CE8">
        <w:rPr>
          <w:rFonts w:ascii="Calibri" w:eastAsia="Times New Roman" w:hAnsi="Calibri" w:cs="Calibri"/>
          <w:color w:val="000000"/>
          <w:kern w:val="0"/>
          <w:sz w:val="22"/>
          <w:szCs w:val="22"/>
          <w14:ligatures w14:val="none"/>
        </w:rPr>
        <w:lastRenderedPageBreak/>
        <w:t>used to determine the associations between socio-demographic, behavioral, and health-related variables and HBV infection. </w:t>
      </w:r>
      <w:r w:rsidRPr="007C7CE8">
        <w:rPr>
          <w:rFonts w:ascii="Calibri" w:eastAsia="Times New Roman" w:hAnsi="Calibri" w:cs="Calibri"/>
          <w:b/>
          <w:bCs/>
          <w:color w:val="000000"/>
          <w:kern w:val="0"/>
          <w:sz w:val="22"/>
          <w:szCs w:val="22"/>
          <w14:ligatures w14:val="none"/>
        </w:rPr>
        <w:t>Result:</w:t>
      </w:r>
      <w:r w:rsidRPr="007C7CE8">
        <w:rPr>
          <w:rFonts w:ascii="Calibri" w:eastAsia="Times New Roman" w:hAnsi="Calibri" w:cs="Calibri"/>
          <w:color w:val="000000"/>
          <w:kern w:val="0"/>
          <w:sz w:val="22"/>
          <w:szCs w:val="22"/>
          <w14:ligatures w14:val="none"/>
        </w:rPr>
        <w:t>A total of 1,853 individuals (56.8% female) were included in this study. The age ranged from 5 to 88 years, and the largest age group was from 5-14 years (32.0%). The overall HBV prevalence was 5.3% (95% confidence interval (CI) 4.3-6.3) with significant variability between age groups: 5-14 years 3.7%, 15-24 years 6.8 %, 25-34 years 10.1%, 35-44 years 4.4%, 45-54 years 3.9%, and 55 years and above 3.4%. Being in the 25-34 years age group (adjusted odds ratio (AOR) 4.1, 95% CI:1.1-16.2, p=0.042), reporting multiple sexual partners (AOR 4.0, 95% CI:1.02-15.4, p=0.047), and family history of hepatitis B (AOR 3.1, 95% CI:1.2-8.2, p=0.024) were independently associated with HBV infection.</w:t>
      </w:r>
      <w:r w:rsidRPr="007C7CE8">
        <w:rPr>
          <w:rFonts w:ascii="Calibri" w:eastAsia="Times New Roman" w:hAnsi="Calibri" w:cs="Calibri"/>
          <w:color w:val="000000"/>
          <w:kern w:val="0"/>
          <w:sz w:val="22"/>
          <w:szCs w:val="22"/>
          <w14:ligatures w14:val="none"/>
        </w:rPr>
        <w:br/>
      </w:r>
      <w:r w:rsidRPr="007C7CE8">
        <w:rPr>
          <w:rFonts w:ascii="Calibri" w:eastAsia="Times New Roman" w:hAnsi="Calibri" w:cs="Calibri"/>
          <w:b/>
          <w:bCs/>
          <w:color w:val="000000"/>
          <w:kern w:val="0"/>
          <w:sz w:val="22"/>
          <w:szCs w:val="22"/>
          <w14:ligatures w14:val="none"/>
        </w:rPr>
        <w:t>Conclusion:</w:t>
      </w:r>
      <w:r w:rsidRPr="007C7CE8">
        <w:rPr>
          <w:rFonts w:ascii="Calibri" w:eastAsia="Times New Roman" w:hAnsi="Calibri" w:cs="Calibri"/>
          <w:color w:val="000000"/>
          <w:kern w:val="0"/>
          <w:sz w:val="22"/>
          <w:szCs w:val="22"/>
          <w14:ligatures w14:val="none"/>
        </w:rPr>
        <w:t>The prevalence of HBV infection was high in this region, underscoring the necessity for targeted public health strategies aimed at reducing transmission rates. Of note, the HBV prevalence was significantly lower among children born after introduction of the HBV vaccine.</w:t>
      </w:r>
    </w:p>
    <w:p w14:paraId="5749876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25-A-3423-ASTMH</w:t>
      </w:r>
    </w:p>
    <w:p w14:paraId="3ADCB3C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Helminths – Nematodes – Filariasis (Genetics/Genomics)</w:t>
      </w:r>
    </w:p>
    <w:p w14:paraId="3FEA34C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Parasite genomics reveals localized transmission of </w:t>
      </w:r>
      <w:r w:rsidRPr="007C7CE8">
        <w:rPr>
          <w:rFonts w:ascii="Calibri" w:eastAsia="Times New Roman" w:hAnsi="Calibri" w:cs="Calibri"/>
          <w:i/>
          <w:iCs/>
          <w:color w:val="000000"/>
          <w:kern w:val="0"/>
          <w:sz w:val="22"/>
          <w:szCs w:val="22"/>
          <w14:ligatures w14:val="none"/>
        </w:rPr>
        <w:t>Wuchereria bancrofti</w:t>
      </w:r>
      <w:r w:rsidRPr="007C7CE8">
        <w:rPr>
          <w:rFonts w:ascii="Calibri" w:eastAsia="Times New Roman" w:hAnsi="Calibri" w:cs="Calibri"/>
          <w:color w:val="000000"/>
          <w:kern w:val="0"/>
          <w:sz w:val="22"/>
          <w:szCs w:val="22"/>
          <w14:ligatures w14:val="none"/>
        </w:rPr>
        <w:t>, which causes lymphatic filariasis, in Samoa</w:t>
      </w:r>
    </w:p>
    <w:p w14:paraId="16F6D14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Chronic complications of the parasitic disease lymphatic filariasis (LF) are the leading cause of long-term physical disability worldwide, as damage to the lymphatics leads to scrotal hydroceles and irreversible lymphoedema. The strategy for elimination is mass drug administration (MDA): anti-parasitic drugs distributed repeatedly to a community until infection drops below a threshold value. LF was validated by WHO as eliminated using MDA from 8 Pacific Island countries. However, despite multiple MDA campaigns using diethylcarbamazine, albendazole, and recently, ivermectin, LF persists in 8 countries/territories, with recent reports of post-elimination transmission recurrence. Hypotheses for persistent/recurring transmission include reduced drug efficacy, re-infection between MDA rounds because transmission has not been interrupted (i.e., surveillance failed to detect infected people), or transmission being maintained/re-initiated by introduction of parasites from travelers. To assess the latter hypothesis, we sequenced the whole genomes of 73 </w:t>
      </w:r>
      <w:r w:rsidRPr="007C7CE8">
        <w:rPr>
          <w:rFonts w:ascii="Calibri" w:eastAsia="Times New Roman" w:hAnsi="Calibri" w:cs="Calibri"/>
          <w:i/>
          <w:iCs/>
          <w:color w:val="000000"/>
          <w:kern w:val="0"/>
          <w:sz w:val="22"/>
          <w:szCs w:val="22"/>
          <w14:ligatures w14:val="none"/>
        </w:rPr>
        <w:t>Wuchereria bancrofti </w:t>
      </w:r>
      <w:r w:rsidRPr="007C7CE8">
        <w:rPr>
          <w:rFonts w:ascii="Calibri" w:eastAsia="Times New Roman" w:hAnsi="Calibri" w:cs="Calibri"/>
          <w:color w:val="000000"/>
          <w:kern w:val="0"/>
          <w:sz w:val="22"/>
          <w:szCs w:val="22"/>
          <w14:ligatures w14:val="none"/>
        </w:rPr>
        <w:t>microfilariae collected in 2023 from people in Samoa and identified 515485 autosomal variants. Discriminant analysis of principal components (DAPC) indicated that </w:t>
      </w:r>
      <w:r w:rsidRPr="007C7CE8">
        <w:rPr>
          <w:rFonts w:ascii="Calibri" w:eastAsia="Times New Roman" w:hAnsi="Calibri" w:cs="Calibri"/>
          <w:i/>
          <w:iCs/>
          <w:color w:val="000000"/>
          <w:kern w:val="0"/>
          <w:sz w:val="22"/>
          <w:szCs w:val="22"/>
          <w14:ligatures w14:val="none"/>
        </w:rPr>
        <w:t>W. bancrofti</w:t>
      </w:r>
      <w:r w:rsidRPr="007C7CE8">
        <w:rPr>
          <w:rFonts w:ascii="Calibri" w:eastAsia="Times New Roman" w:hAnsi="Calibri" w:cs="Calibri"/>
          <w:color w:val="000000"/>
          <w:kern w:val="0"/>
          <w:sz w:val="22"/>
          <w:szCs w:val="22"/>
          <w14:ligatures w14:val="none"/>
        </w:rPr>
        <w:t> from people who live in villages on the island of Savai’i could be discriminated with &gt;95% posterior probability from each other and from parasites from the island of Upolu, except for Salelologa, where travel to and from Upolu is more common. Within Upolu, the probability of correctly assigning a parasite genome to southern Fusi was 100%, while parasites from villages across northern Upolu were not well discriminated. Parasites from Le’auva’a were an exception: this northern village was founded by people relocated from Savai’i in 1910 and remained genetically distinct. Inferences from genomic data strongly reflected both historic and contemporary patterns of human travel and localized transmission by mosquitos with short flight ranges. We will apply these results from genomic analyses to improve geostatistical, agent-based models for assessing alternative interventions.</w:t>
      </w:r>
    </w:p>
    <w:p w14:paraId="15C7E36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25-A-3424-ASTMH</w:t>
      </w:r>
    </w:p>
    <w:p w14:paraId="306C4A0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Global Health - Maternal, Newborn and Child Health and Nutrition</w:t>
      </w:r>
    </w:p>
    <w:p w14:paraId="4561A7D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Understanding Drug Sources in Early Pregnancy: Insights from a Pregnancy Exposure Registry in Burkina Faso</w:t>
      </w:r>
    </w:p>
    <w:p w14:paraId="4E6FE7A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Inadvertent use of medicines in early pregnancy can pose significant risks to embryo/fetal health, particularly in rural settings where access to formal healthcare is limited, education levels are low, and cultural taboos may discourage early disclosure of pregnancy. Understanding where pregnant women obtain drugs is essential for developing effective pharmacovigilance systems. Accurate and timely data from sources like pregnancy exposure registries are crucial for monitoring drug safety and improving maternal and child health. This study aimed to assess the sources of drugs used during the first </w:t>
      </w:r>
      <w:r w:rsidRPr="007C7CE8">
        <w:rPr>
          <w:rFonts w:ascii="Calibri" w:eastAsia="Times New Roman" w:hAnsi="Calibri" w:cs="Calibri"/>
          <w:color w:val="000000"/>
          <w:kern w:val="0"/>
          <w:sz w:val="22"/>
          <w:szCs w:val="22"/>
          <w14:ligatures w14:val="none"/>
        </w:rPr>
        <w:lastRenderedPageBreak/>
        <w:t>trimester, using data from an active pregnancy registry established to evaluate the safety of antimalarials in pregnancy in western Kenya and in Burkina Faso within the Nanoro Health and Demographic Surveillance System area. Data were collected on sociodemographic, illness, and medication use, including procurement source, pregnancy-related care and outcomes between April 2022 and March 2025. Data collection is ongoing, and we report preliminary findings. Sources of information included the medical files, prescriptions, antenatal care booklets, remaining drug packaging, and participant self-reports. Medication exposures were considered confirmed when verified through at least two independent sources. Among 4,393 enrolled women, 12.2% reported using at least one medication during early pregnancy. A total of 951 medications were identified in the first trimester, with quinine accounting for 32.4%, followed by paracetamol (11.9%), phloroglucinol (8.9%), artemether-lumefantrine (9.0%), and pyronaridine-artesunate (6.1%). Overall, 56.5% of drug exposures were identified through medical records, 73.1% were self-reported by participants, and 44.3% of exposures were categorised as confirmed. Relying solely on health facility records misses nearly half of early pregnancy drug exposures. These findings underscore the importance of utilising multi-source data to enhance pharmacovigilance systems and ensure the accurate monitoring of medication use during pregnancy, particularly in resource-limited settings.</w:t>
      </w:r>
    </w:p>
    <w:p w14:paraId="3615B1C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25-A-3425-ASTMH</w:t>
      </w:r>
    </w:p>
    <w:p w14:paraId="7951F229"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Mosquitoes - Epidemiology and Vector Control</w:t>
      </w:r>
    </w:p>
    <w:p w14:paraId="57C40B0D"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Evaluating novel multi-vector control tools for humanitarian crises: the entomological efficacy of attractive toxic sugar baits (ATSB) in Northern Nigeria</w:t>
      </w:r>
    </w:p>
    <w:p w14:paraId="16E8CAD1"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Humanitarian emergencies, of either natural or anthropogenic origins, lead to large-scale population displacement, food insecurity, severe health systems disruptions and epidemics of vector-borne diseases. Conventional vector control interventions, particularly insecticide-treated nets and indoor residual spraying are insufficient in these settings due to several operational and biological limitations. Novel vector control tools which are portable, effective against multiple vector species, and suitable for use in precarious shelters, are urgently needed to control vector-borne diseases in humanitarian crises. We conducted a 6-month, 2-arm community trial in 2 refugee camps in Maiduguri, Nigeria, to evaluate the entomological efficacy of attractive toxic sugar baits (ATSB). Per eligible shelter, 1 ATSB was installed indoors and 2 ATSB were fixed outside, and monthly entomological monitoring was conducted to measure changes in adult vector density. To investigate environmental drivers of vector abundance, a series of supervised machine learning regression models were developed using composite bioclimatic and ecological satellite-derived variables. Post-intervention, ATSB demonstrated a significant impact on all indoor female Anopheles (An.) gambiae s.l. density (IRR: 0.140 [95% CI: 0.093 - 0.212]; p&lt;0.0001) and indoor blood-fed An. gambiae s.l. density (IRR: 0.0193 [95% credible interval: 0.0111 - 0.0356]). A significant intervention effect was also evident for indoor blood-fed Aedes aegypti (IRR: 0.0534 [95% credible interval: 0.0038 - 0.263]). The strongest model predicters (XGBoost and Random Forest hybrid; AUC=0.8935) of mosquito presence were enhanced vegetation index, humidity and vegetation moisture. Remote sensing data highlight the influence of green biomass and moisture on vector population dynamics, demonstrating the potential of predictive modelling to evaluate intervention impact in distinct environments. Trial entomological findings strongly support the deployment of ATSB to control sympatric malaria and dengue vector populations in humanitarian crises.</w:t>
      </w:r>
    </w:p>
    <w:p w14:paraId="7BB9664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25-A-3426-ASTMH</w:t>
      </w:r>
    </w:p>
    <w:p w14:paraId="12958E0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Cestodes (including taeniasis and cysticercosis, echinococcosis/hydatid disease, and others)</w:t>
      </w:r>
    </w:p>
    <w:p w14:paraId="0E769377"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Long-term data collection on patients with Cystic Echinococcosis: the Pavia European Register of Cystic Echinococcosis (ERCE) cohort: 2012-2025</w:t>
      </w:r>
    </w:p>
    <w:p w14:paraId="7603E570"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 xml:space="preserve">Cystic echinococcosis (CE) is a parasitic disease with a chronic, heterogeneous clinical course that often requires long-term, stage-specific management. The true prevalence of CE remains unknown: its distribution is fragmented, surveillance systems are inconsistent across countries, and the disease often </w:t>
      </w:r>
      <w:r w:rsidRPr="007C7CE8">
        <w:rPr>
          <w:rFonts w:ascii="Calibri" w:eastAsia="Times New Roman" w:hAnsi="Calibri" w:cs="Calibri"/>
          <w:color w:val="000000"/>
          <w:kern w:val="0"/>
          <w:sz w:val="22"/>
          <w:szCs w:val="22"/>
          <w14:ligatures w14:val="none"/>
        </w:rPr>
        <w:lastRenderedPageBreak/>
        <w:t>progresses silently in rural or underserved areas. Notification, when implemented provides little information about important clinical details, such as anatomical location, number and stage of cysts. To address the lack of standardized clinical data, the European Register of Cystic Echinococcosis (ERCE) was created. In 2021, initial results from the Pavia cohort were published, reporting on the first eight years of registry activity. We present an updated analysis encompassing thirteen years of data, up to January 2025. We reviewed all patients evaluated at the WHO Collaborating Centre for Clinical Management of Cystic Echinococcosis at the Fondazione IRCCS Policlinico San Matteo, where clinical decision-making follows a stage-specific approach. Data were collected prospectively from March 2012 to January 2025 using standardized ERCE protocols. A total of 550 patients were enrolled during the study period, including 267 males (48.5%) and 283 females (51.5%), with a median age of 50.2 years (range 4-88). Of these, 300 (54.4%) were Italian-born and 250 (45.5%) were born abroad, representing 28 different countries. The most represented countries of origin were Italy (300 cases, 54.5%), Morocco (71, 12.9%), and Romania (48, 8.7%), followed by Albania, Peru, Ukraine, and Tunisia. A total of 895 CE cysts were recorded: 788 (88.1%) were hepatic, 31 (3.5%) pulmonary, and 76 (8.5%) located in other anatomical sites. A significant drop in new diagnoses was observed only in 2020, the first year of the COVID-19 pandemic, during which new cases accounted for just 1.6% of the total. Current data from the Pavia ERCE cohort highlights the importance of continued, structured and detailed clinical data collection and international collaboration to improve the clinical understanding and management of this neglected disease.</w:t>
      </w:r>
    </w:p>
    <w:p w14:paraId="0E85F626"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25-A-3427-ASTMH</w:t>
      </w:r>
    </w:p>
    <w:p w14:paraId="4440B80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Clinical Tropical Medicine</w:t>
      </w:r>
    </w:p>
    <w:p w14:paraId="01E1463B"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Beyond Arthralgia: Atypical Chikungunya Virus Complications in 2024 Outbreak-Karachi Pakistan, Case Series and Systemic Review</w:t>
      </w:r>
    </w:p>
    <w:p w14:paraId="3A4FFCC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The Chikungunya Virus (CHIKV) is an arbovirus transmitted primarily by Aedes species of mosquitoes. First identified in Tanzania in 1953, CHIKV has since caused numerous global outbreaks. Pakistan experienced its first major CHIKV epidemic in 2016 and more recently in 2024, with an average of 700 cases reported daily. The recent outbreak was also crucial for presenting atypical cases to the tertiary care centers. The atypical presentations of CHIKV are increasingly being recognized as a cause of morbidity and mortality, with 213 CHIKV-related deaths reported globally in 2024 due to atypical presentation. This study presents an evolving clinical spectrum of CHIKV infection globally, with a thorough systemic review of studies reporting atypical presentations published over 10 years. A total of 3937 number of patients presenting with atypical presentation, this data spreads across 102 studies published between 2015-2025. The global picture of atypical CHIKV presentations shows the predominance of neurological symptoms 20%(n=785) with encephalitis being the most common neurological complication 7.7% (n=305), followed by Guillain-Barré Syndrome 2.7% (n=108), and sepsis 1.2 (n=4), and acute respiratory failure 0.9% (n=36),. Literature linked to comorbidities and severe CHIKV from Pakistan was deficient on systemic review; therefore, we reviewed CHIKV-positive patients recruited at Aga Khan University Hospital in 2024, as part of a viral surveillance study. A total of 25 CHIKV-positive patients were recruited, CHIKV diagnosis was confirmed using in-house qPCR assay. Of these 88% (n=22) presented with typical fever, rash and arthritis. However, three patient (12%) presented with atypical presentation which included type II respiratory failure and acute GBS with fatal outcome. Common comorbidities included diabetes, obesity, and Chronic Kidney Disease. Notably, none of these patients were initially suspected of CHIKV infection and hence had delayed diagnosis. We highlight the evolving clinical spectrum of CHIKV and emphasize the need for high clinical suspicion, especially in endemic regions during outbreaks.</w:t>
      </w:r>
    </w:p>
    <w:p w14:paraId="29A24D98"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25-A-3428-ASTMH</w:t>
      </w:r>
    </w:p>
    <w:p w14:paraId="52879A22"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t>Helminths – Nematodes – Filariasis (Other)</w:t>
      </w:r>
    </w:p>
    <w:p w14:paraId="3730E2FE"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b/>
          <w:bCs/>
          <w:color w:val="000000"/>
          <w:kern w:val="0"/>
          <w:sz w:val="22"/>
          <w:szCs w:val="22"/>
          <w14:ligatures w14:val="none"/>
        </w:rPr>
        <w:t>Improving Drug Compliance for Lymphatic Filariasis Elimination in India: Evidence from a Multi-Platform Social Mobilization Strategy</w:t>
      </w:r>
    </w:p>
    <w:p w14:paraId="6980FF8A" w14:textId="77777777" w:rsidR="007C7CE8" w:rsidRPr="007C7CE8" w:rsidRDefault="007C7CE8" w:rsidP="007C7CE8">
      <w:pPr>
        <w:spacing w:before="100" w:beforeAutospacing="1" w:after="100" w:afterAutospacing="1" w:line="200" w:lineRule="atLeast"/>
        <w:rPr>
          <w:rFonts w:ascii="Calibri" w:eastAsia="Times New Roman" w:hAnsi="Calibri" w:cs="Calibri"/>
          <w:color w:val="000000"/>
          <w:kern w:val="0"/>
          <w:sz w:val="22"/>
          <w:szCs w:val="22"/>
          <w14:ligatures w14:val="none"/>
        </w:rPr>
      </w:pPr>
      <w:r w:rsidRPr="007C7CE8">
        <w:rPr>
          <w:rFonts w:ascii="Calibri" w:eastAsia="Times New Roman" w:hAnsi="Calibri" w:cs="Calibri"/>
          <w:color w:val="000000"/>
          <w:kern w:val="0"/>
          <w:sz w:val="22"/>
          <w:szCs w:val="22"/>
          <w14:ligatures w14:val="none"/>
        </w:rPr>
        <w:lastRenderedPageBreak/>
        <w:t>India’s efforts to eliminate Lymphatic Filariasis (LF) have made substantial progress, yet achieving high compliance during Mass Drug Administration (MDA) remains a persistent challenge, especially among vulnerable populations. This study assesses the impact of an integrated social mobilization (SM) strategy—leveraging Panchayati Raj Institutions (PRIs), Self-Help Groups (SHGs), schools, and drug administrators (DAs)—on improving anti-LF drug compliance across five endemic states.Drawing on data from over 307,276 individuals in 92 districts, the study employed multivariate logistic regression models to quantify the relationship between SM exposure and drug consumption, while adjusting for demographic, socioeconomic, and geographic factors. Results indicate a significant positive association between SM exposure and anti-LF drug compliance (OR: 1.35; p&lt;0.001; 95% CI: 1.32-1.38). Platforms such as PRIs, SHGs and schools proved especially effective in rural and underserved settings. Strategic selection of platforms, tailored messaging, integration with digital innovations (e.g., WhatsApp outreach), and capacity-building of DAs on IPC were key drivers of the success.The findings highlight that multi-platform SM strategies not only elevate community trust and awareness but also close drug compliance gaps among marginalized groups, including Scheduled Castes and rural residents. As India advances toward LF elimination, embedding SM within public health programs is critical to sustaining high compliance and equitable health outcomes.</w:t>
      </w:r>
    </w:p>
    <w:p w14:paraId="3A38B35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25-A-3429-ASTMH</w:t>
      </w:r>
    </w:p>
    <w:p w14:paraId="2C461DA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Schistosomiasis and Other Trematodes – Epidemiology and Control</w:t>
      </w:r>
    </w:p>
    <w:p w14:paraId="18EC56D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Presence and infectivity of intermediate hosts of schistosomiasis in Kakamega and Bungoma counties, western Kenya: Confirmation of autochthonous transmission</w:t>
      </w:r>
    </w:p>
    <w:p w14:paraId="3DCCB21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Recent granular mapping (2021) provided strong evidence of intestinal schistosomiasis among school-age children and adults in Kakamega and Bungoma counties of western Kenya. However, it was unclear whether the observed infections were due to active transmission or if they were imported cases. To address this gap, a follow-up malacological survey was conducted to determine the presence of intermediate host snails and ascertain active transmission. 19 wards which had </w:t>
      </w:r>
      <w:r w:rsidRPr="008E7DCB">
        <w:rPr>
          <w:rFonts w:ascii="Calibri" w:eastAsia="Times New Roman" w:hAnsi="Calibri" w:cs="Calibri"/>
          <w:i/>
          <w:iCs/>
          <w:color w:val="000000"/>
          <w:kern w:val="0"/>
          <w:sz w:val="22"/>
          <w:szCs w:val="22"/>
          <w14:ligatures w14:val="none"/>
        </w:rPr>
        <w:t>Schistosoma mansoni</w:t>
      </w:r>
      <w:r w:rsidRPr="008E7DCB">
        <w:rPr>
          <w:rFonts w:ascii="Calibri" w:eastAsia="Times New Roman" w:hAnsi="Calibri" w:cs="Calibri"/>
          <w:color w:val="000000"/>
          <w:kern w:val="0"/>
          <w:sz w:val="22"/>
          <w:szCs w:val="22"/>
          <w14:ligatures w14:val="none"/>
        </w:rPr>
        <w:t> prevalence ≥10% were selected from the 2 counties, from which 42 sites with the highest prevalence of </w:t>
      </w:r>
      <w:r w:rsidRPr="008E7DCB">
        <w:rPr>
          <w:rFonts w:ascii="Calibri" w:eastAsia="Times New Roman" w:hAnsi="Calibri" w:cs="Calibri"/>
          <w:i/>
          <w:iCs/>
          <w:color w:val="000000"/>
          <w:kern w:val="0"/>
          <w:sz w:val="22"/>
          <w:szCs w:val="22"/>
          <w14:ligatures w14:val="none"/>
        </w:rPr>
        <w:t>S. mansoni</w:t>
      </w:r>
      <w:r w:rsidRPr="008E7DCB">
        <w:rPr>
          <w:rFonts w:ascii="Calibri" w:eastAsia="Times New Roman" w:hAnsi="Calibri" w:cs="Calibri"/>
          <w:color w:val="000000"/>
          <w:kern w:val="0"/>
          <w:sz w:val="22"/>
          <w:szCs w:val="22"/>
          <w14:ligatures w14:val="none"/>
        </w:rPr>
        <w:t> were used to identify proximal water bodies. Snails were sampled by experienced collectors using a handheld dip-net scoop in standardized sampling frames for ~30 minutes per water body Snails were counted and identified to species-level based on shell morphology. Sampled sites were mapped using GIS, and the vegetation type and human activities at sites recorded. All </w:t>
      </w:r>
      <w:r w:rsidRPr="008E7DCB">
        <w:rPr>
          <w:rFonts w:ascii="Calibri" w:eastAsia="Times New Roman" w:hAnsi="Calibri" w:cs="Calibri"/>
          <w:i/>
          <w:iCs/>
          <w:color w:val="000000"/>
          <w:kern w:val="0"/>
          <w:sz w:val="22"/>
          <w:szCs w:val="22"/>
          <w14:ligatures w14:val="none"/>
        </w:rPr>
        <w:t>Biomphalaria</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Bulinus</w:t>
      </w:r>
      <w:r w:rsidRPr="008E7DCB">
        <w:rPr>
          <w:rFonts w:ascii="Calibri" w:eastAsia="Times New Roman" w:hAnsi="Calibri" w:cs="Calibri"/>
          <w:color w:val="000000"/>
          <w:kern w:val="0"/>
          <w:sz w:val="22"/>
          <w:szCs w:val="22"/>
          <w14:ligatures w14:val="none"/>
        </w:rPr>
        <w:t> snails were transported to the laboratory where they were screened for cercariae. Cercariae were identified to basic taxonomic groups using standard identification keys. The relative and mean abundance and infectivity of snails was determined. Out of 4,245 snails collected, 3,341 (78.7%) were identified as </w:t>
      </w:r>
      <w:r w:rsidRPr="008E7DCB">
        <w:rPr>
          <w:rFonts w:ascii="Calibri" w:eastAsia="Times New Roman" w:hAnsi="Calibri" w:cs="Calibri"/>
          <w:i/>
          <w:iCs/>
          <w:color w:val="000000"/>
          <w:kern w:val="0"/>
          <w:sz w:val="22"/>
          <w:szCs w:val="22"/>
          <w14:ligatures w14:val="none"/>
        </w:rPr>
        <w:t>B. pfeifferi</w:t>
      </w:r>
      <w:r w:rsidRPr="008E7DCB">
        <w:rPr>
          <w:rFonts w:ascii="Calibri" w:eastAsia="Times New Roman" w:hAnsi="Calibri" w:cs="Calibri"/>
          <w:color w:val="000000"/>
          <w:kern w:val="0"/>
          <w:sz w:val="22"/>
          <w:szCs w:val="22"/>
          <w14:ligatures w14:val="none"/>
        </w:rPr>
        <w:t>, 88 (2.1%) as </w:t>
      </w:r>
      <w:r w:rsidRPr="008E7DCB">
        <w:rPr>
          <w:rFonts w:ascii="Calibri" w:eastAsia="Times New Roman" w:hAnsi="Calibri" w:cs="Calibri"/>
          <w:i/>
          <w:iCs/>
          <w:color w:val="000000"/>
          <w:kern w:val="0"/>
          <w:sz w:val="22"/>
          <w:szCs w:val="22"/>
          <w14:ligatures w14:val="none"/>
        </w:rPr>
        <w:t>B. globosus</w:t>
      </w:r>
      <w:r w:rsidRPr="008E7DCB">
        <w:rPr>
          <w:rFonts w:ascii="Calibri" w:eastAsia="Times New Roman" w:hAnsi="Calibri" w:cs="Calibri"/>
          <w:color w:val="000000"/>
          <w:kern w:val="0"/>
          <w:sz w:val="22"/>
          <w:szCs w:val="22"/>
          <w14:ligatures w14:val="none"/>
        </w:rPr>
        <w:t>, 664 (15.6%) as </w:t>
      </w:r>
      <w:r w:rsidRPr="008E7DCB">
        <w:rPr>
          <w:rFonts w:ascii="Calibri" w:eastAsia="Times New Roman" w:hAnsi="Calibri" w:cs="Calibri"/>
          <w:i/>
          <w:iCs/>
          <w:color w:val="000000"/>
          <w:kern w:val="0"/>
          <w:sz w:val="22"/>
          <w:szCs w:val="22"/>
          <w14:ligatures w14:val="none"/>
        </w:rPr>
        <w:t>Lymnaea natalensis</w:t>
      </w:r>
      <w:r w:rsidRPr="008E7DCB">
        <w:rPr>
          <w:rFonts w:ascii="Calibri" w:eastAsia="Times New Roman" w:hAnsi="Calibri" w:cs="Calibri"/>
          <w:color w:val="000000"/>
          <w:kern w:val="0"/>
          <w:sz w:val="22"/>
          <w:szCs w:val="22"/>
          <w14:ligatures w14:val="none"/>
        </w:rPr>
        <w:t> and 152 (3.6%) as other species. </w:t>
      </w:r>
      <w:r w:rsidRPr="008E7DCB">
        <w:rPr>
          <w:rFonts w:ascii="Calibri" w:eastAsia="Times New Roman" w:hAnsi="Calibri" w:cs="Calibri"/>
          <w:i/>
          <w:iCs/>
          <w:color w:val="000000"/>
          <w:kern w:val="0"/>
          <w:sz w:val="22"/>
          <w:szCs w:val="22"/>
          <w14:ligatures w14:val="none"/>
        </w:rPr>
        <w:t>B. pfeifferi</w:t>
      </w:r>
      <w:r w:rsidRPr="008E7DCB">
        <w:rPr>
          <w:rFonts w:ascii="Calibri" w:eastAsia="Times New Roman" w:hAnsi="Calibri" w:cs="Calibri"/>
          <w:color w:val="000000"/>
          <w:kern w:val="0"/>
          <w:sz w:val="22"/>
          <w:szCs w:val="22"/>
          <w14:ligatures w14:val="none"/>
        </w:rPr>
        <w:t> were found in 36 out of the 42 sites (85.7%). A total of 87 (2.6%) </w:t>
      </w:r>
      <w:r w:rsidRPr="008E7DCB">
        <w:rPr>
          <w:rFonts w:ascii="Calibri" w:eastAsia="Times New Roman" w:hAnsi="Calibri" w:cs="Calibri"/>
          <w:i/>
          <w:iCs/>
          <w:color w:val="000000"/>
          <w:kern w:val="0"/>
          <w:sz w:val="22"/>
          <w:szCs w:val="22"/>
          <w14:ligatures w14:val="none"/>
        </w:rPr>
        <w:t>B. pfeifferi</w:t>
      </w:r>
      <w:r w:rsidRPr="008E7DCB">
        <w:rPr>
          <w:rFonts w:ascii="Calibri" w:eastAsia="Times New Roman" w:hAnsi="Calibri" w:cs="Calibri"/>
          <w:color w:val="000000"/>
          <w:kern w:val="0"/>
          <w:sz w:val="22"/>
          <w:szCs w:val="22"/>
          <w14:ligatures w14:val="none"/>
        </w:rPr>
        <w:t> shed </w:t>
      </w:r>
      <w:r w:rsidRPr="008E7DCB">
        <w:rPr>
          <w:rFonts w:ascii="Calibri" w:eastAsia="Times New Roman" w:hAnsi="Calibri" w:cs="Calibri"/>
          <w:i/>
          <w:iCs/>
          <w:color w:val="000000"/>
          <w:kern w:val="0"/>
          <w:sz w:val="22"/>
          <w:szCs w:val="22"/>
          <w14:ligatures w14:val="none"/>
        </w:rPr>
        <w:t>S. mansoni </w:t>
      </w:r>
      <w:r w:rsidRPr="008E7DCB">
        <w:rPr>
          <w:rFonts w:ascii="Calibri" w:eastAsia="Times New Roman" w:hAnsi="Calibri" w:cs="Calibri"/>
          <w:color w:val="000000"/>
          <w:kern w:val="0"/>
          <w:sz w:val="22"/>
          <w:szCs w:val="22"/>
          <w14:ligatures w14:val="none"/>
        </w:rPr>
        <w:t>cercariae (range = 1.2-72.0% among positive collection sites). The mean abundance of </w:t>
      </w:r>
      <w:r w:rsidRPr="008E7DCB">
        <w:rPr>
          <w:rFonts w:ascii="Calibri" w:eastAsia="Times New Roman" w:hAnsi="Calibri" w:cs="Calibri"/>
          <w:i/>
          <w:iCs/>
          <w:color w:val="000000"/>
          <w:kern w:val="0"/>
          <w:sz w:val="22"/>
          <w:szCs w:val="22"/>
          <w14:ligatures w14:val="none"/>
        </w:rPr>
        <w:t>B. pfeifferi</w:t>
      </w:r>
      <w:r w:rsidRPr="008E7DCB">
        <w:rPr>
          <w:rFonts w:ascii="Calibri" w:eastAsia="Times New Roman" w:hAnsi="Calibri" w:cs="Calibri"/>
          <w:color w:val="000000"/>
          <w:kern w:val="0"/>
          <w:sz w:val="22"/>
          <w:szCs w:val="22"/>
          <w14:ligatures w14:val="none"/>
        </w:rPr>
        <w:t> was similar between streams and swamps/marshes, but was higher compared to rivers (P = 0.005). The high abundance of </w:t>
      </w:r>
      <w:r w:rsidRPr="008E7DCB">
        <w:rPr>
          <w:rFonts w:ascii="Calibri" w:eastAsia="Times New Roman" w:hAnsi="Calibri" w:cs="Calibri"/>
          <w:i/>
          <w:iCs/>
          <w:color w:val="000000"/>
          <w:kern w:val="0"/>
          <w:sz w:val="22"/>
          <w:szCs w:val="22"/>
          <w14:ligatures w14:val="none"/>
        </w:rPr>
        <w:t>B. pfeifferi </w:t>
      </w:r>
      <w:r w:rsidRPr="008E7DCB">
        <w:rPr>
          <w:rFonts w:ascii="Calibri" w:eastAsia="Times New Roman" w:hAnsi="Calibri" w:cs="Calibri"/>
          <w:color w:val="000000"/>
          <w:kern w:val="0"/>
          <w:sz w:val="22"/>
          <w:szCs w:val="22"/>
          <w14:ligatures w14:val="none"/>
        </w:rPr>
        <w:t>coupled with the observation of field-caught snails shedding cercariae confirms the intriguing question of autochthonous schistosomiasis transmission corroborating the reported human infections in the recent granular mapping in the 2 counties. Future control interventions in these areas need to incorporate focal snail control where feasible to complement chemotherapy in accelerating interruption of transmission.</w:t>
      </w:r>
    </w:p>
    <w:p w14:paraId="70D95F2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25-A-3430-ASTMH</w:t>
      </w:r>
    </w:p>
    <w:p w14:paraId="5E24D8A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Other</w:t>
      </w:r>
    </w:p>
    <w:p w14:paraId="4698450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Knowledge Translation of Scientific Evidence for Health Decision Making and Policy Formulation in Zambia</w:t>
      </w:r>
    </w:p>
    <w:p w14:paraId="5A9CE68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Knowledge Translation KT is key for integrating scientific evidence into policy and practice. Non use of scientific evidence results in suboptimal health services and outcomes. This cross sectional mixed </w:t>
      </w:r>
      <w:r w:rsidRPr="008E7DCB">
        <w:rPr>
          <w:rFonts w:ascii="Calibri" w:eastAsia="Times New Roman" w:hAnsi="Calibri" w:cs="Calibri"/>
          <w:color w:val="000000"/>
          <w:kern w:val="0"/>
          <w:sz w:val="22"/>
          <w:szCs w:val="22"/>
          <w14:ligatures w14:val="none"/>
        </w:rPr>
        <w:lastRenderedPageBreak/>
        <w:t>methods study investigated barriers and facilitators in using scientific evidence for policy formulation in Zambia. Ministry of Health MoH, National Health Research Authority NHRA, and eight research institutions participated in the study. By purposive sampling, twenty key informants were selected. An institutional checklist collected quantitative data and in depth interview guides collected qualitative data. Secondary data complemented primary data. Quantitative data were analyzed using SPSS version twenty one while content analysis was used for qualitative data. Ethical approval was obtained from the University of Lusaka Research Ethics Committee, and NHRA. Males were at 80 percent and 47 percent of participants were forty to forty nine years. Availability of conducive research environment was rated at seventy percent, thirty five percent for availability of KT platforms, whose effectiveness was rated at thirteen percent. Research translated into policy was thirty three percent. Conducive environment, easy access to relevant scientific evidence, effective collaboration for policymakers, stakeholders and media support emerged as critical facilitators of policy formulation. Availability of resources within government and research institutions was a crucial enabler too. Conversely, poor stakeholder coordination, insufficient human resources, donor interference and lack of political will emerged as barriers to policy formulation. An enabling health research environment is critical for policy formulation. Although health research mechanisms exist in Zambia, scientific evidence utilization for policy formulation remains low. It is crucial to mainstream research within the MoH and health institutions, hold regular stakeholder meetings, and ensure consistent government funding to priority research, thereby enhancing KT mechanisms and supporting progress towards evidence based policy formulation.</w:t>
      </w:r>
    </w:p>
    <w:p w14:paraId="5044795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25-A-3431-ASTMH</w:t>
      </w:r>
    </w:p>
    <w:p w14:paraId="6DF1116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543622E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Establishing reference ranges for low, moderate, and high malaria exposure based on Anti-Schizont antibodies in individuals residing in malaria endemic regions</w:t>
      </w:r>
    </w:p>
    <w:p w14:paraId="3BE569C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Introduction-</w:t>
      </w:r>
      <w:r w:rsidRPr="008E7DCB">
        <w:rPr>
          <w:rFonts w:ascii="Calibri" w:eastAsia="Times New Roman" w:hAnsi="Calibri" w:cs="Calibri"/>
          <w:color w:val="000000"/>
          <w:kern w:val="0"/>
          <w:sz w:val="22"/>
          <w:szCs w:val="22"/>
          <w14:ligatures w14:val="none"/>
        </w:rPr>
        <w:t>Pre-existing immunity to malaria influence both parasite multiplication rates and the immune response to vaccine candidates, complicating the evaluation of vaccine efficacy in endemic regions. The controlled human malaria infection (CHMI) model provides a practical and cost-effective method to assess both novel malaria vaccines and naturally acquired immunity in adults from malaria-endemic areas. However, accurately determining prior malaria exposure remains a challenge, as this factor significantly influences parasite growth rates. Total anti-schizont antibody levels have been identified as a key serological marker of malaria exposure. This study aimed to establish the distribution of malaria exposure in Bagamoyo, Tanzania, and develop reference ranges for low and high exposure phenotypes. </w:t>
      </w:r>
      <w:r w:rsidRPr="008E7DCB">
        <w:rPr>
          <w:rFonts w:ascii="Calibri" w:eastAsia="Times New Roman" w:hAnsi="Calibri" w:cs="Calibri"/>
          <w:b/>
          <w:bCs/>
          <w:color w:val="000000"/>
          <w:kern w:val="0"/>
          <w:sz w:val="22"/>
          <w:szCs w:val="22"/>
          <w14:ligatures w14:val="none"/>
        </w:rPr>
        <w:t>Materials and Methods-</w:t>
      </w:r>
      <w:r w:rsidRPr="008E7DCB">
        <w:rPr>
          <w:rFonts w:ascii="Calibri" w:eastAsia="Times New Roman" w:hAnsi="Calibri" w:cs="Calibri"/>
          <w:color w:val="000000"/>
          <w:kern w:val="0"/>
          <w:sz w:val="22"/>
          <w:szCs w:val="22"/>
          <w14:ligatures w14:val="none"/>
        </w:rPr>
        <w:t>A pilot serological survey was conducted with 122 individuals residing in the Bagamoyo district to assess the population distribution of anti-schizont antibodies (measured in AU). The mean and median AU values were calculated, and the 75th and 25th percentiles (95% CI) were used to classify participants into low, moderate, and high malaria exposure categories. These percentiles formed the thresholds to assign individuals to their respective exposure groups. The established anti-schizont antibody ranges will be used to compare vaccine-induced antibody responses in participants enrolled in a randomized, controlled, double-blind, parallel-group, Phase 1b trial of a full-length merozoite surface protein 1 (MSP1) vaccine formulated with GLA-SE adjuvant in malaria-exposed adults.</w:t>
      </w:r>
      <w:r w:rsidRPr="008E7DCB">
        <w:rPr>
          <w:rFonts w:ascii="Calibri" w:eastAsia="Times New Roman" w:hAnsi="Calibri" w:cs="Calibri"/>
          <w:b/>
          <w:bCs/>
          <w:color w:val="000000"/>
          <w:kern w:val="0"/>
          <w:sz w:val="22"/>
          <w:szCs w:val="22"/>
          <w14:ligatures w14:val="none"/>
        </w:rPr>
        <w:t>Results and Conclusion-</w:t>
      </w:r>
      <w:r w:rsidRPr="008E7DCB">
        <w:rPr>
          <w:rFonts w:ascii="Calibri" w:eastAsia="Times New Roman" w:hAnsi="Calibri" w:cs="Calibri"/>
          <w:color w:val="000000"/>
          <w:kern w:val="0"/>
          <w:sz w:val="22"/>
          <w:szCs w:val="22"/>
          <w14:ligatures w14:val="none"/>
        </w:rPr>
        <w:t>The point estimates for anti-schizont antibody levels (AU) in low, moderate, and high transmission settings were 174.0 (95% CI: 72.8-330.7), 743.2 (95% CI: 439.3-1105.5), and 1650.3 (95% CI: 1342.4-3709.5), respectively. These data provide reference ranges for malaria exposure and will be used to evaluate the influence of baseline anti-schizont antibodies on vaccine-induced antibody responses.</w:t>
      </w:r>
    </w:p>
    <w:p w14:paraId="6B1704A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25-A-3433-ASTMH</w:t>
      </w:r>
    </w:p>
    <w:p w14:paraId="6D1A57F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Respiratory Infections</w:t>
      </w:r>
    </w:p>
    <w:p w14:paraId="26AD0B0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Understanding RSV Vaccine Acceptability in Pakistan: A Public Health Perspective</w:t>
      </w:r>
    </w:p>
    <w:p w14:paraId="578CC7D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Severe RSV pneumonia in infants and young children is a major public health concern particularly in low- and middle-income countries (LMICs). The burden is exacerbated by declining immunization rates in the aftermath of the COVID-19 pandemic. RSV vaccine introduction is critical, however its implementation and introduction into the health system requires an understanding of its acceptability.This qualitative study examines perceptions, barriers, and enablers of RSV vaccine uptake in Pakistan, offering key insights for its integration into routine public health programs."This exploratory qualitative study was conducted at four sites in Karachi (urban) and Matiari (rural) in Sindh province. Each site included a health facility and its surrounding community. Using the Theoretical Framework of Acceptability, semi-structured interview guides aimed to assess the acceptability of RSV vaccination. 28 focus group discussions and 35 in-depth interviews were held with various stakeholders, including health ministry, Extended Program on Immunization (EPI) , doctors, community health workers, community leaders, pregnant women or those with a child under two, their husbands, and mothers-in-law. Data collection ended upon reaching data saturation. </w:t>
      </w:r>
      <w:r w:rsidRPr="008E7DCB">
        <w:rPr>
          <w:rFonts w:ascii="Calibri" w:eastAsia="Times New Roman" w:hAnsi="Calibri" w:cs="Calibri"/>
          <w:b/>
          <w:bCs/>
          <w:color w:val="000000"/>
          <w:kern w:val="0"/>
          <w:sz w:val="22"/>
          <w:szCs w:val="22"/>
          <w14:ligatures w14:val="none"/>
        </w:rPr>
        <w:t>Interim results</w:t>
      </w:r>
      <w:r w:rsidRPr="008E7DCB">
        <w:rPr>
          <w:rFonts w:ascii="Calibri" w:eastAsia="Times New Roman" w:hAnsi="Calibri" w:cs="Calibri"/>
          <w:color w:val="000000"/>
          <w:kern w:val="0"/>
          <w:sz w:val="22"/>
          <w:szCs w:val="22"/>
          <w14:ligatures w14:val="none"/>
        </w:rPr>
        <w:t> reveal that while the community understands pneumonia symptoms, </w:t>
      </w:r>
      <w:r w:rsidRPr="008E7DCB">
        <w:rPr>
          <w:rFonts w:ascii="Calibri" w:eastAsia="Times New Roman" w:hAnsi="Calibri" w:cs="Calibri"/>
          <w:b/>
          <w:bCs/>
          <w:color w:val="000000"/>
          <w:kern w:val="0"/>
          <w:sz w:val="22"/>
          <w:szCs w:val="22"/>
          <w14:ligatures w14:val="none"/>
        </w:rPr>
        <w:t>RSV awareness</w:t>
      </w:r>
      <w:r w:rsidRPr="008E7DCB">
        <w:rPr>
          <w:rFonts w:ascii="Calibri" w:eastAsia="Times New Roman" w:hAnsi="Calibri" w:cs="Calibri"/>
          <w:color w:val="000000"/>
          <w:kern w:val="0"/>
          <w:sz w:val="22"/>
          <w:szCs w:val="22"/>
          <w14:ligatures w14:val="none"/>
        </w:rPr>
        <w:t> remains limited. Many </w:t>
      </w:r>
      <w:r w:rsidRPr="008E7DCB">
        <w:rPr>
          <w:rFonts w:ascii="Calibri" w:eastAsia="Times New Roman" w:hAnsi="Calibri" w:cs="Calibri"/>
          <w:b/>
          <w:bCs/>
          <w:color w:val="000000"/>
          <w:kern w:val="0"/>
          <w:sz w:val="22"/>
          <w:szCs w:val="22"/>
          <w14:ligatures w14:val="none"/>
        </w:rPr>
        <w:t>mothers support the RSV vaccine</w:t>
      </w:r>
      <w:r w:rsidRPr="008E7DCB">
        <w:rPr>
          <w:rFonts w:ascii="Calibri" w:eastAsia="Times New Roman" w:hAnsi="Calibri" w:cs="Calibri"/>
          <w:color w:val="000000"/>
          <w:kern w:val="0"/>
          <w:sz w:val="22"/>
          <w:szCs w:val="22"/>
          <w14:ligatures w14:val="none"/>
        </w:rPr>
        <w:t>, though hesitations stem from </w:t>
      </w:r>
      <w:r w:rsidRPr="008E7DCB">
        <w:rPr>
          <w:rFonts w:ascii="Calibri" w:eastAsia="Times New Roman" w:hAnsi="Calibri" w:cs="Calibri"/>
          <w:b/>
          <w:bCs/>
          <w:color w:val="000000"/>
          <w:kern w:val="0"/>
          <w:sz w:val="22"/>
          <w:szCs w:val="22"/>
          <w14:ligatures w14:val="none"/>
        </w:rPr>
        <w:t>misinformation</w:t>
      </w:r>
      <w:r w:rsidRPr="008E7DCB">
        <w:rPr>
          <w:rFonts w:ascii="Calibri" w:eastAsia="Times New Roman" w:hAnsi="Calibri" w:cs="Calibri"/>
          <w:color w:val="000000"/>
          <w:kern w:val="0"/>
          <w:sz w:val="22"/>
          <w:szCs w:val="22"/>
          <w14:ligatures w14:val="none"/>
        </w:rPr>
        <w:t> and fears linked to past vaccinations (e.g., COVID-19). </w:t>
      </w:r>
      <w:r w:rsidRPr="008E7DCB">
        <w:rPr>
          <w:rFonts w:ascii="Calibri" w:eastAsia="Times New Roman" w:hAnsi="Calibri" w:cs="Calibri"/>
          <w:b/>
          <w:bCs/>
          <w:color w:val="000000"/>
          <w:kern w:val="0"/>
          <w:sz w:val="22"/>
          <w:szCs w:val="22"/>
          <w14:ligatures w14:val="none"/>
        </w:rPr>
        <w:t>Trust in healthcare professionals</w:t>
      </w:r>
      <w:r w:rsidRPr="008E7DCB">
        <w:rPr>
          <w:rFonts w:ascii="Calibri" w:eastAsia="Times New Roman" w:hAnsi="Calibri" w:cs="Calibri"/>
          <w:color w:val="000000"/>
          <w:kern w:val="0"/>
          <w:sz w:val="22"/>
          <w:szCs w:val="22"/>
          <w14:ligatures w14:val="none"/>
        </w:rPr>
        <w:t> is strong, but </w:t>
      </w:r>
      <w:r w:rsidRPr="008E7DCB">
        <w:rPr>
          <w:rFonts w:ascii="Calibri" w:eastAsia="Times New Roman" w:hAnsi="Calibri" w:cs="Calibri"/>
          <w:b/>
          <w:bCs/>
          <w:color w:val="000000"/>
          <w:kern w:val="0"/>
          <w:sz w:val="22"/>
          <w:szCs w:val="22"/>
          <w14:ligatures w14:val="none"/>
        </w:rPr>
        <w:t>social media</w:t>
      </w:r>
      <w:r w:rsidRPr="008E7DCB">
        <w:rPr>
          <w:rFonts w:ascii="Calibri" w:eastAsia="Times New Roman" w:hAnsi="Calibri" w:cs="Calibri"/>
          <w:color w:val="000000"/>
          <w:kern w:val="0"/>
          <w:sz w:val="22"/>
          <w:szCs w:val="22"/>
          <w14:ligatures w14:val="none"/>
        </w:rPr>
        <w:t> influences opinions, especially among the less educated. </w:t>
      </w:r>
      <w:r w:rsidRPr="008E7DCB">
        <w:rPr>
          <w:rFonts w:ascii="Calibri" w:eastAsia="Times New Roman" w:hAnsi="Calibri" w:cs="Calibri"/>
          <w:b/>
          <w:bCs/>
          <w:color w:val="000000"/>
          <w:kern w:val="0"/>
          <w:sz w:val="22"/>
          <w:szCs w:val="22"/>
          <w14:ligatures w14:val="none"/>
        </w:rPr>
        <w:t>Cultural and religious beliefs</w:t>
      </w:r>
      <w:r w:rsidRPr="008E7DCB">
        <w:rPr>
          <w:rFonts w:ascii="Calibri" w:eastAsia="Times New Roman" w:hAnsi="Calibri" w:cs="Calibri"/>
          <w:color w:val="000000"/>
          <w:kern w:val="0"/>
          <w:sz w:val="22"/>
          <w:szCs w:val="22"/>
          <w14:ligatures w14:val="none"/>
        </w:rPr>
        <w:t> also shape decisions, with some opposing vaccines. </w:t>
      </w:r>
      <w:r w:rsidRPr="008E7DCB">
        <w:rPr>
          <w:rFonts w:ascii="Calibri" w:eastAsia="Times New Roman" w:hAnsi="Calibri" w:cs="Calibri"/>
          <w:b/>
          <w:bCs/>
          <w:color w:val="000000"/>
          <w:kern w:val="0"/>
          <w:sz w:val="22"/>
          <w:szCs w:val="22"/>
          <w14:ligatures w14:val="none"/>
        </w:rPr>
        <w:t>Financial barriers</w:t>
      </w:r>
      <w:r w:rsidRPr="008E7DCB">
        <w:rPr>
          <w:rFonts w:ascii="Calibri" w:eastAsia="Times New Roman" w:hAnsi="Calibri" w:cs="Calibri"/>
          <w:color w:val="000000"/>
          <w:kern w:val="0"/>
          <w:sz w:val="22"/>
          <w:szCs w:val="22"/>
          <w14:ligatures w14:val="none"/>
        </w:rPr>
        <w:t> highlight the need for </w:t>
      </w:r>
      <w:r w:rsidRPr="008E7DCB">
        <w:rPr>
          <w:rFonts w:ascii="Calibri" w:eastAsia="Times New Roman" w:hAnsi="Calibri" w:cs="Calibri"/>
          <w:b/>
          <w:bCs/>
          <w:color w:val="000000"/>
          <w:kern w:val="0"/>
          <w:sz w:val="22"/>
          <w:szCs w:val="22"/>
          <w14:ligatures w14:val="none"/>
        </w:rPr>
        <w:t>affordable or free vaccines</w:t>
      </w:r>
      <w:r w:rsidRPr="008E7DCB">
        <w:rPr>
          <w:rFonts w:ascii="Calibri" w:eastAsia="Times New Roman" w:hAnsi="Calibri" w:cs="Calibri"/>
          <w:color w:val="000000"/>
          <w:kern w:val="0"/>
          <w:sz w:val="22"/>
          <w:szCs w:val="22"/>
          <w14:ligatures w14:val="none"/>
        </w:rPr>
        <w:t>, while </w:t>
      </w:r>
      <w:r w:rsidRPr="008E7DCB">
        <w:rPr>
          <w:rFonts w:ascii="Calibri" w:eastAsia="Times New Roman" w:hAnsi="Calibri" w:cs="Calibri"/>
          <w:b/>
          <w:bCs/>
          <w:color w:val="000000"/>
          <w:kern w:val="0"/>
          <w:sz w:val="22"/>
          <w:szCs w:val="22"/>
          <w14:ligatures w14:val="none"/>
        </w:rPr>
        <w:t>proximity to clinics</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b/>
          <w:bCs/>
          <w:color w:val="000000"/>
          <w:kern w:val="0"/>
          <w:sz w:val="22"/>
          <w:szCs w:val="22"/>
          <w14:ligatures w14:val="none"/>
        </w:rPr>
        <w:t>routine vaccine inclusion</w:t>
      </w:r>
      <w:r w:rsidRPr="008E7DCB">
        <w:rPr>
          <w:rFonts w:ascii="Calibri" w:eastAsia="Times New Roman" w:hAnsi="Calibri" w:cs="Calibri"/>
          <w:color w:val="000000"/>
          <w:kern w:val="0"/>
          <w:sz w:val="22"/>
          <w:szCs w:val="22"/>
          <w14:ligatures w14:val="none"/>
        </w:rPr>
        <w:t> could boost uptake ..</w:t>
      </w:r>
      <w:r w:rsidRPr="008E7DCB">
        <w:rPr>
          <w:rFonts w:ascii="Calibri" w:eastAsia="Times New Roman" w:hAnsi="Calibri" w:cs="Calibri"/>
          <w:b/>
          <w:bCs/>
          <w:color w:val="000000"/>
          <w:kern w:val="0"/>
          <w:sz w:val="22"/>
          <w:szCs w:val="22"/>
          <w14:ligatures w14:val="none"/>
        </w:rPr>
        <w:t>Conclusions: </w:t>
      </w:r>
      <w:r w:rsidRPr="008E7DCB">
        <w:rPr>
          <w:rFonts w:ascii="Calibri" w:eastAsia="Times New Roman" w:hAnsi="Calibri" w:cs="Calibri"/>
          <w:color w:val="000000"/>
          <w:kern w:val="0"/>
          <w:sz w:val="22"/>
          <w:szCs w:val="22"/>
          <w14:ligatures w14:val="none"/>
        </w:rPr>
        <w:t>Culturally sensitive communication on RSV vaccination is essential. Strengthening trust with local health workers and aligning with routine immunization could enhance uptake. As analysis continues, clearer insights for increasing vaccine acceptability will follow.</w:t>
      </w:r>
    </w:p>
    <w:p w14:paraId="4EDC253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25-A-3434-ASTMH</w:t>
      </w:r>
    </w:p>
    <w:p w14:paraId="6E8D07E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Emerging Viral Diseases</w:t>
      </w:r>
    </w:p>
    <w:p w14:paraId="3374D6A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Evidence of circulation of multiple endemic arboviruses in humans based on syndromic sentinel surveillance in Senegal</w:t>
      </w:r>
    </w:p>
    <w:p w14:paraId="245A8A7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African continent faces regular epidemics due to emerging pathogens, including arboviruses such as Dengue (DENV), Chikungunya (CHIKV), Rift Valley fever virus (RVFV) and Crimean Congo hemorrhagic fever virus (CCHFV), that are challenging for our vulnerable health systems. This is mainly due to the overlap in Africa between low preparedness and high risk of disease emergence. It is therefore important to strengthen surveillance in endemic areas for early detection of pathogens and implementation of efficient control measures. We used sentinel syndromic surveillance in 8 regions with different ecological patterns in Senegal. Patients were enrolled between April, 2021 and April, 2024 and collected biological specimens were analyzed with molecular and serological tests for different arboviruses (yellow fever, DENV, CHIKV, West Nile, Zika, RVFV and CCHFV). Next Generation Sequencing was also performed for genetic characterization of the viruses. About 1200 patients aged between 22 months to 70 years were sampled. The analyses showed the detection in Senegal of all tested arboviruses, mainly during the rainy season. Indeed, we detected 3 Dengue outbreaks, 1 Chikungunya outbreak and many sporadic cases of the other viruses including CCHFV and RVFV. Genetic characterization showed the circulation of 3 Dengue serotypes (1, 2 and 3), the Chikungunya West African genotype, a new RVFV lineage and multiple CCHF genotypes (I, II, and II) with reassortment events. Our results also highlighted virus introduction to Senegal from different countries. These results showed the importance of sentinel syndromic surveillance approach with the detection of multiple arboviruses with medical and veterinary interest in Senegal. This calls for enhancement of sentinel surveillance in humans as well as its implementation in animals and arthropods for timely detection of pathogens. Our results also called for a pan African arbovirus surveillance for better disease surveillance and control.</w:t>
      </w:r>
    </w:p>
    <w:p w14:paraId="407F0F5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25-A-3435-ASTMH</w:t>
      </w:r>
    </w:p>
    <w:p w14:paraId="657C25B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66C0B92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Driving data quality in Nigeria Primary Health Care Centers: A Fogg behavior model approach</w:t>
      </w:r>
    </w:p>
    <w:p w14:paraId="0A8BB97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African Field Epidemiology Network with funding from the Gates Foundation and in collaboration with the Federal Ministry of Health, National Primary Health Care Development Agency and partners implemented the Strengthening Data Quality to Improve Immunization and PHC Program Performance project using a non-traditional (behavioral) approach in improving data quality.</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The project was implemented in Bauchi, Borno, Kaduna, Kano, Sokoto, and Yobe states with the adoption of the Fogg Behavioral Model. Ward data quality ambassadors and National Youth Service Corps were deployed during implementation. Behavioral assessment done using semi structured questionnaire to assess motivation, knowledge, attitude, and practice of healthcare workers (HCWs) and association of motivation and ability with PHC data quality, reliability and validity of questions done using the Cronbach’s alpha test. We tested the relationship between levels of motivation and ability and data quality at baseline, midline and endline. Analysis was conducted using STATA version 15 with level of statistical significance at p-value &lt;0.05. A total of 3,192, 3,204 and 3,200 frontline HCWs were enrolled in baseline, midline, and endline assessments. High motivation was observed from baseline to endline [1570 (49.17%); 1986 (62%); 2064 (64.51%)], and high ability [2129 (66.70%); 2298 (71.73%); 2628 (82.13%). Proportion of frontline HCWs from baseline to endline; low motivation low ability (19%; 16%; 15%), low motivation and high ability (31%, 22%, 21%), high motivation low ability (14%, 13%, 3%) and high motivation and high ability (35%, 49%, 61%). Association between motivation, ability and data quality was statistically significant. This study demonstrates the effectiveness of a behavior change intervention in improving data quality in Nigeria's PHC centers. The intervention has the potential to inform future efforts to strengthen health information systems and improve public health outcomes in low-resource settings globally.</w:t>
      </w:r>
    </w:p>
    <w:p w14:paraId="2D56580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25-A-3436-ASTMH</w:t>
      </w:r>
    </w:p>
    <w:p w14:paraId="647BE9E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Respiratory Infections</w:t>
      </w:r>
    </w:p>
    <w:p w14:paraId="00C9D35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Estimating Indirect Protection Against COVID-19: A Virtual Cluster Analysis of Sinopharm Vaccine Effectiveness in Mozambique</w:t>
      </w:r>
    </w:p>
    <w:p w14:paraId="59BE34F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SARS-CoV-2 infection has led to significant morbidity and mortality worldwide. In sub-Saharan Africa, inadequate disease surveillance has hindered accurate assessment of the COVID-19 burden. The ECOVA family of studies was conducted in Mozambique to address this gap by estimating the local burden of symptomatic SARS-CoV-2 infection and assessing the effectiveness of large-scale immunization campaigns using the Sinopharm vaccine. This analysis used a virtual cluster design (VCD) to estimate indirect vaccine effectiveness in a real-world setting. Following a mass vaccination campaign, prospective healthcare-facility-based surveillance was conducted to detect RT-PCR confirmed symptomatic SARS-CoV-2 cases. Participants were enrolled through two household censuses, which gathered demographic, behavioral, health, and vaccination data. Due to evidence of selection bias in vaccination uptake, direct effects could not be estimated. Instead, a data-driven approach determined the optimal radius for the virtual clusters, and grouped logistic regression was used to compare the odds of symptomatic infection after exposure to fully versus not fully immunized individuals. Among 230,715 participants living in 46,989 unique locations, 22.7% were fully immunized at baseline. By study end, 34.1% had received at least one vaccine dose, and 25.2% were fully immunized. Full immunization with Sinopharm reduced the odds of SARS-CoV-2 transmission by 28.1% (95% CI: 17.7-37.1%). When considering any SARS-CoV-2 vaccine, the reduction was 33.0% (95% CI: 18.7-44.8%). These findings suggest that COVID-19 vaccination offers measurable indirect protection in low-resource settings. Data-driven approaches in virtual cluster designs can enhance real-world vaccine effectiveness evaluations by reducing reliance on fixed assumptions.</w:t>
      </w:r>
    </w:p>
    <w:p w14:paraId="710362B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25-A-3437-ASTMH</w:t>
      </w:r>
    </w:p>
    <w:p w14:paraId="29EFE4F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7330D9A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lastRenderedPageBreak/>
        <w:t>Point-of-care Compatible Multiplex/Multi Parallel Molecular Diagnostics for Skin Neglected Tropical Diseases</w:t>
      </w:r>
    </w:p>
    <w:p w14:paraId="341C009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Background:</w:t>
      </w:r>
      <w:r w:rsidRPr="008E7DCB">
        <w:rPr>
          <w:rFonts w:ascii="Calibri" w:eastAsia="Times New Roman" w:hAnsi="Calibri" w:cs="Calibri"/>
          <w:color w:val="000000"/>
          <w:kern w:val="0"/>
          <w:sz w:val="22"/>
          <w:szCs w:val="22"/>
          <w14:ligatures w14:val="none"/>
        </w:rPr>
        <w:t> Skin neglected tropical diseases (NTDs) are among the leading causes of illness and disability globally, with early and accurate diagnosis being crucial to prevent lifelong deformities. Despite their diverse etiologies, many skin NTDs share overlapping clinical and diagnostic pathways, creating opportunities for integrated diagnostic strategies. Point-of-care, multiplex diagnostic platforms are particularly valuable in resource-limited, endemic regions. </w:t>
      </w:r>
      <w:r w:rsidRPr="008E7DCB">
        <w:rPr>
          <w:rFonts w:ascii="Calibri" w:eastAsia="Times New Roman" w:hAnsi="Calibri" w:cs="Calibri"/>
          <w:b/>
          <w:bCs/>
          <w:color w:val="000000"/>
          <w:kern w:val="0"/>
          <w:sz w:val="22"/>
          <w:szCs w:val="22"/>
          <w14:ligatures w14:val="none"/>
        </w:rPr>
        <w:t>Methods:</w:t>
      </w:r>
      <w:r w:rsidRPr="008E7DCB">
        <w:rPr>
          <w:rFonts w:ascii="Calibri" w:eastAsia="Times New Roman" w:hAnsi="Calibri" w:cs="Calibri"/>
          <w:color w:val="000000"/>
          <w:kern w:val="0"/>
          <w:sz w:val="22"/>
          <w:szCs w:val="22"/>
          <w14:ligatures w14:val="none"/>
        </w:rPr>
        <w:t> We developed and evaluated a dried reagent-based, multiplex PCR assay integrated with the portable, battery-operated Biomeme qPCR system. This system was designed for point-of-care use and tested for the detection of Buruli ulcer (BU) and leprosy across six countries: India, Nepal, Democratic Republic of Congo, Cameroon, Ghana, and the United States. </w:t>
      </w:r>
      <w:r w:rsidRPr="008E7DCB">
        <w:rPr>
          <w:rFonts w:ascii="Calibri" w:eastAsia="Times New Roman" w:hAnsi="Calibri" w:cs="Calibri"/>
          <w:b/>
          <w:bCs/>
          <w:color w:val="000000"/>
          <w:kern w:val="0"/>
          <w:sz w:val="22"/>
          <w:szCs w:val="22"/>
          <w14:ligatures w14:val="none"/>
        </w:rPr>
        <w:t>Results:</w:t>
      </w:r>
      <w:r w:rsidRPr="008E7DCB">
        <w:rPr>
          <w:rFonts w:ascii="Calibri" w:eastAsia="Times New Roman" w:hAnsi="Calibri" w:cs="Calibri"/>
          <w:color w:val="000000"/>
          <w:kern w:val="0"/>
          <w:sz w:val="22"/>
          <w:szCs w:val="22"/>
          <w14:ligatures w14:val="none"/>
        </w:rPr>
        <w:t> BU assays were optimized and validated at centers in Ghana and Cameroon, while leprosy assays were developed in India and the U.S. For leprosy, the Biomeme qPCR system showed an average cycle threshold (CT) of 28.12 in confirmed cases, 33.86 in household contacts, and 36.13 in uninfected controls. Statistical analysis using the Kruskal-Wallis test yielded a highly significant p-value (p = 1.632 × 10⁻¹⁰), demonstrating the assay's ability to differentiate between infection statuses. For BU, the assay achieved an average sensitivity of 98% and specificity of 96%. </w:t>
      </w:r>
      <w:r w:rsidRPr="008E7DCB">
        <w:rPr>
          <w:rFonts w:ascii="Calibri" w:eastAsia="Times New Roman" w:hAnsi="Calibri" w:cs="Calibri"/>
          <w:b/>
          <w:bCs/>
          <w:color w:val="000000"/>
          <w:kern w:val="0"/>
          <w:sz w:val="22"/>
          <w:szCs w:val="22"/>
          <w14:ligatures w14:val="none"/>
        </w:rPr>
        <w:t>Conclusions:</w:t>
      </w:r>
      <w:r w:rsidRPr="008E7DCB">
        <w:rPr>
          <w:rFonts w:ascii="Calibri" w:eastAsia="Times New Roman" w:hAnsi="Calibri" w:cs="Calibri"/>
          <w:color w:val="000000"/>
          <w:kern w:val="0"/>
          <w:sz w:val="22"/>
          <w:szCs w:val="22"/>
          <w14:ligatures w14:val="none"/>
        </w:rPr>
        <w:t> The Biomeme multiplex qPCR platform demonstrates strong potential as a field-deployable, point-of-care diagnostic for integrated detection of skin NTDs. Its high sensitivity, specificity, and usability in decentralized settings support broader implementation in endemic regions to improve early detection and case management.</w:t>
      </w:r>
    </w:p>
    <w:p w14:paraId="3150728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25-A-3438-ASTMH</w:t>
      </w:r>
    </w:p>
    <w:p w14:paraId="7647A48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Molecular Biology, Population Genetics and Genomics</w:t>
      </w:r>
    </w:p>
    <w:p w14:paraId="357F9AF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Malaria Vector Genome Observatory - data and tools to support genomic surveillance and vector control of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mosquitoes</w:t>
      </w:r>
    </w:p>
    <w:p w14:paraId="7B680FE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As vector control efforts intensify and diversify across Sub-Saharan Africa, and new cost-effective molecular technologies emerge, it is critical to accelerate the generation, integration, and sharing of genomic insights to enable the early detection and characterisation of emerging evolutionary threats to malaria vector control before intervention failure occurs. This presentation will delve into the impact of the Malaria Genome Vector Observatory (VObs) as a model for equitable data access and integrated genomic surveillance, describing the potential for its use across other disease vectors. Curating high-quality genetic variation whole-genome sequence data from over 25,000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mosquitoes across 31 African countries; VObs provides an open platform for integrating diverse datasets while lowering technical barriers for population and epidemiological analyses. We will highlight the expansion of the resource to include data from diverse studies of African mosquitoes, including from projects focused on surveillance across regions where vector control interventions are having diminished effects. Alongside, we will present how data from new vector species has been integrated into the resource. Notably, collaborations with the Controlling emergent </w:t>
      </w:r>
      <w:r w:rsidRPr="008E7DCB">
        <w:rPr>
          <w:rFonts w:ascii="Calibri" w:eastAsia="Times New Roman" w:hAnsi="Calibri" w:cs="Calibri"/>
          <w:i/>
          <w:iCs/>
          <w:color w:val="000000"/>
          <w:kern w:val="0"/>
          <w:sz w:val="22"/>
          <w:szCs w:val="22"/>
          <w14:ligatures w14:val="none"/>
        </w:rPr>
        <w:t>Anopheles stephensi </w:t>
      </w:r>
      <w:r w:rsidRPr="008E7DCB">
        <w:rPr>
          <w:rFonts w:ascii="Calibri" w:eastAsia="Times New Roman" w:hAnsi="Calibri" w:cs="Calibri"/>
          <w:color w:val="000000"/>
          <w:kern w:val="0"/>
          <w:sz w:val="22"/>
          <w:szCs w:val="22"/>
          <w14:ligatures w14:val="none"/>
        </w:rPr>
        <w:t>in Ethiopia and Sudan (CEASE) and the </w:t>
      </w:r>
      <w:r w:rsidRPr="008E7DCB">
        <w:rPr>
          <w:rFonts w:ascii="Calibri" w:eastAsia="Times New Roman" w:hAnsi="Calibri" w:cs="Calibri"/>
          <w:i/>
          <w:iCs/>
          <w:color w:val="000000"/>
          <w:kern w:val="0"/>
          <w:sz w:val="22"/>
          <w:szCs w:val="22"/>
          <w14:ligatures w14:val="none"/>
        </w:rPr>
        <w:t>Anopheles darlingi </w:t>
      </w:r>
      <w:r w:rsidRPr="008E7DCB">
        <w:rPr>
          <w:rFonts w:ascii="Calibri" w:eastAsia="Times New Roman" w:hAnsi="Calibri" w:cs="Calibri"/>
          <w:color w:val="000000"/>
          <w:kern w:val="0"/>
          <w:sz w:val="22"/>
          <w:szCs w:val="22"/>
          <w14:ligatures w14:val="none"/>
        </w:rPr>
        <w:t>1000 Genomes (Adar1000G) project have enabled the integration of </w:t>
      </w:r>
      <w:r w:rsidRPr="008E7DCB">
        <w:rPr>
          <w:rFonts w:ascii="Calibri" w:eastAsia="Times New Roman" w:hAnsi="Calibri" w:cs="Calibri"/>
          <w:i/>
          <w:iCs/>
          <w:color w:val="000000"/>
          <w:kern w:val="0"/>
          <w:sz w:val="22"/>
          <w:szCs w:val="22"/>
          <w14:ligatures w14:val="none"/>
        </w:rPr>
        <w:t>An. stephensi </w:t>
      </w:r>
      <w:r w:rsidRPr="008E7DCB">
        <w:rPr>
          <w:rFonts w:ascii="Calibri" w:eastAsia="Times New Roman" w:hAnsi="Calibri" w:cs="Calibri"/>
          <w:color w:val="000000"/>
          <w:kern w:val="0"/>
          <w:sz w:val="22"/>
          <w:szCs w:val="22"/>
          <w14:ligatures w14:val="none"/>
        </w:rPr>
        <w:t>and </w:t>
      </w:r>
      <w:r w:rsidRPr="008E7DCB">
        <w:rPr>
          <w:rFonts w:ascii="Calibri" w:eastAsia="Times New Roman" w:hAnsi="Calibri" w:cs="Calibri"/>
          <w:i/>
          <w:iCs/>
          <w:color w:val="000000"/>
          <w:kern w:val="0"/>
          <w:sz w:val="22"/>
          <w:szCs w:val="22"/>
          <w14:ligatures w14:val="none"/>
        </w:rPr>
        <w:t>An. darlingi</w:t>
      </w:r>
      <w:r w:rsidRPr="008E7DCB">
        <w:rPr>
          <w:rFonts w:ascii="Calibri" w:eastAsia="Times New Roman" w:hAnsi="Calibri" w:cs="Calibri"/>
          <w:color w:val="000000"/>
          <w:kern w:val="0"/>
          <w:sz w:val="22"/>
          <w:szCs w:val="22"/>
          <w14:ligatures w14:val="none"/>
        </w:rPr>
        <w:t> samples. Furthermore, additional efforts are ongoing to further integrate data from Asian vectors, focusing on</w:t>
      </w:r>
      <w:r w:rsidRPr="008E7DCB">
        <w:rPr>
          <w:rFonts w:ascii="Calibri" w:eastAsia="Times New Roman" w:hAnsi="Calibri" w:cs="Calibri"/>
          <w:i/>
          <w:iCs/>
          <w:color w:val="000000"/>
          <w:kern w:val="0"/>
          <w:sz w:val="22"/>
          <w:szCs w:val="22"/>
          <w14:ligatures w14:val="none"/>
        </w:rPr>
        <w:t> An. minimus </w:t>
      </w:r>
      <w:r w:rsidRPr="008E7DCB">
        <w:rPr>
          <w:rFonts w:ascii="Calibri" w:eastAsia="Times New Roman" w:hAnsi="Calibri" w:cs="Calibri"/>
          <w:color w:val="000000"/>
          <w:kern w:val="0"/>
          <w:sz w:val="22"/>
          <w:szCs w:val="22"/>
          <w14:ligatures w14:val="none"/>
        </w:rPr>
        <w:t>and </w:t>
      </w:r>
      <w:r w:rsidRPr="008E7DCB">
        <w:rPr>
          <w:rFonts w:ascii="Calibri" w:eastAsia="Times New Roman" w:hAnsi="Calibri" w:cs="Calibri"/>
          <w:i/>
          <w:iCs/>
          <w:color w:val="000000"/>
          <w:kern w:val="0"/>
          <w:sz w:val="22"/>
          <w:szCs w:val="22"/>
          <w14:ligatures w14:val="none"/>
        </w:rPr>
        <w:t>An. dirus</w:t>
      </w:r>
      <w:r w:rsidRPr="008E7DCB">
        <w:rPr>
          <w:rFonts w:ascii="Calibri" w:eastAsia="Times New Roman" w:hAnsi="Calibri" w:cs="Calibri"/>
          <w:color w:val="000000"/>
          <w:kern w:val="0"/>
          <w:sz w:val="22"/>
          <w:szCs w:val="22"/>
          <w14:ligatures w14:val="none"/>
        </w:rPr>
        <w:t>. Alongside these comprehensive data, VObs provides tools within a robust and scalable cloud-native ecosystem designed to facilitate access to a baseline of genetic variation data and to accelerate analysis efforts across a wide-range of settings. We have incorporated new functionality to reduce potential analyses bias across different studies, together with advanced analysis capabilities, such as diplotype clustering and the generation of automated insecticide resistance alerts.</w:t>
      </w:r>
    </w:p>
    <w:p w14:paraId="6236F08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25-A-3439-ASTMH</w:t>
      </w:r>
    </w:p>
    <w:p w14:paraId="70B63C3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1A2FF2C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lastRenderedPageBreak/>
        <w:t>Superior functional humoral immunogenicity of blood-stage malaria vaccine candidates when given in a delayed third-dose (as compared to monthly) regimen and when targeting three proteins in the </w:t>
      </w:r>
      <w:r w:rsidRPr="008E7DCB">
        <w:rPr>
          <w:rFonts w:ascii="Calibri" w:eastAsia="Times New Roman" w:hAnsi="Calibri" w:cs="Calibri"/>
          <w:b/>
          <w:bCs/>
          <w:i/>
          <w:iCs/>
          <w:color w:val="000000"/>
          <w:kern w:val="0"/>
          <w:sz w:val="22"/>
          <w:szCs w:val="22"/>
          <w14:ligatures w14:val="none"/>
        </w:rPr>
        <w:t>Plasmodium falciparum</w:t>
      </w:r>
      <w:r w:rsidRPr="008E7DCB">
        <w:rPr>
          <w:rFonts w:ascii="Calibri" w:eastAsia="Times New Roman" w:hAnsi="Calibri" w:cs="Calibri"/>
          <w:b/>
          <w:bCs/>
          <w:color w:val="000000"/>
          <w:kern w:val="0"/>
          <w:sz w:val="22"/>
          <w:szCs w:val="22"/>
          <w14:ligatures w14:val="none"/>
        </w:rPr>
        <w:t> RH5-CyRPA-RIPR invasion complex as compared to RH5 alone</w:t>
      </w:r>
    </w:p>
    <w:p w14:paraId="3C81812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 protein immunogen called “RH5.1”, based on reticulocyte-binding protein homologue 5 (RH5), is the most advanced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Pf</w:t>
      </w:r>
      <w:r w:rsidRPr="008E7DCB">
        <w:rPr>
          <w:rFonts w:ascii="Calibri" w:eastAsia="Times New Roman" w:hAnsi="Calibri" w:cs="Calibri"/>
          <w:color w:val="000000"/>
          <w:kern w:val="0"/>
          <w:sz w:val="22"/>
          <w:szCs w:val="22"/>
          <w14:ligatures w14:val="none"/>
        </w:rPr>
        <w:t>) malaria blood-stage vaccine candidate and first RH5-based candidate to demonstrate partial efficacy against clinical malaria in a Phase IIb trial in Burkina Faso. However, RH5 is known to interact with other parasite proteins essential for </w:t>
      </w:r>
      <w:r w:rsidRPr="008E7DCB">
        <w:rPr>
          <w:rFonts w:ascii="Calibri" w:eastAsia="Times New Roman" w:hAnsi="Calibri" w:cs="Calibri"/>
          <w:i/>
          <w:iCs/>
          <w:color w:val="000000"/>
          <w:kern w:val="0"/>
          <w:sz w:val="22"/>
          <w:szCs w:val="22"/>
          <w14:ligatures w14:val="none"/>
        </w:rPr>
        <w:t>Pf</w:t>
      </w:r>
      <w:r w:rsidRPr="008E7DCB">
        <w:rPr>
          <w:rFonts w:ascii="Calibri" w:eastAsia="Times New Roman" w:hAnsi="Calibri" w:cs="Calibri"/>
          <w:color w:val="000000"/>
          <w:kern w:val="0"/>
          <w:sz w:val="22"/>
          <w:szCs w:val="22"/>
          <w14:ligatures w14:val="none"/>
        </w:rPr>
        <w:t> invasion of erythrocytes and targeting these additional components of the invasion complex is hypothesised to provide improvements in vaccine efficacy. Alongside RH5, cysteine-rich protective antigen (CyRPA) and RH5-interacting protein (RIPR), which together form the heterotrimeric “RCR-complex”, have subsequently been the main targets of blood-stage vaccine development. Phase I clinical trials are now underway (NCT05385471, NCT06141057) to investigate whether combining RH5.1 with a second fusion protein vaccine candidate called “R78C” (based on CyRPA and EGF-like domains 7-8 of RIPR), all formulated with Matrix-M</w:t>
      </w:r>
      <w:r w:rsidRPr="008E7DCB">
        <w:rPr>
          <w:rFonts w:ascii="Calibri" w:eastAsia="Times New Roman" w:hAnsi="Calibri" w:cs="Calibri"/>
          <w:b/>
          <w:bCs/>
          <w:color w:val="000000"/>
          <w:kern w:val="0"/>
          <w:sz w:val="22"/>
          <w:szCs w:val="22"/>
          <w14:ligatures w14:val="none"/>
        </w:rPr>
        <w:t>®</w:t>
      </w:r>
      <w:r w:rsidRPr="008E7DCB">
        <w:rPr>
          <w:rFonts w:ascii="Calibri" w:eastAsia="Times New Roman" w:hAnsi="Calibri" w:cs="Calibri"/>
          <w:color w:val="000000"/>
          <w:kern w:val="0"/>
          <w:sz w:val="22"/>
          <w:szCs w:val="22"/>
          <w14:ligatures w14:val="none"/>
        </w:rPr>
        <w:t> adjuvant and administered in different dosing regimens, can improve upon RH5.1 alone with Matrix-M</w:t>
      </w:r>
      <w:r w:rsidRPr="008E7DCB">
        <w:rPr>
          <w:rFonts w:ascii="Calibri" w:eastAsia="Times New Roman" w:hAnsi="Calibri" w:cs="Calibri"/>
          <w:b/>
          <w:bCs/>
          <w:color w:val="000000"/>
          <w:kern w:val="0"/>
          <w:sz w:val="22"/>
          <w:szCs w:val="22"/>
          <w14:ligatures w14:val="none"/>
        </w:rPr>
        <w:t>®</w:t>
      </w:r>
      <w:r w:rsidRPr="008E7DCB">
        <w:rPr>
          <w:rFonts w:ascii="Calibri" w:eastAsia="Times New Roman" w:hAnsi="Calibri" w:cs="Calibri"/>
          <w:color w:val="000000"/>
          <w:kern w:val="0"/>
          <w:sz w:val="22"/>
          <w:szCs w:val="22"/>
          <w14:ligatures w14:val="none"/>
        </w:rPr>
        <w:t>. To allow comparisons of human antibody responses to different blood-stage antigens, quantitative ELISA methods were established to report in µg/mL. Here we show improved humoral immunogenicity in cohorts receiving RH5.1 and R78C vaccines in combination, compared to those receiving either alone, achieving the highest antibody magnitude and functionality assessed by ELISA and growth inhibition activity (GIA) assay in malaria-naïve adults to date. Furthermore, consistent with previous data from RH5.1/Matrix-M</w:t>
      </w:r>
      <w:r w:rsidRPr="008E7DCB">
        <w:rPr>
          <w:rFonts w:ascii="Calibri" w:eastAsia="Times New Roman" w:hAnsi="Calibri" w:cs="Calibri"/>
          <w:b/>
          <w:bCs/>
          <w:color w:val="000000"/>
          <w:kern w:val="0"/>
          <w:sz w:val="22"/>
          <w:szCs w:val="22"/>
          <w14:ligatures w14:val="none"/>
        </w:rPr>
        <w:t>®</w:t>
      </w:r>
      <w:r w:rsidRPr="008E7DCB">
        <w:rPr>
          <w:rFonts w:ascii="Calibri" w:eastAsia="Times New Roman" w:hAnsi="Calibri" w:cs="Calibri"/>
          <w:color w:val="000000"/>
          <w:kern w:val="0"/>
          <w:sz w:val="22"/>
          <w:szCs w:val="22"/>
          <w14:ligatures w14:val="none"/>
        </w:rPr>
        <w:t> alone trials, delayed third dose regimens (0,1,6 months) as compared to monthly dosing regimens (0,1,2 months) improve total IgG magnitude, avidity and durability. Analysis of antibody quantity versus GIA also indicates the relative quality of the vaccine-induced antibody response allowing assessment across all current blood-stage vaccine candidates in humans. These data are critical for the down-selection of the most promising blood-stage </w:t>
      </w:r>
      <w:r w:rsidRPr="008E7DCB">
        <w:rPr>
          <w:rFonts w:ascii="Calibri" w:eastAsia="Times New Roman" w:hAnsi="Calibri" w:cs="Calibri"/>
          <w:i/>
          <w:iCs/>
          <w:color w:val="000000"/>
          <w:kern w:val="0"/>
          <w:sz w:val="22"/>
          <w:szCs w:val="22"/>
          <w14:ligatures w14:val="none"/>
        </w:rPr>
        <w:t>Pf</w:t>
      </w:r>
      <w:r w:rsidRPr="008E7DCB">
        <w:rPr>
          <w:rFonts w:ascii="Calibri" w:eastAsia="Times New Roman" w:hAnsi="Calibri" w:cs="Calibri"/>
          <w:color w:val="000000"/>
          <w:kern w:val="0"/>
          <w:sz w:val="22"/>
          <w:szCs w:val="22"/>
          <w14:ligatures w14:val="none"/>
        </w:rPr>
        <w:t> vaccine candidates and regimens for future field efficacy assessment.</w:t>
      </w:r>
    </w:p>
    <w:p w14:paraId="4F448C3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25-A-3440-ASTMH</w:t>
      </w:r>
    </w:p>
    <w:p w14:paraId="13C4B63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Genetics, Genomics and Evolution</w:t>
      </w:r>
    </w:p>
    <w:p w14:paraId="7C8E017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Whole genome sequencing reveals high genetic variability and admixed populations of</w:t>
      </w:r>
      <w:r w:rsidRPr="008E7DCB">
        <w:rPr>
          <w:rFonts w:ascii="Calibri" w:eastAsia="Times New Roman" w:hAnsi="Calibri" w:cs="Calibri"/>
          <w:b/>
          <w:bCs/>
          <w:i/>
          <w:iCs/>
          <w:color w:val="000000"/>
          <w:kern w:val="0"/>
          <w:sz w:val="22"/>
          <w:szCs w:val="22"/>
          <w14:ligatures w14:val="none"/>
        </w:rPr>
        <w:t>P. vivax</w:t>
      </w:r>
      <w:r w:rsidRPr="008E7DCB">
        <w:rPr>
          <w:rFonts w:ascii="Calibri" w:eastAsia="Times New Roman" w:hAnsi="Calibri" w:cs="Calibri"/>
          <w:b/>
          <w:bCs/>
          <w:color w:val="000000"/>
          <w:kern w:val="0"/>
          <w:sz w:val="22"/>
          <w:szCs w:val="22"/>
          <w14:ligatures w14:val="none"/>
        </w:rPr>
        <w:t>and</w:t>
      </w:r>
      <w:r w:rsidRPr="008E7DCB">
        <w:rPr>
          <w:rFonts w:ascii="Calibri" w:eastAsia="Times New Roman" w:hAnsi="Calibri" w:cs="Calibri"/>
          <w:b/>
          <w:bCs/>
          <w:i/>
          <w:iCs/>
          <w:color w:val="000000"/>
          <w:kern w:val="0"/>
          <w:sz w:val="22"/>
          <w:szCs w:val="22"/>
          <w14:ligatures w14:val="none"/>
        </w:rPr>
        <w:t>P. malariae</w:t>
      </w:r>
      <w:r w:rsidRPr="008E7DCB">
        <w:rPr>
          <w:rFonts w:ascii="Calibri" w:eastAsia="Times New Roman" w:hAnsi="Calibri" w:cs="Calibri"/>
          <w:b/>
          <w:bCs/>
          <w:color w:val="000000"/>
          <w:kern w:val="0"/>
          <w:sz w:val="22"/>
          <w:szCs w:val="22"/>
          <w14:ligatures w14:val="none"/>
        </w:rPr>
        <w:t>in southern Nigeria</w:t>
      </w:r>
    </w:p>
    <w:p w14:paraId="6EDBFF2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i/>
          <w:iCs/>
          <w:color w:val="000000"/>
          <w:kern w:val="0"/>
          <w:sz w:val="22"/>
          <w:szCs w:val="22"/>
          <w14:ligatures w14:val="none"/>
        </w:rPr>
        <w:t>Malaria control interventions have predominantly focused on Plasmodium falciparum, particularly in sub-Saharan Africa. However, increasing reports of P. vivax and P. malariae in regions previously considered non-endemic challenge this control approach. Nigeria bears the highest global malaria burden. While reports of P. malariae and P. ovale remain sparse, our previous study confirmed the circulation of P. vivax in Nigeria. Using a modified selective whole genome amplification, we determined the genetic epidemiology of P. vivax and P.malariae in southern Nigeria. we amplified genome-wide targets of confirmed P. vivax (n= 10) and P.malariae (n=10) isolates from asymptomatic children (0-5 years)</w:t>
      </w:r>
      <w:r w:rsidRPr="008E7DCB">
        <w:rPr>
          <w:rFonts w:ascii="Calibri" w:eastAsia="Times New Roman" w:hAnsi="Calibri" w:cs="Calibri"/>
          <w:color w:val="000000"/>
          <w:kern w:val="0"/>
          <w:sz w:val="22"/>
          <w:szCs w:val="22"/>
          <w14:ligatures w14:val="none"/>
        </w:rPr>
        <w:t> and sequenced on the Illumina NovaSeq 6000. </w:t>
      </w:r>
      <w:r w:rsidRPr="008E7DCB">
        <w:rPr>
          <w:rFonts w:ascii="Calibri" w:eastAsia="Times New Roman" w:hAnsi="Calibri" w:cs="Calibri"/>
          <w:i/>
          <w:iCs/>
          <w:color w:val="000000"/>
          <w:kern w:val="0"/>
          <w:sz w:val="22"/>
          <w:szCs w:val="22"/>
          <w14:ligatures w14:val="none"/>
        </w:rPr>
        <w:t>P. vivax </w:t>
      </w:r>
      <w:r w:rsidRPr="008E7DCB">
        <w:rPr>
          <w:rFonts w:ascii="Calibri" w:eastAsia="Times New Roman" w:hAnsi="Calibri" w:cs="Calibri"/>
          <w:color w:val="000000"/>
          <w:kern w:val="0"/>
          <w:sz w:val="22"/>
          <w:szCs w:val="22"/>
          <w14:ligatures w14:val="none"/>
        </w:rPr>
        <w:t>read maps ranged from 5 - 12 % of the reference genome while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ranged from 10-90% with majority (80%) mapping to &gt;50% of the reference genome. Average to high mutational load (700 - 2700) was observed in the vivax sequence reads. For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a striking disparity in mutational burden across isolates, ranging from minimal (70 SNPs in MD5) to exceptionally high (4,900 SNPs) in MD4. We detected the </w:t>
      </w:r>
      <w:r w:rsidRPr="008E7DCB">
        <w:rPr>
          <w:rFonts w:ascii="Calibri" w:eastAsia="Times New Roman" w:hAnsi="Calibri" w:cs="Calibri"/>
          <w:i/>
          <w:iCs/>
          <w:color w:val="000000"/>
          <w:kern w:val="0"/>
          <w:sz w:val="22"/>
          <w:szCs w:val="22"/>
          <w14:ligatures w14:val="none"/>
        </w:rPr>
        <w:t>P. vivax</w:t>
      </w:r>
      <w:r w:rsidRPr="008E7DCB">
        <w:rPr>
          <w:rFonts w:ascii="Calibri" w:eastAsia="Times New Roman" w:hAnsi="Calibri" w:cs="Calibri"/>
          <w:color w:val="000000"/>
          <w:kern w:val="0"/>
          <w:sz w:val="22"/>
          <w:szCs w:val="22"/>
          <w14:ligatures w14:val="none"/>
        </w:rPr>
        <w:t> variants in the </w:t>
      </w:r>
      <w:r w:rsidRPr="008E7DCB">
        <w:rPr>
          <w:rFonts w:ascii="Calibri" w:eastAsia="Times New Roman" w:hAnsi="Calibri" w:cs="Calibri"/>
          <w:i/>
          <w:iCs/>
          <w:color w:val="000000"/>
          <w:kern w:val="0"/>
          <w:sz w:val="22"/>
          <w:szCs w:val="22"/>
          <w14:ligatures w14:val="none"/>
        </w:rPr>
        <w:t>dihydrofolate reductase (pvdhfr)</w:t>
      </w:r>
      <w:r w:rsidRPr="008E7DCB">
        <w:rPr>
          <w:rFonts w:ascii="Calibri" w:eastAsia="Times New Roman" w:hAnsi="Calibri" w:cs="Calibri"/>
          <w:color w:val="000000"/>
          <w:kern w:val="0"/>
          <w:sz w:val="22"/>
          <w:szCs w:val="22"/>
          <w14:ligatures w14:val="none"/>
        </w:rPr>
        <w:t> gene and some other uncharacterized regions, as well as in </w:t>
      </w:r>
      <w:r w:rsidRPr="008E7DCB">
        <w:rPr>
          <w:rFonts w:ascii="Calibri" w:eastAsia="Times New Roman" w:hAnsi="Calibri" w:cs="Calibri"/>
          <w:i/>
          <w:iCs/>
          <w:color w:val="000000"/>
          <w:kern w:val="0"/>
          <w:sz w:val="22"/>
          <w:szCs w:val="22"/>
          <w14:ligatures w14:val="none"/>
        </w:rPr>
        <w:t>Pmcrt, Pmdhfr, Pmdhps, Pmmdr1</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Pmmdr2</w:t>
      </w:r>
      <w:r w:rsidRPr="008E7DCB">
        <w:rPr>
          <w:rFonts w:ascii="Calibri" w:eastAsia="Times New Roman" w:hAnsi="Calibri" w:cs="Calibri"/>
          <w:color w:val="000000"/>
          <w:kern w:val="0"/>
          <w:sz w:val="22"/>
          <w:szCs w:val="22"/>
          <w14:ligatures w14:val="none"/>
        </w:rPr>
        <w:t> genes at varying frequencies in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Minor allele frequency analysis showed that rare variants (MAF = 0.10) accounted for 6% of </w:t>
      </w:r>
      <w:r w:rsidRPr="008E7DCB">
        <w:rPr>
          <w:rFonts w:ascii="Calibri" w:eastAsia="Times New Roman" w:hAnsi="Calibri" w:cs="Calibri"/>
          <w:i/>
          <w:iCs/>
          <w:color w:val="000000"/>
          <w:kern w:val="0"/>
          <w:sz w:val="22"/>
          <w:szCs w:val="22"/>
          <w14:ligatures w14:val="none"/>
        </w:rPr>
        <w:t>P. vivax</w:t>
      </w:r>
      <w:r w:rsidRPr="008E7DCB">
        <w:rPr>
          <w:rFonts w:ascii="Calibri" w:eastAsia="Times New Roman" w:hAnsi="Calibri" w:cs="Calibri"/>
          <w:color w:val="000000"/>
          <w:kern w:val="0"/>
          <w:sz w:val="22"/>
          <w:szCs w:val="22"/>
          <w14:ligatures w14:val="none"/>
        </w:rPr>
        <w:t> SNPs, whereas common variants (MAF = 0.50) represented 0.14%. A similar trend was observed in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where rare alleles dominated the SNP profile. Population structure analysis identified six ancestral </w:t>
      </w:r>
      <w:r w:rsidRPr="008E7DCB">
        <w:rPr>
          <w:rFonts w:ascii="Calibri" w:eastAsia="Times New Roman" w:hAnsi="Calibri" w:cs="Calibri"/>
          <w:i/>
          <w:iCs/>
          <w:color w:val="000000"/>
          <w:kern w:val="0"/>
          <w:sz w:val="22"/>
          <w:szCs w:val="22"/>
          <w14:ligatures w14:val="none"/>
        </w:rPr>
        <w:t>P. vivax</w:t>
      </w:r>
      <w:r w:rsidRPr="008E7DCB">
        <w:rPr>
          <w:rFonts w:ascii="Calibri" w:eastAsia="Times New Roman" w:hAnsi="Calibri" w:cs="Calibri"/>
          <w:color w:val="000000"/>
          <w:kern w:val="0"/>
          <w:sz w:val="22"/>
          <w:szCs w:val="22"/>
          <w14:ligatures w14:val="none"/>
        </w:rPr>
        <w:t> subpopulations, with all isolates except Pv5 showing significant admixture. Likewise,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isolates exhibited widespread admixture, with only a single isolate remaining genetically distinct. This study has provided the first high-resolution genomic characterization of </w:t>
      </w:r>
      <w:r w:rsidRPr="008E7DCB">
        <w:rPr>
          <w:rFonts w:ascii="Calibri" w:eastAsia="Times New Roman" w:hAnsi="Calibri" w:cs="Calibri"/>
          <w:i/>
          <w:iCs/>
          <w:color w:val="000000"/>
          <w:kern w:val="0"/>
          <w:sz w:val="22"/>
          <w:szCs w:val="22"/>
          <w14:ligatures w14:val="none"/>
        </w:rPr>
        <w:t>P. vivax</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in Nigeria and revealed genetic diversity and widespread admixture. These findings demonstrate the need for reassessment of current malaria surveillance in Nigeria</w:t>
      </w:r>
    </w:p>
    <w:p w14:paraId="08D7BCC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25-A-3441-ASTMH</w:t>
      </w:r>
    </w:p>
    <w:p w14:paraId="5771064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60A237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Supporting Countries in Health Campaign Planning and Integration: Campaign Map and Integration Tool</w:t>
      </w:r>
    </w:p>
    <w:p w14:paraId="6E00428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Integrated health campaigns (delivering two or more interventions) are thought to increase efficiency in reaching coverage targets and better utilize campaign resources. However, vertical funding, planning, and logistics approaches persist, impeding cross-program collaboration and efficiencies. The Collaborative Action Strategy (CAS) for Health Campaign Effectiveness (HCE) was developed by the HCE Coalition in partnership with country leaders and partners to support innovative and collaborative campaign planning, implementation, evaluation, and financing. CAS focus country teams in Ethiopia and Nigeria highlighted the need for a tool that harmonizes campaign planning and data management across programs, provides a comprehensive list of key campaign stakeholders, and identifies potential opportunities for collaboration, integration, and improved effectiveness. In response to country needs and in line with the CAS recommendation to develop a prospective cross-program campaign schedule, Linksbridge used the Health Campaigns Intelligence Hub (HCIH) database to create a tool for both CAS focus countries that includes campaigns for interventions across malaria, neglected tropical diseases (NTD), nutrition, and vaccine-preventable diseases programs. The tool provides an overview of campaign details, key campaign stakeholders, and upcoming campaign integration opportunities identified using an optimization algorithm. After refining the tool based on country feedback, partners reported that the tool’s cross-program views help facilitate discussions that support campaign integration and foster collaboration for decision making. To further test its value and usability with country campaign programs, the tool was presented to country NTD program managers in April 2025 at the NTD Program Managers meeting hosted by the WHO Regional Office for Africa. Further iterations of the tool, incorporating country-specific context and requested features, will allow for expanded use and customization of the tool for countries interested in improving their campaign planning and implementation activities across programs.</w:t>
      </w:r>
    </w:p>
    <w:p w14:paraId="1B0455B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25-A-3442-ASTMH</w:t>
      </w:r>
    </w:p>
    <w:p w14:paraId="1059E55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Epidemiology and Vector Control</w:t>
      </w:r>
    </w:p>
    <w:p w14:paraId="63BFFE7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Effect of Residual Spraying against Malaria Vectors in Papua New Guinea</w:t>
      </w:r>
    </w:p>
    <w:p w14:paraId="5792F0F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incidence in Papua New Guinea (PNG) is increasing, despite high coverage with insecticide treated nets (ITN). Complementary vector control tools (VCTs) such as residual spraying (RS) are needed to reduce transmission not controllable with ITNs, and target early, outdoor biting and resting malaria vectors. This study assessed the effect of RS (deltamethrin and clothianidin mix) applied to indoor and protected outdoor surfaces against </w:t>
      </w:r>
      <w:r w:rsidRPr="008E7DCB">
        <w:rPr>
          <w:rFonts w:ascii="Calibri" w:eastAsia="Times New Roman" w:hAnsi="Calibri" w:cs="Calibri"/>
          <w:i/>
          <w:iCs/>
          <w:color w:val="000000"/>
          <w:kern w:val="0"/>
          <w:sz w:val="22"/>
          <w:szCs w:val="22"/>
          <w14:ligatures w14:val="none"/>
        </w:rPr>
        <w:t>Anopheles </w:t>
      </w:r>
      <w:r w:rsidRPr="008E7DCB">
        <w:rPr>
          <w:rFonts w:ascii="Calibri" w:eastAsia="Times New Roman" w:hAnsi="Calibri" w:cs="Calibri"/>
          <w:color w:val="000000"/>
          <w:kern w:val="0"/>
          <w:sz w:val="22"/>
          <w:szCs w:val="22"/>
          <w14:ligatures w14:val="none"/>
        </w:rPr>
        <w:t>mosquitoes, in four malaria endemic villages in Madang province of PNG. The study used a controlled interrupted time series design, with entomological monitoring for 12 months before and after the RS intervention. Two of the villages were located inland, while the other two villages were located on the coast, representing different vector ecologies. One inland and one coastal village were selected for RS, the other two villages served as controls. Spray coverage was 92% (302/330 residential households) in the treatment villages. Entomological survey methods included human landing catches, barrier screen collections, indoor resting collections and wall cone bioassays. Outcome measures included mosquito abundance, sporozoite rates and duration of efficacy. This study evaluated the entomological impact of indoor and outdoor RS as a complementary VCT to ITNs in PNG. Over 85,000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mosquitoes were collected in the surveys and the full entomological trial results will be presented. Contributing to a better understanding of RS impact in the highest malaria burden setting outside of sub-Saharan Africa, our study provides critical information to inform decision making around RS deployment in PNG settings.</w:t>
      </w:r>
    </w:p>
    <w:p w14:paraId="3B33926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25-A-3443-ASTMH</w:t>
      </w:r>
    </w:p>
    <w:p w14:paraId="4484E66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39885EA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Adapting the Cranky Uncle Vaccine Game for Pakistan - A Co-Design Approach to Combat Vaccine Misinformation</w:t>
      </w:r>
    </w:p>
    <w:p w14:paraId="3FA406F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Vaccine hesitancy, fueled by misinformation, poses a significant threat to public health in Pakistan. To address this, a project was initiated to adapt the "Cranky Uncle Vaccine" game, an innovative tool designed to build resilience to misinformation, for the Pakistani context. This adaptation involved a co-design approach to ensure cultural relevance and maximize effectiveness. The adaptation process began with a needs assessment and planning phase, engaging stakeholders such as government health agencies, healthcare providers, and technology partners to align the game with national vaccination programs. Co-design workshops were then conducted in Karachi and Matiari, involving parents, caregivers, and medical professionals. These workshops focused on character development, content creation, translation, and addressing technological aspects of the game. Participants provided feedback on character attributes, game mechanics, and the clarity and cultural appropriateness of the content. The co-design process yielded valuable insights that informed us of the adaptation of the game. Feedback led to the refinement of existing characters (e.g., Cranky Uncle and nurse character) and the suggestion of new characters to better reflect the local context (e.g., a female doctor or Lady Health Worker). Technological challenges, such as language clarity and lengthy text, were identified, and solutions like simplified instructions, enhanced font size, and the inclusion of audio-visual elements were proposed. The game content was tailored to address common misinformation tactics, including the use of fake experts, logical fallacies, and conspiracy theories. The findings from this study guided further refinements to the CU game, improving its cultural resonance and effectiveness in promoting vaccine knowledge and combating misinformation. Ultimately, this research aims to increase vaccine confidence and contribute to greater public health awareness in Pakistan, with the potential for broader applicability in other LMIC settings.</w:t>
      </w:r>
    </w:p>
    <w:p w14:paraId="12ABBA2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25-A-3444-ASTMH</w:t>
      </w:r>
    </w:p>
    <w:p w14:paraId="61101E4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4266CD5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Distribution of Japanese Encephalitis in Bangladesh 2017-2023: an Update from Acute Encephalitis Syndrome Surveillance</w:t>
      </w:r>
    </w:p>
    <w:p w14:paraId="7CE0F90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Japanese Encephalitis (JE) is a vector-borne viral disease prevalent in the Southeast Asian region. Viral encephalitis is an important cause of mortality and morbidity. Neurological sequelae are common among survivors. Acute Encephalitis Syndrome(AES) Surveillance started in Bangladesh to generate baseline epidemiological data essential for assessing disease burden and informing policy decisions. This analysis aimed to determine the distribution of JE in Bangladesh. Hospitalized individuals with suspected acute encephalitis syndrome were enrolled as per the surveillance case definition. Cases were enrolled from the medicine and pediatric departments of 106 secondary and tertiary level government and private hospitals. Serum and/or Cerebro Spinal Fluid (CSF) samples were collected from the enrolled individuals to detect IgM antibody against Japanese encephalitis virus. During 2017 to 2023 a total of 19,994 individuals were enrolled, among them 2.6% (525/19994) were positive for Japanese Encephalitis. More than half of the Japanese Encephalitis positive individuals (55.3%) were from the northwest region of Bangladesh. There was male predominance (58.5%) among the Japanese Encephalitis positives, and the highest proportion (20.6%) of Japanese Encephalitis was found among the 6 to 15 years age group. The median age was 35 years. It was observed that the seasonal distribution of Japanese Encephalitis positive cases were from September to November, with a peak in October, which corresponds with the post-monsoon period of Bangladesh. The findings reveal the highest cases of Japanese Encephalitis in northwest region of Bangladesh and among school-aged children. These findings highlight the need for further research on risk factor analysis and a targeted Japanese Encephalitis vaccination program in Bangladesh</w:t>
      </w:r>
    </w:p>
    <w:p w14:paraId="5DBF04C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25-A-3445-ASTMH</w:t>
      </w:r>
    </w:p>
    <w:p w14:paraId="0427CBD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Security/Emerging Infection Preparedness, Surveillance and Response(s)</w:t>
      </w:r>
    </w:p>
    <w:p w14:paraId="05C4E19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lastRenderedPageBreak/>
        <w:t>Task Force for Global Health's Polio Surge Capacity Program: A Game Changer in Responding to Poliovirus Outbreaks in Africa, 2019-2024</w:t>
      </w:r>
    </w:p>
    <w:p w14:paraId="6D0FEEF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Poliovirus outbreaks in Africa poses a critical public health threat, in conflict-affected regions. Despite Global Polio Eradication Initiative's (GPEI) progress since 1988, challenges including insecurity, vaccine hesitancy, and weak health systems have hindered eradication efforts. USCDC Polio Eradication Branch and the Task Force for Global Health launched the Polio Surge Capacity Program (PSCP) to address these gaps. The PSCP deployed senior epidemiologists and national consultants many with Field Epidemiology Training Program backgrounds and extensive experience in immunization to outbreak countries. They integrate into GPEI's Rapid Response Teams, support Ministries of Health to establish Polio Emergency Operations Centers, enhance surveillance, and optimize vaccination campaigns. PSCP supported 16 outbreak countries including Somalia and Nigeria. Cumulatively over 200 million children were vaccinated, with a 5% reduction in missed children in Malawi during the Southeastern outbreak. Deployment of PSCP teams accelerated the interruption of poliovirus transmission cutting response timelines by more than half compared to areas without such support. This dramatic reduction was driven by quality technical assistance, which enhanced outbreak coordination, precision in vaccination targeting and real-time data driven decision making which are key factors in containing outbreaks. The PSCP's unique model of utilizing experts with decades of experience in volatile environments has been a game-changer in the polio eradication efforts. With more rapid response to outbreaks and building local resilience, the program has demonstrated that targeted, context aware deployments can overcome systemic barriers. Despite shortfalls in funding, insecurity, and non-compliance with vaccination, tremendous successes have been achieved. Investments in high-impact initiatives should be prioritized to achieve the goal of polio eradication.</w:t>
      </w:r>
    </w:p>
    <w:p w14:paraId="174F7D0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25-A-3446-ASTMH</w:t>
      </w:r>
    </w:p>
    <w:p w14:paraId="5F7B723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1DD8B20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Ulcerative skin lesions: Investigation of an outbreak in Mbang health district, East Region, Cameroon, July 2024</w:t>
      </w:r>
    </w:p>
    <w:p w14:paraId="1D332D9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On May 13 2024, the basic education inspectorate of the Mbang Health District (MHD), East Region of Cameroon, notified cases of ulcers in primary school children. Preliminary investigations revealed 403 cases in 7 of 9 health areas (HAs). All cases were tested negative by rapid diagnostic testing (RDT) for yaws. Given the rapid spread of the disease, we conducted an in-depth investigation from June 24 to July 03 2024 to confirm the diagnoses, describe the epidemic, identify risk factors, implement prevention and control measures. We conducted a 1:2 matched case-control study. We administered questionnaires to cases and controls identified by reviewing health facilities registers and in the community. A case was anyone with spontaneous onset skin lesions evolving from July 01 2023 to the time of the investigation. Controls were identified in the neighborhood of cases and matched for age and sex. We collected blood and ulcer swabs from cases for microbiological analysis. Cases were described in terms of time, place and socio-demographic characteristics. We calculated adjusted odds ratios (aOR) at 95% confidence interval to identify risk factors. We identified 2316 cases in all 9 HAs of MHD. Median age was 9 years (1 - 85). Attack rate was 49 cases/1000. Majority of cases were primary school pupils 1945(84%) and most lesions were located in the lower limbs 2061 (89%). Sixty-six (71%) of 93 samples were positive for Haemophilus ducreyi; none were positive for Treponema pallidum pertenue (yaws). Close contact with a lesion (aOR 2.8; CI 1.6-4.9) was a risk factor and bathing with soap (aOR 0.2; CI 0.1-0.5) was protective. We administered empiric azithromycin to all cases and directed them to health facilities for proper wound care. We sensitized health facility staff, school authorities, parents and communities in the 9 HAs about early medical care, prevention and the importance of basic hygiene. Ulcers were ultimately caused by Haemophilus ducreyi, commonly mistaken for yaws, among school children. Treating active cases, educating healthcare providers, and the population on identification and preventive measures could limit the spread of the disease.</w:t>
      </w:r>
    </w:p>
    <w:p w14:paraId="4F6881F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25-A-3447-ASTMH</w:t>
      </w:r>
    </w:p>
    <w:p w14:paraId="774E126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Malaria - Epidemiology</w:t>
      </w:r>
    </w:p>
    <w:p w14:paraId="0925E6E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Prevalence of </w:t>
      </w:r>
      <w:r w:rsidRPr="008E7DCB">
        <w:rPr>
          <w:rFonts w:ascii="Calibri" w:eastAsia="Times New Roman" w:hAnsi="Calibri" w:cs="Calibri"/>
          <w:i/>
          <w:iCs/>
          <w:color w:val="000000"/>
          <w:kern w:val="0"/>
          <w:sz w:val="22"/>
          <w:szCs w:val="22"/>
          <w14:ligatures w14:val="none"/>
        </w:rPr>
        <w:t>Plasmodium falciparum </w:t>
      </w:r>
      <w:r w:rsidRPr="008E7DCB">
        <w:rPr>
          <w:rFonts w:ascii="Calibri" w:eastAsia="Times New Roman" w:hAnsi="Calibri" w:cs="Calibri"/>
          <w:color w:val="000000"/>
          <w:kern w:val="0"/>
          <w:sz w:val="22"/>
          <w:szCs w:val="22"/>
          <w14:ligatures w14:val="none"/>
        </w:rPr>
        <w:t>infection in urban and peri urban settings of Bamako, Mali: A school based survey</w:t>
      </w:r>
    </w:p>
    <w:p w14:paraId="0E18A10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Prevalence of</w:t>
      </w:r>
      <w:r w:rsidRPr="008E7DCB">
        <w:rPr>
          <w:rFonts w:ascii="Calibri" w:eastAsia="Times New Roman" w:hAnsi="Calibri" w:cs="Calibri"/>
          <w:i/>
          <w:iCs/>
          <w:color w:val="000000"/>
          <w:kern w:val="0"/>
          <w:sz w:val="22"/>
          <w:szCs w:val="22"/>
          <w14:ligatures w14:val="none"/>
        </w:rPr>
        <w:t> Plasmodium falciparum </w:t>
      </w:r>
      <w:r w:rsidRPr="008E7DCB">
        <w:rPr>
          <w:rFonts w:ascii="Calibri" w:eastAsia="Times New Roman" w:hAnsi="Calibri" w:cs="Calibri"/>
          <w:color w:val="000000"/>
          <w:kern w:val="0"/>
          <w:sz w:val="22"/>
          <w:szCs w:val="22"/>
          <w14:ligatures w14:val="none"/>
        </w:rPr>
        <w:t>infection in urban and peri-urban settings of Bamako, Mali: A school - based survey</w:t>
      </w:r>
      <w:r w:rsidRPr="008E7DCB">
        <w:rPr>
          <w:rFonts w:ascii="Calibri" w:eastAsia="Times New Roman" w:hAnsi="Calibri" w:cs="Calibri"/>
          <w:color w:val="000000"/>
          <w:kern w:val="0"/>
          <w:sz w:val="22"/>
          <w:szCs w:val="22"/>
          <w14:ligatures w14:val="none"/>
        </w:rPr>
        <w:br/>
        <w:t>Background Urban malaria is an increasing public health issue for African in cities experiencing rapid demographic growth. School children bear the high burden of malaria affecting their health and education while they are not covered by control strategies such as Seasonal Malaria Chemoprevention. This study aims to evaluate the prevalence of </w:t>
      </w:r>
      <w:r w:rsidRPr="008E7DCB">
        <w:rPr>
          <w:rFonts w:ascii="Calibri" w:eastAsia="Times New Roman" w:hAnsi="Calibri" w:cs="Calibri"/>
          <w:b/>
          <w:bCs/>
          <w:i/>
          <w:iCs/>
          <w:color w:val="000000"/>
          <w:kern w:val="0"/>
          <w:sz w:val="22"/>
          <w:szCs w:val="22"/>
          <w14:ligatures w14:val="none"/>
        </w:rPr>
        <w:t>P. falciparum </w:t>
      </w:r>
      <w:r w:rsidRPr="008E7DCB">
        <w:rPr>
          <w:rFonts w:ascii="Calibri" w:eastAsia="Times New Roman" w:hAnsi="Calibri" w:cs="Calibri"/>
          <w:i/>
          <w:iCs/>
          <w:color w:val="000000"/>
          <w:kern w:val="0"/>
          <w:sz w:val="22"/>
          <w:szCs w:val="22"/>
          <w14:ligatures w14:val="none"/>
        </w:rPr>
        <w:t>infection</w:t>
      </w:r>
      <w:r w:rsidRPr="008E7DCB">
        <w:rPr>
          <w:rFonts w:ascii="Calibri" w:eastAsia="Times New Roman" w:hAnsi="Calibri" w:cs="Calibri"/>
          <w:color w:val="000000"/>
          <w:kern w:val="0"/>
          <w:sz w:val="22"/>
          <w:szCs w:val="22"/>
          <w14:ligatures w14:val="none"/>
        </w:rPr>
        <w:t> among school-aged children to inform targeted malaria control strategy in urban and peri urban setting of Bamako, Mali.</w:t>
      </w:r>
      <w:r w:rsidRPr="008E7DCB">
        <w:rPr>
          <w:rFonts w:ascii="Calibri" w:eastAsia="Times New Roman" w:hAnsi="Calibri" w:cs="Calibri"/>
          <w:color w:val="000000"/>
          <w:kern w:val="0"/>
          <w:sz w:val="22"/>
          <w:szCs w:val="22"/>
          <w14:ligatures w14:val="none"/>
        </w:rPr>
        <w:br/>
        <w:t>Method The city of Bamako in Mali was divided into four ecological strata based on the risk for malaria transmission using GIS tools (urban center, high altitude, riverside, and peripheral neighborhoods). Within each stratum, three schools close to the community health center were chosen to randomly select 200 to 230 children aged 6 to 13 years-old per school to collect information on malaria risk factors and test for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infection using malaria Rapid Diagnostic Tests (mRTD) and microscopy. Households of infected children were mapped to search for clustering of cases across urban and peri-urban sites of Bamako.Results Of. Overall, the prevalence of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infection varied from 0.0% to 15.5% between study sites. Travel history and fever were not associated with increase infection risk (p&gt;0.05). The odds of malaria infection increased by 2.4 among children with anemia (Odds ratio [OR]= 2.38, 95% confidence interval [CI] [1.57, 3.61]) and 3.8 among children living in an urban site along the Niger River (Odds ratio [OR]= 3.37, 95% confidence interval [CI] [2.05, 7.45]).</w:t>
      </w:r>
      <w:r w:rsidRPr="008E7DCB">
        <w:rPr>
          <w:rFonts w:ascii="Calibri" w:eastAsia="Times New Roman" w:hAnsi="Calibri" w:cs="Calibri"/>
          <w:color w:val="000000"/>
          <w:kern w:val="0"/>
          <w:sz w:val="22"/>
          <w:szCs w:val="22"/>
          <w14:ligatures w14:val="none"/>
        </w:rPr>
        <w:br/>
        <w:t>Conclusion This study shows a significant spatial variation of P.</w:t>
      </w:r>
      <w:r w:rsidRPr="008E7DCB">
        <w:rPr>
          <w:rFonts w:ascii="Calibri" w:eastAsia="Times New Roman" w:hAnsi="Calibri" w:cs="Calibri"/>
          <w:i/>
          <w:iCs/>
          <w:color w:val="000000"/>
          <w:kern w:val="0"/>
          <w:sz w:val="22"/>
          <w:szCs w:val="22"/>
          <w14:ligatures w14:val="none"/>
        </w:rPr>
        <w:t> falciparum</w:t>
      </w:r>
      <w:r w:rsidRPr="008E7DCB">
        <w:rPr>
          <w:rFonts w:ascii="Calibri" w:eastAsia="Times New Roman" w:hAnsi="Calibri" w:cs="Calibri"/>
          <w:color w:val="000000"/>
          <w:kern w:val="0"/>
          <w:sz w:val="22"/>
          <w:szCs w:val="22"/>
          <w14:ligatures w14:val="none"/>
        </w:rPr>
        <w:t> infection within Bamako urban settings. Findings showed that as in rural villages of Mali, school-aged children should be considered as a major malaria parasite reservoir in urban settings of Bamako. Interventions targeting this specific age-group could reduce malaria burden in this area.</w:t>
      </w:r>
    </w:p>
    <w:p w14:paraId="61E5A92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25-A-3448-ASTMH</w:t>
      </w:r>
    </w:p>
    <w:p w14:paraId="429859A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Antimalarial Resistance and Chemotherapy</w:t>
      </w:r>
    </w:p>
    <w:p w14:paraId="69B40C8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Geographical Distribution and Temporal Trends of Antimalarial Drug Resistance Markers in Uganda: 2023-24</w:t>
      </w:r>
    </w:p>
    <w:p w14:paraId="3B5134A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In Uganda, artemisinin-based combination therapies (ACTs) are used to treat uncomplicated falciparum malaria and sulfadoxine-pyrimethamine (SP) is used for chemoprevention. However, decreasing susceptibility to artemisinins, ACT partner drugs, and SP raise concerns about efficacy. We characterized the recent geographical distribution and temporal trends of key drug resistance markers across Uganda. For 30 health facilities across Uganda, samples were collected twice annually for high transmission sites and year-round for low transmission sites in 2023 and 2024. For each collection, ~100 high-parasitemia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samples collected from patients with uncomplicated malaria were genotyped using the MAD</w:t>
      </w:r>
      <w:r w:rsidRPr="008E7DCB">
        <w:rPr>
          <w:rFonts w:ascii="Calibri" w:eastAsia="Times New Roman" w:hAnsi="Calibri" w:cs="Calibri"/>
          <w:color w:val="000000"/>
          <w:kern w:val="0"/>
          <w:sz w:val="22"/>
          <w:szCs w:val="22"/>
          <w:vertAlign w:val="superscript"/>
          <w14:ligatures w14:val="none"/>
        </w:rPr>
        <w:t>4</w:t>
      </w:r>
      <w:r w:rsidRPr="008E7DCB">
        <w:rPr>
          <w:rFonts w:ascii="Calibri" w:eastAsia="Times New Roman" w:hAnsi="Calibri" w:cs="Calibri"/>
          <w:color w:val="000000"/>
          <w:kern w:val="0"/>
          <w:sz w:val="22"/>
          <w:szCs w:val="22"/>
          <w14:ligatures w14:val="none"/>
        </w:rPr>
        <w:t>HatTeR platform, targeting </w:t>
      </w:r>
      <w:r w:rsidRPr="008E7DCB">
        <w:rPr>
          <w:rFonts w:ascii="Calibri" w:eastAsia="Times New Roman" w:hAnsi="Calibri" w:cs="Calibri"/>
          <w:i/>
          <w:iCs/>
          <w:color w:val="000000"/>
          <w:kern w:val="0"/>
          <w:sz w:val="22"/>
          <w:szCs w:val="22"/>
          <w14:ligatures w14:val="none"/>
        </w:rPr>
        <w:t>k13, crt</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mdr1, dhps, </w:t>
      </w:r>
      <w:r w:rsidRPr="008E7DCB">
        <w:rPr>
          <w:rFonts w:ascii="Calibri" w:eastAsia="Times New Roman" w:hAnsi="Calibri" w:cs="Calibri"/>
          <w:color w:val="000000"/>
          <w:kern w:val="0"/>
          <w:sz w:val="22"/>
          <w:szCs w:val="22"/>
          <w14:ligatures w14:val="none"/>
        </w:rPr>
        <w:t>and </w:t>
      </w:r>
      <w:r w:rsidRPr="008E7DCB">
        <w:rPr>
          <w:rFonts w:ascii="Calibri" w:eastAsia="Times New Roman" w:hAnsi="Calibri" w:cs="Calibri"/>
          <w:i/>
          <w:iCs/>
          <w:color w:val="000000"/>
          <w:kern w:val="0"/>
          <w:sz w:val="22"/>
          <w:szCs w:val="22"/>
          <w14:ligatures w14:val="none"/>
        </w:rPr>
        <w:t>dhfr</w:t>
      </w:r>
      <w:r w:rsidRPr="008E7DCB">
        <w:rPr>
          <w:rFonts w:ascii="Calibri" w:eastAsia="Times New Roman" w:hAnsi="Calibri" w:cs="Calibri"/>
          <w:color w:val="000000"/>
          <w:kern w:val="0"/>
          <w:sz w:val="22"/>
          <w:szCs w:val="22"/>
          <w14:ligatures w14:val="none"/>
        </w:rPr>
        <w:t xml:space="preserve">. Analysis of the first 3 sample collections demonstrated regional patterns of drug resistance markers across Uganda. Considering markers of artemisinin partial resistance, K13 469Y was most prevalent in the north (site prevalence 21.5-31.8%) and K13 675V in the north and northeast (7.5-15%). K13 441L (8.9-11.9%), 561H (up to 24.7%) and 469F (up to 4.1%) were predominant in the west. K13 mutation prevalences were mostly stable over time, although 441L prevalence increased at sites in the west. CRT 76T was at very low prevalence at most sites, but at high prevalence in the northwest (17.4-30.4%); MDR1 86Y was at very low prevalence throughout the country. For markers of high-level SP resistance, DHFR 164L and DHPS 581G were more common in the west (164L: 41-54.9%; 581G: 33.5-42.2%) and east (164L: 33.9-35.4%; 581G: 6.3-10.4%). Sequencing of the second set of samples from 2024 is underway. Our findings demonstrate geographically distinct patterns of drug resistance markers across Uganda, with concerning, but stable, prevalences of K13 mutations across most of the country and high prevalence of SP resistance markers in the west and east. These data suggest that treatment policies should be </w:t>
      </w:r>
      <w:r w:rsidRPr="008E7DCB">
        <w:rPr>
          <w:rFonts w:ascii="Calibri" w:eastAsia="Times New Roman" w:hAnsi="Calibri" w:cs="Calibri"/>
          <w:color w:val="000000"/>
          <w:kern w:val="0"/>
          <w:sz w:val="22"/>
          <w:szCs w:val="22"/>
          <w14:ligatures w14:val="none"/>
        </w:rPr>
        <w:lastRenderedPageBreak/>
        <w:t>considered on a subnational level and that continued monitoring of these markers is essential to inform evidence-based policy decisions for malaria control in Uganda.</w:t>
      </w:r>
    </w:p>
    <w:p w14:paraId="355D47C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25-A-3449-ASTMH</w:t>
      </w:r>
    </w:p>
    <w:p w14:paraId="5696783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Evolution and Genomic Epidemiology</w:t>
      </w:r>
    </w:p>
    <w:p w14:paraId="658F1CF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Whole-Genome Characterization of Chikungunya Virus in Pakistan A Comparative Study of the 2016 and 2024 Outbreaks</w:t>
      </w:r>
    </w:p>
    <w:p w14:paraId="3E58008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Chikungunya virus (CHIKV) is an arbovirus known to cause acute febrile illness with severe arthralgia, myalgia, fatigue and rash, primarily transmitted by </w:t>
      </w:r>
      <w:r w:rsidRPr="008E7DCB">
        <w:rPr>
          <w:rFonts w:ascii="Calibri" w:eastAsia="Times New Roman" w:hAnsi="Calibri" w:cs="Calibri"/>
          <w:i/>
          <w:iCs/>
          <w:color w:val="000000"/>
          <w:kern w:val="0"/>
          <w:sz w:val="22"/>
          <w:szCs w:val="22"/>
          <w14:ligatures w14:val="none"/>
        </w:rPr>
        <w:t>Aedes</w:t>
      </w:r>
      <w:r w:rsidRPr="008E7DCB">
        <w:rPr>
          <w:rFonts w:ascii="Calibri" w:eastAsia="Times New Roman" w:hAnsi="Calibri" w:cs="Calibri"/>
          <w:color w:val="000000"/>
          <w:kern w:val="0"/>
          <w:sz w:val="22"/>
          <w:szCs w:val="22"/>
          <w14:ligatures w14:val="none"/>
        </w:rPr>
        <w:t> mosquito species. Pakistan witnessed first CHIKV outbreak in 2016 with more than 30,000 people effected followed by rapid decline in cases. Surge in CHIKV cases was observed in May 2024 marking the second outbreak in the country with 4964 confirmed cases. In the current study, we performed comparative whole-genome analysis of CHIKV strains from 2016 and 2024. During the 2024 outbreak we enrolled 145 CHIKV suspected patients from Aga Khan University Hospital (AKUH). Twenty-four PCR confirm CHKV samples were successfully sequenced with &gt;95% genome coverage. For comparative analysis, CHKV sequences from 2016 were retrieved from NCBI database and phylogenetic and mutation analysis was performed. Phylogenies revealed CHIKV currently circulating in Pakistan belong to genotype ECSA-IOL forming a monophyletic cluster with Indian isolates between 2020-2024. However, sequences from 2016 outbreak also belonged to ECSA-IOL but cluster away with Indian sequences from same period supporting microevolution. Viruses from both outbreaks lack typical E1-A226 mutation while carrying the </w:t>
      </w:r>
      <w:r w:rsidRPr="008E7DCB">
        <w:rPr>
          <w:rFonts w:ascii="Calibri" w:eastAsia="Times New Roman" w:hAnsi="Calibri" w:cs="Calibri"/>
          <w:i/>
          <w:iCs/>
          <w:color w:val="000000"/>
          <w:kern w:val="0"/>
          <w:sz w:val="22"/>
          <w:szCs w:val="22"/>
          <w14:ligatures w14:val="none"/>
        </w:rPr>
        <w:t>Ae. Aegypti.</w:t>
      </w:r>
      <w:r w:rsidRPr="008E7DCB">
        <w:rPr>
          <w:rFonts w:ascii="Calibri" w:eastAsia="Times New Roman" w:hAnsi="Calibri" w:cs="Calibri"/>
          <w:color w:val="000000"/>
          <w:kern w:val="0"/>
          <w:sz w:val="22"/>
          <w:szCs w:val="22"/>
          <w14:ligatures w14:val="none"/>
        </w:rPr>
        <w:t> favorable mutations E1-K211E/E2-V264A. In addition, we identified E1-M269V, D284E, E2-A164T, T312M, and S375T to be common mutations, which increase the likelihood of virus transmissibility and might be the reason for the rapid spread of the virus during the current outbreaks. Three novel mutations E2-M390I, I415V, and I418V were identified in 2024 strains. These findings provide evidence for the microevolution of CHIKV over time and emphasize the need for active surveillance. Since vector adaptability, pathogenesis and transmissibility of the virus are directly linked with genomic changes, early detection can improve response time and reduce the likelihood of CHIKV outbreaks in future.</w:t>
      </w:r>
    </w:p>
    <w:p w14:paraId="51194D7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25-A-3450-ASTMH</w:t>
      </w:r>
    </w:p>
    <w:p w14:paraId="52BD322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Epidemiology</w:t>
      </w:r>
    </w:p>
    <w:p w14:paraId="3F3917C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Brazil, 2024: 6.4 million probable dengue cases, but were they all really dengue?</w:t>
      </w:r>
    </w:p>
    <w:p w14:paraId="0C51BD1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Brazil had in 2024 its largest dengue epidemic since the disease emergency in the 1980s. The Ministry of Health (MOH) recorded the occurrence of 6,442,122 "probable cases" of dengue fever. However, just over one third of them were confirmed by some laboratory test. The majority were classified as "probable cases" by the so-called "clinical-epidemiological" criterion, which considers the clinical characteristics and the epidemiological link. In the past decade, at least two urban arbovirus diseases have emerged in the country, whose clinical characteristics are indistinguishable from dengue. Thus, the purpose of this study was to investigate to what extent the number of reported dengue cases could be cases of other arboviruses. We have conducted a descriptive analysis of the dengue and chikungunya (CHK) cases reports. The datasets are publicly available at the MOH website. We have compared the laboratory confirmed dengue cases, the ones confirmed by the clinical-epidemiological criterion, and the laboratory and clinical-epidemiologically confirmed CHK cases. Both diseases were more frequent in females. The mean age was higher in CHK cases. The dengue epidemic was widespread throughout the country, while CHK was localized in a few states. Of the 14 signs and symptoms listed in the reporting form, 7 were more frequent in laboratory-confirmed dengue cases and 7 in those confirmed by clinical epidemiological criteria. The more frequently reported symptoms in dengue cases were fever, headache, myalgia and nausea. Hospitalizations and deaths were more frequent in lab confirmed dengue cases. Among CHK cases the more frequent symptoms were myalgia, fever, headache and joint pain. Principal component analysis revealed that the reported signs and symptoms of both diseases were similar to each other. 14.2% and 18.5% of confirmed dengue and CHK cases respectively, did not </w:t>
      </w:r>
      <w:r w:rsidRPr="008E7DCB">
        <w:rPr>
          <w:rFonts w:ascii="Calibri" w:eastAsia="Times New Roman" w:hAnsi="Calibri" w:cs="Calibri"/>
          <w:color w:val="000000"/>
          <w:kern w:val="0"/>
          <w:sz w:val="22"/>
          <w:szCs w:val="22"/>
          <w14:ligatures w14:val="none"/>
        </w:rPr>
        <w:lastRenderedPageBreak/>
        <w:t>present with fever, which is a mandatory component of the case definition adopted by the MOH. In summary, our analysis shows that there may have been misclassification regarding the diagnosis of dengue. Brazil should intensify its efforts to improve the diagnosis of urban arboviruses.</w:t>
      </w:r>
    </w:p>
    <w:p w14:paraId="36D074C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25-A-3451-ASTMH</w:t>
      </w:r>
    </w:p>
    <w:p w14:paraId="761D949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67DA66E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Vaccine in Burkina Faso: Knowledge, Attitudes and Practices of Mothers, Child Caregivers on Malaria Vaccination</w:t>
      </w:r>
    </w:p>
    <w:p w14:paraId="40AB9EE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Burkina Faso introduced RTS,S into its expanded vaccination program on February 5, 2024. The expected targets were 91%, 87%, 84% and 68% respectively for doses 1, 2, 3 and 4. Eight months after introduction, vaccination coverages for RTS,S 1, 2 and 3 was 88%, 81% and 73% respectively with a dropout rate of over 8% between the second and third doses. The third supervision visits were conducted including knowledge, attitude and practices of mothers/caregivers of children on malaria vaccination assessment. This is a cross-sectional study using a qualitative method in the twenty-seven districts where RTSS vaccine was introduced into routine vaccination based on malaria burden. A total of 234 mothers/caregivers were randomly selected (8 -10 per health district) and interviewed. Data were collected during from September to October 2024 using Kobo collect tools. The knowledge, attitudes and practices of mothers of children were assessed using a thematic analysis. Key themes were used to support the practices. The data reports that 62% of mothers had good knowledge and good attitude towards the vaccination schedule and 88% of children received all the necessary doses. The main reasons for non-compliance with the vaccination schedule were: lack of awareness about the vaccination schedule (54%), mothers' occupations (25%), and mothers' waiting times in health centers (11%). The main source of information on RTS,S was health workers, community health workers and town criers, respectively 88%, 33%, 21%. Among participants, 99% found it necessary to continue using LLINs and SMCs after the child's vaccination. Furthermore, 97% of the women surveyed said they go to the health center if their child has a fever. For the improvement of RTS,S vaccination coverage it is necessary to strengthen interpersonal communication during immunisation sessions, carry out local communication activities specifically related to the malaria vaccine, provide health facilities and community health workers with revised communication materials that include the malaria vaccine, involve civil society in malaria vaccination communication activities.</w:t>
      </w:r>
    </w:p>
    <w:p w14:paraId="12FB4FE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25-A-3452-ASTMH</w:t>
      </w:r>
    </w:p>
    <w:p w14:paraId="4E35C1F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Diversity, Inclusion, Decolonization and Human Rights</w:t>
      </w:r>
    </w:p>
    <w:p w14:paraId="7F5EE12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Evaluation of the Bangkok Health Research and Ethics Interest Group: experiences of group members, researchers and facilitators participating in an urban community advisory board in Thailand</w:t>
      </w:r>
    </w:p>
    <w:p w14:paraId="75F1108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The Mahidol Oxford Tropical Medicine Research Unit (MORU), headquartered in Bangkok, conducts research on tropical medicine and global health. MORU works closely with a network of community advisory boards (CABs), with members drawn from communities served by its research sites. In 2019, we set up the Bangkok Health Research and Ethics Interest Group (HREIG) to advise on clinical research and trials conducted at our Bangkok site, as well as on topics of wider societal interest, such as antimicrobial resistance and health data sharing. The HREIG is an urban CAB; its members are Bangkok residents, who are non scientists from diverse backgrounds with an interest in health research. The group’s advice supplements our rural CABs, for example, those based on the Thai-Myanmar border and in northern Cambodia. In 2022, the HREIG had 14 members aged 22 to 51. Meetings were initially held in person and in English to support discussion with international researchers. During COVID-19 restrictions, we moved meetings online, and in 2022 we switched to Thai as the main meeting language. To evaluate the group’s first two years, we conducted a mixed-methods study using focus group discussions and anonymous online surveys with group members, researchers and facilitators. Our study found that members joined to contribute to research and society, and for personal benefits such as learning about health research and meeting new people. While some valued the opportunity to practice English, </w:t>
      </w:r>
      <w:r w:rsidRPr="008E7DCB">
        <w:rPr>
          <w:rFonts w:ascii="Calibri" w:eastAsia="Times New Roman" w:hAnsi="Calibri" w:cs="Calibri"/>
          <w:color w:val="000000"/>
          <w:kern w:val="0"/>
          <w:sz w:val="22"/>
          <w:szCs w:val="22"/>
          <w14:ligatures w14:val="none"/>
        </w:rPr>
        <w:lastRenderedPageBreak/>
        <w:t>language was a barrier for others—especially when scientific jargon was used. Researchers reported that engaging with the group helped improve their communication and offered valuable lay perspectives. Facilitators also strengthened their skills in areas such as facilitation, online collaboration, and explaining research in lay terms. Since HREIG is not tied to a specific study, its contributions have ranged from improving malaria key messages for the Thai public to testing COVID-19 survey questions and sharing views on vaccines and clinical trial participation.</w:t>
      </w:r>
    </w:p>
    <w:p w14:paraId="3C14DAA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25-A-3453-ASTMH</w:t>
      </w:r>
    </w:p>
    <w:p w14:paraId="0714DBA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Bionomics, Behavior and Surveillance</w:t>
      </w:r>
    </w:p>
    <w:p w14:paraId="463BB59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Variations in Vector Bionomics and Malaria Transmission Across 26 Sentinel Surveillance Sites in Burkina Faso</w:t>
      </w:r>
    </w:p>
    <w:p w14:paraId="7BB146F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remains a significant public health concern in Burkina Faso, with over 11 million cases and 4,000 deaths reported in 2024. The heterogeneity of malaria transmission across the country, requires evidence-based data, essential for guiding vector control. This study aimed to assess malaria vectors diversity, resting behaviour, and transmission patterns through nationwide surveillance at NMCP sentinel sites. Vector surveillance was conducted in two rounds in 2024 across 26 NMCP sentinel sites. Adult mosquitoes were collected indoors and outdoors using Prokopack aspirators during the transmission season. Specimens were identified morphologically and molecularly to species level. PCR assays were used to determine mosquitoes infection with Plasmodium, and blood meal origins. A total of 10,044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mosquitoes were collected, including 87%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s.l., 11% </w:t>
      </w:r>
      <w:r w:rsidRPr="008E7DCB">
        <w:rPr>
          <w:rFonts w:ascii="Calibri" w:eastAsia="Times New Roman" w:hAnsi="Calibri" w:cs="Calibri"/>
          <w:i/>
          <w:iCs/>
          <w:color w:val="000000"/>
          <w:kern w:val="0"/>
          <w:sz w:val="22"/>
          <w:szCs w:val="22"/>
          <w14:ligatures w14:val="none"/>
        </w:rPr>
        <w:t>An. rufipes</w:t>
      </w:r>
      <w:r w:rsidRPr="008E7DCB">
        <w:rPr>
          <w:rFonts w:ascii="Calibri" w:eastAsia="Times New Roman" w:hAnsi="Calibri" w:cs="Calibri"/>
          <w:color w:val="000000"/>
          <w:kern w:val="0"/>
          <w:sz w:val="22"/>
          <w:szCs w:val="22"/>
          <w14:ligatures w14:val="none"/>
        </w:rPr>
        <w:t>, and 2% </w:t>
      </w:r>
      <w:r w:rsidRPr="008E7DCB">
        <w:rPr>
          <w:rFonts w:ascii="Calibri" w:eastAsia="Times New Roman" w:hAnsi="Calibri" w:cs="Calibri"/>
          <w:i/>
          <w:iCs/>
          <w:color w:val="000000"/>
          <w:kern w:val="0"/>
          <w:sz w:val="22"/>
          <w:szCs w:val="22"/>
          <w14:ligatures w14:val="none"/>
        </w:rPr>
        <w:t>An. funestus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An. nili</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An. rhodesiensis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An. coustani</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An. pharoensis were minor species</w:t>
      </w:r>
      <w:r w:rsidRPr="008E7DCB">
        <w:rPr>
          <w:rFonts w:ascii="Calibri" w:eastAsia="Times New Roman" w:hAnsi="Calibri" w:cs="Calibri"/>
          <w:color w:val="000000"/>
          <w:kern w:val="0"/>
          <w:sz w:val="22"/>
          <w:szCs w:val="22"/>
          <w14:ligatures w14:val="none"/>
        </w:rPr>
        <w:t>. Densities varied seasonally and geographically,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s.l was abundant during the rainy season and predominantly collected outdoors. </w:t>
      </w:r>
      <w:r w:rsidRPr="008E7DCB">
        <w:rPr>
          <w:rFonts w:ascii="Calibri" w:eastAsia="Times New Roman" w:hAnsi="Calibri" w:cs="Calibri"/>
          <w:i/>
          <w:iCs/>
          <w:color w:val="000000"/>
          <w:kern w:val="0"/>
          <w:sz w:val="22"/>
          <w:szCs w:val="22"/>
          <w14:ligatures w14:val="none"/>
        </w:rPr>
        <w:t>An funestus</w:t>
      </w:r>
      <w:r w:rsidRPr="008E7DCB">
        <w:rPr>
          <w:rFonts w:ascii="Calibri" w:eastAsia="Times New Roman" w:hAnsi="Calibri" w:cs="Calibri"/>
          <w:color w:val="000000"/>
          <w:kern w:val="0"/>
          <w:sz w:val="22"/>
          <w:szCs w:val="22"/>
          <w14:ligatures w14:val="none"/>
        </w:rPr>
        <w:t> and</w:t>
      </w:r>
      <w:r w:rsidRPr="008E7DCB">
        <w:rPr>
          <w:rFonts w:ascii="Calibri" w:eastAsia="Times New Roman" w:hAnsi="Calibri" w:cs="Calibri"/>
          <w:i/>
          <w:iCs/>
          <w:color w:val="000000"/>
          <w:kern w:val="0"/>
          <w:sz w:val="22"/>
          <w:szCs w:val="22"/>
          <w14:ligatures w14:val="none"/>
        </w:rPr>
        <w:t> An rufipes</w:t>
      </w:r>
      <w:r w:rsidRPr="008E7DCB">
        <w:rPr>
          <w:rFonts w:ascii="Calibri" w:eastAsia="Times New Roman" w:hAnsi="Calibri" w:cs="Calibri"/>
          <w:color w:val="000000"/>
          <w:kern w:val="0"/>
          <w:sz w:val="22"/>
          <w:szCs w:val="22"/>
          <w14:ligatures w14:val="none"/>
        </w:rPr>
        <w:t> were mostly found in dry season, indoors and outdoors respectively. Over 80% of the Anopheles were </w:t>
      </w:r>
      <w:r w:rsidRPr="008E7DCB">
        <w:rPr>
          <w:rFonts w:ascii="Calibri" w:eastAsia="Times New Roman" w:hAnsi="Calibri" w:cs="Calibri"/>
          <w:i/>
          <w:iCs/>
          <w:color w:val="000000"/>
          <w:kern w:val="0"/>
          <w:sz w:val="22"/>
          <w:szCs w:val="22"/>
          <w14:ligatures w14:val="none"/>
        </w:rPr>
        <w:t>An. coluzzii</w:t>
      </w:r>
      <w:r w:rsidRPr="008E7DCB">
        <w:rPr>
          <w:rFonts w:ascii="Calibri" w:eastAsia="Times New Roman" w:hAnsi="Calibri" w:cs="Calibri"/>
          <w:color w:val="000000"/>
          <w:kern w:val="0"/>
          <w:sz w:val="22"/>
          <w:szCs w:val="22"/>
          <w14:ligatures w14:val="none"/>
        </w:rPr>
        <w:t>, which was particularly abundant in Bagré and the Vallée du Kou, areas where the highest proportions of bovine blood meals were also recorded. Over 90% of meals derived from a single source, predominantly humans and cattle, other hosts included dog, pig and sheep. Plasmodium was detected in 27 out of 239 pools of 10 Anopheles each, corresponding to an infection rate between 1-11.3% across all sites. The highest infection rate was recorded in Koubri and Manga where </w:t>
      </w:r>
      <w:r w:rsidRPr="008E7DCB">
        <w:rPr>
          <w:rFonts w:ascii="Calibri" w:eastAsia="Times New Roman" w:hAnsi="Calibri" w:cs="Calibri"/>
          <w:i/>
          <w:iCs/>
          <w:color w:val="000000"/>
          <w:kern w:val="0"/>
          <w:sz w:val="22"/>
          <w:szCs w:val="22"/>
          <w14:ligatures w14:val="none"/>
        </w:rPr>
        <w:t>An rufipes </w:t>
      </w:r>
      <w:r w:rsidRPr="008E7DCB">
        <w:rPr>
          <w:rFonts w:ascii="Calibri" w:eastAsia="Times New Roman" w:hAnsi="Calibri" w:cs="Calibri"/>
          <w:color w:val="000000"/>
          <w:kern w:val="0"/>
          <w:sz w:val="22"/>
          <w:szCs w:val="22"/>
          <w14:ligatures w14:val="none"/>
        </w:rPr>
        <w:t>was found abundant, with infection rate similar to those observed in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s.l. The findings highlight significant spatial variation in malaria vector species composition, behaviour, and transmission dynamics. Continued entomological surveillance is critical for tailoring vector control interventions to local epidemiological contexts.</w:t>
      </w:r>
    </w:p>
    <w:p w14:paraId="5AFCD3B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25-A-3455-ASTMH</w:t>
      </w:r>
    </w:p>
    <w:p w14:paraId="3052E6B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Antimalarial Resistance and Chemotherapy</w:t>
      </w:r>
    </w:p>
    <w:p w14:paraId="776A3FD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Prevalence and impact of parasite mutations in pediatric patients in Africa with uncomplicated Plasmodium falciparum malaria in a Phase II clinical evaluation of ganaplacide-lumefantrine</w:t>
      </w:r>
    </w:p>
    <w:p w14:paraId="422005E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emergence of partial artemisinin resistance (ART-R) in Africa poses a significant threat to global malaria control efforts, therefore continuous surveillance of molecular markers associated with antimalarial drug resistance is of paramount importance. Here we report the results from a recently completed phase II trial investigating the efficacy, safety, and tolerability of ganaplacide (KAF156), in combination with Lumefantrine-solid dispersible formulation (SDF) compared to artemether-lumefantrine (Coartem).The study was conducted from 2021 to 2024 in 295 patients aged 6 months to &lt; 18 years diagnosed with uncomplicated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malaria at 10 sites across 5 African countries: Burkina Faso, Côte d'Ivoire, DR Congo, Gabon and Mali. Samples collected at baseline and from recurrent infections were genotyped for different molecular markers associated with antimalarial drugs, i.e.</w:t>
      </w:r>
      <w:r w:rsidRPr="008E7DCB">
        <w:rPr>
          <w:rFonts w:ascii="Calibri" w:eastAsia="Times New Roman" w:hAnsi="Calibri" w:cs="Calibri"/>
          <w:i/>
          <w:iCs/>
          <w:color w:val="000000"/>
          <w:kern w:val="0"/>
          <w:sz w:val="22"/>
          <w:szCs w:val="22"/>
          <w14:ligatures w14:val="none"/>
        </w:rPr>
        <w:t> Pfk13, Pfcarl, Pfcrt, Pfdmr1, Pfubp1, Pfdhfr,</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Pfdhps</w:t>
      </w:r>
      <w:r w:rsidRPr="008E7DCB">
        <w:rPr>
          <w:rFonts w:ascii="Calibri" w:eastAsia="Times New Roman" w:hAnsi="Calibri" w:cs="Calibri"/>
          <w:color w:val="000000"/>
          <w:kern w:val="0"/>
          <w:sz w:val="22"/>
          <w:szCs w:val="22"/>
          <w14:ligatures w14:val="none"/>
        </w:rPr>
        <w:t>. A total of 291 baseline samples were analyzed for the presence and prevalence of parasite resistance markers. Two non-validated </w:t>
      </w:r>
      <w:r w:rsidRPr="008E7DCB">
        <w:rPr>
          <w:rFonts w:ascii="Calibri" w:eastAsia="Times New Roman" w:hAnsi="Calibri" w:cs="Calibri"/>
          <w:i/>
          <w:iCs/>
          <w:color w:val="000000"/>
          <w:kern w:val="0"/>
          <w:sz w:val="22"/>
          <w:szCs w:val="22"/>
          <w14:ligatures w14:val="none"/>
        </w:rPr>
        <w:t>Pfk</w:t>
      </w:r>
      <w:r w:rsidRPr="008E7DCB">
        <w:rPr>
          <w:rFonts w:ascii="Calibri" w:eastAsia="Times New Roman" w:hAnsi="Calibri" w:cs="Calibri"/>
          <w:color w:val="000000"/>
          <w:kern w:val="0"/>
          <w:sz w:val="22"/>
          <w:szCs w:val="22"/>
          <w14:ligatures w14:val="none"/>
        </w:rPr>
        <w:t>13 mutations (A578</w:t>
      </w:r>
      <w:r w:rsidRPr="008E7DCB">
        <w:rPr>
          <w:rFonts w:ascii="Calibri" w:eastAsia="Times New Roman" w:hAnsi="Calibri" w:cs="Calibri"/>
          <w:b/>
          <w:bCs/>
          <w:color w:val="000000"/>
          <w:kern w:val="0"/>
          <w:sz w:val="22"/>
          <w:szCs w:val="22"/>
          <w:u w:val="single"/>
          <w14:ligatures w14:val="none"/>
        </w:rPr>
        <w:t>S</w:t>
      </w:r>
      <w:r w:rsidRPr="008E7DCB">
        <w:rPr>
          <w:rFonts w:ascii="Calibri" w:eastAsia="Times New Roman" w:hAnsi="Calibri" w:cs="Calibri"/>
          <w:color w:val="000000"/>
          <w:kern w:val="0"/>
          <w:sz w:val="22"/>
          <w:szCs w:val="22"/>
          <w14:ligatures w14:val="none"/>
        </w:rPr>
        <w:t> and R575</w:t>
      </w:r>
      <w:r w:rsidRPr="008E7DCB">
        <w:rPr>
          <w:rFonts w:ascii="Calibri" w:eastAsia="Times New Roman" w:hAnsi="Calibri" w:cs="Calibri"/>
          <w:b/>
          <w:bCs/>
          <w:color w:val="000000"/>
          <w:kern w:val="0"/>
          <w:sz w:val="22"/>
          <w:szCs w:val="22"/>
          <w:u w:val="single"/>
          <w14:ligatures w14:val="none"/>
        </w:rPr>
        <w:t>K</w:t>
      </w:r>
      <w:r w:rsidRPr="008E7DCB">
        <w:rPr>
          <w:rFonts w:ascii="Calibri" w:eastAsia="Times New Roman" w:hAnsi="Calibri" w:cs="Calibri"/>
          <w:color w:val="000000"/>
          <w:kern w:val="0"/>
          <w:sz w:val="22"/>
          <w:szCs w:val="22"/>
          <w14:ligatures w14:val="none"/>
        </w:rPr>
        <w:t>) were observed at low prevalence (&lt;1%), while the prevalence of the </w:t>
      </w:r>
      <w:r w:rsidRPr="008E7DCB">
        <w:rPr>
          <w:rFonts w:ascii="Calibri" w:eastAsia="Times New Roman" w:hAnsi="Calibri" w:cs="Calibri"/>
          <w:i/>
          <w:iCs/>
          <w:color w:val="000000"/>
          <w:kern w:val="0"/>
          <w:sz w:val="22"/>
          <w:szCs w:val="22"/>
          <w14:ligatures w14:val="none"/>
        </w:rPr>
        <w:t>Pfubp1</w:t>
      </w:r>
      <w:r w:rsidRPr="008E7DCB">
        <w:rPr>
          <w:rFonts w:ascii="Calibri" w:eastAsia="Times New Roman" w:hAnsi="Calibri" w:cs="Calibri"/>
          <w:color w:val="000000"/>
          <w:kern w:val="0"/>
          <w:sz w:val="22"/>
          <w:szCs w:val="22"/>
          <w14:ligatures w14:val="none"/>
        </w:rPr>
        <w:t> E1528</w:t>
      </w:r>
      <w:r w:rsidRPr="008E7DCB">
        <w:rPr>
          <w:rFonts w:ascii="Calibri" w:eastAsia="Times New Roman" w:hAnsi="Calibri" w:cs="Calibri"/>
          <w:b/>
          <w:bCs/>
          <w:color w:val="000000"/>
          <w:kern w:val="0"/>
          <w:sz w:val="22"/>
          <w:szCs w:val="22"/>
          <w:u w:val="single"/>
          <w14:ligatures w14:val="none"/>
        </w:rPr>
        <w:t>D</w:t>
      </w:r>
      <w:r w:rsidRPr="008E7DCB">
        <w:rPr>
          <w:rFonts w:ascii="Calibri" w:eastAsia="Times New Roman" w:hAnsi="Calibri" w:cs="Calibri"/>
          <w:color w:val="000000"/>
          <w:kern w:val="0"/>
          <w:sz w:val="22"/>
          <w:szCs w:val="22"/>
          <w14:ligatures w14:val="none"/>
        </w:rPr>
        <w:t xml:space="preserve"> mutation was 10.7%. However, none of these mutations were associated with </w:t>
      </w:r>
      <w:r w:rsidRPr="008E7DCB">
        <w:rPr>
          <w:rFonts w:ascii="Calibri" w:eastAsia="Times New Roman" w:hAnsi="Calibri" w:cs="Calibri"/>
          <w:color w:val="000000"/>
          <w:kern w:val="0"/>
          <w:sz w:val="22"/>
          <w:szCs w:val="22"/>
          <w14:ligatures w14:val="none"/>
        </w:rPr>
        <w:lastRenderedPageBreak/>
        <w:t>delayed parasite clearance. The prevalences of </w:t>
      </w:r>
      <w:r w:rsidRPr="008E7DCB">
        <w:rPr>
          <w:rFonts w:ascii="Calibri" w:eastAsia="Times New Roman" w:hAnsi="Calibri" w:cs="Calibri"/>
          <w:i/>
          <w:iCs/>
          <w:color w:val="000000"/>
          <w:kern w:val="0"/>
          <w:sz w:val="22"/>
          <w:szCs w:val="22"/>
          <w14:ligatures w14:val="none"/>
        </w:rPr>
        <w:t>Pfcrt</w:t>
      </w:r>
      <w:r w:rsidRPr="008E7DCB">
        <w:rPr>
          <w:rFonts w:ascii="Calibri" w:eastAsia="Times New Roman" w:hAnsi="Calibri" w:cs="Calibri"/>
          <w:color w:val="000000"/>
          <w:kern w:val="0"/>
          <w:sz w:val="22"/>
          <w:szCs w:val="22"/>
          <w14:ligatures w14:val="none"/>
        </w:rPr>
        <w:t> K76</w:t>
      </w:r>
      <w:r w:rsidRPr="008E7DCB">
        <w:rPr>
          <w:rFonts w:ascii="Calibri" w:eastAsia="Times New Roman" w:hAnsi="Calibri" w:cs="Calibri"/>
          <w:b/>
          <w:bCs/>
          <w:color w:val="000000"/>
          <w:kern w:val="0"/>
          <w:sz w:val="22"/>
          <w:szCs w:val="22"/>
          <w:u w:val="single"/>
          <w14:ligatures w14:val="none"/>
        </w:rPr>
        <w:t>T</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Pfmdr1</w:t>
      </w:r>
      <w:r w:rsidRPr="008E7DCB">
        <w:rPr>
          <w:rFonts w:ascii="Calibri" w:eastAsia="Times New Roman" w:hAnsi="Calibri" w:cs="Calibri"/>
          <w:color w:val="000000"/>
          <w:kern w:val="0"/>
          <w:sz w:val="22"/>
          <w:szCs w:val="22"/>
          <w14:ligatures w14:val="none"/>
        </w:rPr>
        <w:t> NFD haplotype were 17.7% and 64.9 %, respectively, and were not associated with recrudescence. The prevalence of </w:t>
      </w:r>
      <w:r w:rsidRPr="008E7DCB">
        <w:rPr>
          <w:rFonts w:ascii="Calibri" w:eastAsia="Times New Roman" w:hAnsi="Calibri" w:cs="Calibri"/>
          <w:i/>
          <w:iCs/>
          <w:color w:val="000000"/>
          <w:kern w:val="0"/>
          <w:sz w:val="22"/>
          <w:szCs w:val="22"/>
          <w14:ligatures w14:val="none"/>
        </w:rPr>
        <w:t>Pfdhfr</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Pfdhps</w:t>
      </w:r>
      <w:r w:rsidRPr="008E7DCB">
        <w:rPr>
          <w:rFonts w:ascii="Calibri" w:eastAsia="Times New Roman" w:hAnsi="Calibri" w:cs="Calibri"/>
          <w:color w:val="000000"/>
          <w:kern w:val="0"/>
          <w:sz w:val="22"/>
          <w:szCs w:val="22"/>
          <w14:ligatures w14:val="none"/>
        </w:rPr>
        <w:t> mutations was overall very high, close to fixation, however the prevalence of the </w:t>
      </w:r>
      <w:r w:rsidRPr="008E7DCB">
        <w:rPr>
          <w:rFonts w:ascii="Calibri" w:eastAsia="Times New Roman" w:hAnsi="Calibri" w:cs="Calibri"/>
          <w:i/>
          <w:iCs/>
          <w:color w:val="000000"/>
          <w:kern w:val="0"/>
          <w:sz w:val="22"/>
          <w:szCs w:val="22"/>
          <w14:ligatures w14:val="none"/>
        </w:rPr>
        <w:t>Pfdhfr/Pfdhps</w:t>
      </w:r>
      <w:r w:rsidRPr="008E7DCB">
        <w:rPr>
          <w:rFonts w:ascii="Calibri" w:eastAsia="Times New Roman" w:hAnsi="Calibri" w:cs="Calibri"/>
          <w:color w:val="000000"/>
          <w:kern w:val="0"/>
          <w:sz w:val="22"/>
          <w:szCs w:val="22"/>
          <w14:ligatures w14:val="none"/>
        </w:rPr>
        <w:t> quintuple mutations was only 4.1%. None of the mutations in Pfcarl associated with resistance to imidazolepiperazine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were found. Selection of resistance markers post treatment in recurrent infections will be assessed. Both drug combinations demonstrated high efficacy in this study as previously presented.</w:t>
      </w:r>
    </w:p>
    <w:p w14:paraId="618E5C6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25-A-3456-ASTMH</w:t>
      </w:r>
    </w:p>
    <w:p w14:paraId="2D7CE40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HIV and Tropical Co-Infections</w:t>
      </w:r>
    </w:p>
    <w:p w14:paraId="2B454C0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FREQUENCY AND CORRELATES OF NON-DISCLOSURE OF MATERNAL HIV STATUS TO MALE PARTNERS IN DRC</w:t>
      </w:r>
    </w:p>
    <w:p w14:paraId="1C8317D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FREQUENCY AND CORRELATES OF NON-DISCLOSURE OF MATERNAL HIV STATUS TO MALE PARTNERS IN DRC</w:t>
      </w:r>
      <w:r w:rsidRPr="008E7DCB">
        <w:rPr>
          <w:rFonts w:ascii="Calibri" w:eastAsia="Times New Roman" w:hAnsi="Calibri" w:cs="Calibri"/>
          <w:color w:val="000000"/>
          <w:kern w:val="0"/>
          <w:sz w:val="22"/>
          <w:szCs w:val="22"/>
          <w14:ligatures w14:val="none"/>
        </w:rPr>
        <w:t>Aimée M Lulebo</w:t>
      </w:r>
      <w:r w:rsidRPr="008E7DCB">
        <w:rPr>
          <w:rFonts w:ascii="Calibri" w:eastAsia="Times New Roman" w:hAnsi="Calibri" w:cs="Calibri"/>
          <w:color w:val="000000"/>
          <w:kern w:val="0"/>
          <w:sz w:val="22"/>
          <w:szCs w:val="22"/>
          <w:vertAlign w:val="superscript"/>
          <w14:ligatures w14:val="none"/>
        </w:rPr>
        <w:t>1</w:t>
      </w:r>
      <w:r w:rsidRPr="008E7DCB">
        <w:rPr>
          <w:rFonts w:ascii="Calibri" w:eastAsia="Times New Roman" w:hAnsi="Calibri" w:cs="Calibri"/>
          <w:color w:val="000000"/>
          <w:kern w:val="0"/>
          <w:sz w:val="22"/>
          <w:szCs w:val="22"/>
          <w14:ligatures w14:val="none"/>
        </w:rPr>
        <w:t>, Eric M Mafuta</w:t>
      </w:r>
      <w:r w:rsidRPr="008E7DCB">
        <w:rPr>
          <w:rFonts w:ascii="Calibri" w:eastAsia="Times New Roman" w:hAnsi="Calibri" w:cs="Calibri"/>
          <w:color w:val="000000"/>
          <w:kern w:val="0"/>
          <w:sz w:val="22"/>
          <w:szCs w:val="22"/>
          <w:vertAlign w:val="superscript"/>
          <w14:ligatures w14:val="none"/>
        </w:rPr>
        <w:t>1</w:t>
      </w:r>
      <w:r w:rsidRPr="008E7DCB">
        <w:rPr>
          <w:rFonts w:ascii="Calibri" w:eastAsia="Times New Roman" w:hAnsi="Calibri" w:cs="Calibri"/>
          <w:color w:val="000000"/>
          <w:kern w:val="0"/>
          <w:sz w:val="22"/>
          <w:szCs w:val="22"/>
          <w14:ligatures w14:val="none"/>
        </w:rPr>
        <w:t>, Caroline M Bondonga</w:t>
      </w:r>
      <w:r w:rsidRPr="008E7DCB">
        <w:rPr>
          <w:rFonts w:ascii="Calibri" w:eastAsia="Times New Roman" w:hAnsi="Calibri" w:cs="Calibri"/>
          <w:color w:val="000000"/>
          <w:kern w:val="0"/>
          <w:sz w:val="22"/>
          <w:szCs w:val="22"/>
          <w:vertAlign w:val="superscript"/>
          <w14:ligatures w14:val="none"/>
        </w:rPr>
        <w:t>2</w:t>
      </w:r>
      <w:r w:rsidRPr="008E7DCB">
        <w:rPr>
          <w:rFonts w:ascii="Calibri" w:eastAsia="Times New Roman" w:hAnsi="Calibri" w:cs="Calibri"/>
          <w:color w:val="000000"/>
          <w:kern w:val="0"/>
          <w:sz w:val="22"/>
          <w:szCs w:val="22"/>
          <w14:ligatures w14:val="none"/>
        </w:rPr>
        <w:br/>
        <w:t>Kinshasa School of Public health, Kinshasa, Democratic Republic of Congo</w:t>
      </w:r>
      <w:r w:rsidRPr="008E7DCB">
        <w:rPr>
          <w:rFonts w:ascii="Calibri" w:eastAsia="Times New Roman" w:hAnsi="Calibri" w:cs="Calibri"/>
          <w:color w:val="000000"/>
          <w:kern w:val="0"/>
          <w:sz w:val="22"/>
          <w:szCs w:val="22"/>
          <w:vertAlign w:val="superscript"/>
          <w14:ligatures w14:val="none"/>
        </w:rPr>
        <w:t>1</w:t>
      </w:r>
      <w:r w:rsidRPr="008E7DCB">
        <w:rPr>
          <w:rFonts w:ascii="Calibri" w:eastAsia="Times New Roman" w:hAnsi="Calibri" w:cs="Calibri"/>
          <w:color w:val="000000"/>
          <w:kern w:val="0"/>
          <w:sz w:val="22"/>
          <w:szCs w:val="22"/>
          <w14:ligatures w14:val="none"/>
        </w:rPr>
        <w:t>Programme National de lutte contre le VIH, Democratic Republic of Congo</w:t>
      </w:r>
      <w:r w:rsidRPr="008E7DCB">
        <w:rPr>
          <w:rFonts w:ascii="Calibri" w:eastAsia="Times New Roman" w:hAnsi="Calibri" w:cs="Calibri"/>
          <w:color w:val="000000"/>
          <w:kern w:val="0"/>
          <w:sz w:val="22"/>
          <w:szCs w:val="22"/>
          <w:vertAlign w:val="superscript"/>
          <w14:ligatures w14:val="none"/>
        </w:rPr>
        <w:t>2</w:t>
      </w:r>
      <w:r w:rsidRPr="008E7DCB">
        <w:rPr>
          <w:rFonts w:ascii="Calibri" w:eastAsia="Times New Roman" w:hAnsi="Calibri" w:cs="Calibri"/>
          <w:color w:val="000000"/>
          <w:kern w:val="0"/>
          <w:sz w:val="22"/>
          <w:szCs w:val="22"/>
          <w14:ligatures w14:val="none"/>
        </w:rPr>
        <w:br/>
      </w:r>
      <w:r w:rsidRPr="008E7DCB">
        <w:rPr>
          <w:rFonts w:ascii="Calibri" w:eastAsia="Times New Roman" w:hAnsi="Calibri" w:cs="Calibri"/>
          <w:b/>
          <w:bCs/>
          <w:color w:val="000000"/>
          <w:kern w:val="0"/>
          <w:sz w:val="22"/>
          <w:szCs w:val="22"/>
          <w14:ligatures w14:val="none"/>
        </w:rPr>
        <w:t>Background: </w:t>
      </w:r>
      <w:r w:rsidRPr="008E7DCB">
        <w:rPr>
          <w:rFonts w:ascii="Calibri" w:eastAsia="Times New Roman" w:hAnsi="Calibri" w:cs="Calibri"/>
          <w:color w:val="000000"/>
          <w:kern w:val="0"/>
          <w:sz w:val="22"/>
          <w:szCs w:val="22"/>
          <w14:ligatures w14:val="none"/>
        </w:rPr>
        <w:t>DRC is one of the countries with the highest HIV transmission rate from mother to infant. In 2024, the country recorded a mother infant transmission rate of 20%. The male partner involvement is an important factor in the success of PMTCT, but this requires HIV status disclosure. This study aims to determine the frequency and the factors associated with maternal HIV status non-disclosure to male partners. </w:t>
      </w:r>
      <w:r w:rsidRPr="008E7DCB">
        <w:rPr>
          <w:rFonts w:ascii="Calibri" w:eastAsia="Times New Roman" w:hAnsi="Calibri" w:cs="Calibri"/>
          <w:b/>
          <w:bCs/>
          <w:color w:val="000000"/>
          <w:kern w:val="0"/>
          <w:sz w:val="22"/>
          <w:szCs w:val="22"/>
          <w14:ligatures w14:val="none"/>
        </w:rPr>
        <w:t>Methods: </w:t>
      </w:r>
      <w:r w:rsidRPr="008E7DCB">
        <w:rPr>
          <w:rFonts w:ascii="Calibri" w:eastAsia="Times New Roman" w:hAnsi="Calibri" w:cs="Calibri"/>
          <w:color w:val="000000"/>
          <w:kern w:val="0"/>
          <w:sz w:val="22"/>
          <w:szCs w:val="22"/>
          <w14:ligatures w14:val="none"/>
        </w:rPr>
        <w:t>A cross-sectional study was conducted in 2022 in four cities of DRC among pregnant and breastfeeding women living with HIV. Data were collected using a two-stage random sampling. Interviews and literature reviews were used to collect data with Survey CTO. Data analyses were performed with Stata 14.0. Binary logistic regression was used to identify factors independently associated with HIV status non-disclosure. </w:t>
      </w:r>
      <w:r w:rsidRPr="008E7DCB">
        <w:rPr>
          <w:rFonts w:ascii="Calibri" w:eastAsia="Times New Roman" w:hAnsi="Calibri" w:cs="Calibri"/>
          <w:b/>
          <w:bCs/>
          <w:color w:val="000000"/>
          <w:kern w:val="0"/>
          <w:sz w:val="22"/>
          <w:szCs w:val="22"/>
          <w14:ligatures w14:val="none"/>
        </w:rPr>
        <w:t>Results: </w:t>
      </w:r>
      <w:r w:rsidRPr="008E7DCB">
        <w:rPr>
          <w:rFonts w:ascii="Calibri" w:eastAsia="Times New Roman" w:hAnsi="Calibri" w:cs="Calibri"/>
          <w:color w:val="000000"/>
          <w:kern w:val="0"/>
          <w:sz w:val="22"/>
          <w:szCs w:val="22"/>
          <w14:ligatures w14:val="none"/>
        </w:rPr>
        <w:t>A total of 430 PBFW living with HIV were included in the study, 39.3% had not disclosed HIV status to their male partners. Associated factors were not having received a psycho-social support to disclose the HIV status aOR 4.2 [IC95%: 2.6-7.1] and not living in the same household with the male partner aOR 15.7 [IC95%: 7.6-32.2].</w:t>
      </w:r>
      <w:r w:rsidRPr="008E7DCB">
        <w:rPr>
          <w:rFonts w:ascii="Calibri" w:eastAsia="Times New Roman" w:hAnsi="Calibri" w:cs="Calibri"/>
          <w:b/>
          <w:bCs/>
          <w:color w:val="000000"/>
          <w:kern w:val="0"/>
          <w:sz w:val="22"/>
          <w:szCs w:val="22"/>
          <w14:ligatures w14:val="none"/>
        </w:rPr>
        <w:t>Conclusion: </w:t>
      </w:r>
      <w:r w:rsidRPr="008E7DCB">
        <w:rPr>
          <w:rFonts w:ascii="Calibri" w:eastAsia="Times New Roman" w:hAnsi="Calibri" w:cs="Calibri"/>
          <w:color w:val="000000"/>
          <w:kern w:val="0"/>
          <w:sz w:val="22"/>
          <w:szCs w:val="22"/>
          <w14:ligatures w14:val="none"/>
        </w:rPr>
        <w:t>It is observed a high proportion of non-disclosure of HIV status to male partners. Psycho-social support to disclose the HIV status must be promoted to improve male partners involvement.</w:t>
      </w:r>
      <w:r w:rsidRPr="008E7DCB">
        <w:rPr>
          <w:rFonts w:ascii="Calibri" w:eastAsia="Times New Roman" w:hAnsi="Calibri" w:cs="Calibri"/>
          <w:color w:val="000000"/>
          <w:kern w:val="0"/>
          <w:sz w:val="22"/>
          <w:szCs w:val="22"/>
          <w14:ligatures w14:val="none"/>
        </w:rPr>
        <w:br/>
      </w:r>
      <w:r w:rsidRPr="008E7DCB">
        <w:rPr>
          <w:rFonts w:ascii="Calibri" w:eastAsia="Times New Roman" w:hAnsi="Calibri" w:cs="Calibri"/>
          <w:b/>
          <w:bCs/>
          <w:color w:val="000000"/>
          <w:kern w:val="0"/>
          <w:sz w:val="22"/>
          <w:szCs w:val="22"/>
          <w14:ligatures w14:val="none"/>
        </w:rPr>
        <w:t>Mots clés :</w:t>
      </w:r>
      <w:r w:rsidRPr="008E7DCB">
        <w:rPr>
          <w:rFonts w:ascii="Calibri" w:eastAsia="Times New Roman" w:hAnsi="Calibri" w:cs="Calibri"/>
          <w:color w:val="000000"/>
          <w:kern w:val="0"/>
          <w:sz w:val="22"/>
          <w:szCs w:val="22"/>
          <w14:ligatures w14:val="none"/>
        </w:rPr>
        <w:t> Non-Disclosure, HIV status, DRC</w:t>
      </w:r>
    </w:p>
    <w:p w14:paraId="6C37594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25-A-3457-ASTMH</w:t>
      </w:r>
    </w:p>
    <w:p w14:paraId="226879B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Drug Development and Clinical Trials</w:t>
      </w:r>
    </w:p>
    <w:p w14:paraId="1D115C0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Title of study (KAE609B12201): Efficacy, safety, tolerability and pharmacokinetics of IV cipargamin in adult and pediatric patients with severe P. falciparum malaria: The KARISMA Study (NCT04675931)</w:t>
      </w:r>
    </w:p>
    <w:p w14:paraId="3E048BD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Severe malaria remains a major cause of morbidity and mortality, especially in children under five in Africa. The treatment with IV artesunate, the recommended first-line therapy, is threatened by partial artemisinin resistance. Cipargamin (KAE609), a PfATP4 inhibitor with potent schizonticidal activity, is being evaluated as an alternative in the Phase 2 KARISMA trial. This multicenter, active-controlled, randomized, open-label study aims to evaluate the efficacy, safety, and pharmacokinetics of two IV cipargamin dose regimens (20 mg and 40 mg once a day for up to 3 days) compared to IV artesunate. The primary endpoint is ≥90% parasite clearance within 12 hours. A novel composite clinical success endpoint, based on patient survival, absence of key severe malaria symptoms (coma, acidosis, renal impairment), and parasite clearance at 48 hours, is a key secondary endpoint. The study is ongoing in 10 Sub-Saharan African countries, including countries with documented K13 mutations and slower parasite clearance with artesunate. Approximately 250 patients, aged 6 months and above, are being enrolled in age-descending cohorts, starting with ≥12 years old in Cohorts 1 and going down to 6 months in Cohort 5. As of March 2025, 4 cohorts (210 patients) have completed the study, and Cohort 5 enrollment is projected to complete by August 2025. Results will be shared at the ASTMH 2025 meeting. This study </w:t>
      </w:r>
      <w:r w:rsidRPr="008E7DCB">
        <w:rPr>
          <w:rFonts w:ascii="Calibri" w:eastAsia="Times New Roman" w:hAnsi="Calibri" w:cs="Calibri"/>
          <w:color w:val="000000"/>
          <w:kern w:val="0"/>
          <w:sz w:val="22"/>
          <w:szCs w:val="22"/>
          <w14:ligatures w14:val="none"/>
        </w:rPr>
        <w:lastRenderedPageBreak/>
        <w:t>will provide the first evidence of cipargamin's potential as an alternative to artesunate for severe malaria treatment and offer a composite clinical endpoint for future trials.</w:t>
      </w:r>
    </w:p>
    <w:p w14:paraId="4F76081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25-A-3458-ASTMH</w:t>
      </w:r>
    </w:p>
    <w:p w14:paraId="7E20D7F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Epidemiology and Vector Control</w:t>
      </w:r>
    </w:p>
    <w:p w14:paraId="4D09B30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Introducing AnoSTEP AfriKa Project: Comprehensive Assessment of the biology and public health importance of </w:t>
      </w:r>
      <w:r w:rsidRPr="008E7DCB">
        <w:rPr>
          <w:rFonts w:ascii="Calibri" w:eastAsia="Times New Roman" w:hAnsi="Calibri" w:cs="Calibri"/>
          <w:b/>
          <w:bCs/>
          <w:i/>
          <w:iCs/>
          <w:color w:val="000000"/>
          <w:kern w:val="0"/>
          <w:sz w:val="22"/>
          <w:szCs w:val="22"/>
          <w14:ligatures w14:val="none"/>
        </w:rPr>
        <w:t>Anopheles stephensi</w:t>
      </w:r>
      <w:r w:rsidRPr="008E7DCB">
        <w:rPr>
          <w:rFonts w:ascii="Calibri" w:eastAsia="Times New Roman" w:hAnsi="Calibri" w:cs="Calibri"/>
          <w:b/>
          <w:bCs/>
          <w:color w:val="000000"/>
          <w:kern w:val="0"/>
          <w:sz w:val="22"/>
          <w:szCs w:val="22"/>
          <w14:ligatures w14:val="none"/>
        </w:rPr>
        <w:t> in Africa</w:t>
      </w:r>
    </w:p>
    <w:p w14:paraId="082642C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In the past decade, </w:t>
      </w:r>
      <w:r w:rsidRPr="008E7DCB">
        <w:rPr>
          <w:rFonts w:ascii="Calibri" w:eastAsia="Times New Roman" w:hAnsi="Calibri" w:cs="Calibri"/>
          <w:i/>
          <w:iCs/>
          <w:color w:val="000000"/>
          <w:kern w:val="0"/>
          <w:sz w:val="22"/>
          <w:szCs w:val="22"/>
          <w14:ligatures w14:val="none"/>
        </w:rPr>
        <w:t>Anopheles stephensi</w:t>
      </w:r>
      <w:r w:rsidRPr="008E7DCB">
        <w:rPr>
          <w:rFonts w:ascii="Calibri" w:eastAsia="Times New Roman" w:hAnsi="Calibri" w:cs="Calibri"/>
          <w:color w:val="000000"/>
          <w:kern w:val="0"/>
          <w:sz w:val="22"/>
          <w:szCs w:val="22"/>
          <w14:ligatures w14:val="none"/>
        </w:rPr>
        <w:t> has been reported in Djibouti, Ethiopia, Sudan, Somalia, and more recently in Nigeria, Kenya, and Ghana. This invasion has been associated with increased malaria burden in Djibouti and Dire Dawa, Ethiopia. The AnoSTEP AfriKa Project, funded by the Wellcome Trust (UK), aims to contribute to the WHO initiative to stop the spread of </w:t>
      </w:r>
      <w:r w:rsidRPr="008E7DCB">
        <w:rPr>
          <w:rFonts w:ascii="Calibri" w:eastAsia="Times New Roman" w:hAnsi="Calibri" w:cs="Calibri"/>
          <w:i/>
          <w:iCs/>
          <w:color w:val="000000"/>
          <w:kern w:val="0"/>
          <w:sz w:val="22"/>
          <w:szCs w:val="22"/>
          <w14:ligatures w14:val="none"/>
        </w:rPr>
        <w:t>An. stephensi</w:t>
      </w:r>
      <w:r w:rsidRPr="008E7DCB">
        <w:rPr>
          <w:rFonts w:ascii="Calibri" w:eastAsia="Times New Roman" w:hAnsi="Calibri" w:cs="Calibri"/>
          <w:color w:val="000000"/>
          <w:kern w:val="0"/>
          <w:sz w:val="22"/>
          <w:szCs w:val="22"/>
          <w14:ligatures w14:val="none"/>
        </w:rPr>
        <w:t> by providing insights into its bionomics and this species’contribution to malaria transmission relative to sympatric vector populations. The study will be conducted across diverse geographic settings in Djibouti, Ethiopia, Kenya, and Nigeria to understand the ecological, climatic, and socio-economic factors facilitating the vector's invasion, spread, and establishment. Given the large spatial scale of this study, we will present how an adaptive, model-based longitudinal sampling design - accounts for spatial patterns and ecological diversity - will be employed in the study areas to optimize </w:t>
      </w:r>
      <w:r w:rsidRPr="008E7DCB">
        <w:rPr>
          <w:rFonts w:ascii="Calibri" w:eastAsia="Times New Roman" w:hAnsi="Calibri" w:cs="Calibri"/>
          <w:i/>
          <w:iCs/>
          <w:color w:val="000000"/>
          <w:kern w:val="0"/>
          <w:sz w:val="22"/>
          <w:szCs w:val="22"/>
          <w14:ligatures w14:val="none"/>
        </w:rPr>
        <w:t>An. stephensi</w:t>
      </w:r>
      <w:r w:rsidRPr="008E7DCB">
        <w:rPr>
          <w:rFonts w:ascii="Calibri" w:eastAsia="Times New Roman" w:hAnsi="Calibri" w:cs="Calibri"/>
          <w:color w:val="000000"/>
          <w:kern w:val="0"/>
          <w:sz w:val="22"/>
          <w:szCs w:val="22"/>
          <w14:ligatures w14:val="none"/>
        </w:rPr>
        <w:t> surveillance. This will consider existing models of suitability, land use, malaria transmission intensity, transportation routes, and socio-economic factors that may influence the vector’s dynamics. We will provide preliminary findings based on the investigation of the coexistence of </w:t>
      </w:r>
      <w:r w:rsidRPr="008E7DCB">
        <w:rPr>
          <w:rFonts w:ascii="Calibri" w:eastAsia="Times New Roman" w:hAnsi="Calibri" w:cs="Calibri"/>
          <w:i/>
          <w:iCs/>
          <w:color w:val="000000"/>
          <w:kern w:val="0"/>
          <w:sz w:val="22"/>
          <w:szCs w:val="22"/>
          <w14:ligatures w14:val="none"/>
        </w:rPr>
        <w:t>An. stephensi</w:t>
      </w:r>
      <w:r w:rsidRPr="008E7DCB">
        <w:rPr>
          <w:rFonts w:ascii="Calibri" w:eastAsia="Times New Roman" w:hAnsi="Calibri" w:cs="Calibri"/>
          <w:color w:val="000000"/>
          <w:kern w:val="0"/>
          <w:sz w:val="22"/>
          <w:szCs w:val="22"/>
          <w14:ligatures w14:val="none"/>
        </w:rPr>
        <w:t> with native malaria and non-malaria disease vectors in larval habitats, studying its impact on mosquito fitness and population patterns through semi-field and field evaluations.</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We will highlight the major expected outputs including: geographical distribution of </w:t>
      </w:r>
      <w:r w:rsidRPr="008E7DCB">
        <w:rPr>
          <w:rFonts w:ascii="Calibri" w:eastAsia="Times New Roman" w:hAnsi="Calibri" w:cs="Calibri"/>
          <w:i/>
          <w:iCs/>
          <w:color w:val="000000"/>
          <w:kern w:val="0"/>
          <w:sz w:val="22"/>
          <w:szCs w:val="22"/>
          <w14:ligatures w14:val="none"/>
        </w:rPr>
        <w:t>An. stephensi</w:t>
      </w:r>
      <w:r w:rsidRPr="008E7DCB">
        <w:rPr>
          <w:rFonts w:ascii="Calibri" w:eastAsia="Times New Roman" w:hAnsi="Calibri" w:cs="Calibri"/>
          <w:color w:val="000000"/>
          <w:kern w:val="0"/>
          <w:sz w:val="22"/>
          <w:szCs w:val="22"/>
          <w14:ligatures w14:val="none"/>
        </w:rPr>
        <w:t>, suitable adult vector sampling tools, bionomics, contribution to malaria transmission, genetic diversity, and the climatic, ecological, and social-behavioral factors that propagate its spread. The AnoSTEP project is expected to influence decision-making and implementation of vector control strategies, while strengthening the capacity of relevant stakeholders to address emerging threats within Africa's public health landscape.</w:t>
      </w:r>
    </w:p>
    <w:p w14:paraId="3EDD86D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25-A-3459-ASTMH</w:t>
      </w:r>
    </w:p>
    <w:p w14:paraId="538AD42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Other</w:t>
      </w:r>
    </w:p>
    <w:p w14:paraId="0FFA95A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Mixed methods study addressing barriers to contraception in regions endemic for neglected diseases</w:t>
      </w:r>
    </w:p>
    <w:p w14:paraId="1B4C9A5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The underrepresentation of women of childbearing age in clinical trials for diseases like leishmaniasis and Chagas disease is a significant concern. A key contributing factor is the low acceptance of contraception, which is required for potentially teratogenic treatments and early development studies to prevent pregnancy during treatment. To address this, we initiated a participatory, mixed methods project to assess women’s acceptability of medically indicated contraception, aiming to generate evidence to frame recommendations for improving women’s access to treatment with potential reproductive toxicity for leishmaniasis and Chagas disease. Through a community-based approach, the study established a board of community members to provide input and guidance, ensuring that the activities are relevant, respectful, and aligned with community needs. This study, conducted in Kenya (visceral leishmaniasis), Brazil (cutaneous leishmaniasis), and Colombia (Chagas disease) includes a cross-sectional, quantitative survey among women of reproductive age followed by in-depth interviews with women and focus group discussions with community stakeholders. Preliminary quantitative findings from Kenya indicate that while only 34.7% of women currently use contraceptives, 85.2% would consider using them if medically indicated in the context of VL treatment and 81% in the context of clinical trials. Notably, while the partner’s role influences decisions about contraceptive use for family planning purposes, this is not the case when contraceptive use is medically indicated (i.e., both alongside VL treatment and clinical trials), showing that women may have more autonomy for making this decision. Similar surveys will be performed in Brazil and Colombia, followed by a qualitative phase of the study. Integrating qualitative analysis with quantitative data will provide evidence to co-develop </w:t>
      </w:r>
      <w:r w:rsidRPr="008E7DCB">
        <w:rPr>
          <w:rFonts w:ascii="Calibri" w:eastAsia="Times New Roman" w:hAnsi="Calibri" w:cs="Calibri"/>
          <w:color w:val="000000"/>
          <w:kern w:val="0"/>
          <w:sz w:val="22"/>
          <w:szCs w:val="22"/>
          <w14:ligatures w14:val="none"/>
        </w:rPr>
        <w:lastRenderedPageBreak/>
        <w:t>recommendations with communities on overcoming barriers for medically indicated contraceptive use in areas endemic for leishmaniasis and Chagas disease, which will be ultimately shared with stakeholders and policy makers for possible adoption.</w:t>
      </w:r>
    </w:p>
    <w:p w14:paraId="64CAA21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25-A-3460-ASTMH</w:t>
      </w:r>
    </w:p>
    <w:p w14:paraId="4CB886E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Prevention</w:t>
      </w:r>
    </w:p>
    <w:p w14:paraId="5E1BF0C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Evaluating the impact of vector control service interruptions: an interrupted time series analysis of Bioko Island malaria indicator survey and health information system data</w:t>
      </w:r>
    </w:p>
    <w:p w14:paraId="70F1109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Since 2004, the Bioko Island Malaria Elimination Project (BIMEP) has implemented a package of robust malaria control activities, centered around intensive vector control. From 2004-2015 and 2021-2023 all of Bioko Island was targeted annually with indoor residual spraying (IRS), while from 2016-2020 IRS was targeted to high-transmission areas, and island-wide mass distribution campaigns of long-lasting insecticide-treated nets (LLINs) were conducted in 2015 and 2018, followed up by a distribution campaign in 2021 in only rural areas of Bioko Island. The result of these and complementary activities has been a dramatic reduction in the burden of malaria on Bioko Island. However, in 2024 a lapse in funding resulted in an interruption of vector control activities, and in particular of IRS which has historically been conducted from February to July. Fortunately, funding was reinstated in time to conduct the 2024 malaria indicator survey (MIS) as planned in August-October, and subsequently implement a delayed and more geographically restricted IRS campaign beginning between September and December. Here we present the results of this nearly one-year cessation of intensive vector control activities, based on annual MIS and routine health information system data. Overall, PfPR increased from 12.9% in 2023 to 15.9% in 2024, while the number of reported malaria cases increased by nearly 50% year-over-year. Interrupted time series methods determined that these increases were statistically significant departures from pre-interruption trends, indicating a substantial impact of service interruptions. Moreover, analysis showed that the end-of-year re-establishment of IRS brought the number of reported cases back to the pre-2024 baseline. These findings are particularly relevant in the current global malaria control funding climate, where the impact of service interruptions in many countries will not be able to be documented as has been possible in the case of Bioko Island.</w:t>
      </w:r>
    </w:p>
    <w:p w14:paraId="6B15FB7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25-A-3461-ASTMH</w:t>
      </w:r>
    </w:p>
    <w:p w14:paraId="455E092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One Health: The Interface of Humans, Ecosystems, and Animal Health</w:t>
      </w:r>
    </w:p>
    <w:p w14:paraId="4393260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Associations Between Animal Ownership and Malaria Prevalence Over Space and Time in Sub-Saharan Africa using Cross-Sectional National Demographic and Health Surveys</w:t>
      </w:r>
    </w:p>
    <w:p w14:paraId="7F264E6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Use of zooprophylaxis as a malaria control strategy has been recommended historically, but a complex relationship exists between animal ownership and risk of malaria, with both positive and negative associations reported in sub-Saharan Africa. We studied 392,843 individuals from 69 Demographic and Health Surveys (2009-2022) from 26 countries within sub-Saharan Africa to investigate the association between household animal ownership and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xml:space="preserve"> infection (by rapid diagnostic test). Spatially varying intercept and slope models were run using a Bayesian framework with Integrated Nested Laplace Approximation, allowing the association of interest to vary over space, time, and within strata of vector species occurrence, land cover, and number of animals owned by households. Spatially varying intercept models showed harmful overall effects for ownership of cattle (OR: 1.67, 95% uncertainty interval [UI]: 1.54, 1.80), chickens / poultry (OR: 1.67, 95% UI: 1.55, 1.81), goats (OR: 1.63, 95% UI: 1.51, 1.76), horses / donkeys / mules (OR: 1.55, 95% UI: 1.42, 1.70), pigs (OR: 1.61, 95% UI: 1.48, 1.76), and sheep (OR: 1.61, 95% UI: 1.49, 1.74) on malaria prevalence. However, spatially varying slope models revealed that estimates for all animal types demonstrated both protective and harmful effects depending on location, with varying effects both sub-nationally and across time. Localized cultural, behavioral, or ecological factors may modify the association between animal ownership and malaria prevalence. Further exploring the changing nature of the relationship between livestock ownership and </w:t>
      </w:r>
      <w:r w:rsidRPr="008E7DCB">
        <w:rPr>
          <w:rFonts w:ascii="Calibri" w:eastAsia="Times New Roman" w:hAnsi="Calibri" w:cs="Calibri"/>
          <w:color w:val="000000"/>
          <w:kern w:val="0"/>
          <w:sz w:val="22"/>
          <w:szCs w:val="22"/>
          <w14:ligatures w14:val="none"/>
        </w:rPr>
        <w:lastRenderedPageBreak/>
        <w:t>malaria infection over space and time will be important to integrate One Health dynamics between humans and animals for malaria prevention and control.</w:t>
      </w:r>
    </w:p>
    <w:p w14:paraId="7B9AB54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25-A-3462-ASTMH</w:t>
      </w:r>
    </w:p>
    <w:p w14:paraId="792992B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4AEDCD7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Safety and immunogenicity of RH5.1 and R78C with Matrix-M®in UK adults in a Phase 1a trial - a novel combination vaccine candidate against the </w:t>
      </w:r>
      <w:r w:rsidRPr="008E7DCB">
        <w:rPr>
          <w:rFonts w:ascii="Calibri" w:eastAsia="Times New Roman" w:hAnsi="Calibri" w:cs="Calibri"/>
          <w:b/>
          <w:bCs/>
          <w:i/>
          <w:iCs/>
          <w:color w:val="000000"/>
          <w:kern w:val="0"/>
          <w:sz w:val="22"/>
          <w:szCs w:val="22"/>
          <w14:ligatures w14:val="none"/>
        </w:rPr>
        <w:t>P. falciparum</w:t>
      </w:r>
      <w:r w:rsidRPr="008E7DCB">
        <w:rPr>
          <w:rFonts w:ascii="Calibri" w:eastAsia="Times New Roman" w:hAnsi="Calibri" w:cs="Calibri"/>
          <w:b/>
          <w:bCs/>
          <w:color w:val="000000"/>
          <w:kern w:val="0"/>
          <w:sz w:val="22"/>
          <w:szCs w:val="22"/>
          <w14:ligatures w14:val="none"/>
        </w:rPr>
        <w:t> blood-stage RCR invasion complex demonstrates potent functional immunogenicity</w:t>
      </w:r>
    </w:p>
    <w:p w14:paraId="1FF14D5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RH5-CyRPA-RIPR (RCR) hetero-trimeric invasion complex, part of a larger pentameric complex, is the leading blood-stage malaria vaccine target. RH5.1/Matrix-M® (MM), a soluble protein vaccine targeting reticulocyte-binding protein homologue 5 (RH5), is the most advanced clinically, showing partial efficacy against clinical malaria in a Phase 2b trial. RH5-interacting protein (RIPR) and cysteine-rich protective antigen (CyRPA) based vaccines have not previously been tested in clinical trials. We assessed R78C, a soluble protein comprising RIPR EGF-like domains 7-8 fused to CyRPA, alone and combined with RH5.1, in a first-in-human Phase 1a trial. Healthy, malaria-naïve UK adults (N=32) were recruited into 4 groups: i) 10 μg RH5.1 alone, or ii) R78C alone in a delayed 3</w:t>
      </w:r>
      <w:r w:rsidRPr="008E7DCB">
        <w:rPr>
          <w:rFonts w:ascii="Calibri" w:eastAsia="Times New Roman" w:hAnsi="Calibri" w:cs="Calibri"/>
          <w:color w:val="000000"/>
          <w:kern w:val="0"/>
          <w:sz w:val="22"/>
          <w:szCs w:val="22"/>
          <w:vertAlign w:val="superscript"/>
          <w14:ligatures w14:val="none"/>
        </w:rPr>
        <w:t>rd</w:t>
      </w:r>
      <w:r w:rsidRPr="008E7DCB">
        <w:rPr>
          <w:rFonts w:ascii="Calibri" w:eastAsia="Times New Roman" w:hAnsi="Calibri" w:cs="Calibri"/>
          <w:color w:val="000000"/>
          <w:kern w:val="0"/>
          <w:sz w:val="22"/>
          <w:szCs w:val="22"/>
          <w14:ligatures w14:val="none"/>
        </w:rPr>
        <w:t> dose (0-1-6 month) regimen; iii) 10 μg R78C admixed with 10 μg RH5.1 in a delayed 3</w:t>
      </w:r>
      <w:r w:rsidRPr="008E7DCB">
        <w:rPr>
          <w:rFonts w:ascii="Calibri" w:eastAsia="Times New Roman" w:hAnsi="Calibri" w:cs="Calibri"/>
          <w:color w:val="000000"/>
          <w:kern w:val="0"/>
          <w:sz w:val="22"/>
          <w:szCs w:val="22"/>
          <w:vertAlign w:val="superscript"/>
          <w14:ligatures w14:val="none"/>
        </w:rPr>
        <w:t>rd</w:t>
      </w:r>
      <w:r w:rsidRPr="008E7DCB">
        <w:rPr>
          <w:rFonts w:ascii="Calibri" w:eastAsia="Times New Roman" w:hAnsi="Calibri" w:cs="Calibri"/>
          <w:color w:val="000000"/>
          <w:kern w:val="0"/>
          <w:sz w:val="22"/>
          <w:szCs w:val="22"/>
          <w14:ligatures w14:val="none"/>
        </w:rPr>
        <w:t> dose regimen; or iv) 10 μg R78C and 10 μg RH5.1 with both proteins admixed for the first two doses (at 0-1 months) and with the 3</w:t>
      </w:r>
      <w:r w:rsidRPr="008E7DCB">
        <w:rPr>
          <w:rFonts w:ascii="Calibri" w:eastAsia="Times New Roman" w:hAnsi="Calibri" w:cs="Calibri"/>
          <w:color w:val="000000"/>
          <w:kern w:val="0"/>
          <w:sz w:val="22"/>
          <w:szCs w:val="22"/>
          <w:vertAlign w:val="superscript"/>
          <w14:ligatures w14:val="none"/>
        </w:rPr>
        <w:t>rd</w:t>
      </w:r>
      <w:r w:rsidRPr="008E7DCB">
        <w:rPr>
          <w:rFonts w:ascii="Calibri" w:eastAsia="Times New Roman" w:hAnsi="Calibri" w:cs="Calibri"/>
          <w:color w:val="000000"/>
          <w:kern w:val="0"/>
          <w:sz w:val="22"/>
          <w:szCs w:val="22"/>
          <w14:ligatures w14:val="none"/>
        </w:rPr>
        <w:t> and final doses given separately at 6 and 7 months. All vaccinations were given with 50 µg MM. Vaccinations were well tolerated with no safety concerns. Solicited AEs were generally mild-moderate, injection site pain and fatigue were most common, and all spontaneously resolved within 7 days. Antibody responses to each antigen increased after each vaccination, were sustained out to 6 months post vaccination and, importantly, showed no evidence of immune interference when co-immunising. Functional immunogenicity as assessed via the growth inhibition activity (GIA) assay at 14 days post final vaccination was significantly higher in the combination groups (median GIA 51% at 2.5mg/mL IgG) vs. R78C (26%) or RH5.1 (35%) alone, and the highest seen in UK adults to date. The full antibody response kinetic is being assessed and will be presented. Immunogenicity data from this trial suggest that the combination of R78C and RH5.1 induces a superior antibody response as compared to leading blood-stage vaccine candidate RH5.1 alone and strongly support onward clinical testing. A Phase 1b trial of the combination vs. single components in Tanzania is ongoing.</w:t>
      </w:r>
    </w:p>
    <w:p w14:paraId="0730D20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25-A-3463-ASTMH</w:t>
      </w:r>
    </w:p>
    <w:p w14:paraId="76F6450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Bacteriology - Enteric Infections</w:t>
      </w:r>
    </w:p>
    <w:p w14:paraId="60C44D9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Immune Response to a Delayed Second Dose of Oral Cholera Vaccine: A Randomized, Controlled, Non-Inferiority and Immunogenicity Trial in Conakry, Guinea</w:t>
      </w:r>
    </w:p>
    <w:p w14:paraId="65E10DC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Oral cholera vaccines (OCVs) are an important tool in outbreak control, with manufacturers recommending a 7- to 14-day interval between two doses. Adherence to this schedule for mass vaccinations in emergency situations can be operationally challenging. Recent evidence suggests that longer intervals between doses may trigger robust, possibly enhanced, immune responses. Demonstrating non-inferiority of extended intervals between doses could allow more flexibility of OCV delivering strategies. We aimed to evaluate the non-inferiority of the humoral immune response of a second dose of </w:t>
      </w:r>
      <w:r w:rsidRPr="008E7DCB">
        <w:rPr>
          <w:rFonts w:ascii="Calibri" w:eastAsia="Times New Roman" w:hAnsi="Calibri" w:cs="Calibri"/>
          <w:i/>
          <w:iCs/>
          <w:color w:val="000000"/>
          <w:kern w:val="0"/>
          <w:sz w:val="22"/>
          <w:szCs w:val="22"/>
          <w14:ligatures w14:val="none"/>
        </w:rPr>
        <w:t>Euvichol-Plus®</w:t>
      </w:r>
      <w:r w:rsidRPr="008E7DCB">
        <w:rPr>
          <w:rFonts w:ascii="Calibri" w:eastAsia="Times New Roman" w:hAnsi="Calibri" w:cs="Calibri"/>
          <w:color w:val="000000"/>
          <w:kern w:val="0"/>
          <w:sz w:val="22"/>
          <w:szCs w:val="22"/>
          <w14:ligatures w14:val="none"/>
        </w:rPr>
        <w:t xml:space="preserve"> administered 6 or 12 months after the initial dose, compared to the standard 14-day interval. From July 2022 to August 2024, we conducted an open label, randomized, controlled, non-inferiority trial in Conakry, Guinea, enrolling 456 healthy participants aged 1 to 39 years. Participants were randomized into three groups receiving the second OCV dose at 14 days (control), 6 months, or 12 months after the first dose. The primary endpoint was the geometric mean titer (GMT) of the serum vibriocidal antibodies (O1 Inaba, O1 Ogawa and O139) 14 days after the second dose, with a non-inferiority margin of 0.67 on the GMT ratio (GMT of the intervention arm/GMT of the control arm). Secondary outcomes include seroconversion rates 14 days after each dose, antibody kinetics up to 6 months post-second dose (in 114 adults ≥18 years), and safety outcomes. Laboratory analyses are </w:t>
      </w:r>
      <w:r w:rsidRPr="008E7DCB">
        <w:rPr>
          <w:rFonts w:ascii="Calibri" w:eastAsia="Times New Roman" w:hAnsi="Calibri" w:cs="Calibri"/>
          <w:color w:val="000000"/>
          <w:kern w:val="0"/>
          <w:sz w:val="22"/>
          <w:szCs w:val="22"/>
          <w14:ligatures w14:val="none"/>
        </w:rPr>
        <w:lastRenderedPageBreak/>
        <w:t>completed. Data analysis is ongoing and will determine whether the 6- or 12-month dosing intervals are immunologically non-inferior to the 14-day schedule. These findings could allow more flexible OCV vaccination strategies in outbreak settings without compromising immune response. Further immunogenicity results as well as subgroup analysis, including by age, will inform optimal OCV dosing strategies, including for young children.</w:t>
      </w:r>
    </w:p>
    <w:p w14:paraId="05DAF53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25-A-3464-ASTMH</w:t>
      </w:r>
    </w:p>
    <w:p w14:paraId="3BFE425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Antimalarial Resistance and Chemotherapy</w:t>
      </w:r>
    </w:p>
    <w:p w14:paraId="24437A5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Successful establishment of continuous </w:t>
      </w:r>
      <w:r w:rsidRPr="008E7DCB">
        <w:rPr>
          <w:rFonts w:ascii="Calibri" w:eastAsia="Times New Roman" w:hAnsi="Calibri" w:cs="Calibri"/>
          <w:b/>
          <w:bCs/>
          <w:i/>
          <w:iCs/>
          <w:color w:val="000000"/>
          <w:kern w:val="0"/>
          <w:sz w:val="22"/>
          <w:szCs w:val="22"/>
          <w14:ligatures w14:val="none"/>
        </w:rPr>
        <w:t>P. falciparum in vitro</w:t>
      </w:r>
      <w:r w:rsidRPr="008E7DCB">
        <w:rPr>
          <w:rFonts w:ascii="Calibri" w:eastAsia="Times New Roman" w:hAnsi="Calibri" w:cs="Calibri"/>
          <w:b/>
          <w:bCs/>
          <w:color w:val="000000"/>
          <w:kern w:val="0"/>
          <w:sz w:val="22"/>
          <w:szCs w:val="22"/>
          <w14:ligatures w14:val="none"/>
        </w:rPr>
        <w:t> culturing and </w:t>
      </w:r>
      <w:r w:rsidRPr="008E7DCB">
        <w:rPr>
          <w:rFonts w:ascii="Calibri" w:eastAsia="Times New Roman" w:hAnsi="Calibri" w:cs="Calibri"/>
          <w:b/>
          <w:bCs/>
          <w:i/>
          <w:iCs/>
          <w:color w:val="000000"/>
          <w:kern w:val="0"/>
          <w:sz w:val="22"/>
          <w:szCs w:val="22"/>
          <w14:ligatures w14:val="none"/>
        </w:rPr>
        <w:t>ex vivo</w:t>
      </w:r>
      <w:r w:rsidRPr="008E7DCB">
        <w:rPr>
          <w:rFonts w:ascii="Calibri" w:eastAsia="Times New Roman" w:hAnsi="Calibri" w:cs="Calibri"/>
          <w:b/>
          <w:bCs/>
          <w:color w:val="000000"/>
          <w:kern w:val="0"/>
          <w:sz w:val="22"/>
          <w:szCs w:val="22"/>
          <w14:ligatures w14:val="none"/>
        </w:rPr>
        <w:t> ring stage survival assays for national antimalarial drug resistance surveillance in Ethiopia</w:t>
      </w:r>
    </w:p>
    <w:p w14:paraId="4BB83B2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With the emergence and expansion of artemisinin partial resistance (ArtR) in East and the Horn of Africa, effective monitoring of malaria drug susceptibility is critically important to policy making. The Ethiopian Public Health Institute (EPHI) has conducted malaria drug efficacy surveillance for decades, yet the absence of an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monitoring system has been a significant challenge. An aseptic laboratory equipped with a biosafety cabinet, CO₂ incubator, and basic microscopy tools was established to support an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culture system, initiated with continuous 3D7 strain culture in RPMI 1640 media supplemented with 0.5% Albumax along with human O</w:t>
      </w:r>
      <w:r w:rsidRPr="008E7DCB">
        <w:rPr>
          <w:rFonts w:ascii="Calibri" w:eastAsia="Times New Roman" w:hAnsi="Calibri" w:cs="Calibri"/>
          <w:color w:val="000000"/>
          <w:kern w:val="0"/>
          <w:sz w:val="22"/>
          <w:szCs w:val="22"/>
          <w:vertAlign w:val="superscript"/>
          <w14:ligatures w14:val="none"/>
        </w:rPr>
        <w:t>+ </w:t>
      </w:r>
      <w:r w:rsidRPr="008E7DCB">
        <w:rPr>
          <w:rFonts w:ascii="Calibri" w:eastAsia="Times New Roman" w:hAnsi="Calibri" w:cs="Calibri"/>
          <w:color w:val="000000"/>
          <w:kern w:val="0"/>
          <w:sz w:val="22"/>
          <w:szCs w:val="22"/>
          <w14:ligatures w14:val="none"/>
        </w:rPr>
        <w:t>donor blood obtained from the Red Cross. We then established cryopreservation methods at multiple field sites and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lab adaptation at EPHI, enabling the first cultivation of Ethiopian</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isolates in Ethiopia to-date</w:t>
      </w:r>
      <w:r w:rsidRPr="008E7DCB">
        <w:rPr>
          <w:rFonts w:ascii="Calibri" w:eastAsia="Times New Roman" w:hAnsi="Calibri" w:cs="Calibri"/>
          <w:b/>
          <w:bCs/>
          <w:color w:val="000000"/>
          <w:kern w:val="0"/>
          <w:sz w:val="22"/>
          <w:szCs w:val="22"/>
          <w14:ligatures w14:val="none"/>
        </w:rPr>
        <w:t>.</w:t>
      </w:r>
      <w:r w:rsidRPr="008E7DCB">
        <w:rPr>
          <w:rFonts w:ascii="Calibri" w:eastAsia="Times New Roman" w:hAnsi="Calibri" w:cs="Calibri"/>
          <w:color w:val="000000"/>
          <w:kern w:val="0"/>
          <w:sz w:val="22"/>
          <w:szCs w:val="22"/>
          <w14:ligatures w14:val="none"/>
        </w:rPr>
        <w:t> Samples were collected and cryopreserved from 28 </w:t>
      </w:r>
      <w:r w:rsidRPr="008E7DCB">
        <w:rPr>
          <w:rFonts w:ascii="Calibri" w:eastAsia="Times New Roman" w:hAnsi="Calibri" w:cs="Calibri"/>
          <w:i/>
          <w:iCs/>
          <w:color w:val="000000"/>
          <w:kern w:val="0"/>
          <w:sz w:val="22"/>
          <w:szCs w:val="22"/>
          <w14:ligatures w14:val="none"/>
        </w:rPr>
        <w:t>P. falciparum </w:t>
      </w:r>
      <w:r w:rsidRPr="008E7DCB">
        <w:rPr>
          <w:rFonts w:ascii="Calibri" w:eastAsia="Times New Roman" w:hAnsi="Calibri" w:cs="Calibri"/>
          <w:color w:val="000000"/>
          <w:kern w:val="0"/>
          <w:sz w:val="22"/>
          <w:szCs w:val="22"/>
          <w14:ligatures w14:val="none"/>
        </w:rPr>
        <w:t>microscopy-positive patients across northern (Tigray), central (Amhara), central (Oromia), and southwestern (SNNPR) Ethiopia</w:t>
      </w:r>
      <w:r w:rsidRPr="008E7DCB">
        <w:rPr>
          <w:rFonts w:ascii="Calibri" w:eastAsia="Times New Roman" w:hAnsi="Calibri" w:cs="Calibri"/>
          <w:b/>
          <w:bCs/>
          <w:color w:val="000000"/>
          <w:kern w:val="0"/>
          <w:sz w:val="22"/>
          <w:szCs w:val="22"/>
          <w14:ligatures w14:val="none"/>
        </w:rPr>
        <w:t>,</w:t>
      </w:r>
      <w:r w:rsidRPr="008E7DCB">
        <w:rPr>
          <w:rFonts w:ascii="Calibri" w:eastAsia="Times New Roman" w:hAnsi="Calibri" w:cs="Calibri"/>
          <w:color w:val="000000"/>
          <w:kern w:val="0"/>
          <w:sz w:val="22"/>
          <w:szCs w:val="22"/>
          <w14:ligatures w14:val="none"/>
        </w:rPr>
        <w:t> following WWARN guidelines. Eight of these isolates, from Oromia and SNNPR, were lab-adapted at EPHI by cultivating asexual stages until optimal growth and propagation under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conditions and demonstrated to withstand a freeze-thaw cycle. Genetic profiling revealed multiple allelic combinations of </w:t>
      </w:r>
      <w:r w:rsidRPr="008E7DCB">
        <w:rPr>
          <w:rFonts w:ascii="Calibri" w:eastAsia="Times New Roman" w:hAnsi="Calibri" w:cs="Calibri"/>
          <w:i/>
          <w:iCs/>
          <w:color w:val="000000"/>
          <w:kern w:val="0"/>
          <w:sz w:val="22"/>
          <w:szCs w:val="22"/>
          <w14:ligatures w14:val="none"/>
        </w:rPr>
        <w:t>pfhrp2</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pfhrp3</w:t>
      </w:r>
      <w:r w:rsidRPr="008E7DCB">
        <w:rPr>
          <w:rFonts w:ascii="Calibri" w:eastAsia="Times New Roman" w:hAnsi="Calibri" w:cs="Calibri"/>
          <w:color w:val="000000"/>
          <w:kern w:val="0"/>
          <w:sz w:val="22"/>
          <w:szCs w:val="22"/>
          <w14:ligatures w14:val="none"/>
        </w:rPr>
        <w:t> deletions among these isolates, as well as confirmation of WHO-validated and candidate markers of artemisinin partial resistance (K13: 622I and 441L). The lab is performing </w:t>
      </w:r>
      <w:r w:rsidRPr="008E7DCB">
        <w:rPr>
          <w:rFonts w:ascii="Calibri" w:eastAsia="Times New Roman" w:hAnsi="Calibri" w:cs="Calibri"/>
          <w:i/>
          <w:iCs/>
          <w:color w:val="000000"/>
          <w:kern w:val="0"/>
          <w:sz w:val="22"/>
          <w:szCs w:val="22"/>
          <w14:ligatures w14:val="none"/>
        </w:rPr>
        <w:t>ex-vivo</w:t>
      </w:r>
      <w:r w:rsidRPr="008E7DCB">
        <w:rPr>
          <w:rFonts w:ascii="Calibri" w:eastAsia="Times New Roman" w:hAnsi="Calibri" w:cs="Calibri"/>
          <w:color w:val="000000"/>
          <w:kern w:val="0"/>
          <w:sz w:val="22"/>
          <w:szCs w:val="22"/>
          <w14:ligatures w14:val="none"/>
        </w:rPr>
        <w:t> RSAs on fresh patient isolates; parasite-infected patient blood is directly transferred to the artemisinin susceptibility assays (prior to laboratory adaptation). </w:t>
      </w:r>
      <w:r w:rsidRPr="008E7DCB">
        <w:rPr>
          <w:rFonts w:ascii="Calibri" w:eastAsia="Times New Roman" w:hAnsi="Calibri" w:cs="Calibri"/>
          <w:i/>
          <w:iCs/>
          <w:color w:val="000000"/>
          <w:kern w:val="0"/>
          <w:sz w:val="22"/>
          <w:szCs w:val="22"/>
          <w14:ligatures w14:val="none"/>
        </w:rPr>
        <w:t>Ex vivo</w:t>
      </w:r>
      <w:r w:rsidRPr="008E7DCB">
        <w:rPr>
          <w:rFonts w:ascii="Calibri" w:eastAsia="Times New Roman" w:hAnsi="Calibri" w:cs="Calibri"/>
          <w:color w:val="000000"/>
          <w:kern w:val="0"/>
          <w:sz w:val="22"/>
          <w:szCs w:val="22"/>
          <w14:ligatures w14:val="none"/>
        </w:rPr>
        <w:t> RSAs on freshly collected parasites preserve the natural genetic diversity and resistance profiles direct-from-patient as a real-time indicator of the parasite ArtR profiles. The newly established malaria parasite culture lab at EPHI is positioned to be an important center for advancing malaria research and drug resistance monitoring in this critical period of expansion of drug resistance.</w:t>
      </w:r>
    </w:p>
    <w:p w14:paraId="75C3580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25-A-3466-ASTMH</w:t>
      </w:r>
    </w:p>
    <w:p w14:paraId="6215229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Helminths – Nematodes – Intestinal Nematodes</w:t>
      </w:r>
    </w:p>
    <w:p w14:paraId="5FDBF1A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Digitalization of clinical specimens by microscopic scanners in combination with Artificial Intelligence (AI) provides new tools to improve diagnostics for intestinal helminths in high-income countries and for virtual training in low-income countries</w:t>
      </w:r>
    </w:p>
    <w:p w14:paraId="13D2CA3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Introduction</w:t>
      </w:r>
      <w:r w:rsidRPr="008E7DCB">
        <w:rPr>
          <w:rFonts w:ascii="Calibri" w:eastAsia="Times New Roman" w:hAnsi="Calibri" w:cs="Calibri"/>
          <w:color w:val="000000"/>
          <w:kern w:val="0"/>
          <w:sz w:val="22"/>
          <w:szCs w:val="22"/>
          <w14:ligatures w14:val="none"/>
        </w:rPr>
        <w:t>Parasitic diseases remain a major global health challenge, especially in tropical regions. Microscopy is still the primary diagnostic tool due to its accessibility, despite alternatives like real-time PCR. However, it is labor-intensive, error-prone, and dependent on skilled technicians, with false-negative rates over 10%. Improving microscopic parasite detection is therefore essential.</w:t>
      </w:r>
      <w:r w:rsidRPr="008E7DCB">
        <w:rPr>
          <w:rFonts w:ascii="Calibri" w:eastAsia="Times New Roman" w:hAnsi="Calibri" w:cs="Calibri"/>
          <w:b/>
          <w:bCs/>
          <w:color w:val="000000"/>
          <w:kern w:val="0"/>
          <w:sz w:val="22"/>
          <w:szCs w:val="22"/>
          <w14:ligatures w14:val="none"/>
        </w:rPr>
        <w:t>Objectives</w:t>
      </w:r>
      <w:r w:rsidRPr="008E7DCB">
        <w:rPr>
          <w:rFonts w:ascii="Calibri" w:eastAsia="Times New Roman" w:hAnsi="Calibri" w:cs="Calibri"/>
          <w:color w:val="000000"/>
          <w:kern w:val="0"/>
          <w:sz w:val="22"/>
          <w:szCs w:val="22"/>
          <w14:ligatures w14:val="none"/>
        </w:rPr>
        <w:t>Erasmus MC and Dutch start-up Leven Vision collaborated to develop an AI-powered automated microscopic detection system. Using a commercial microscope scanner, digital images of clinical specimens are created and analyzed by machine learning algorithms. These detect likely parasite areas, predict species, and provide probability scores. In high-income countries, this system aids clinical diagnostics. In low-income settings, it supports technician training via virtual microscopy tools developed by the EQALM working group.</w:t>
      </w:r>
      <w:r w:rsidRPr="008E7DCB">
        <w:rPr>
          <w:rFonts w:ascii="Calibri" w:eastAsia="Times New Roman" w:hAnsi="Calibri" w:cs="Calibri"/>
          <w:b/>
          <w:bCs/>
          <w:color w:val="000000"/>
          <w:kern w:val="0"/>
          <w:sz w:val="22"/>
          <w:szCs w:val="22"/>
          <w14:ligatures w14:val="none"/>
        </w:rPr>
        <w:t>Materials &amp; Methods</w:t>
      </w:r>
      <w:r w:rsidRPr="008E7DCB">
        <w:rPr>
          <w:rFonts w:ascii="Calibri" w:eastAsia="Times New Roman" w:hAnsi="Calibri" w:cs="Calibri"/>
          <w:color w:val="000000"/>
          <w:kern w:val="0"/>
          <w:sz w:val="22"/>
          <w:szCs w:val="22"/>
          <w14:ligatures w14:val="none"/>
        </w:rPr>
        <w:t xml:space="preserve">The AI system was trained on 15 gastrointestinal parasites and evaluated against manual microscopy by experts from four Dutch centers. For education, virtual microscopy software was developed to provide feedback on </w:t>
      </w:r>
      <w:r w:rsidRPr="008E7DCB">
        <w:rPr>
          <w:rFonts w:ascii="Calibri" w:eastAsia="Times New Roman" w:hAnsi="Calibri" w:cs="Calibri"/>
          <w:color w:val="000000"/>
          <w:kern w:val="0"/>
          <w:sz w:val="22"/>
          <w:szCs w:val="22"/>
          <w14:ligatures w14:val="none"/>
        </w:rPr>
        <w:lastRenderedPageBreak/>
        <w:t>morphological characteristics and is being evaluated in low-income countries through the eWHORM program.</w:t>
      </w:r>
      <w:r w:rsidRPr="008E7DCB">
        <w:rPr>
          <w:rFonts w:ascii="Calibri" w:eastAsia="Times New Roman" w:hAnsi="Calibri" w:cs="Calibri"/>
          <w:b/>
          <w:bCs/>
          <w:color w:val="000000"/>
          <w:kern w:val="0"/>
          <w:sz w:val="22"/>
          <w:szCs w:val="22"/>
          <w14:ligatures w14:val="none"/>
        </w:rPr>
        <w:t>Results</w:t>
      </w:r>
      <w:r w:rsidRPr="008E7DCB">
        <w:rPr>
          <w:rFonts w:ascii="Calibri" w:eastAsia="Times New Roman" w:hAnsi="Calibri" w:cs="Calibri"/>
          <w:color w:val="000000"/>
          <w:kern w:val="0"/>
          <w:sz w:val="22"/>
          <w:szCs w:val="22"/>
          <w14:ligatures w14:val="none"/>
        </w:rPr>
        <w:t>On 45 blinded stool samples, the system showed 99% sensitivity and 82% specificity at a 0.8 confidence threshold, rising to 100% with expert confirmation. Full comparison results and morphological reporting outcomes via virtual microscopy will be presented at the conference.</w:t>
      </w:r>
      <w:r w:rsidRPr="008E7DCB">
        <w:rPr>
          <w:rFonts w:ascii="Calibri" w:eastAsia="Times New Roman" w:hAnsi="Calibri" w:cs="Calibri"/>
          <w:b/>
          <w:bCs/>
          <w:color w:val="000000"/>
          <w:kern w:val="0"/>
          <w:sz w:val="22"/>
          <w:szCs w:val="22"/>
          <w14:ligatures w14:val="none"/>
        </w:rPr>
        <w:t>Conclusion</w:t>
      </w:r>
      <w:r w:rsidRPr="008E7DCB">
        <w:rPr>
          <w:rFonts w:ascii="Calibri" w:eastAsia="Times New Roman" w:hAnsi="Calibri" w:cs="Calibri"/>
          <w:color w:val="000000"/>
          <w:kern w:val="0"/>
          <w:sz w:val="22"/>
          <w:szCs w:val="22"/>
          <w14:ligatures w14:val="none"/>
        </w:rPr>
        <w:t>A reliable AI-driven detection system for gastrointestinal parasites has been developed. Virtual microscopy offers a promising training solution for resource-limited settings.</w:t>
      </w:r>
    </w:p>
    <w:p w14:paraId="18A3A5E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25-A-3467-ASTMH</w:t>
      </w:r>
    </w:p>
    <w:p w14:paraId="59212CB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Prevention</w:t>
      </w:r>
    </w:p>
    <w:p w14:paraId="68BC79F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Interrupted indoor residual spraying influences malaria transmission in southern Mozambique</w:t>
      </w:r>
    </w:p>
    <w:p w14:paraId="219FAF4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Countries in the southern African region are planning for malaria elimination by 2030. However, some countries are further along in their elimination agenda whilst the others are still experiencing high levels of transmission. South Africa is close to elimination but imported malaria from Mozambique is driving low-level residual malaria in KwaZulu-Natal, a province in South Africa. To decrease transmission in the sink districts, the South African Treasury supported indoor residual spraying (IRS) in three districts but there was a break in support for IRS in 2023/20024. The districts of Inharrime and Zavala in Inhambane Province and the district of Guija in Gaza Province received IRS in the 2021/2022 spray season. A second round of spraying was completed in 2022/2023 and then discontinued. The number of cases is taken as proxy for the impact of transmission where a decrease in the number of cases is seen as a positive impact of IRS. An epidemiological survey was conducted in February 2022, February 2023 and March 2025 to determine if transmission was influenced by the discontinuation of IRS. 18 sentinel sites were surveyed involving the testing of 2160 children below the age of 15 years. Demographic details were collected whilst the participants were tested using a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specific rapid diagnostic test. The second prevalence survey in 2023 showed that Guija saw a slight decrease in the number of people who tested positive from 0.96% to 0.8%. The number of people who tested positive for malaria in Zavala increased slightly between baseline and endline (18.3% to 19.4%), whereas the number positive cases decreased in Inharrime (27.7% to 19.4%). In the survey conducted in 2025, Guija showed a 0.3% prevalence. In Inharrime, the prevalence decreased to 12% in 2025. Zavala also showed a decrease in prevalence rates (8%). After achieving a spray coverage of &gt;95% in the 2021/2022 and 2022/2023 seasons malaria cases decreased in two districts. However, when the spray activities were halted in early 2023, the number of cases decreased further. Discontinuation of spray did not negatively influence malaria transmission.</w:t>
      </w:r>
    </w:p>
    <w:p w14:paraId="061419A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25-A-3468-ASTMH</w:t>
      </w:r>
    </w:p>
    <w:p w14:paraId="4C27D90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Genetics, Genomics and Evolution</w:t>
      </w:r>
    </w:p>
    <w:p w14:paraId="2FBCD8F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Field-deployable targeted nanopore sequencing to assess molecular markers of anti-malarial resistance, clonality, and </w:t>
      </w:r>
      <w:r w:rsidRPr="008E7DCB">
        <w:rPr>
          <w:rFonts w:ascii="Calibri" w:eastAsia="Times New Roman" w:hAnsi="Calibri" w:cs="Calibri"/>
          <w:b/>
          <w:bCs/>
          <w:i/>
          <w:iCs/>
          <w:color w:val="000000"/>
          <w:kern w:val="0"/>
          <w:sz w:val="22"/>
          <w:szCs w:val="22"/>
          <w14:ligatures w14:val="none"/>
        </w:rPr>
        <w:t>Plasmodium falciparum</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b/>
          <w:bCs/>
          <w:i/>
          <w:iCs/>
          <w:color w:val="000000"/>
          <w:kern w:val="0"/>
          <w:sz w:val="22"/>
          <w:szCs w:val="22"/>
          <w14:ligatures w14:val="none"/>
        </w:rPr>
        <w:t>hrp2/3 </w:t>
      </w:r>
      <w:r w:rsidRPr="008E7DCB">
        <w:rPr>
          <w:rFonts w:ascii="Calibri" w:eastAsia="Times New Roman" w:hAnsi="Calibri" w:cs="Calibri"/>
          <w:b/>
          <w:bCs/>
          <w:color w:val="000000"/>
          <w:kern w:val="0"/>
          <w:sz w:val="22"/>
          <w:szCs w:val="22"/>
          <w14:ligatures w14:val="none"/>
        </w:rPr>
        <w:t>gene deletions in western Kenya</w:t>
      </w:r>
    </w:p>
    <w:p w14:paraId="7ADBB71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Current antimalarial drugs (artemisinin-combination therapies, ACTs) and rapid diagnostic tests (RDTs) are at risk of becoming ineffective due to resistance mediated by genetic mutations. Malarial molecular surveillance (MMS) platforms can identify the extent of these mutations and help inform malaria control program decision-making. However, next generation sequencing (NGS) can be costly and difficult to implement. Nanopore targeted sequencing can be a more affordable and field deployable method to assess known genetic threats to RDTs and ACTs. We implemented a rapid amplicon nanopore sequencing panel for </w:t>
      </w:r>
      <w:r w:rsidRPr="008E7DCB">
        <w:rPr>
          <w:rFonts w:ascii="Calibri" w:eastAsia="Times New Roman" w:hAnsi="Calibri" w:cs="Calibri"/>
          <w:i/>
          <w:iCs/>
          <w:color w:val="000000"/>
          <w:kern w:val="0"/>
          <w:sz w:val="22"/>
          <w:szCs w:val="22"/>
          <w14:ligatures w14:val="none"/>
        </w:rPr>
        <w:t>crt</w:t>
      </w:r>
      <w:r w:rsidRPr="008E7DCB">
        <w:rPr>
          <w:rFonts w:ascii="Calibri" w:eastAsia="Times New Roman" w:hAnsi="Calibri" w:cs="Calibri"/>
          <w:color w:val="000000"/>
          <w:kern w:val="0"/>
          <w:sz w:val="22"/>
          <w:szCs w:val="22"/>
          <w14:ligatures w14:val="none"/>
        </w:rPr>
        <w:t> (chloroquine), </w:t>
      </w:r>
      <w:r w:rsidRPr="008E7DCB">
        <w:rPr>
          <w:rFonts w:ascii="Calibri" w:eastAsia="Times New Roman" w:hAnsi="Calibri" w:cs="Calibri"/>
          <w:i/>
          <w:iCs/>
          <w:color w:val="000000"/>
          <w:kern w:val="0"/>
          <w:sz w:val="22"/>
          <w:szCs w:val="22"/>
          <w14:ligatures w14:val="none"/>
        </w:rPr>
        <w:t>dhfr</w:t>
      </w:r>
      <w:r w:rsidRPr="008E7DCB">
        <w:rPr>
          <w:rFonts w:ascii="Calibri" w:eastAsia="Times New Roman" w:hAnsi="Calibri" w:cs="Calibri"/>
          <w:color w:val="000000"/>
          <w:kern w:val="0"/>
          <w:sz w:val="22"/>
          <w:szCs w:val="22"/>
          <w14:ligatures w14:val="none"/>
        </w:rPr>
        <w:t> (pyrimethamine), </w:t>
      </w:r>
      <w:r w:rsidRPr="008E7DCB">
        <w:rPr>
          <w:rFonts w:ascii="Calibri" w:eastAsia="Times New Roman" w:hAnsi="Calibri" w:cs="Calibri"/>
          <w:i/>
          <w:iCs/>
          <w:color w:val="000000"/>
          <w:kern w:val="0"/>
          <w:sz w:val="22"/>
          <w:szCs w:val="22"/>
          <w14:ligatures w14:val="none"/>
        </w:rPr>
        <w:t>dhps</w:t>
      </w:r>
      <w:r w:rsidRPr="008E7DCB">
        <w:rPr>
          <w:rFonts w:ascii="Calibri" w:eastAsia="Times New Roman" w:hAnsi="Calibri" w:cs="Calibri"/>
          <w:color w:val="000000"/>
          <w:kern w:val="0"/>
          <w:sz w:val="22"/>
          <w:szCs w:val="22"/>
          <w14:ligatures w14:val="none"/>
        </w:rPr>
        <w:t> (sulfadoxine), </w:t>
      </w:r>
      <w:r w:rsidRPr="008E7DCB">
        <w:rPr>
          <w:rFonts w:ascii="Calibri" w:eastAsia="Times New Roman" w:hAnsi="Calibri" w:cs="Calibri"/>
          <w:i/>
          <w:iCs/>
          <w:color w:val="000000"/>
          <w:kern w:val="0"/>
          <w:sz w:val="22"/>
          <w:szCs w:val="22"/>
          <w14:ligatures w14:val="none"/>
        </w:rPr>
        <w:t>kelch13 </w:t>
      </w:r>
      <w:r w:rsidRPr="008E7DCB">
        <w:rPr>
          <w:rFonts w:ascii="Calibri" w:eastAsia="Times New Roman" w:hAnsi="Calibri" w:cs="Calibri"/>
          <w:color w:val="000000"/>
          <w:kern w:val="0"/>
          <w:sz w:val="22"/>
          <w:szCs w:val="22"/>
          <w14:ligatures w14:val="none"/>
        </w:rPr>
        <w:t>(artemisinin), </w:t>
      </w:r>
      <w:r w:rsidRPr="008E7DCB">
        <w:rPr>
          <w:rFonts w:ascii="Calibri" w:eastAsia="Times New Roman" w:hAnsi="Calibri" w:cs="Calibri"/>
          <w:i/>
          <w:iCs/>
          <w:color w:val="000000"/>
          <w:kern w:val="0"/>
          <w:sz w:val="22"/>
          <w:szCs w:val="22"/>
          <w14:ligatures w14:val="none"/>
        </w:rPr>
        <w:t>mdr1 </w:t>
      </w:r>
      <w:r w:rsidRPr="008E7DCB">
        <w:rPr>
          <w:rFonts w:ascii="Calibri" w:eastAsia="Times New Roman" w:hAnsi="Calibri" w:cs="Calibri"/>
          <w:color w:val="000000"/>
          <w:kern w:val="0"/>
          <w:sz w:val="22"/>
          <w:szCs w:val="22"/>
          <w14:ligatures w14:val="none"/>
        </w:rPr>
        <w:t>(mefloquine), </w:t>
      </w:r>
      <w:r w:rsidRPr="008E7DCB">
        <w:rPr>
          <w:rFonts w:ascii="Calibri" w:eastAsia="Times New Roman" w:hAnsi="Calibri" w:cs="Calibri"/>
          <w:i/>
          <w:iCs/>
          <w:color w:val="000000"/>
          <w:kern w:val="0"/>
          <w:sz w:val="22"/>
          <w:szCs w:val="22"/>
          <w14:ligatures w14:val="none"/>
        </w:rPr>
        <w:t>ama1</w:t>
      </w:r>
      <w:r w:rsidRPr="008E7DCB">
        <w:rPr>
          <w:rFonts w:ascii="Calibri" w:eastAsia="Times New Roman" w:hAnsi="Calibri" w:cs="Calibri"/>
          <w:color w:val="000000"/>
          <w:kern w:val="0"/>
          <w:sz w:val="22"/>
          <w:szCs w:val="22"/>
          <w14:ligatures w14:val="none"/>
        </w:rPr>
        <w:t> (complexity of infection), and </w:t>
      </w:r>
      <w:r w:rsidRPr="008E7DCB">
        <w:rPr>
          <w:rFonts w:ascii="Calibri" w:eastAsia="Times New Roman" w:hAnsi="Calibri" w:cs="Calibri"/>
          <w:i/>
          <w:iCs/>
          <w:color w:val="000000"/>
          <w:kern w:val="0"/>
          <w:sz w:val="22"/>
          <w:szCs w:val="22"/>
          <w14:ligatures w14:val="none"/>
        </w:rPr>
        <w:t>hrp2/3</w:t>
      </w:r>
      <w:r w:rsidRPr="008E7DCB">
        <w:rPr>
          <w:rFonts w:ascii="Calibri" w:eastAsia="Times New Roman" w:hAnsi="Calibri" w:cs="Calibri"/>
          <w:color w:val="000000"/>
          <w:kern w:val="0"/>
          <w:sz w:val="22"/>
          <w:szCs w:val="22"/>
          <w14:ligatures w14:val="none"/>
        </w:rPr>
        <w:t> (RDT) genes. From 4,135 human dried blood spot (DBS) samples collected during a vector control trial in 2022-2024, we identified 212 with possible antimalarial resistance (positive after ACT treatment, n= 178) or potential </w:t>
      </w:r>
      <w:r w:rsidRPr="008E7DCB">
        <w:rPr>
          <w:rFonts w:ascii="Calibri" w:eastAsia="Times New Roman" w:hAnsi="Calibri" w:cs="Calibri"/>
          <w:i/>
          <w:iCs/>
          <w:color w:val="000000"/>
          <w:kern w:val="0"/>
          <w:sz w:val="22"/>
          <w:szCs w:val="22"/>
          <w14:ligatures w14:val="none"/>
        </w:rPr>
        <w:t>hrp2/3</w:t>
      </w:r>
      <w:r w:rsidRPr="008E7DCB">
        <w:rPr>
          <w:rFonts w:ascii="Calibri" w:eastAsia="Times New Roman" w:hAnsi="Calibri" w:cs="Calibri"/>
          <w:color w:val="000000"/>
          <w:kern w:val="0"/>
          <w:sz w:val="22"/>
          <w:szCs w:val="22"/>
          <w14:ligatures w14:val="none"/>
        </w:rPr>
        <w:t> deletion (HRP2 negative, panLDH positive by RDT, n=34). Of these, 139 were successfully sequenced at all targets at the Kenya Medical Research Institute, Kisumu. None of the samples carried a </w:t>
      </w:r>
      <w:r w:rsidRPr="008E7DCB">
        <w:rPr>
          <w:rFonts w:ascii="Calibri" w:eastAsia="Times New Roman" w:hAnsi="Calibri" w:cs="Calibri"/>
          <w:i/>
          <w:iCs/>
          <w:color w:val="000000"/>
          <w:kern w:val="0"/>
          <w:sz w:val="22"/>
          <w:szCs w:val="22"/>
          <w14:ligatures w14:val="none"/>
        </w:rPr>
        <w:t>crt</w:t>
      </w:r>
      <w:r w:rsidRPr="008E7DCB">
        <w:rPr>
          <w:rFonts w:ascii="Calibri" w:eastAsia="Times New Roman" w:hAnsi="Calibri" w:cs="Calibri"/>
          <w:color w:val="000000"/>
          <w:kern w:val="0"/>
          <w:sz w:val="22"/>
          <w:szCs w:val="22"/>
          <w14:ligatures w14:val="none"/>
        </w:rPr>
        <w:t xml:space="preserve"> K76T mutation (0/160), suggesting </w:t>
      </w:r>
      <w:r w:rsidRPr="008E7DCB">
        <w:rPr>
          <w:rFonts w:ascii="Calibri" w:eastAsia="Times New Roman" w:hAnsi="Calibri" w:cs="Calibri"/>
          <w:color w:val="000000"/>
          <w:kern w:val="0"/>
          <w:sz w:val="22"/>
          <w:szCs w:val="22"/>
          <w14:ligatures w14:val="none"/>
        </w:rPr>
        <w:lastRenderedPageBreak/>
        <w:t>chloroquine sensitivity. Nearly all, 97.2% (139/145) samples exhibited the quintuple </w:t>
      </w:r>
      <w:r w:rsidRPr="008E7DCB">
        <w:rPr>
          <w:rFonts w:ascii="Calibri" w:eastAsia="Times New Roman" w:hAnsi="Calibri" w:cs="Calibri"/>
          <w:i/>
          <w:iCs/>
          <w:color w:val="000000"/>
          <w:kern w:val="0"/>
          <w:sz w:val="22"/>
          <w:szCs w:val="22"/>
          <w14:ligatures w14:val="none"/>
        </w:rPr>
        <w:t>dhfr</w:t>
      </w:r>
      <w:r w:rsidRPr="008E7DCB">
        <w:rPr>
          <w:rFonts w:ascii="Calibri" w:eastAsia="Times New Roman" w:hAnsi="Calibri" w:cs="Calibri"/>
          <w:color w:val="000000"/>
          <w:kern w:val="0"/>
          <w:sz w:val="22"/>
          <w:szCs w:val="22"/>
          <w14:ligatures w14:val="none"/>
        </w:rPr>
        <w:t> (N51I, C59R, S108N) and </w:t>
      </w:r>
      <w:r w:rsidRPr="008E7DCB">
        <w:rPr>
          <w:rFonts w:ascii="Calibri" w:eastAsia="Times New Roman" w:hAnsi="Calibri" w:cs="Calibri"/>
          <w:i/>
          <w:iCs/>
          <w:color w:val="000000"/>
          <w:kern w:val="0"/>
          <w:sz w:val="22"/>
          <w:szCs w:val="22"/>
          <w14:ligatures w14:val="none"/>
        </w:rPr>
        <w:t>dhps </w:t>
      </w:r>
      <w:r w:rsidRPr="008E7DCB">
        <w:rPr>
          <w:rFonts w:ascii="Calibri" w:eastAsia="Times New Roman" w:hAnsi="Calibri" w:cs="Calibri"/>
          <w:color w:val="000000"/>
          <w:kern w:val="0"/>
          <w:sz w:val="22"/>
          <w:szCs w:val="22"/>
          <w14:ligatures w14:val="none"/>
        </w:rPr>
        <w:t>(A437G, K540E) genotype associated with sulfadoxine-pyrimethamine resistance. The </w:t>
      </w:r>
      <w:r w:rsidRPr="008E7DCB">
        <w:rPr>
          <w:rFonts w:ascii="Calibri" w:eastAsia="Times New Roman" w:hAnsi="Calibri" w:cs="Calibri"/>
          <w:i/>
          <w:iCs/>
          <w:color w:val="000000"/>
          <w:kern w:val="0"/>
          <w:sz w:val="22"/>
          <w:szCs w:val="22"/>
          <w14:ligatures w14:val="none"/>
        </w:rPr>
        <w:t>dhfr</w:t>
      </w:r>
      <w:r w:rsidRPr="008E7DCB">
        <w:rPr>
          <w:rFonts w:ascii="Calibri" w:eastAsia="Times New Roman" w:hAnsi="Calibri" w:cs="Calibri"/>
          <w:color w:val="000000"/>
          <w:kern w:val="0"/>
          <w:sz w:val="22"/>
          <w:szCs w:val="22"/>
          <w14:ligatures w14:val="none"/>
        </w:rPr>
        <w:t> I164L mutation was found in 6% (9/145) and a novel mutation was found at </w:t>
      </w:r>
      <w:r w:rsidRPr="008E7DCB">
        <w:rPr>
          <w:rFonts w:ascii="Calibri" w:eastAsia="Times New Roman" w:hAnsi="Calibri" w:cs="Calibri"/>
          <w:i/>
          <w:iCs/>
          <w:color w:val="000000"/>
          <w:kern w:val="0"/>
          <w:sz w:val="22"/>
          <w:szCs w:val="22"/>
          <w14:ligatures w14:val="none"/>
        </w:rPr>
        <w:t>dhps </w:t>
      </w:r>
      <w:r w:rsidRPr="008E7DCB">
        <w:rPr>
          <w:rFonts w:ascii="Calibri" w:eastAsia="Times New Roman" w:hAnsi="Calibri" w:cs="Calibri"/>
          <w:color w:val="000000"/>
          <w:kern w:val="0"/>
          <w:sz w:val="22"/>
          <w:szCs w:val="22"/>
          <w14:ligatures w14:val="none"/>
        </w:rPr>
        <w:t>S436P in 16% (20/132). The </w:t>
      </w:r>
      <w:r w:rsidRPr="008E7DCB">
        <w:rPr>
          <w:rFonts w:ascii="Calibri" w:eastAsia="Times New Roman" w:hAnsi="Calibri" w:cs="Calibri"/>
          <w:i/>
          <w:iCs/>
          <w:color w:val="000000"/>
          <w:kern w:val="0"/>
          <w:sz w:val="22"/>
          <w:szCs w:val="22"/>
          <w14:ligatures w14:val="none"/>
        </w:rPr>
        <w:t>mdr1</w:t>
      </w:r>
      <w:r w:rsidRPr="008E7DCB">
        <w:rPr>
          <w:rFonts w:ascii="Calibri" w:eastAsia="Times New Roman" w:hAnsi="Calibri" w:cs="Calibri"/>
          <w:color w:val="000000"/>
          <w:kern w:val="0"/>
          <w:sz w:val="22"/>
          <w:szCs w:val="22"/>
          <w14:ligatures w14:val="none"/>
        </w:rPr>
        <w:t> mutations Y184F and T199S were found in 57% (87/153) and 10% (15/153) samples, respectively. Two non-synonymous mutations in the artemisinin-resistance associated </w:t>
      </w:r>
      <w:r w:rsidRPr="008E7DCB">
        <w:rPr>
          <w:rFonts w:ascii="Calibri" w:eastAsia="Times New Roman" w:hAnsi="Calibri" w:cs="Calibri"/>
          <w:i/>
          <w:iCs/>
          <w:color w:val="000000"/>
          <w:kern w:val="0"/>
          <w:sz w:val="22"/>
          <w:szCs w:val="22"/>
          <w14:ligatures w14:val="none"/>
        </w:rPr>
        <w:t>kelch13</w:t>
      </w:r>
      <w:r w:rsidRPr="008E7DCB">
        <w:rPr>
          <w:rFonts w:ascii="Calibri" w:eastAsia="Times New Roman" w:hAnsi="Calibri" w:cs="Calibri"/>
          <w:color w:val="000000"/>
          <w:kern w:val="0"/>
          <w:sz w:val="22"/>
          <w:szCs w:val="22"/>
          <w14:ligatures w14:val="none"/>
        </w:rPr>
        <w:t> gene were detected and confirmed by Sanger sequencing, both in a single sample &lt;1% (1/148): A578S and A675V (homozygous). Among the 34 samples with potential hrp2/3 gene deletion based on RDT results, none had </w:t>
      </w:r>
      <w:r w:rsidRPr="008E7DCB">
        <w:rPr>
          <w:rFonts w:ascii="Calibri" w:eastAsia="Times New Roman" w:hAnsi="Calibri" w:cs="Calibri"/>
          <w:i/>
          <w:iCs/>
          <w:color w:val="000000"/>
          <w:kern w:val="0"/>
          <w:sz w:val="22"/>
          <w:szCs w:val="22"/>
          <w14:ligatures w14:val="none"/>
        </w:rPr>
        <w:t>hrp2/3</w:t>
      </w:r>
      <w:r w:rsidRPr="008E7DCB">
        <w:rPr>
          <w:rFonts w:ascii="Calibri" w:eastAsia="Times New Roman" w:hAnsi="Calibri" w:cs="Calibri"/>
          <w:color w:val="000000"/>
          <w:kern w:val="0"/>
          <w:sz w:val="22"/>
          <w:szCs w:val="22"/>
          <w14:ligatures w14:val="none"/>
        </w:rPr>
        <w:t> gene deletions by nanopore sequencing. Nanopore sequencing is a robust methodology which can be carried out locally, providing powerful information to inform programming.</w:t>
      </w:r>
    </w:p>
    <w:p w14:paraId="5A0C053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25-A-3469-ASTMH</w:t>
      </w:r>
    </w:p>
    <w:p w14:paraId="1A31AFD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Biology and Genetics of Insecticide Resistance</w:t>
      </w:r>
    </w:p>
    <w:p w14:paraId="7F333A7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Effectiveness of next-generation insecticidal-treated nets against highly resistant </w:t>
      </w:r>
      <w:r w:rsidRPr="008E7DCB">
        <w:rPr>
          <w:rFonts w:ascii="Calibri" w:eastAsia="Times New Roman" w:hAnsi="Calibri" w:cs="Calibri"/>
          <w:b/>
          <w:bCs/>
          <w:i/>
          <w:iCs/>
          <w:color w:val="000000"/>
          <w:kern w:val="0"/>
          <w:sz w:val="22"/>
          <w:szCs w:val="22"/>
          <w14:ligatures w14:val="none"/>
        </w:rPr>
        <w:t>Anopheles gambiae</w:t>
      </w:r>
      <w:r w:rsidRPr="008E7DCB">
        <w:rPr>
          <w:rFonts w:ascii="Calibri" w:eastAsia="Times New Roman" w:hAnsi="Calibri" w:cs="Calibri"/>
          <w:b/>
          <w:bCs/>
          <w:color w:val="000000"/>
          <w:kern w:val="0"/>
          <w:sz w:val="22"/>
          <w:szCs w:val="22"/>
          <w14:ligatures w14:val="none"/>
        </w:rPr>
        <w:t> at Mangoum, West region of Cameroon: a semi-field study and baseline characterisation</w:t>
      </w:r>
    </w:p>
    <w:p w14:paraId="6B57015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mass campaign of insecticidal-treated nets (ITNs) has significantly played a role in reducing malaria transmission in sub-Saharan Africa; with household coverage increasing from 5% in 2000 to 73% in 2023. However, malaria burden persists in several countries, coinciding with the rapid spread of pyrethroid resistance in vector populations, which threatens the effectiveness of ITNs. As part of the Resilience Against Future Threats (RAFT) Research Consortium, we conducted semi-field evaluations of six ITN products in experimental huts at Mangoum, West-Cameroon. This site was selected due to the recent introduction of Interceptor G2® nets and confirmed high resistance intensity in local vectors. The nets types included three pyrethroid-PBO (piperonyl-butoxide) products (PermaNet</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3.0, Olyset</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Plus, Veeralin</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one dual-active ingredient combining pyrethroid and Chlorfenapyr (Interceptor G2</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and two pyrethroid-only products (PermaNet</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2.0 and MAGNet</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Further baseline data characterised the genetic background, frequency of the L995F-Kdr and E205D-CYP6P3</w:t>
      </w:r>
      <w:r w:rsidRPr="008E7DCB">
        <w:rPr>
          <w:rFonts w:ascii="Calibri" w:eastAsia="Times New Roman" w:hAnsi="Calibri" w:cs="Calibri"/>
          <w:i/>
          <w:iCs/>
          <w:color w:val="000000"/>
          <w:kern w:val="0"/>
          <w:sz w:val="22"/>
          <w:szCs w:val="22"/>
          <w14:ligatures w14:val="none"/>
        </w:rPr>
        <w:t> </w:t>
      </w:r>
      <w:r w:rsidRPr="008E7DCB">
        <w:rPr>
          <w:rFonts w:ascii="Calibri" w:eastAsia="Times New Roman" w:hAnsi="Calibri" w:cs="Calibri"/>
          <w:color w:val="000000"/>
          <w:kern w:val="0"/>
          <w:sz w:val="22"/>
          <w:szCs w:val="22"/>
          <w14:ligatures w14:val="none"/>
        </w:rPr>
        <w:t>markers conferring resistance to pyrethroids as well as </w:t>
      </w:r>
      <w:r w:rsidRPr="008E7DCB">
        <w:rPr>
          <w:rFonts w:ascii="Calibri" w:eastAsia="Times New Roman" w:hAnsi="Calibri" w:cs="Calibri"/>
          <w:i/>
          <w:iCs/>
          <w:color w:val="000000"/>
          <w:kern w:val="0"/>
          <w:sz w:val="22"/>
          <w:szCs w:val="22"/>
          <w14:ligatures w14:val="none"/>
        </w:rPr>
        <w:t>Plasmodium </w:t>
      </w:r>
      <w:r w:rsidRPr="008E7DCB">
        <w:rPr>
          <w:rFonts w:ascii="Calibri" w:eastAsia="Times New Roman" w:hAnsi="Calibri" w:cs="Calibri"/>
          <w:color w:val="000000"/>
          <w:kern w:val="0"/>
          <w:sz w:val="22"/>
          <w:szCs w:val="22"/>
          <w14:ligatures w14:val="none"/>
        </w:rPr>
        <w:t>sporozoite infection rate of the local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populations. A total of 3,137 wild mosquitoes were encountered in the experimental hut trials and 1,045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females were used in release-recapture assays. Interceptor G2</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induced 71% mortality in wild mosquitoes and 45.1% in recaptured ones. With Olyset</w:t>
      </w:r>
      <w:r w:rsidRPr="008E7DCB">
        <w:rPr>
          <w:rFonts w:ascii="Calibri" w:eastAsia="Times New Roman" w:hAnsi="Calibri" w:cs="Calibri"/>
          <w:color w:val="000000"/>
          <w:kern w:val="0"/>
          <w:sz w:val="22"/>
          <w:szCs w:val="22"/>
          <w:vertAlign w:val="superscript"/>
          <w14:ligatures w14:val="none"/>
        </w:rPr>
        <w:t>®</w:t>
      </w:r>
      <w:r w:rsidRPr="008E7DCB">
        <w:rPr>
          <w:rFonts w:ascii="Calibri" w:eastAsia="Times New Roman" w:hAnsi="Calibri" w:cs="Calibri"/>
          <w:color w:val="000000"/>
          <w:kern w:val="0"/>
          <w:sz w:val="22"/>
          <w:szCs w:val="22"/>
          <w14:ligatures w14:val="none"/>
        </w:rPr>
        <w:t> Plus and Veeralin, induced mortality in wild mosquitoes and recaptured ones were 47.5% and 93.8%, and 44.6% and 30.0%, respectively. In both free-flying and released experiments, MAGNet yielded &lt;25% mortality. Overall, the blood-feeding rates were reduced in treated compared to control arms, although the difference was not significant.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infection prevalence was low (2.1%) in wild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The L995F-</w:t>
      </w:r>
      <w:r w:rsidRPr="008E7DCB">
        <w:rPr>
          <w:rFonts w:ascii="Calibri" w:eastAsia="Times New Roman" w:hAnsi="Calibri" w:cs="Calibri"/>
          <w:i/>
          <w:iCs/>
          <w:color w:val="000000"/>
          <w:kern w:val="0"/>
          <w:sz w:val="22"/>
          <w:szCs w:val="22"/>
          <w14:ligatures w14:val="none"/>
        </w:rPr>
        <w:t>Kdr</w:t>
      </w:r>
      <w:r w:rsidRPr="008E7DCB">
        <w:rPr>
          <w:rFonts w:ascii="Calibri" w:eastAsia="Times New Roman" w:hAnsi="Calibri" w:cs="Calibri"/>
          <w:color w:val="000000"/>
          <w:kern w:val="0"/>
          <w:sz w:val="22"/>
          <w:szCs w:val="22"/>
          <w14:ligatures w14:val="none"/>
        </w:rPr>
        <w:t> allele was fixed, with 67% prevalence of the resistant allele 205D-</w:t>
      </w:r>
      <w:r w:rsidRPr="008E7DCB">
        <w:rPr>
          <w:rFonts w:ascii="Calibri" w:eastAsia="Times New Roman" w:hAnsi="Calibri" w:cs="Calibri"/>
          <w:i/>
          <w:iCs/>
          <w:color w:val="000000"/>
          <w:kern w:val="0"/>
          <w:sz w:val="22"/>
          <w:szCs w:val="22"/>
          <w14:ligatures w14:val="none"/>
        </w:rPr>
        <w:t>CYP6P3</w:t>
      </w:r>
      <w:r w:rsidRPr="008E7DCB">
        <w:rPr>
          <w:rFonts w:ascii="Calibri" w:eastAsia="Times New Roman" w:hAnsi="Calibri" w:cs="Calibri"/>
          <w:color w:val="000000"/>
          <w:kern w:val="0"/>
          <w:sz w:val="22"/>
          <w:szCs w:val="22"/>
          <w14:ligatures w14:val="none"/>
        </w:rPr>
        <w:t>. These findings support the continued deployment of next generation ITNs in resistance hotspot, as part of resistance management in Cameroon.</w:t>
      </w:r>
    </w:p>
    <w:p w14:paraId="03DBF25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25-A-3470-ASTMH</w:t>
      </w:r>
    </w:p>
    <w:p w14:paraId="27EC342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Epidemiology and Vector Control</w:t>
      </w:r>
    </w:p>
    <w:p w14:paraId="2B9928B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Routine surveys show insecticide treated net usage is lower in school-aged children in sub-Saharan Africa</w:t>
      </w:r>
    </w:p>
    <w:p w14:paraId="2DBAB91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School-aged children, defined as children aged 5-15 years old, have been historically underserved by anti-malaria treatment and interventions, such as insecticide treated nets (ITNs). This means that school-aged children remain a reservoir for onward transmission, continue to suffer from clinical malaria and malaria-associated health problems (such as anaemia), and means that young, first-time mothers may become infected with malaria before they are aware that they are pregnant. We set out to investigate ITN usage among school-aged children, how usage patterns and access rates change with age and life-stage, and whether the method of ITN distribution in a region has an impact on these trends. We analysed data from Demographic and Health Surveys (DHS) and Malaria Indicator Surveys (MIS) from 31 Sub-Saharan African countries between 2013-2022 and performed a Bayesian hierarchical </w:t>
      </w:r>
      <w:r w:rsidRPr="008E7DCB">
        <w:rPr>
          <w:rFonts w:ascii="Calibri" w:eastAsia="Times New Roman" w:hAnsi="Calibri" w:cs="Calibri"/>
          <w:color w:val="000000"/>
          <w:kern w:val="0"/>
          <w:sz w:val="22"/>
          <w:szCs w:val="22"/>
          <w14:ligatures w14:val="none"/>
        </w:rPr>
        <w:lastRenderedPageBreak/>
        <w:t>regression on the most recent survey from eight countries to further analyse ITN usage trends. School-aged children’s use of ITNs was significantly lower than the rest of the population in 84% (26/31) of countries and 65% (278/431) of regions across Sub-Saharan Africa, with usage consistently highest among newborns and adults of parental age. The gap in ITN usage between school-aged children and under 5’s was largest in households that had fewer nets per person, with the largest difference in households with only one ITN or those with more than four people per ITN. This finding was supported by observed net-sharing practices in households with similar demographic compositions. We found similar ITN use between genders throughout childhood, and that differences according to gender following adolescence appear largely explained by increases in ITN use in women following childbirth. Our work provides further evidence that access, not behavioural differences, seems to be the major driver in divergent ITN usage by age, with parenthood also playing a role. These findings support the need for changes in ITN distribution policy to protect young mothers during first pregnancies and for determining distribution strategies that will ensure more equitable access to ITNs.</w:t>
      </w:r>
    </w:p>
    <w:p w14:paraId="6F5B4FF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25-A-3471-ASTMH</w:t>
      </w:r>
    </w:p>
    <w:p w14:paraId="1D17A1C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Measures for Control and Elimination of Neglected Tropical Diseases (NTDs)</w:t>
      </w:r>
    </w:p>
    <w:p w14:paraId="2EA7250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Modeling Expanded Age Cohorts and Intervention Approaches for the Control of Soil-Transmitted Helminths in Kenya</w:t>
      </w:r>
    </w:p>
    <w:p w14:paraId="5D44DC3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Kenya has delivered over nine annual mass drug administration (MDA) rounds with albendazole to school-age children (SAC) in all endemic sub-counties through the national school-based deworming (NSBD) program. Despite sustained treatment, the overall prevalence has not reached below 2% in all implementation units. The study modeled the soil-transmitted helminths (STH) historical and future prevalence to understand the impact of (i) expanding the target age cohorts, (ii) implementing improved water and sanitation, and health and hygiene (WASH) interventions alongside the annual MDA, and (iii) to determine the period when prevalence will reach below 2% in the general population. The study utilized a deterministic full age-structured model of the human population dynamics under a regular treatment program. The model was applied to four age groups: preschool-age children (PSAC: 2-4 years), school-age children (SAC: 5-14 years), adolescents (15-17 years), and adults (≥ 18 years). The model compared the impact of three interventions on STH future prevalence and determined the period of prevalence reaching below 2%. The model was parameterized using field data from the Kenya deworming program. The study estimated that, using annual MDA only, and assuming &gt;75% coverage, prevalence would reach &lt;2% after 12 rounds, 11 rounds, 8 rounds, and 5 rounds in (i) SAC only, (ii) SAC and PSAC, (iii) SAC, PSAC and adolescents, and (iv) all age cohorts respectively. Further, if annual MDA is complemented with WASH, the prevalence would reach &lt;2% after 2 to 5 rounds, 2 to 4 rounds, 2 to 4 rounds, and 2 to 3 rounds in (i) SAC only, (ii) SAC and PSAC, (iii) SAC, PSAC and adolescents, and (iv) all age cohorts respectively. The study recommends that MDA be expanded to comprehensively cover three age cohorts (PSAC, SAC, and adolescents). This will give the advantage of reaching the below 2% prevalence faster, through the school and community settings. Further exploration of associated costs, however, is necessary.</w:t>
      </w:r>
    </w:p>
    <w:p w14:paraId="35C196F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25-A-3472-ASTMH</w:t>
      </w:r>
    </w:p>
    <w:p w14:paraId="5EC9E2F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0214F80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Urban human infestation by New World Screwworm (</w:t>
      </w:r>
      <w:r w:rsidRPr="008E7DCB">
        <w:rPr>
          <w:rFonts w:ascii="Calibri" w:eastAsia="Times New Roman" w:hAnsi="Calibri" w:cs="Calibri"/>
          <w:i/>
          <w:iCs/>
          <w:color w:val="000000"/>
          <w:kern w:val="0"/>
          <w:sz w:val="22"/>
          <w:szCs w:val="22"/>
          <w14:ligatures w14:val="none"/>
        </w:rPr>
        <w:t>Cochlomya homnivorax) </w:t>
      </w:r>
      <w:r w:rsidRPr="008E7DCB">
        <w:rPr>
          <w:rFonts w:ascii="Calibri" w:eastAsia="Times New Roman" w:hAnsi="Calibri" w:cs="Calibri"/>
          <w:color w:val="000000"/>
          <w:kern w:val="0"/>
          <w:sz w:val="22"/>
          <w:szCs w:val="22"/>
          <w14:ligatures w14:val="none"/>
        </w:rPr>
        <w:t>in Panama: case report of two patients</w:t>
      </w:r>
    </w:p>
    <w:p w14:paraId="797BACE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New World Screwworm (NWSM) is an opportunistic myiasis that causes severe disease in cattle, significantly impacting agriculture. In Humans, it’s associated with poverty, unhygienic conditions, and contact with diseased animals.Because of the disease burden, NWSW has received substantial attention, and elimination programs have been implemented across the region. Panama has remained free of the disease for over 20 years. However, since 2023, several cases of cattle and some in humans have been reported in the borders of the country and the neighboring countries.We report two human cases of </w:t>
      </w:r>
      <w:r w:rsidRPr="008E7DCB">
        <w:rPr>
          <w:rFonts w:ascii="Calibri" w:eastAsia="Times New Roman" w:hAnsi="Calibri" w:cs="Calibri"/>
          <w:color w:val="000000"/>
          <w:kern w:val="0"/>
          <w:sz w:val="22"/>
          <w:szCs w:val="22"/>
          <w14:ligatures w14:val="none"/>
        </w:rPr>
        <w:lastRenderedPageBreak/>
        <w:t>NWSW diagnosed during hospitalization in 2025. Both patients sought care because of myiasis associated with subjacent chronic illness, unhygienic environments, and poverty. Larvae of </w:t>
      </w:r>
      <w:r w:rsidRPr="008E7DCB">
        <w:rPr>
          <w:rFonts w:ascii="Calibri" w:eastAsia="Times New Roman" w:hAnsi="Calibri" w:cs="Calibri"/>
          <w:i/>
          <w:iCs/>
          <w:color w:val="000000"/>
          <w:kern w:val="0"/>
          <w:sz w:val="22"/>
          <w:szCs w:val="22"/>
          <w14:ligatures w14:val="none"/>
        </w:rPr>
        <w:t>Cochliomyia hominivorax</w:t>
      </w:r>
      <w:r w:rsidRPr="008E7DCB">
        <w:rPr>
          <w:rFonts w:ascii="Calibri" w:eastAsia="Times New Roman" w:hAnsi="Calibri" w:cs="Calibri"/>
          <w:color w:val="000000"/>
          <w:kern w:val="0"/>
          <w:sz w:val="22"/>
          <w:szCs w:val="22"/>
          <w14:ligatures w14:val="none"/>
        </w:rPr>
        <w:t> were identified—one in the oral cavity, the other in the eye. Both patients had severe co-morbidities, including pulmonary thromboembolism, stroke-related immobility, and cutaneous neoplasms. Mechanical removal of the larvae was performed in the hospital, followed by treatment with antibiotics and ivermectin. One patient died due to underlying conditions and overall frailty. </w:t>
      </w:r>
      <w:r w:rsidRPr="008E7DCB">
        <w:rPr>
          <w:rFonts w:ascii="Calibri" w:eastAsia="Times New Roman" w:hAnsi="Calibri" w:cs="Calibri"/>
          <w:i/>
          <w:iCs/>
          <w:color w:val="000000"/>
          <w:kern w:val="0"/>
          <w:sz w:val="22"/>
          <w:szCs w:val="22"/>
          <w14:ligatures w14:val="none"/>
        </w:rPr>
        <w:t>C. homnivorax</w:t>
      </w:r>
      <w:r w:rsidRPr="008E7DCB">
        <w:rPr>
          <w:rFonts w:ascii="Calibri" w:eastAsia="Times New Roman" w:hAnsi="Calibri" w:cs="Calibri"/>
          <w:color w:val="000000"/>
          <w:kern w:val="0"/>
          <w:sz w:val="22"/>
          <w:szCs w:val="22"/>
          <w14:ligatures w14:val="none"/>
        </w:rPr>
        <w:t> is an opportunistic dypterae requiring living tissue to complete its life cycle, causing aggressive tissue destruction. Even though it is an infestation that affects mainly animals, humans may suffer from it under the similar principle of unattended wounds where the female fly deposits the eggs. When the larvae emerge, they feed from the tissue. If not treated, it causes severe disability and death.There is no standard of care in humans. The use of ivermectin has been reported to be associated with mechanical removal of the larvae.The re-emergence of this non-communicable disease has several factors yet to be explored in Panama and sooner than later to stop progression throughout the country. Urgent public health interventions are needed.</w:t>
      </w:r>
    </w:p>
    <w:p w14:paraId="18A633D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25-A-3474-ASTMH</w:t>
      </w:r>
    </w:p>
    <w:p w14:paraId="3B2019A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Respiratory Infections</w:t>
      </w:r>
    </w:p>
    <w:p w14:paraId="5985AF6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Effectiveness of a Clinical Decision Support Algorithm on Decreasing Unnecessary Antibiotic Use for Upper Respiratory Tract Infections among HIV-infected Adults in Mozambique: A Cluster Randomized Controlled Trial</w:t>
      </w:r>
    </w:p>
    <w:p w14:paraId="78A6ED0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Antibiotics are commonly overprescribed to treat upper respiratory tract infections (URTIs), despite strong evidence of viral etiology. This study evaluates the effectiveness of a clinical decision support algorithm (CDSA)- based intervention in decreasing unnecessary antibiotic prescriptions among ambulatory HIV-infected adults with acute URTI symptoms.</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We employed a multicenter, two-arm, parallel, cluster-randomized controlled trial design in six primary healthcare facilities in Mozambique from June to September 2024. The intervention included applying the CDSA, educating clinicians, supervising them, and conducting prescription audits. We used the Pearson chi-square test and relative risk to assess the effectiveness of the intervention in prescribing antibiotics.</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Three hundred seventy-nine (97.9%) HIV-infected adult patients with URTI symptoms were recruited, 182 (48%) in the intervention arm and 197 (52%) in the control arm. Most were females (75.5%) and single (57%), and presented with common cold and flu-like symptoms. Participants in the intervention arm were less likely to receive an antibiotic prescription (RR 0.41, 95% CI: 0.31 - 0.55) and develop a complication (RR 0.44, 95% CI: 0.16 - 1.20) than those not exposed. The antibiotic prescribing rate was 23.1% for the intervention and 56.3% for the control. The intervention was associated with a significant reduction in antibiotic prescribing by 33.2% (p &lt; 0.05) and a non-significant decrease in incidence of complications by 3.7% (p &gt; 0.05). In both arms, most patients (78%) recovered completely within five days. Amoxicillin (47.8%), azithromycin (21.9%), and phenoxymethylpenicillin (14.1%) were the most prescribed antibiotics. The intervention effectively reduced unnecessary antibiotics by decreasing prescriptions by 33.2%. Expansion of the intervention to other locations, including rural and remote settings, may achieve further reductions in unnecessary antibiotic use and contribute to a reduction in the risks of antimicrobial resistance occurrence.</w:t>
      </w:r>
    </w:p>
    <w:p w14:paraId="36E084A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25-A-3477-ASTMH</w:t>
      </w:r>
    </w:p>
    <w:p w14:paraId="5E4EDE5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Epidemiology</w:t>
      </w:r>
    </w:p>
    <w:p w14:paraId="12B5060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potential impact of a chikungunya vaccine in Brazil</w:t>
      </w:r>
    </w:p>
    <w:p w14:paraId="45B5F50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Chikungunya virus (CHIKV) is an </w:t>
      </w:r>
      <w:r w:rsidRPr="008E7DCB">
        <w:rPr>
          <w:rFonts w:ascii="Calibri" w:eastAsia="Times New Roman" w:hAnsi="Calibri" w:cs="Calibri"/>
          <w:i/>
          <w:iCs/>
          <w:color w:val="000000"/>
          <w:kern w:val="0"/>
          <w:sz w:val="22"/>
          <w:szCs w:val="22"/>
          <w14:ligatures w14:val="none"/>
        </w:rPr>
        <w:t>Aedes</w:t>
      </w:r>
      <w:r w:rsidRPr="008E7DCB">
        <w:rPr>
          <w:rFonts w:ascii="Calibri" w:eastAsia="Times New Roman" w:hAnsi="Calibri" w:cs="Calibri"/>
          <w:color w:val="000000"/>
          <w:kern w:val="0"/>
          <w:sz w:val="22"/>
          <w:szCs w:val="22"/>
          <w14:ligatures w14:val="none"/>
        </w:rPr>
        <w:t xml:space="preserve">-borne alphavirus that can cause chronic arthralgia and death. Most tropical and subtropical regions, representing 1.3 billion people, are at risk of CHIKV transmission. In April 2025, the first chikungunya vaccine was licensed in Brazil, a country with endemic CHIKV circulation since 2014. However, it is unclear how best to distribute the vaccine, as CHIKV epidemiology is poorly understood. We use high-quality surveillance data from Brazil to robustly quantify CHIKV </w:t>
      </w:r>
      <w:r w:rsidRPr="008E7DCB">
        <w:rPr>
          <w:rFonts w:ascii="Calibri" w:eastAsia="Times New Roman" w:hAnsi="Calibri" w:cs="Calibri"/>
          <w:color w:val="000000"/>
          <w:kern w:val="0"/>
          <w:sz w:val="22"/>
          <w:szCs w:val="22"/>
          <w14:ligatures w14:val="none"/>
        </w:rPr>
        <w:lastRenderedPageBreak/>
        <w:t>circulation in each of the 27 Federal Units and estimate the potential impact of a vaccine. We developed a sero-catalytic model pooling information from all suspected (N=1,471,821) and confirmed (N=488,234) chikungunya cases, all confirmed chikungunya deaths (N=895), and publicly available serosurveys (N=12) in Brazil between 2014 and September 2024. We then used outputs from our model to estimate the potential impact of a vaccine over the next five years, evaluating different rollout strategies. We find high spatiotemporal heterogeneity across Brazil, with the Northeastern and the Southeastern regions bearing the highest burden. We estimate that in Ceará the average CHIKV annual attack rate is 14.6% (95%CrI: 13.3 - 16.2), followed by Rio Grande do Norte with 12.4% (95%CrI: 10.7 - 14.2), and Bahia with 6.2% (95%CrI: 5.6 - 6.9). Moreover, we also find that state-level accumulated immunity in one year does not reliably predict the attack rate in subsequent years. Assuming 40% coverage with a vaccine efficacy of 95%, we estimate that vaccinating the population over the age of 12 nationally could avert up to 45,000 cases (95%CrI: 41,000 - 50,000). This strategy would require over 73 million doses. However, due to the age distribution of the population and to higher risk of severe disease outcomes in older age groups, vaccinating people over 50 in the top five states in terms of historic burden could be the most cost-effective strategy, averting 9,800 cases (95%CrI: 8,900 - 11,000) with ~8.4 million doses. While CHIKV outbreaks remain hard to predict, historical circulation patterns highlight where vaccines could have the most impact as rollout begins.</w:t>
      </w:r>
    </w:p>
    <w:p w14:paraId="7085818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25-A-3478-ASTMH</w:t>
      </w:r>
    </w:p>
    <w:p w14:paraId="4CC7FC0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HIV and Tropical Co-Infections</w:t>
      </w:r>
    </w:p>
    <w:p w14:paraId="2F1C717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Cryptococcosis Diagnosis among HIV-infected Patients in Southern Mozambique: Challenges and Opportunities for Reintroducing India Ink Staining as an Accessible Alternative in Resource-Limited Settings</w:t>
      </w:r>
    </w:p>
    <w:p w14:paraId="713A6CD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Cryptococcal infections have increased due to HIV/AIDS, and mortality is relatively high in sub-Saharan Africa. This study aimed to explore the challenges in diagnosing cryptococcosis among HIV-infected patients and evaluate the opportunities to reintroduce India Ink testing as an accessible alternative in the context of limited resources. We conducted implementation science research using mixed-method approaches in six hospitals across southern Mozambique. Structured questionnaires and individual in-depth interviews of clinicians engaged in the care and treatment of HIV/AIDS patients and laboratory technicians were carried out to understand experiences, practices, and challenges as well as opportunities to reintroduce India Ink testing. Quantitative data were analyzed using SPSS statistical program, while qualitative data were analyzed manually using a combination of content and thematic analysis approaches. A total of 98 healthcare providers (67 clinicians and 31 laboratory technicians) participated in the study. The mean age of the participants was 35 years, and they had at least five years of relevant work experience (53.1%). Challenges in diagnosing and managing cryptococcal disease were mainly related to 1) frequent shortages of cryptococcal rapid antigen tests, 2) technical expertise and resource shortages for collecting cerebrospinal fluid samples, and 3) frequent shortages of antifungal medications. Regarding opportunities to reintroduce India Ink testing, all study facilities had the availability of microscopes, clinicians, and technicians who recognized the need for cryptococcal screening services and were willing to support its reintroduction.</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India Ink testing is relatively cheap, easy to perform if adequately trained, and the ink, as well as the other resources, are often available in the country and can be easily acquired from local markets. Thus, in the context of the unavailability of other techniques for cryptococcal screening, India Ink testing is certainly a viable alternative to consider in resource-constrained settings.</w:t>
      </w:r>
    </w:p>
    <w:p w14:paraId="696DBF2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25-A-3480-ASTMH</w:t>
      </w:r>
    </w:p>
    <w:p w14:paraId="324A452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Measures for Control and Elimination of Neglected Tropical Diseases (NTDs)</w:t>
      </w:r>
    </w:p>
    <w:p w14:paraId="664BE62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Stigma Experiences, Effects, and Coping among Individuals Affected by Lymphatic Filariasis Morbidity Management and Disability Prevention (MMDP) in Oyo State, Nigeria</w:t>
      </w:r>
    </w:p>
    <w:p w14:paraId="08C918C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Lymphatic Filariasis (LF) is a neglected tropical disease prevalent in Nigeria, leading to chronic disability and social stigma. The Morbidity Management and Disability Prevention (MMDP) program aims to alleviate the physical burden of LF, but the psychosocial impacts, particularly stigma, remain underexplored. This study investigated the stigma experiences, its effects, and coping mechanisms among individuals affected by LF participating in MMDP programs in Oyo State, Nigeria. A quantitative descriptive design was employed. Questionnaires was administered to 50 LF patients enrolled in MMDP services across selected communities in Oyo State. Descriptive analysis was used to identify patterns related to stigma experiences, its psychological and social effects, and the coping strategies adopted by participants. Participants reported experiencing various forms of stigma, social exclusion (65.3%), (20.4%) of respondent reported being discriminated, and 87.5% felt internalized stigma. These experiences led to adverse effects such as depression, anxiety, with about two-thirds (65.3%) facing reduced social participation, and challenges in adhering to MMDP protocols. Common coping strategies included seeking social support from church, traditional healer, family and peers, engaging in economic activities to regain social status, and participating in advocacy and education efforts to combat misinformation about LF. When asked were they sought support, more than half (54.2%) of the respondent mentioned hospitals, while 20.8% mentioned traditional healers. mass awareness by government (12.2%) and seeking treatment at hospitals (9.8%). Furthermore, a majority (91.1%) admitted their conditions had improved with the services received through CBM Stigma significantly impacts the mental health and social well-being of individuals affected by LF in Oyo State, hindering effective disease management. Integrating psychosocial support and community education into MMDP programs is crucial to address stigma, improve adherence to treatment, and enhance the quality of life for affected individuals.</w:t>
      </w:r>
    </w:p>
    <w:p w14:paraId="25C7222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25-A-3481-ASTMH</w:t>
      </w:r>
    </w:p>
    <w:p w14:paraId="637689B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Parasite Transmission Biology</w:t>
      </w:r>
    </w:p>
    <w:p w14:paraId="558EE16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Host red blood cells matter: Interindividual variability in </w:t>
      </w:r>
      <w:r w:rsidRPr="008E7DCB">
        <w:rPr>
          <w:rFonts w:ascii="Calibri" w:eastAsia="Times New Roman" w:hAnsi="Calibri" w:cs="Calibri"/>
          <w:i/>
          <w:iCs/>
          <w:color w:val="000000"/>
          <w:kern w:val="0"/>
          <w:sz w:val="22"/>
          <w:szCs w:val="22"/>
          <w14:ligatures w14:val="none"/>
        </w:rPr>
        <w:t>Plasmodium falciparumin vitro</w:t>
      </w:r>
      <w:r w:rsidRPr="008E7DCB">
        <w:rPr>
          <w:rFonts w:ascii="Calibri" w:eastAsia="Times New Roman" w:hAnsi="Calibri" w:cs="Calibri"/>
          <w:color w:val="000000"/>
          <w:kern w:val="0"/>
          <w:sz w:val="22"/>
          <w:szCs w:val="22"/>
          <w14:ligatures w14:val="none"/>
        </w:rPr>
        <w:t> growth</w:t>
      </w:r>
    </w:p>
    <w:p w14:paraId="656988F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In vitro cultures of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(Pf) are essential to malaria research, supporting advances in drug development, vaccine design, and pathogenesis studies. Pf </w:t>
      </w:r>
      <w:r w:rsidRPr="008E7DCB">
        <w:rPr>
          <w:rFonts w:ascii="Calibri" w:eastAsia="Times New Roman" w:hAnsi="Calibri" w:cs="Calibri"/>
          <w:i/>
          <w:iCs/>
          <w:color w:val="000000"/>
          <w:kern w:val="0"/>
          <w:sz w:val="22"/>
          <w:szCs w:val="22"/>
          <w14:ligatures w14:val="none"/>
        </w:rPr>
        <w:t>in vitro </w:t>
      </w:r>
      <w:r w:rsidRPr="008E7DCB">
        <w:rPr>
          <w:rFonts w:ascii="Calibri" w:eastAsia="Times New Roman" w:hAnsi="Calibri" w:cs="Calibri"/>
          <w:color w:val="000000"/>
          <w:kern w:val="0"/>
          <w:sz w:val="22"/>
          <w:szCs w:val="22"/>
          <w14:ligatures w14:val="none"/>
        </w:rPr>
        <w:t>growth relies on human red blood cells (RBC) obtained from healthy donors. However, even under standardized conditions, parasite growth can be highly variable, raising concerns about experimental reproducibility and potential biological bias. This study aimed to characterize interindividual variability in Pf growth under uniform culture conditions and identify host-related factors that may influence parasite growth. Blood from healthy, malaria-naïve volunteers was used to culture Pf3D7 parasites at 5% hematocrit for 96 hours. Parasite growth was assessed by microscopy and flow cytometry. To assess reproducibility, cultures were repeated in a subset of donors, along with hematological and biochemical profiling. In selected individuals, bovine serum was replaced with autologous human serum to test its influence onPf growth. After 96 hours, the mean fold-change between final and initial parasitemia across 69 donors was 10.0-fold, with substantial interindividual variability (range: 3.0 - 19.3). Two growth phenotypes were defined based on ±1 SD from the mean. The “low growers” group (n = 12) had a mean fold-change of 4.7 (range: 3.0 - 6.1), and the “high growers” group (n = 13) showed a mean fold-change of 16.0 (range: 13.8 - 19.3). Low growers were significantly more likely to report ancestry linked to malaria-endemic regions (p = 0.03) and had lower hemoglobin levels (p = 0.01), suggesting that intrinsic RBC properties influence Pf growth. Human serum supplementation did not change growth patterns. Aside from hemoglobin (p=0.03), no other hematological or biochemical parameter showed significant association with Pf growth. Current donor screening focuses on general hematological parameters that do not predict RBC suitability for Pf culture. These findings reveal under appreciated host-related factors that influence Pf in vitro growth.</w:t>
      </w:r>
    </w:p>
    <w:p w14:paraId="1CB8BBE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25-A-3483-ASTMH</w:t>
      </w:r>
    </w:p>
    <w:p w14:paraId="760C978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One Health: The Interface of Humans, Ecosystems, and Animal Health</w:t>
      </w:r>
    </w:p>
    <w:p w14:paraId="5C1D17D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Characterization of the Mosquito Assemblage During a Western Equine Encephalitis Outbreak (Alphavirus: Togaviridae) in Santa Fe Province, Argentina</w:t>
      </w:r>
    </w:p>
    <w:p w14:paraId="6329579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Western equine encephalitis virus (WEEV, Alphavirus) re-emerged in Argentina in 2023 after 20-year years of absence from the American continent. During this outbreak, 1,529 infected horses were reported across 17 provinces, with over 100 suspected human cases and eight confirmed fatalities. WEEV transmission involves mosquito vectors and avian hosts, with humans and horses as incidental dead-end hosts. In Argentina, the main epizootic vector of WEEV is Aedes albifasciatus, although other mosquito species may also participate in enzootic transmission cycles. Therefore, this study aimed to characterize the mosquito community and detect mosquito vectors during the 2023 WEEV outbreak. The sampling site was the Arrufó (Santa Fe Province), a rural lowland with floodable grasslands and high horse density. Mosquitoes were collected using CDC light traps baited with dry ice and identified to species level using morphological keys under a chill table. Viral RNA was tested for Alphavirus presence using RT-Nested PCR and virus isolation was attempted in Vero E6 cells by observing cytopathic effects (CPE). A total of 1,062 adult mosquitoes belonging to four genera (Aedes, Culex, Haemagogus, and Psorophora) were collected. Aedes albifasciatus was the most abundant species, accounting for over 90% of specimens (N = 972), and Ae. scapularis, which comprised approximately 2% (N = 26). Other species collected included Culex interfor, Cx. maxi, Cx. saltanensis, Cx. chidesteri, Cx. acharistus, Haemagogus spegazzini, and Psorophora discrucians. Eighteen pools were processed, and eight (44%) were positive for Alphavirus: Ae. albifasciatus (5), Ae. scapularis (2), and Hg. spegazzini (1). Pool PST12 (Ae. scapularis) showed strong CPE, including cellular rounding and detachment, consistent with Alphavirus infection. Aedes albifasciatus and Ae. scapularis were abundant in the mosquito community and found to be naturally infected with Alphavirus during a WEEV outbreak context. These findings reinforce the role of Ae. albifasciatus and bring new evidence of Ae. scapularis as a epizootic vector for WEEV in Argentina.</w:t>
      </w:r>
    </w:p>
    <w:p w14:paraId="44133C8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25-A-3484-ASTMH</w:t>
      </w:r>
    </w:p>
    <w:p w14:paraId="3106427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582FA76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Brucellosis in patients associated with neoplasms - A 7 year Study</w:t>
      </w:r>
    </w:p>
    <w:p w14:paraId="373585F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Brucellosis in patients associated with neoplasms - A 7 year Study</w:t>
      </w:r>
      <w:r w:rsidRPr="008E7DCB">
        <w:rPr>
          <w:rFonts w:ascii="Calibri" w:eastAsia="Times New Roman" w:hAnsi="Calibri" w:cs="Calibri"/>
          <w:color w:val="000000"/>
          <w:kern w:val="0"/>
          <w:sz w:val="22"/>
          <w:szCs w:val="22"/>
          <w14:ligatures w14:val="none"/>
        </w:rPr>
        <w:br/>
        <w:t>Objective: To explore the epidemiological trends and clinical presentations of brucellosis in patients diagnosed with different types of cancer.</w:t>
      </w:r>
      <w:r w:rsidRPr="008E7DCB">
        <w:rPr>
          <w:rFonts w:ascii="Calibri" w:eastAsia="Times New Roman" w:hAnsi="Calibri" w:cs="Calibri"/>
          <w:color w:val="000000"/>
          <w:kern w:val="0"/>
          <w:sz w:val="22"/>
          <w:szCs w:val="22"/>
          <w14:ligatures w14:val="none"/>
        </w:rPr>
        <w:br/>
        <w:t>Methods: A systematic review was performed utilizing PRISMA guidelines from January 2017 to 2024. An update in December 2024 was conducted to ensure thorough coverage of the literature.</w:t>
      </w:r>
      <w:r w:rsidRPr="008E7DCB">
        <w:rPr>
          <w:rFonts w:ascii="Calibri" w:eastAsia="Times New Roman" w:hAnsi="Calibri" w:cs="Calibri"/>
          <w:color w:val="000000"/>
          <w:kern w:val="0"/>
          <w:sz w:val="22"/>
          <w:szCs w:val="22"/>
          <w14:ligatures w14:val="none"/>
        </w:rPr>
        <w:br/>
        <w:t>Results: A total of 100 cases of brucellosis in patients with cancer. Among these cases, hematological cancers were the most common, comprising 66% of the cases, and B. melitensis was identified as the predominant species. The primary clinical manifestations of brucellosis infection included constitutional symptoms in a notable 60.5% of cases and febrile neutropenia in 21%. Additionally, six cases (15.8%) experienced relapse or recurrence of brucellosis, all of which were managed using a combination therapy of rifampin and doxycycline. While 28 patients successfully achieved remission from both brucellosis and their underlying neoplastic conditions, unfortunately, nine cases resulted in mortality attributed to septic shock, progressive liver failure, and massive embolism; no deaths directly related to brucellosis were reported. Among the non-surviving cases, hematologic malignancies were the most prevalent neoplastic conditions (77.7%).</w:t>
      </w:r>
      <w:r w:rsidRPr="008E7DCB">
        <w:rPr>
          <w:rFonts w:ascii="Calibri" w:eastAsia="Times New Roman" w:hAnsi="Calibri" w:cs="Calibri"/>
          <w:color w:val="000000"/>
          <w:kern w:val="0"/>
          <w:sz w:val="22"/>
          <w:szCs w:val="22"/>
          <w14:ligatures w14:val="none"/>
        </w:rPr>
        <w:br/>
        <w:t>Conclusions: Brucellosis-cancer co-occurrence is rare but is not related to increasing mortality. The risk of relapse is higher in cancer patients, especially with hematologic malignancies. Screening, monitoring, and judicious antibiotic use can mitigate brucellosis risks in neoplastic patients.</w:t>
      </w:r>
    </w:p>
    <w:p w14:paraId="1B61180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25-A-3485-ASTMH</w:t>
      </w:r>
    </w:p>
    <w:p w14:paraId="76E32FA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Epidemiology</w:t>
      </w:r>
    </w:p>
    <w:p w14:paraId="04A7666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Tropical Ocean Temperature Anomalies Predict Dengue Trends in Asia and the Americas</w:t>
      </w:r>
    </w:p>
    <w:p w14:paraId="2510E76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While local climatic factors are commonly used in dengue early warning systems, their limited predictability restricts forecast lead time. This study explores the potential of incorporating global climate patterns to improve dengue prediction beyond a three-month horizon. Using causal inference techniques and climate-driven mechanistic models, we examined the relationship between global climate indices and dengue incidence across Asia and the Americas from 1990 to 2019. The Indian Ocean basin-wide (IOBW) sea surface temperature anomaly emerged as the most consistent predictor of annual dengue incidence in both hemispheres. A clear seasonal relationship was observed, with dengue incidence significantly correlated with the IOBW index during the months preceding peak transmission seasons. Causal forcing of local temperature on dengue incidence in 24 countries was identified through empirical dynamic modeling (EDM). Multivariate EDMs further revealed that local temperature played a dominant and nonlinear role in shaping dengue dynamics. To assess whether IOBW-teleconnected local temperature could sufficiently explain the observed patterns in dengue incidence, we employed a global change and epidemic (GCE) mechanism model. This model successfully captured seasonal and interannual dengue dynamics including statistical correlation coefficients and key epidemiological parameters, extending the dengue outbreak warning time by up to 9 months. These findings highlight the IOBW index as a promising early warning signal for dengue outbreaks. Incorporating this global climate indicator into public health systems may significantly strengthen dengue control and prevention efforts worldwide.</w:t>
      </w:r>
    </w:p>
    <w:p w14:paraId="148AD7D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25-A-3486-ASTMH</w:t>
      </w:r>
    </w:p>
    <w:p w14:paraId="2D869F5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Ectoparasite-Borne Disease - Other</w:t>
      </w:r>
    </w:p>
    <w:p w14:paraId="209B460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Antibodies to Tick Salivary Antigens AV422 and Calreticulin in Patients with Spotted Fever Group Rickettsioses and Other Febrile Illnesses in Northern Tanzania</w:t>
      </w:r>
    </w:p>
    <w:p w14:paraId="7FD9BB8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Timely and accurate diagnosis of spotted fever group rickettsioses (SFGR) is difficult due to non-specific symptoms and diagnostic testing challenges in the acute phase of illness. We evaluated serum antibodies to tick salivary proteins, AV422 and calreticulin, as potential markers of recent tick exposure in febrile patients from northern Tanzania. We recruited febrile patients presenting at two hospitals in Moshi, Tanzania from February 2012 through May 2014. Acute sera and convalescent sera were drawn from participants at enrollment and 4-6 weeks post-enrollment, respectively. Acute and convalescent sera were tested against </w:t>
      </w:r>
      <w:r w:rsidRPr="008E7DCB">
        <w:rPr>
          <w:rFonts w:ascii="Calibri" w:eastAsia="Times New Roman" w:hAnsi="Calibri" w:cs="Calibri"/>
          <w:i/>
          <w:iCs/>
          <w:color w:val="000000"/>
          <w:kern w:val="0"/>
          <w:sz w:val="22"/>
          <w:szCs w:val="22"/>
          <w14:ligatures w14:val="none"/>
        </w:rPr>
        <w:t>Rickettsia africae</w:t>
      </w:r>
      <w:r w:rsidRPr="008E7DCB">
        <w:rPr>
          <w:rFonts w:ascii="Calibri" w:eastAsia="Times New Roman" w:hAnsi="Calibri" w:cs="Calibri"/>
          <w:color w:val="000000"/>
          <w:kern w:val="0"/>
          <w:sz w:val="22"/>
          <w:szCs w:val="22"/>
          <w14:ligatures w14:val="none"/>
        </w:rPr>
        <w:t> antigen using an immunofluorescence antibody assay (IFA). Participants with ≥four-fold rise in </w:t>
      </w:r>
      <w:r w:rsidRPr="008E7DCB">
        <w:rPr>
          <w:rFonts w:ascii="Calibri" w:eastAsia="Times New Roman" w:hAnsi="Calibri" w:cs="Calibri"/>
          <w:i/>
          <w:iCs/>
          <w:color w:val="000000"/>
          <w:kern w:val="0"/>
          <w:sz w:val="22"/>
          <w:szCs w:val="22"/>
          <w14:ligatures w14:val="none"/>
        </w:rPr>
        <w:t>R. africae</w:t>
      </w:r>
      <w:r w:rsidRPr="008E7DCB">
        <w:rPr>
          <w:rFonts w:ascii="Calibri" w:eastAsia="Times New Roman" w:hAnsi="Calibri" w:cs="Calibri"/>
          <w:color w:val="000000"/>
          <w:kern w:val="0"/>
          <w:sz w:val="22"/>
          <w:szCs w:val="22"/>
          <w14:ligatures w14:val="none"/>
        </w:rPr>
        <w:t> IFA immunoglobulin G reciprocal titer between sera were classified as SFGR cases (n = 70); those with paired sera with reciprocal titer ≥64, but no ≥four-fold rise were classified as spotted fever group </w:t>
      </w:r>
      <w:r w:rsidRPr="008E7DCB">
        <w:rPr>
          <w:rFonts w:ascii="Calibri" w:eastAsia="Times New Roman" w:hAnsi="Calibri" w:cs="Calibri"/>
          <w:i/>
          <w:iCs/>
          <w:color w:val="000000"/>
          <w:kern w:val="0"/>
          <w:sz w:val="22"/>
          <w:szCs w:val="22"/>
          <w14:ligatures w14:val="none"/>
        </w:rPr>
        <w:t>Rickettsia</w:t>
      </w:r>
      <w:r w:rsidRPr="008E7DCB">
        <w:rPr>
          <w:rFonts w:ascii="Calibri" w:eastAsia="Times New Roman" w:hAnsi="Calibri" w:cs="Calibri"/>
          <w:color w:val="000000"/>
          <w:kern w:val="0"/>
          <w:sz w:val="22"/>
          <w:szCs w:val="22"/>
          <w14:ligatures w14:val="none"/>
        </w:rPr>
        <w:t> (SFG</w:t>
      </w:r>
      <w:r w:rsidRPr="008E7DCB">
        <w:rPr>
          <w:rFonts w:ascii="Calibri" w:eastAsia="Times New Roman" w:hAnsi="Calibri" w:cs="Calibri"/>
          <w:i/>
          <w:iCs/>
          <w:color w:val="000000"/>
          <w:kern w:val="0"/>
          <w:sz w:val="22"/>
          <w:szCs w:val="22"/>
          <w14:ligatures w14:val="none"/>
        </w:rPr>
        <w:t>R</w:t>
      </w:r>
      <w:r w:rsidRPr="008E7DCB">
        <w:rPr>
          <w:rFonts w:ascii="Calibri" w:eastAsia="Times New Roman" w:hAnsi="Calibri" w:cs="Calibri"/>
          <w:color w:val="000000"/>
          <w:kern w:val="0"/>
          <w:sz w:val="22"/>
          <w:szCs w:val="22"/>
          <w14:ligatures w14:val="none"/>
        </w:rPr>
        <w:t>) exposed (n = 40); and participants with reciprocal titer &lt;32 in either sera were classified as SFG</w:t>
      </w:r>
      <w:r w:rsidRPr="008E7DCB">
        <w:rPr>
          <w:rFonts w:ascii="Calibri" w:eastAsia="Times New Roman" w:hAnsi="Calibri" w:cs="Calibri"/>
          <w:i/>
          <w:iCs/>
          <w:color w:val="000000"/>
          <w:kern w:val="0"/>
          <w:sz w:val="22"/>
          <w:szCs w:val="22"/>
          <w14:ligatures w14:val="none"/>
        </w:rPr>
        <w:t>R</w:t>
      </w:r>
      <w:r w:rsidRPr="008E7DCB">
        <w:rPr>
          <w:rFonts w:ascii="Calibri" w:eastAsia="Times New Roman" w:hAnsi="Calibri" w:cs="Calibri"/>
          <w:color w:val="000000"/>
          <w:kern w:val="0"/>
          <w:sz w:val="22"/>
          <w:szCs w:val="22"/>
          <w14:ligatures w14:val="none"/>
        </w:rPr>
        <w:t> unexposed (n = 38). Acute and convalescent sera were tested for calreticulin and AV422 antibodies using enzyme-linked immunosorbent assays. No significant differences were observed in AV422 antibody levels between participant groups. We found significantly higher calreticulin antibody levels in acute sera of SFGR cases compared to those SFGR exposed, SFGR unexposed, and the combined comparator of SFGR exposed and unexposed participants with adjusted mean difference (AMD) 17.49, 95% confidence interval [CI]: 6.37 – 28.61; 17.61, 6.55 – 28.67; 18.11, 9.13 – 27.10, respectively. In the acute phase of febrile illness, measurement of calreticulin antibody, a proposed marker for tick exposure, could inform clinical index of suspicion for tick-borne diseases such as SFGR and potentially aid in empiric treatment decisions. Further studies are needed to validate these findings and establish diagnostic cut-offs.</w:t>
      </w:r>
    </w:p>
    <w:p w14:paraId="5EFC0D1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25-A-3488-ASTMH</w:t>
      </w:r>
    </w:p>
    <w:p w14:paraId="068F570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Epidemiology</w:t>
      </w:r>
    </w:p>
    <w:p w14:paraId="440A139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Spatiotemporal Clustering of Dengue in Valle del Cauca, Colombia</w:t>
      </w:r>
    </w:p>
    <w:p w14:paraId="519F3BB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Dengue is endemic in Colombia's Valle del Cauca region, which reported the highest case count nationwide in 2024. The precise timing and spatial scale of seasonal dengue transmission necessary for effective reactive interventions at the sub-municipal level across the 42 municipalities of Valle del Cauca </w:t>
      </w:r>
      <w:r w:rsidRPr="008E7DCB">
        <w:rPr>
          <w:rFonts w:ascii="Calibri" w:eastAsia="Times New Roman" w:hAnsi="Calibri" w:cs="Calibri"/>
          <w:color w:val="000000"/>
          <w:kern w:val="0"/>
          <w:sz w:val="22"/>
          <w:szCs w:val="22"/>
          <w14:ligatures w14:val="none"/>
        </w:rPr>
        <w:lastRenderedPageBreak/>
        <w:t>remain unclear. This study aimed to identify spatio-temporal dengue clusters in Valle del Cauca. We conducted a retrospective analysis using individual dengue case data, including geolocation and diagnosis dates, reported by healthcare providers to the Sistema Nacional de Vigilancia en Salud Pública (SIVIGILA) in 2022. Patient residence was utilized as the probable site of dengue infection. Spatio-temporal clustering was analyzed using Kulldorff's space-time scan statistics with a Poisson distribution and probabilistic Monte Carlo analysis to identify significant dengue clusters. Results were mapped in Google Earth. As a second aim, the association between hospitalization and clinical and demographic factors was evaluated using multivariable logistic regression. Of the 3,965 dengue cases reported in Valle del Cauca in 2022, 2,232 (56%) were laboratory-confirmed. Of these, 1,973 occurred in nine municipalities at the highest risk for dengue transmission and were included in the spatio-temporal analysis. We identified 35 statistically significant dengue clusters at the sub-municipal level, each lasting one to four months, containing 10-88 cases and radii of 0.1-1 km. Most clusters occurred between August and December. Of all patients, 960 were hospitalized. Hospitalization risk was higher among patients of lower socioeconomic status (OR: 1.30, 95% CI: 1.07-1.57), and among patients who were uninsured (OR: 3.43, 95% CI: 1.62-7.24) or had subsidized insurance (OR: 1.83, 95% CI: 1.48-2.25) compared to those with contributory insurance. This study identified dengue clusters at the sub-municipal level with the potential to inform targeted dengue control measures and demonstrated a disproportionate impact on socioeconomically disadvantaged populations in Valle del Cauca, Colombia. We will present data for the years 2020-2024.</w:t>
      </w:r>
    </w:p>
    <w:p w14:paraId="64C382F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25-A-3489-ASTMH</w:t>
      </w:r>
    </w:p>
    <w:p w14:paraId="3B85597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Maternal, Newborn and Child Health and Nutrition</w:t>
      </w:r>
    </w:p>
    <w:p w14:paraId="05C5E22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Mortality Patterns and Pathogens in Children Under 5 - Projection towards first 100 MITS Samples in Pakistan</w:t>
      </w:r>
    </w:p>
    <w:p w14:paraId="1380D2C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Child Health and Mortality Prevention Surveillance (CHAMPS) initiative aims to identify the causes of death (CoD) in children under five years of age using minimally invasive tissue sampling (MITS), available clinical data, and post-mortem verbal autopsies (VA). This study presents findings from the first 94 MITS samples collected from deceased children in a community setting in Pakistan, with the sample size expected to reach 100 by the end of June 2025. Between August 2023 and July 2025, 100 MITS samples were obtained from deceased children under five. The MITS procedure involved collecting biological tissues such as blood, liver and lungs which were analyzed for pathogens, nutrient deficiencies, and other biomarkers. Verbal autopsies were conducted to gather data on clinical history and potential risk factors. Among the 94 MITS cases until now, 27 were stillbirths, 33 neonates, 13 infants, and 6 children. Sixty-six deaths (70%) occurred in hospitals, while 28 deaths (30%) occurred at home. Among stillbirths, fetal hypoxia (33%) was the most frequent primary cause of death, followed by intrauterine growth restriction and infection. In neonates, prematurity (27%) and sepsis (24%) were leading causes of death. In infants, undernutrition (30.7%) was the most significant contributor. Microbiological analysis revealed Klebsiella pneumoniae (13 cases, 20.6%) as the most commonly identified organism in blood samples, while Acinetobacter baumannii (8 cases, 36.4%) was the most prevalent pathogen in cerebrospinal fluid. These findings highlight the urgent need to strengthen antenatal maternal healthcare, enforce infection control practices in neonatal care units, and improve nutritional access in vulnerable communities. Enhanced clinical interventions and informed policy actions based on MITS data can significantly improve child survival outcomes in low- and middle-income countries (LMICs).</w:t>
      </w:r>
    </w:p>
    <w:p w14:paraId="5023A88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25-A-3490-ASTMH</w:t>
      </w:r>
    </w:p>
    <w:p w14:paraId="0305741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Immunology</w:t>
      </w:r>
    </w:p>
    <w:p w14:paraId="0343C53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IL-15 induces durable resident memory T cell formation and function following genetically attenuated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vaccination in mice</w:t>
      </w:r>
    </w:p>
    <w:p w14:paraId="59F28D0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Malaria remains a major public health problem. Stopping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infection at the liver stage prevents the disease-causing blood stage and transmission. CD8 T cells induced by whole sporozoite vaccination kill parasite-infected hepatocytes during the liver stage. Liver resident memory T (Trm) cells will likely be required for robust and durable protective immunity to malaria. Generating sufficient CD8 Trm cells in the liver that persist at high frequency is critical for vaccine efficacy. We hypothesized that a therapy that specifically boosts liver Trm cell number and function could substantially increase vaccine durability. Because liver Trm formation is highly dependent on IL-15, we tested IL-15 complex (IL-15C; IL-15 combined with IL-15Rα) in a </w:t>
      </w:r>
      <w:r w:rsidRPr="008E7DCB">
        <w:rPr>
          <w:rFonts w:ascii="Calibri" w:eastAsia="Times New Roman" w:hAnsi="Calibri" w:cs="Calibri"/>
          <w:i/>
          <w:iCs/>
          <w:color w:val="000000"/>
          <w:kern w:val="0"/>
          <w:sz w:val="22"/>
          <w:szCs w:val="22"/>
          <w14:ligatures w14:val="none"/>
        </w:rPr>
        <w:t>P. yoelii</w:t>
      </w:r>
      <w:r w:rsidRPr="008E7DCB">
        <w:rPr>
          <w:rFonts w:ascii="Calibri" w:eastAsia="Times New Roman" w:hAnsi="Calibri" w:cs="Calibri"/>
          <w:color w:val="000000"/>
          <w:kern w:val="0"/>
          <w:sz w:val="22"/>
          <w:szCs w:val="22"/>
          <w14:ligatures w14:val="none"/>
        </w:rPr>
        <w:t> late liver stage-arresting, replication competent (LARC) genetically attenuated parasite (GAP) whole sporozoite vaccine model. We found that IL-15C treatment decreases liver parasite burden following challenge with sporozoites. Mechanistically, IL-15C increases the number of CD8 and CD4 Trm cells in the liver, increases IFN-γ production by T cells, and increases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-specific antibody levels. We will present additional analyses such as RNA-sequencing data resulting from ongoing studies. We are also utilizing a mouse model of diverse microbial exposure (“dirty mice”) that better mimics human immunity to test IL-15C as a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vaccine therapy. Overall, our findings will facilitate improved control of malaria and protection from disease by informing vaccine design.</w:t>
      </w:r>
    </w:p>
    <w:p w14:paraId="491A1F0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25-A-3491-ASTMH</w:t>
      </w:r>
    </w:p>
    <w:p w14:paraId="0A255D0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566DED2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Mucormycosis In Renal Transplant Recipients-A Case Series Highlighting Early Detection And Management Strategies</w:t>
      </w:r>
    </w:p>
    <w:p w14:paraId="5230637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Mucormycosis is a Life-Threatening Invasive Fungal Infection, Especially Among Immunocompromised Patients. The Prevalence of Post-Transplant Fungal Infections ranges from 2–14%, with Mucormycosis Accounting for 2–6% of Cases in Renal Transplant Recipient. Despite its Rarity, it is Associated with Prolonged Hospitalization, Poor 2-year survival and Highest Mortality Rate in Comparison to Invasive Aspergillosis, Cryptococcal Infection and Histoplasmosis. This case series Highlights Five Renal Transplant Recipients who Developed Post-Transplant Fungal Infections between 2019 and 2024. The Mean Age was 45.4 years (± 7.36), with 3 Males. Three Patients Received Live-Related Donor Transplants. Chronic Glomerulonephritis Was the Most Common Indication for Transplantation. Induction Therapy Was with Basiliximab for 2 Patients and Anti Thymocyte Globulin for 3 Patients Based on Immunological Risk. Initially, All Patients Had Uneventful Post-Transplant Courses. Infections Occurred Between 3 Months and 5 Years Post-Transplant, with a Median Onset of 3 Years. Fungal Infections Involved the Paranasal Sinuses, Gastric Mucosa, and Lungs. One Patient with Gastrointestinal Symptoms Underwent Endoscopy, Confirming Gastric Mucosal Fungal Involvement. Three Patients with Sinus Infections Required Functional Endoscopic Sinus Surgery (FESS) with Debridement, While One Patient with Respiratory Symptoms Underwent Bronchoscopy Evaluation Revealing Fungal Lung Involvement. All Patients Received Intravenous Liposomal Amphotericin B (5 mg/kg) for at Least 14 Days, Followed by Oral Posaconazole (300 mg BD) for a Median of 5.5 Months. Four Patients Achieved Good Graft Function, While One Succumbed Despite Therapy. Mucormycosis in Renal Transplant Recipients Is Associated with High Mortality, Particularly in Disseminated Disease. Early Diagnosis, Surgical Debridement, and Appropriately Dosed Antifungal Therapy Are Crucial for Improving Outcomes and Preserving Graft Function Among Renal Transplant Recipients.</w:t>
      </w:r>
    </w:p>
    <w:p w14:paraId="2565763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25-A-3492-ASTMH</w:t>
      </w:r>
    </w:p>
    <w:p w14:paraId="40752AF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Planetary Health including Climate Change</w:t>
      </w:r>
    </w:p>
    <w:p w14:paraId="69FD4F4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Rising Dengue Risk with Intensified Climate Modes and Teleconnections under Greenhouse Warming</w:t>
      </w:r>
    </w:p>
    <w:p w14:paraId="35D6DD3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Global climate variability has been linked with some of the largest dengue outbreaks, including the record-breaking 2023-2024 epidemic, but the understanding of their mechanism and evidence for their association is lacking. By incorporating reported dengue cases and climate data from 57 countries across the Americas and Asia from 1980 to 2024, we broke new ground by unpacking the El Niño-Southern </w:t>
      </w:r>
      <w:r w:rsidRPr="008E7DCB">
        <w:rPr>
          <w:rFonts w:ascii="Calibri" w:eastAsia="Times New Roman" w:hAnsi="Calibri" w:cs="Calibri"/>
          <w:color w:val="000000"/>
          <w:kern w:val="0"/>
          <w:sz w:val="22"/>
          <w:szCs w:val="22"/>
          <w14:ligatures w14:val="none"/>
        </w:rPr>
        <w:lastRenderedPageBreak/>
        <w:t>Oscillation (ENSO) teleconnection and quantifying its impact on dengue cases. We revealed that the heterogeneity in the association between ENSO and dengue cases across regions is affected by the strength and types of ENSO teleconnections with temperature and precipitation. ENSO primarily amplifies dengue risk through elevated local temperatures. In contrast, its influence via local precipitation is weaker and less consistent in direction. By controlling for the heterogeneity, 63% of the variation in dengue cases can be attributed to ENSO fluctuations, with particularly pronounced impacts in endemic regions. The 1982-83, 1997-98, 2015-16, and 2023-24 El Niño events, the four strongest over the past 45 years, were estimated to have induced an additional 0.2, 1.4, 4.1, and 9.6 million dengue cases, respectively, over regular seasonal patterns. Due to human-induced warming, El Niño events and teleconnections may cause a 39.0%-81.7% increase in cumulative cases in 2020-2099. Our findings quantify the association between global climate variability and dengue epidemics and caution about the potential future risk.</w:t>
      </w:r>
    </w:p>
    <w:p w14:paraId="0EF2387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25-A-3493-ASTMH</w:t>
      </w:r>
    </w:p>
    <w:p w14:paraId="7D6CF5C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Epidemiology</w:t>
      </w:r>
    </w:p>
    <w:p w14:paraId="581D0D1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Modelling optimal deployment strategies for Nipah vaccines and monoclonal antibodies</w:t>
      </w:r>
    </w:p>
    <w:p w14:paraId="6D8BD75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Nipah virus (NiV) is a </w:t>
      </w:r>
      <w:r w:rsidRPr="008E7DCB">
        <w:rPr>
          <w:rFonts w:ascii="Calibri" w:eastAsia="Times New Roman" w:hAnsi="Calibri" w:cs="Calibri"/>
          <w:i/>
          <w:iCs/>
          <w:color w:val="000000"/>
          <w:kern w:val="0"/>
          <w:sz w:val="22"/>
          <w:szCs w:val="22"/>
          <w14:ligatures w14:val="none"/>
        </w:rPr>
        <w:t>Paramyxovirus</w:t>
      </w:r>
      <w:r w:rsidRPr="008E7DCB">
        <w:rPr>
          <w:rFonts w:ascii="Calibri" w:eastAsia="Times New Roman" w:hAnsi="Calibri" w:cs="Calibri"/>
          <w:color w:val="000000"/>
          <w:kern w:val="0"/>
          <w:sz w:val="22"/>
          <w:szCs w:val="22"/>
          <w14:ligatures w14:val="none"/>
        </w:rPr>
        <w:t> that circulates in pteropid bats across South and Southeast Asia with high fatality when it infects humans. Most human outbreaks are rare and localized, but larger-scale outbreaks amplified by livestock have occurred. Moreover, the possible emergence of NiV strains with enhanced transmissibility is a major public health risk. Several NiV vaccine and monoclonal antibody (mAbs) candidates are in development, but the optimal use of these medical countermeasures (MCMs) during outbreaks remains unclear. We conducted a literature review to retrieve NiV transmission parameters from past outbreaks, and we developed a branching process model to simulate NiV outbreaks according to three different scenarios: limited, extended (higher human-to-human transmissibility), and livestock amplified outbreaks. Finally, we overlaid different MCM rollout strategies to evaluate their potential impact, accounting for product characteristics and logistical constraints. We evaluated proactive and reactive vaccination strategies and the use of mAbs as Pre-Exposure Prophylactics, Post-Exposure Prophylactics, or therapeutics. Vaccinating 20% of Rajbari or Faridpur, the districts with most frequent outbreaks in Bangladesh, would require ~240,000 or ~430,000 doses, respectively. Limited outbreaks with onward transmission from the index case average three cases (95%CI 2 - 26), and proactive vaccination could avert 100% of them. For extended outbreaks with an average size of 3,740 cases (95%CI 2,275 - 5,518) and 1,512 deaths (95%CI 886 - 2,237), reactive vaccination and all potential uses of mAbs could avert 93.8% of cases (95%CI 85.7 - 97.2) and up to 100% of deaths. In livestock amplified outbreaks, with an average 390 cases (95%CI 334 - 429) and 158 deaths (95%CI 128 - 183), 8.3% of cases (95%CI 4.2-11), and 100% of deaths could be averted with reactive vaccination and therapeutic mAbs. Though encouraging, these strategies’ potential impact highly depends on early outbreak detection and MCM availability. Our findings highlight the importance of effective MCMs against a virus with serious pandemic potential.</w:t>
      </w:r>
    </w:p>
    <w:p w14:paraId="28D0EFF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25-A-3494-ASTMH</w:t>
      </w:r>
    </w:p>
    <w:p w14:paraId="7293663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Water, Sanitation, Hygiene and Environmental Health</w:t>
      </w:r>
    </w:p>
    <w:p w14:paraId="1BC4693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The Control of Parasitic Ova and Cysts in Local Food Drinks in Nigeria: The Impact of Health Education</w:t>
      </w:r>
    </w:p>
    <w:p w14:paraId="5905A09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Earlier investigation in the same area has revealed different types of parasitic ova and cysts in the local food drinks sold in open markets. This was followed up with health education to sensitize community members about the transmission and prevention of such parasites. The question then is, was there a significant impact on the reduction of these contaminations after the health education campaign? The producers and hawkers of the local food drinks made from soya beans, millet, and hibiscus petals (Soya milk, Kunu-zaki, and Zobo), respectively, were identified. The drinks, 700 bottles, were purchased before and after two months of the health education. They were analysed using the Formol-ether concentration technique. The result was compared with that obtained before the health education </w:t>
      </w:r>
      <w:r w:rsidRPr="008E7DCB">
        <w:rPr>
          <w:rFonts w:ascii="Calibri" w:eastAsia="Times New Roman" w:hAnsi="Calibri" w:cs="Calibri"/>
          <w:color w:val="000000"/>
          <w:kern w:val="0"/>
          <w:sz w:val="22"/>
          <w:szCs w:val="22"/>
          <w14:ligatures w14:val="none"/>
        </w:rPr>
        <w:lastRenderedPageBreak/>
        <w:t>campaign. Data were recorded and analysed using SPSS version 20. Of the 700 bottles of drinks whose contents were examined, 282(40.3%) were contaminated with ova and cysts of parasites, as against 54(7.7%) after the campaign. Parasites isolated were protozoan (</w:t>
      </w:r>
      <w:r w:rsidRPr="008E7DCB">
        <w:rPr>
          <w:rFonts w:ascii="Calibri" w:eastAsia="Times New Roman" w:hAnsi="Calibri" w:cs="Calibri"/>
          <w:i/>
          <w:iCs/>
          <w:color w:val="000000"/>
          <w:kern w:val="0"/>
          <w:sz w:val="22"/>
          <w:szCs w:val="22"/>
          <w14:ligatures w14:val="none"/>
        </w:rPr>
        <w:t>Entamoeba histolytica</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Giardia lamblia</w:t>
      </w:r>
      <w:r w:rsidRPr="008E7DCB">
        <w:rPr>
          <w:rFonts w:ascii="Calibri" w:eastAsia="Times New Roman" w:hAnsi="Calibri" w:cs="Calibri"/>
          <w:color w:val="000000"/>
          <w:kern w:val="0"/>
          <w:sz w:val="22"/>
          <w:szCs w:val="22"/>
          <w14:ligatures w14:val="none"/>
        </w:rPr>
        <w:t>,) and helminthes (</w:t>
      </w:r>
      <w:r w:rsidRPr="008E7DCB">
        <w:rPr>
          <w:rFonts w:ascii="Calibri" w:eastAsia="Times New Roman" w:hAnsi="Calibri" w:cs="Calibri"/>
          <w:i/>
          <w:iCs/>
          <w:color w:val="000000"/>
          <w:kern w:val="0"/>
          <w:sz w:val="22"/>
          <w:szCs w:val="22"/>
          <w14:ligatures w14:val="none"/>
        </w:rPr>
        <w:t>Ascaris lumbricoides</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Trichuris trichiura</w:t>
      </w:r>
      <w:r w:rsidRPr="008E7DCB">
        <w:rPr>
          <w:rFonts w:ascii="Calibri" w:eastAsia="Times New Roman" w:hAnsi="Calibri" w:cs="Calibri"/>
          <w:color w:val="000000"/>
          <w:kern w:val="0"/>
          <w:sz w:val="22"/>
          <w:szCs w:val="22"/>
          <w14:ligatures w14:val="none"/>
        </w:rPr>
        <w:t>). More number of protozoan 431 and helminth 117 parasites were observed before the campaign than 78 and 34 after the campaign, respectively. The difference in type and number of parasites encountered before and after the health education campaign was statistically significant (p&lt;0.05). The intensive health education significantly reduced the contamination rate. This has shown and reaffirmed that the significance of health education in parasitic diseases can never be overemphasized. Continual health education in different parts of Nigeria and other tropical developing countries, involving the food drink producers as well as monitoring the activities and the environment of such producers by health workers is strongly advocated</w:t>
      </w:r>
    </w:p>
    <w:p w14:paraId="47EFE9B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25-A-3495-ASTMH</w:t>
      </w:r>
    </w:p>
    <w:p w14:paraId="59E54E1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Surveillance and Data Utilization</w:t>
      </w:r>
    </w:p>
    <w:p w14:paraId="4CF2C9C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Using campaign data, artificial intelligence and social networks for improving malaria knowledge base and intervention delivery</w:t>
      </w:r>
    </w:p>
    <w:p w14:paraId="19340BA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Reliably connecting people to accurate, relevant, timely, and context-specific information is the ideal standard in any outreach or communication effort. Limited access to the Internet and technology coupled with inaccessible or sparsely populated regions can hamper social behavior change communication (SBCC). The Bioko Island Malaria Elimination Project (BIMEP) routinely collects highly granular data from health interventions using the Campaign Information Management System (CIMS). While these data are actively used by the BIMEP for decision-making, their use for SBCC has been limited. Live intervention data hosted in the CIMS were connected to an artificial intelligence (AI) agent that communicates through the locally ubiquitous WhatsApp platform. This user-initiated approach will use tiny amounts of cellular data to connect people with relevant information to raise their knowledge and awareness about malaria and interventions conducted by the BIMEP. Once a conversation is established, the AI agent will then be able to automatically send program-initiated messages to individuals by defining triggering criteria from the connected dataset and populating a template with variables. Here, we present two use cases of this approach. First, we show how the agent can be used to inform residents when indoor residual spraying teams will be visiting their neighborhood in order to facilitate delivery by promoting people to be available at home to receive the intervention. Second, the existence of this two-way channel also facilitates collection of information directly from individuals through card messages that pre-define response options, providing an opportunity for rapidly gathering standardized, validated, and consistent user data relevant for programmatic purposes. This new dataset will be processed to identify new indicators and trends across time and geographic regions, creating new metrics for decision making.</w:t>
      </w:r>
    </w:p>
    <w:p w14:paraId="7CAF9AC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25-A-3496-ASTMH</w:t>
      </w:r>
    </w:p>
    <w:p w14:paraId="77D2667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Bionomics, Behavior and Surveillance</w:t>
      </w:r>
    </w:p>
    <w:p w14:paraId="5DB2B64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MOLECULAR XENOMONITORING REVEALED NO </w:t>
      </w:r>
      <w:r w:rsidRPr="008E7DCB">
        <w:rPr>
          <w:rFonts w:ascii="Calibri" w:eastAsia="Times New Roman" w:hAnsi="Calibri" w:cs="Calibri"/>
          <w:b/>
          <w:bCs/>
          <w:i/>
          <w:iCs/>
          <w:color w:val="000000"/>
          <w:kern w:val="0"/>
          <w:sz w:val="22"/>
          <w:szCs w:val="22"/>
          <w14:ligatures w14:val="none"/>
        </w:rPr>
        <w:t>WUCHERERIA BANCROFTI </w:t>
      </w:r>
      <w:r w:rsidRPr="008E7DCB">
        <w:rPr>
          <w:rFonts w:ascii="Calibri" w:eastAsia="Times New Roman" w:hAnsi="Calibri" w:cs="Calibri"/>
          <w:b/>
          <w:bCs/>
          <w:color w:val="000000"/>
          <w:kern w:val="0"/>
          <w:sz w:val="22"/>
          <w:szCs w:val="22"/>
          <w14:ligatures w14:val="none"/>
        </w:rPr>
        <w:t>INFECTION IN </w:t>
      </w:r>
      <w:r w:rsidRPr="008E7DCB">
        <w:rPr>
          <w:rFonts w:ascii="Calibri" w:eastAsia="Times New Roman" w:hAnsi="Calibri" w:cs="Calibri"/>
          <w:b/>
          <w:bCs/>
          <w:i/>
          <w:iCs/>
          <w:color w:val="000000"/>
          <w:kern w:val="0"/>
          <w:sz w:val="22"/>
          <w:szCs w:val="22"/>
          <w14:ligatures w14:val="none"/>
        </w:rPr>
        <w:t>ANOPHELES </w:t>
      </w:r>
      <w:r w:rsidRPr="008E7DCB">
        <w:rPr>
          <w:rFonts w:ascii="Calibri" w:eastAsia="Times New Roman" w:hAnsi="Calibri" w:cs="Calibri"/>
          <w:b/>
          <w:bCs/>
          <w:color w:val="000000"/>
          <w:kern w:val="0"/>
          <w:sz w:val="22"/>
          <w:szCs w:val="22"/>
          <w14:ligatures w14:val="none"/>
        </w:rPr>
        <w:t>SPECIES AFTER 10 YEARS OF CESSATION OF MASS DRUG ADMINISTRATION FOR LYMPHATIC FILARIASIS IN HAUTS-BASSINS REGION, BURKINA FASO</w:t>
      </w:r>
    </w:p>
    <w:p w14:paraId="2C07BF2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Lymphatic filariasis Elimination Programme was launched in Burkina Faso in 2001 with the aim of eliminating lymphatic filariasis as a public health concern through mass drug administration. After eight years of Mass Drug Administration, the Hauts-Bassins region successfully passed the Transmission Assessment Survey and the Mass Drug Administration halted. This study aimed to assess whether parasite transmission did not resurge in Hauts-Bassins using molecular xenomonitoring as a more meaningful tool for post-Mass Drug Administration monitoring. Cross-sectional entomological surveillance was carried out in Tiebalogo and Tondogosso, both villages in Hauts-Bassins region. Adult </w:t>
      </w:r>
      <w:r w:rsidRPr="008E7DCB">
        <w:rPr>
          <w:rFonts w:ascii="Calibri" w:eastAsia="Times New Roman" w:hAnsi="Calibri" w:cs="Calibri"/>
          <w:color w:val="000000"/>
          <w:kern w:val="0"/>
          <w:sz w:val="22"/>
          <w:szCs w:val="22"/>
          <w14:ligatures w14:val="none"/>
        </w:rPr>
        <w:lastRenderedPageBreak/>
        <w:t>mosquitoes were collected using Human Landing Collection indoor and outdoor, Exit Trap and Pyrethrum Spray Collection from August to December 2022. Mosquitoes collected were morphologically identified. </w:t>
      </w:r>
      <w:r w:rsidRPr="008E7DCB">
        <w:rPr>
          <w:rFonts w:ascii="Calibri" w:eastAsia="Times New Roman" w:hAnsi="Calibri" w:cs="Calibri"/>
          <w:i/>
          <w:iCs/>
          <w:color w:val="000000"/>
          <w:kern w:val="0"/>
          <w:sz w:val="22"/>
          <w:szCs w:val="22"/>
          <w14:ligatures w14:val="none"/>
        </w:rPr>
        <w:t>Anopheles gambiae </w:t>
      </w:r>
      <w:r w:rsidRPr="008E7DCB">
        <w:rPr>
          <w:rFonts w:ascii="Calibri" w:eastAsia="Times New Roman" w:hAnsi="Calibri" w:cs="Calibri"/>
          <w:color w:val="000000"/>
          <w:kern w:val="0"/>
          <w:sz w:val="22"/>
          <w:szCs w:val="22"/>
          <w14:ligatures w14:val="none"/>
        </w:rPr>
        <w:t>sl</w:t>
      </w:r>
      <w:r w:rsidRPr="008E7DCB">
        <w:rPr>
          <w:rFonts w:ascii="Calibri" w:eastAsia="Times New Roman" w:hAnsi="Calibri" w:cs="Calibri"/>
          <w:i/>
          <w:iCs/>
          <w:color w:val="000000"/>
          <w:kern w:val="0"/>
          <w:sz w:val="22"/>
          <w:szCs w:val="22"/>
          <w14:ligatures w14:val="none"/>
        </w:rPr>
        <w:t>, Anopholes funestus, Anopheles nili </w:t>
      </w:r>
      <w:r w:rsidRPr="008E7DCB">
        <w:rPr>
          <w:rFonts w:ascii="Calibri" w:eastAsia="Times New Roman" w:hAnsi="Calibri" w:cs="Calibri"/>
          <w:color w:val="000000"/>
          <w:kern w:val="0"/>
          <w:sz w:val="22"/>
          <w:szCs w:val="22"/>
          <w14:ligatures w14:val="none"/>
        </w:rPr>
        <w:t>DNA was extracted individually and then grouped per species in pools of up to 10. </w:t>
      </w:r>
      <w:r w:rsidRPr="008E7DCB">
        <w:rPr>
          <w:rFonts w:ascii="Calibri" w:eastAsia="Times New Roman" w:hAnsi="Calibri" w:cs="Calibri"/>
          <w:i/>
          <w:iCs/>
          <w:color w:val="000000"/>
          <w:kern w:val="0"/>
          <w:sz w:val="22"/>
          <w:szCs w:val="22"/>
          <w14:ligatures w14:val="none"/>
        </w:rPr>
        <w:t>Wuchereria bancrofti</w:t>
      </w:r>
      <w:r w:rsidRPr="008E7DCB">
        <w:rPr>
          <w:rFonts w:ascii="Calibri" w:eastAsia="Times New Roman" w:hAnsi="Calibri" w:cs="Calibri"/>
          <w:color w:val="000000"/>
          <w:kern w:val="0"/>
          <w:sz w:val="22"/>
          <w:szCs w:val="22"/>
          <w14:ligatures w14:val="none"/>
        </w:rPr>
        <w:t> DNA detection was performed by PCR method in grouped pools and the rate of infection per specie and per pool was calculated. A total of 2688 mosquitoes were collected in both study sites, with 630 being collected in Tondogosso and 2058 in Tiebalogo. The </w:t>
      </w:r>
      <w:r w:rsidRPr="008E7DCB">
        <w:rPr>
          <w:rFonts w:ascii="Calibri" w:eastAsia="Times New Roman" w:hAnsi="Calibri" w:cs="Calibri"/>
          <w:i/>
          <w:iCs/>
          <w:color w:val="000000"/>
          <w:kern w:val="0"/>
          <w:sz w:val="22"/>
          <w:szCs w:val="22"/>
          <w14:ligatures w14:val="none"/>
        </w:rPr>
        <w:t>Anopheles gambiae</w:t>
      </w:r>
      <w:r w:rsidRPr="008E7DCB">
        <w:rPr>
          <w:rFonts w:ascii="Calibri" w:eastAsia="Times New Roman" w:hAnsi="Calibri" w:cs="Calibri"/>
          <w:color w:val="000000"/>
          <w:kern w:val="0"/>
          <w:sz w:val="22"/>
          <w:szCs w:val="22"/>
          <w14:ligatures w14:val="none"/>
        </w:rPr>
        <w:t> s.l. was the predominant lymphatic filariasis vector, with high numbers being collected in both sites. In Tiebalogo, 1786 (86.78%) were identified as </w:t>
      </w:r>
      <w:r w:rsidRPr="008E7DCB">
        <w:rPr>
          <w:rFonts w:ascii="Calibri" w:eastAsia="Times New Roman" w:hAnsi="Calibri" w:cs="Calibri"/>
          <w:i/>
          <w:iCs/>
          <w:color w:val="000000"/>
          <w:kern w:val="0"/>
          <w:sz w:val="22"/>
          <w:szCs w:val="22"/>
          <w14:ligatures w14:val="none"/>
        </w:rPr>
        <w:t>Anopheles gambiae</w:t>
      </w:r>
      <w:r w:rsidRPr="008E7DCB">
        <w:rPr>
          <w:rFonts w:ascii="Calibri" w:eastAsia="Times New Roman" w:hAnsi="Calibri" w:cs="Calibri"/>
          <w:color w:val="000000"/>
          <w:kern w:val="0"/>
          <w:sz w:val="22"/>
          <w:szCs w:val="22"/>
          <w14:ligatures w14:val="none"/>
        </w:rPr>
        <w:t> s.l. and 373 (59.21%) in Tondogosso. The Human Landing Collecion method collected a greater number of vectors than the other methods, followed by the Pyrethrum Spray Collection and Exit Trap. None of the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screened were found to be infected in both sites. The findings provide further evidence that no transmission is occurring in the post-Transmission Assessment Survey area of Hauts-Bassins. The molecular xenomonitoring could also serve as complementary tool for monitoring transmission in post Mass Drug Administration area to help national neglected tropical diseases control programme in surveillance of post Mass Drug Administration area.</w:t>
      </w:r>
    </w:p>
    <w:p w14:paraId="403CEA3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25-A-3497-ASTMH</w:t>
      </w:r>
    </w:p>
    <w:p w14:paraId="7BF2693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Antimalarial Resistance and Chemotherapy</w:t>
      </w:r>
    </w:p>
    <w:p w14:paraId="1DBC55E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Changes in susceptibility of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to antimalarial drugs in Uganda over time: 2019-2024</w:t>
      </w:r>
    </w:p>
    <w:p w14:paraId="5D37510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treatment and control of malaria in Africa is challenged by drug resistance, including the emergence and spread of artemisinin partial resistance in Uganda. To evaluate changing antimalarial susceptibilities over time and assess known and novel molecular markers of resistance, we characterized ex vivo susceptibilities to nine drugs for 1,114 isolates collected from individuals presenting with uncomplicated falciparum malaria in eastern (2019-2024) and northern (2021-2024) Uganda and sequenced resistance markers in these isolates. Drug susceptibility was evaluated using a 72 h growth inhibition assay with SYBR Green detection and the ring survival assay (RSA). Genotyping used molecular inversion probes targeting 80 genes and Illumina sequencing. Between 2019 and 2024, susceptibilities increased for chloroquine (IC</w:t>
      </w:r>
      <w:r w:rsidRPr="008E7DCB">
        <w:rPr>
          <w:rFonts w:ascii="Calibri" w:eastAsia="Times New Roman" w:hAnsi="Calibri" w:cs="Calibri"/>
          <w:color w:val="000000"/>
          <w:kern w:val="0"/>
          <w:sz w:val="22"/>
          <w:szCs w:val="22"/>
          <w:vertAlign w:val="subscript"/>
          <w14:ligatures w14:val="none"/>
        </w:rPr>
        <w:t>50</w:t>
      </w:r>
      <w:r w:rsidRPr="008E7DCB">
        <w:rPr>
          <w:rFonts w:ascii="Calibri" w:eastAsia="Times New Roman" w:hAnsi="Calibri" w:cs="Calibri"/>
          <w:color w:val="000000"/>
          <w:kern w:val="0"/>
          <w:sz w:val="22"/>
          <w:szCs w:val="22"/>
          <w14:ligatures w14:val="none"/>
        </w:rPr>
        <w:t> 24.0 nM → 15.4 nM) and decreased for lumefantrine (5.9 nM → 20.0 nM), mefloquine (12.5 nM → 20.1 nM), and dihydroartemisinin (1.8 nM → 3.8 nM). Significant changes were not observed for other drugs. Ex vivo ring survival assay results were not associated with ex vivo IC</w:t>
      </w:r>
      <w:r w:rsidRPr="008E7DCB">
        <w:rPr>
          <w:rFonts w:ascii="Calibri" w:eastAsia="Times New Roman" w:hAnsi="Calibri" w:cs="Calibri"/>
          <w:color w:val="000000"/>
          <w:kern w:val="0"/>
          <w:sz w:val="22"/>
          <w:szCs w:val="22"/>
          <w:vertAlign w:val="subscript"/>
          <w14:ligatures w14:val="none"/>
        </w:rPr>
        <w:t>50</w:t>
      </w:r>
      <w:r w:rsidRPr="008E7DCB">
        <w:rPr>
          <w:rFonts w:ascii="Calibri" w:eastAsia="Times New Roman" w:hAnsi="Calibri" w:cs="Calibri"/>
          <w:color w:val="000000"/>
          <w:kern w:val="0"/>
          <w:sz w:val="22"/>
          <w:szCs w:val="22"/>
          <w14:ligatures w14:val="none"/>
        </w:rPr>
        <w:t>s or PfK13 genotypes. The prevalences of known markers of artemisinin partial resistance, PfK13 C469Y and A675V, increased as susceptibilities to DHA and lumefantrine decreased, and reached a combined prevalence of 20.5% in E. Uganda and 35.9% in N. Uganda in 2024. For aminoquinolines and pyrimethamine, genotypes associated with susceptibility were those previously identified. For lumefantrine, susceptibility was decreased with wild-type PfCRT K76T (median WT 8.5 nM vs. pure mutant 4.6 nM) or PfMDR1 N86Y (WT 13.0 nM vs. mutant 1.6 nM), mutant PfK13 C469Y (WT 7.5 nM vs. mutant 16.2 nM) or A675V (WT 7.5 nM vs. mutant 14.8 nM), mutant PfCARL D611N (WT 7.5 nM vs. mutant 44.3 nM), and some other polymorphisms. For DHA, susceptibility was decreased with the PfK13 C469Y (WT 2.0 nM vs. mutant 3.6 nM) or A675V (WT 2.0 nM vs. mutant 3.8 nM) and PfMDR1 Y500N (WT 1.9 nM vs. mutant 5.4 nM) mutations. Decreasing activities of lumefantrine and DHA may lead to decreased antimalarial efficacy of artemether-lumefantrine, the first-line regimen in Uganda.</w:t>
      </w:r>
    </w:p>
    <w:p w14:paraId="2E2BA36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25-A-3498-ASTMH</w:t>
      </w:r>
    </w:p>
    <w:p w14:paraId="5B27780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Security/Emerging Infection Preparedness, Surveillance and Response(s)</w:t>
      </w:r>
    </w:p>
    <w:p w14:paraId="1435BDA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Multiplex testing optimization for Field Work Pandemic Prevention in West Africa.</w:t>
      </w:r>
    </w:p>
    <w:p w14:paraId="6CB9803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ASTMH 2025 Annual MeetingNovember 9-13, 2025Metro Toronto Convention CentreToronto, Ontario, CanadaAbstract:Title: Multiplex testing optimization for Field Work Pandemic Prevention in West Africa.Diagnostics have long faced challenges—including contamination, limited specificity toward pathogens, and inefficiencies in workflow—when working to identify the diseases affecting populations </w:t>
      </w:r>
      <w:r w:rsidRPr="008E7DCB">
        <w:rPr>
          <w:rFonts w:ascii="Calibri" w:eastAsia="Times New Roman" w:hAnsi="Calibri" w:cs="Calibri"/>
          <w:color w:val="000000"/>
          <w:kern w:val="0"/>
          <w:sz w:val="22"/>
          <w:szCs w:val="22"/>
          <w14:ligatures w14:val="none"/>
        </w:rPr>
        <w:lastRenderedPageBreak/>
        <w:t>in diverse global communities. These challenges are amplified in an increasingly interconnected world where international travel and trade accelerate pathogen spread. The Combinatorial Arrayed Reactions for Multiplexed Evaluation of Nucleic acids (CARMEN) addresses some of these problems by combining the sensitivity of RT-PCR with the specificity of CRISPR-Cas13-based detection to enable high-throughput and accurate identification of rapidly evolving pathogens.Previously, we implemented CARMEN in collaboration with our partners in West Africa, testing respiratory and bloodborne panels across up to 17 pathogens in 190 patient samples. To improve ongoing surveillance of emerging pathogens, our team has prioritized design optimization to improve specificity, enhance capture of viral strain diversity, and ensure that workflows are well suited for deployment at partner sites in Lower-Middle-Income Countries (LMICs), where implementation barriers are often greater.The current optimization includes a redesigned configuration and expands assay panels to detect both DNA and RNA pathogens relevant to the region, such as Malaria, mpox, O’nyong’nyong virus, and Hepatitis B. We also reduced PCR cycles to minimize contamination and tested the stability of our Combined Positive Control (CPC) at room temperature for long-term transport and storage. Additionally, we conducted temperature simulation experiments to assess nucleic acid degradation over time.These improvements support pandemic preparedness by enabling timely, reliable diagnostics for current and emerging pathogens while making the platform more accessible and practical for LMICs.</w:t>
      </w:r>
    </w:p>
    <w:p w14:paraId="2378A1F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25-A-3499-ASTMH</w:t>
      </w:r>
    </w:p>
    <w:p w14:paraId="65E933A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3E6F61B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A Phase 1a clinical trial of the safety and immunogenicity of RH5.2-VLP with Matrix-M®in UK adults - a novel blood-stage </w:t>
      </w:r>
      <w:r w:rsidRPr="008E7DCB">
        <w:rPr>
          <w:rFonts w:ascii="Calibri" w:eastAsia="Times New Roman" w:hAnsi="Calibri" w:cs="Calibri"/>
          <w:b/>
          <w:bCs/>
          <w:i/>
          <w:iCs/>
          <w:color w:val="000000"/>
          <w:kern w:val="0"/>
          <w:sz w:val="22"/>
          <w:szCs w:val="22"/>
          <w14:ligatures w14:val="none"/>
        </w:rPr>
        <w:t>P. falciparum </w:t>
      </w:r>
      <w:r w:rsidRPr="008E7DCB">
        <w:rPr>
          <w:rFonts w:ascii="Calibri" w:eastAsia="Times New Roman" w:hAnsi="Calibri" w:cs="Calibri"/>
          <w:b/>
          <w:bCs/>
          <w:color w:val="000000"/>
          <w:kern w:val="0"/>
          <w:sz w:val="22"/>
          <w:szCs w:val="22"/>
          <w14:ligatures w14:val="none"/>
        </w:rPr>
        <w:t>malaria vaccine candidate</w:t>
      </w:r>
    </w:p>
    <w:p w14:paraId="520561D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reticulocyte binding protein homologue 5 (RH5), part of a larger hetero-pentameric invasion complex, is the leading blood-stage malaria vaccine target. Soluble protein vaccine “RH5.1”, consisting of full length RH5, formulated with Matrix-M</w:t>
      </w:r>
      <w:r w:rsidRPr="008E7DCB">
        <w:rPr>
          <w:rFonts w:ascii="Calibri" w:eastAsia="Times New Roman" w:hAnsi="Calibri" w:cs="Calibri"/>
          <w:b/>
          <w:bCs/>
          <w:color w:val="000000"/>
          <w:kern w:val="0"/>
          <w:sz w:val="22"/>
          <w:szCs w:val="22"/>
          <w14:ligatures w14:val="none"/>
        </w:rPr>
        <w:t>®</w:t>
      </w:r>
      <w:r w:rsidRPr="008E7DCB">
        <w:rPr>
          <w:rFonts w:ascii="Calibri" w:eastAsia="Times New Roman" w:hAnsi="Calibri" w:cs="Calibri"/>
          <w:color w:val="000000"/>
          <w:kern w:val="0"/>
          <w:sz w:val="22"/>
          <w:szCs w:val="22"/>
          <w14:ligatures w14:val="none"/>
        </w:rPr>
        <w:t> (MM) adjuvant is the most advanced blood-stage vaccine candidate clinically, showing partial efficacy against clinical malaria in children in a Phase 2b trial in Burkina Faso. A new virus-like particle (VLP) vaccine candidate called “RH5.2-VLP”, based on the diamond structured core of RH5 (where the most functionally potent anti-RH5 antibodies bind), bioconjugated to hepatitis B surface antigen using SpyTag-SpyCatcher technology, induced a better quality of antibody response as compared to RH5.1 in pre-clinical studies (when administered with MM) but has not previously been tested in clinical trials. In this Phase 1a trial, 40 healthy, malaria-naïve UK adults were recruited into five groups, each receiving three vaccinations: i) 10 μg RH5.2-VLP in a monthly 0-1-2 month regimen; ii) 10 μg RH5.2-VLP in a delayed third dose 0-1-6 month regimen; iii) 10 μg RH5.2-VLP at 0 and 1 months and 2 μg RH5.2-VLP at 6 months in a delayed fractional (DFx) regimen; iv) 10 μg RH5.2-VLP at 0 and 1 months and 2 μg RH5.1 at 6 months in a DFx regimen with a VLP prime and soluble protein boost; or v) 10 μg RH5.1 at 0 and 1 months and 2 μg RH5.1 at 6 months in a DFx regimen. All vaccinations were given with 50 µg MM. Vaccinations were well tolerated with no safety concerns. Solicited adverse events (AEs) were generally mild-moderate in severity, with injection site pain and myalgia the most frequent, and all spontaneously resolved within 7 days. To date, there have been no severe unsolicited AEs, AEs of special interest, or serious adverse events. Primary immunogenicity outcome measures, including anti-RH5 IgG responses and functional activity as assessed by the growth inhibition activity (GIA) assay, are being assessed and the data will be presented. Following on from this trial, a Phase 1b trial of RH5.2-VLP/MM alone and in combination with R21/MM (a multi-stage malaria vaccine candidate) is underway in The Gambia.</w:t>
      </w:r>
    </w:p>
    <w:p w14:paraId="3387F25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25-A-3500-ASTMH</w:t>
      </w:r>
    </w:p>
    <w:p w14:paraId="0169B18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Prevention</w:t>
      </w:r>
    </w:p>
    <w:p w14:paraId="4ECC566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Reaching children in the second year of life with perennial malaria chemoprevention (PMC): Opportunities and challenges from Benin, Côte d'Ivoire and Cameroon</w:t>
      </w:r>
    </w:p>
    <w:p w14:paraId="101C209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Perennial Malaria Chemoprevention (PMC) was introduced in 2022 as an expanded form of intermittent preventive treatment in infants. This expansion allowed flexibility for countries to determine the most appropriate form of the intervention for their context, including the removal of restrictions on age, and number of doses. An evaluation of the pilot implementation of PMC conducted in six districts across Benin, Côte d’Ivoire and Cameroon is providing evidence on the acceptability and feasibility of delivering PMC through the Essential Program on Immunisation (EPI), including on the extended age range and number of PMC doses (five in Côte d’Ivoire, eight in Benin and Cameroon). Qualitative studies are exploring opportunities and challenges to achieving optimal coverage of PMC doses in the second year of life (2YOL). Two rounds of in-depth interviews (IDIs) with caregivers of children aged 6-35 months were conducted in Benin and Cote d’Ivoire between April-June (N=61) and October-December (N=60) 2024. Sixteen focus group discussions with caregivers were conducted in the second round only. Thematic framework analysis examined barriers and facilitators to uptake of PMC doses in the 2YOL. A novel framework was used to explore caregiver decision-making across three key dimensions: awareness, access and acceptability. Findings are presented for Benin and Cote d’Ivoire, with additional findings from Cameroon incorporated by October 2025. Lack of awareness of PMC doses in the 2YOL emerged as a key barrier, exacerbated by a continuing belief that EPI contacts end at 9 months. General EPI access barriers persisted, and caregivers faced additional burdens reaching the health facility in the 2YOL, such as carrying an older, heavier child for long distances. For some, the belief that vaccines cost money in the 2YOL deterred EPI attendance. Caregivers were motivated to attend 2YOL contact points to receive PMC when they believed it was effective at protecting their children from malaria and would save them money in the long term. These findings can inform the development of targeted supportive interventions to optimise PMC coverage in the 2YOL.</w:t>
      </w:r>
    </w:p>
    <w:p w14:paraId="221A038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25-A-3501-ASTMH</w:t>
      </w:r>
    </w:p>
    <w:p w14:paraId="5B05923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7FC6B80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R21/Matrix-M™ malaria vaccine: Three-year efficacy and safety results from a phase III clinical trial</w:t>
      </w:r>
    </w:p>
    <w:p w14:paraId="058E7D9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R21/Matrix-M™, the 2nd WHO-recommended malaria vaccine, has been rolled out in 12 African countries with more expected. The vaccine has high efficacy (VE) against multiple clinical malaria episodes; 75% (75-78) in seasonal transmission sites and 67% (59-73) in perennial sites, over 1 year. Sustained VE is vital to reduce the current malaria burden and achieve malaria elimination. Here we present R21/Matrix-M™ VE over 3 years and the impact of multiple booster doses. In 2021, 4800 participants, aged 5-36 months, were enrolled in a phase III double-blind, randomised controlled trial of the R21/Matrix-M™ malaria vaccine, at 5 sites in Kenya, Tanzania, Mali and Burkina Faso. All received 3 vaccine doses, 4 weeks apart, and a booster dose 1 year later. The R21/Matrix-M™ arm was re-randomized (1:1:1:1) to: no further boosters; a 2nd booster 1 year after the 1st; a 2nd booster 2 years after the 1st; or a 2nd and 3rd booster a year apart. VE against multiple malaria cases across all sites was 69% (66-71) over 2 years. Higher VE was observed among children aged 5-17 months at study enrolment; 72% (68-76) versus 66% (62-70) in children aged 18-36 months. There was no difference in VE by sex, nutritional status or receipt of SMC, however VE declined faster in underweight children in both years. In seasonal sites over 3 years, VE was the same among those who received 1 booster, 68% (63-71), and those who received a 2nd booster 1 year later, 68% (63-72). However, in the 3rd year of follow-up VE was higher in those who received a 2nd booster, 65% (56-71), compared to those who did not, 54% (43-62). To date 6 SAEs (all febrile convulsions), 1 in the control and 5 in the R21/Matrix-M™ arm, have been assessed as definitely, probably or possibly related to study vaccination. No difference in hospitalisations or deaths were observed between arms. Further safety and efficacy data over 3 years from all sites and 3.5 years in seasonal sites will also be presented. R21/Matrix-M™’s sustained, equitable, and high-level effectiveness, along with a commitment to affordable, large-scale supply, promises meaningful short- and long-term benefits for people in malaria-endemic regions.</w:t>
      </w:r>
    </w:p>
    <w:p w14:paraId="4674174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25-A-3502-ASTMH</w:t>
      </w:r>
    </w:p>
    <w:p w14:paraId="6EAE562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Security/Emerging Infection Preparedness, Surveillance and Response(s)</w:t>
      </w:r>
    </w:p>
    <w:p w14:paraId="312B57E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Evaluation of the impact of insecurity and the COVID-19 pandemic on meningitis surveillance in Burkina Faso, 2015-2021</w:t>
      </w:r>
    </w:p>
    <w:p w14:paraId="66D8150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Meningitis is a contagious infectious disease that causes widespread outbreaks. Burkina Faso frequently experiences meningitis epidemics with significant attack rates. This evaluation aimed to assess how insecurity and COVID-19 have impacted the incidence of meningitis in Burkina Faso. We conducted a cross-sectional evaluation from March to May 2022, using surveillance data from the DHIS-2 and STELab (Laboratory Sample Tracker System) databases on meningitis, COVID-19, malaria, and measles cases, and pentavalent (DTP/Hib/HBV) vaccine coverage from 2015 through 2021. Incidence rates were calculated using census population by district ; trends were compared across diseases. Insecurity classification was based on number of violent events reported in the Armed Conflict Location and Event Data project. Additionally, health professionals involved in meningitis surveillance were interviewed. A total of 16,525 cases of meningitis were notified in Burkina Faso between 2015 and 2021. The percentage of cases with cerebrospinal fluid (CSF) was high (96%) throughout the period. However, the percentage of CSF specimens received by the national reference laboratory within the recommended 7-day timeframe varied considerably (from 81% in 2016 to 22% in 2018), likely due to insecurity and COVID-19 reducing access to certain routes and a shift in the specimen transport mechanism. Meningitis surveillance had ongoing reporting with seasonal peaks, even in districts with the highest insecurity or COVID-19 incidence, while for other diseases there were drops in reported cases in 2019 due to a health worker strike regardless of insecurity status. Across all 70 health districts, there was no significant relationship between insecurity and incidence of meningitis cases (p=0.245). According to 83 health workers interviewed at 54 health facilities, the availability of qualified human resources, equipment, and consumables were the biggest barriers to surveillance. This evaluation found no clear relationship between insecurity and COVID-19 and reported meningitis incidence, but these factors did hinder specimen transport.</w:t>
      </w:r>
    </w:p>
    <w:p w14:paraId="0AAAAA4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25-A-3504-ASTMH</w:t>
      </w:r>
    </w:p>
    <w:p w14:paraId="5052E9E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17E48F7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Mapping the prevalence of Non- malarial febrile illness in areas with varying malaria burdens in Mainland Tanzania</w:t>
      </w:r>
    </w:p>
    <w:p w14:paraId="3660EA2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Although malaria cases have declined in recent years, the persistently high rates of febrile episodes raise concerns about non-malarial fevers, especially in malaria-endemic areas where they are often wrongly diagnosed as malaria. Limited evidence on non-malarial febrile illnesses (NMFIs), can lead to mismanagement and poor health outcomes. This 2023 cross-sectional study determined the prevalence and patterns of NMFIs across all 26 regions of Mainland Tanzania by enrolling 18,568 patients (aged ≥6 months). Sampling was done at 86 health facilities which were purposively selected in areas with varying malaria transmission intensities (≥3 per region). All patients presented with malaria-like symptoms (with history of fever or axillary temperature ≥37.5°C) were recruited and tested for malaria using rapid diagnostic tests (RDTs). NMFIs were defined as febrile cases with negative RDT results. Logistic regression was used to identify factors associated with NMFIs. Overall, 44.6% of patients had NMFIs, with higher prevalence in females (45.8%) than males (42.8%) (p&lt;0.001). The prevalence was also higher in adults aged ≥15 years (50.6%) compared to under-fives (42.6%) and school-aged children 5–14 years (34.3%) (p&lt;0.001). NMFIs were more prevalent in regions with very low (71.5%) and low (53.9%) transmission compared to those with moderate (36.2%) and high (33.9%) transmission intensities.The odds of NMFIs were significantly higher among females (aOR=1.14; 95% CI: 1.07–1.22), residents of very low transmission areas (aOR=4.85; 95% CI: 4.42–5.33), adults (aOR=1.60; 95% CI: 1.46–1.75), and under-fives (aOR=1.60; 95% CI: 1.47–1.76). The higher prevalence and odds of NMFIs in females, adults, under fives and individuals from regions with very low/low transmission intensities suggest that majority of the fevers in these groups or areas were not due to malaria. Integrated strategies for managing NMFIs, particularly in regions approaching malaria elimination, are essential for improving diagnosis, treatment, and overall health outcomes.</w:t>
      </w:r>
    </w:p>
    <w:p w14:paraId="3F03A1C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25-A-3505-ASTMH</w:t>
      </w:r>
    </w:p>
    <w:p w14:paraId="096301D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Global Health - Maternal, Newborn and Child Health and Nutrition</w:t>
      </w:r>
    </w:p>
    <w:p w14:paraId="3649D90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Nutritional Patterns and Associated Factors Among Undernourished Children Aged 6-24 Months in Matiari, Sindh, A Cohort Study</w:t>
      </w:r>
    </w:p>
    <w:p w14:paraId="4A172E5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Undernutrition remains a significant public health concern in low-income countries, with Pakistan among the worst affected. In rural Sindh, child malnutrition prevalence is notably high at 23%. This study assessed 416 children aged 6-24 months in a resource-limited setting to evaluate dietary patterns, nutrient intake, and associated factors contributing to undernutrition. Findings revealed widespread malnutrition, with 24% of children wasted, 46% underweight, and stunting rates increasing with age—reaching 36.9-38% in children aged 18-24 months. Dietary intake was poor, with limited diversity; cereals were the most consumed food group (94.7%), peaking at 99.5% in the oldest age group. Milk consumption rose from 74.5% in infants aged 6-11 months to 96.6% in those aged 18-24, while fruit intake peaked at 47.4% in the 12-17-month group. Animal protein intake was extremely low (2.6% overall), whereas plant-based proteins like pulses improved with age, reaching 62.5% consumption in the oldest group. Total energy and carbohydrate intake declined with age, leaving 90.1% of children in the 18-24-month group energy-inadequate, though protein and fat intake improved and met recommended levels by this stage. Micronutrient inadequacies were severe with iron and zinc being insufficient in 99% of children, calcium in 71.3%, and vitamins A, D, E, and C were markedly low, with vitamin E deficiency nearly universal (97%). While dietary inadequacies were central, other risk factors exacerbated the problem: children of non-literate mothers had higher micronutrient inadequacy (60.4%) compared to those of literate mothers (47.1%); delayed breastfeeding initiation beyond 24 hours was linked to poorer nutrient status; and children from food-insecure (65.9%) or large households (63.6%) faced greater risk. These results highlight an urgent need for multisectoral strategies that enhance maternal education, promote optimal breastfeeding practices, and improve food access to combat undernutrition and ensure healthier growth outcomes in rural Pakistani children.</w:t>
      </w:r>
    </w:p>
    <w:p w14:paraId="765AA3A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25-A-3506-ASTMH</w:t>
      </w:r>
    </w:p>
    <w:p w14:paraId="0E45909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Epidemiology</w:t>
      </w:r>
    </w:p>
    <w:p w14:paraId="1DC8D6F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Optimising vaccination and Wolbachia interventions to control dengue in Brazil</w:t>
      </w:r>
    </w:p>
    <w:p w14:paraId="3CEC4B2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Dengue is a growing threat to global health, causing severe disease burden across tropical regions. Brazil experiences the highest burden of dengue globally, with unprecedented outbreaks in recent years. After decades of few effective tools, novel vaccine and Wolbachia technologies offer the potential to reduce incidence and control transmission. However, both technologies have their limitations: vaccines have shown limited efficacy in seronegative individuals while Wolbachia releases are challenging in rural locations, with introgression potentially affected by high temperatures. As a result of this, the potential impact of these technologies is challenging to predict. In this study, we develop a metapopulation transmission dynamic model of dengue in Brazil to simulate epidemic trajectories under different intervention scenarios. We assess the potential impacts of vaccination with second-generation dengue vaccines, considering different target age groups and regions for vaccine roll-out. We compare this with the potential impacts of Wolbachia releases, considering scenarios with operationally feasible geographical coverage and different levels of Wolbachia introgression into the mosquito population. Finally, we consider the potential benefits and risks of combining different vaccination and Wolbachia intervention strategies on medium to long-term dengue transmission.</w:t>
      </w:r>
    </w:p>
    <w:p w14:paraId="500AF2B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25-A-3507-ASTMH</w:t>
      </w:r>
    </w:p>
    <w:p w14:paraId="4F0DA25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Ectoparasite-Borne Disease - Other</w:t>
      </w:r>
    </w:p>
    <w:p w14:paraId="59196088" w14:textId="0E57B420"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Tick Infestation and Risk of Zoonotic Tick-borne Pathogen Transmission in Abattoirs within Selected Regions in Ghana</w:t>
      </w:r>
    </w:p>
    <w:p w14:paraId="3D99307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The health of humans and animals is impacted by tick-borne pathogens (TBPs), which represent a serious zoonotic threat. The abundance of susceptible hosts in abattoirs makes them potential hotspots for tick infestation and TBP transmission. This study examines tick infestation and the associated risk of zoonotic TBP transmission in selected abattoirs within the Ashanti and Greater Accra regions of Ghana. Ticks and dry blood spots (DBS) were collected from slaughtered livestock (cattle, sheep and Goats). The ticks were identified using taxonomic keys and confirmed using PCR and sequencing. Pooled ticks (1-10) and DBS were screened for tick-borne pathogens using PCR and Sanger sequencing. From the preliminary data, it was observed that 621 ticks and 99 DBS were collected from abattoirs in the Ashanti region. The predominant tick species was </w:t>
      </w:r>
      <w:r w:rsidRPr="008E7DCB">
        <w:rPr>
          <w:rFonts w:ascii="Calibri" w:eastAsia="Times New Roman" w:hAnsi="Calibri" w:cs="Calibri"/>
          <w:i/>
          <w:iCs/>
          <w:color w:val="000000"/>
          <w:kern w:val="0"/>
          <w:sz w:val="22"/>
          <w:szCs w:val="22"/>
          <w14:ligatures w14:val="none"/>
        </w:rPr>
        <w:t>Amblyomma</w:t>
      </w:r>
      <w:r w:rsidRPr="008E7DCB">
        <w:rPr>
          <w:rFonts w:ascii="Calibri" w:eastAsia="Times New Roman" w:hAnsi="Calibri" w:cs="Calibri"/>
          <w:color w:val="000000"/>
          <w:kern w:val="0"/>
          <w:sz w:val="22"/>
          <w:szCs w:val="22"/>
          <w14:ligatures w14:val="none"/>
        </w:rPr>
        <w:t> variegatum (46.38%) infesting cattle. No ticks were found infesting sheep or goats. From the 84 tick pools screened, the pathogens identified are </w:t>
      </w:r>
      <w:r w:rsidRPr="008E7DCB">
        <w:rPr>
          <w:rFonts w:ascii="Calibri" w:eastAsia="Times New Roman" w:hAnsi="Calibri" w:cs="Calibri"/>
          <w:i/>
          <w:iCs/>
          <w:color w:val="000000"/>
          <w:kern w:val="0"/>
          <w:sz w:val="22"/>
          <w:szCs w:val="22"/>
          <w14:ligatures w14:val="none"/>
        </w:rPr>
        <w:t>Rickettsia africae</w:t>
      </w:r>
      <w:r w:rsidRPr="008E7DCB">
        <w:rPr>
          <w:rFonts w:ascii="Calibri" w:eastAsia="Times New Roman" w:hAnsi="Calibri" w:cs="Calibri"/>
          <w:color w:val="000000"/>
          <w:kern w:val="0"/>
          <w:sz w:val="22"/>
          <w:szCs w:val="22"/>
          <w14:ligatures w14:val="none"/>
        </w:rPr>
        <w:t> (20.24%), </w:t>
      </w:r>
      <w:r w:rsidRPr="008E7DCB">
        <w:rPr>
          <w:rFonts w:ascii="Calibri" w:eastAsia="Times New Roman" w:hAnsi="Calibri" w:cs="Calibri"/>
          <w:i/>
          <w:iCs/>
          <w:color w:val="000000"/>
          <w:kern w:val="0"/>
          <w:sz w:val="22"/>
          <w:szCs w:val="22"/>
          <w14:ligatures w14:val="none"/>
        </w:rPr>
        <w:t>Coxiella burnetii</w:t>
      </w:r>
      <w:r w:rsidRPr="008E7DCB">
        <w:rPr>
          <w:rFonts w:ascii="Calibri" w:eastAsia="Times New Roman" w:hAnsi="Calibri" w:cs="Calibri"/>
          <w:color w:val="000000"/>
          <w:kern w:val="0"/>
          <w:sz w:val="22"/>
          <w:szCs w:val="22"/>
          <w14:ligatures w14:val="none"/>
        </w:rPr>
        <w:t> (16.67%), </w:t>
      </w:r>
      <w:r w:rsidRPr="008E7DCB">
        <w:rPr>
          <w:rFonts w:ascii="Calibri" w:eastAsia="Times New Roman" w:hAnsi="Calibri" w:cs="Calibri"/>
          <w:i/>
          <w:iCs/>
          <w:color w:val="000000"/>
          <w:kern w:val="0"/>
          <w:sz w:val="22"/>
          <w:szCs w:val="22"/>
          <w14:ligatures w14:val="none"/>
        </w:rPr>
        <w:t>Ehrlichia canis</w:t>
      </w:r>
      <w:r w:rsidRPr="008E7DCB">
        <w:rPr>
          <w:rFonts w:ascii="Calibri" w:eastAsia="Times New Roman" w:hAnsi="Calibri" w:cs="Calibri"/>
          <w:color w:val="000000"/>
          <w:kern w:val="0"/>
          <w:sz w:val="22"/>
          <w:szCs w:val="22"/>
          <w14:ligatures w14:val="none"/>
        </w:rPr>
        <w:t> (8.33%), </w:t>
      </w:r>
      <w:r w:rsidRPr="008E7DCB">
        <w:rPr>
          <w:rFonts w:ascii="Calibri" w:eastAsia="Times New Roman" w:hAnsi="Calibri" w:cs="Calibri"/>
          <w:i/>
          <w:iCs/>
          <w:color w:val="000000"/>
          <w:kern w:val="0"/>
          <w:sz w:val="22"/>
          <w:szCs w:val="22"/>
          <w14:ligatures w14:val="none"/>
        </w:rPr>
        <w:t>Anaplasma marginale</w:t>
      </w:r>
      <w:r w:rsidRPr="008E7DCB">
        <w:rPr>
          <w:rFonts w:ascii="Calibri" w:eastAsia="Times New Roman" w:hAnsi="Calibri" w:cs="Calibri"/>
          <w:color w:val="000000"/>
          <w:kern w:val="0"/>
          <w:sz w:val="22"/>
          <w:szCs w:val="22"/>
          <w14:ligatures w14:val="none"/>
        </w:rPr>
        <w:t> (1.19%) and a symbiont </w:t>
      </w:r>
      <w:r w:rsidRPr="008E7DCB">
        <w:rPr>
          <w:rFonts w:ascii="Calibri" w:eastAsia="Times New Roman" w:hAnsi="Calibri" w:cs="Calibri"/>
          <w:i/>
          <w:iCs/>
          <w:color w:val="000000"/>
          <w:kern w:val="0"/>
          <w:sz w:val="22"/>
          <w:szCs w:val="22"/>
          <w14:ligatures w14:val="none"/>
        </w:rPr>
        <w:t>Candidatus</w:t>
      </w:r>
      <w:r w:rsidRPr="008E7DCB">
        <w:rPr>
          <w:rFonts w:ascii="Calibri" w:eastAsia="Times New Roman" w:hAnsi="Calibri" w:cs="Calibri"/>
          <w:color w:val="000000"/>
          <w:kern w:val="0"/>
          <w:sz w:val="22"/>
          <w:szCs w:val="22"/>
          <w14:ligatures w14:val="none"/>
        </w:rPr>
        <w:t> Midichloria mitochondrii (13.1%). The pathogens identified in the sampled livestock include </w:t>
      </w:r>
      <w:r w:rsidRPr="008E7DCB">
        <w:rPr>
          <w:rFonts w:ascii="Calibri" w:eastAsia="Times New Roman" w:hAnsi="Calibri" w:cs="Calibri"/>
          <w:i/>
          <w:iCs/>
          <w:color w:val="000000"/>
          <w:kern w:val="0"/>
          <w:sz w:val="22"/>
          <w:szCs w:val="22"/>
          <w14:ligatures w14:val="none"/>
        </w:rPr>
        <w:t>A. capra</w:t>
      </w:r>
      <w:r w:rsidRPr="008E7DCB">
        <w:rPr>
          <w:rFonts w:ascii="Calibri" w:eastAsia="Times New Roman" w:hAnsi="Calibri" w:cs="Calibri"/>
          <w:color w:val="000000"/>
          <w:kern w:val="0"/>
          <w:sz w:val="22"/>
          <w:szCs w:val="22"/>
          <w14:ligatures w14:val="none"/>
        </w:rPr>
        <w:t> (52.53%), </w:t>
      </w:r>
      <w:r w:rsidRPr="008E7DCB">
        <w:rPr>
          <w:rFonts w:ascii="Calibri" w:eastAsia="Times New Roman" w:hAnsi="Calibri" w:cs="Calibri"/>
          <w:i/>
          <w:iCs/>
          <w:color w:val="000000"/>
          <w:kern w:val="0"/>
          <w:sz w:val="22"/>
          <w:szCs w:val="22"/>
          <w14:ligatures w14:val="none"/>
        </w:rPr>
        <w:t>A. phagocytophilum</w:t>
      </w:r>
      <w:r w:rsidRPr="008E7DCB">
        <w:rPr>
          <w:rFonts w:ascii="Calibri" w:eastAsia="Times New Roman" w:hAnsi="Calibri" w:cs="Calibri"/>
          <w:color w:val="000000"/>
          <w:kern w:val="0"/>
          <w:sz w:val="22"/>
          <w:szCs w:val="22"/>
          <w14:ligatures w14:val="none"/>
        </w:rPr>
        <w:t> (13.13%), </w:t>
      </w:r>
      <w:r w:rsidRPr="008E7DCB">
        <w:rPr>
          <w:rFonts w:ascii="Calibri" w:eastAsia="Times New Roman" w:hAnsi="Calibri" w:cs="Calibri"/>
          <w:i/>
          <w:iCs/>
          <w:color w:val="000000"/>
          <w:kern w:val="0"/>
          <w:sz w:val="22"/>
          <w:szCs w:val="22"/>
          <w14:ligatures w14:val="none"/>
        </w:rPr>
        <w:t>A. marginale</w:t>
      </w:r>
      <w:r w:rsidRPr="008E7DCB">
        <w:rPr>
          <w:rFonts w:ascii="Calibri" w:eastAsia="Times New Roman" w:hAnsi="Calibri" w:cs="Calibri"/>
          <w:color w:val="000000"/>
          <w:kern w:val="0"/>
          <w:sz w:val="22"/>
          <w:szCs w:val="22"/>
          <w14:ligatures w14:val="none"/>
        </w:rPr>
        <w:t> (10.1%), Uncultured Anaplasma sp. (7.07%), </w:t>
      </w:r>
      <w:r w:rsidRPr="008E7DCB">
        <w:rPr>
          <w:rFonts w:ascii="Calibri" w:eastAsia="Times New Roman" w:hAnsi="Calibri" w:cs="Calibri"/>
          <w:i/>
          <w:iCs/>
          <w:color w:val="000000"/>
          <w:kern w:val="0"/>
          <w:sz w:val="22"/>
          <w:szCs w:val="22"/>
          <w14:ligatures w14:val="none"/>
        </w:rPr>
        <w:t>R. africae</w:t>
      </w:r>
      <w:r w:rsidRPr="008E7DCB">
        <w:rPr>
          <w:rFonts w:ascii="Calibri" w:eastAsia="Times New Roman" w:hAnsi="Calibri" w:cs="Calibri"/>
          <w:color w:val="000000"/>
          <w:kern w:val="0"/>
          <w:sz w:val="22"/>
          <w:szCs w:val="22"/>
          <w14:ligatures w14:val="none"/>
        </w:rPr>
        <w:t> (2.02%), </w:t>
      </w:r>
      <w:r w:rsidRPr="008E7DCB">
        <w:rPr>
          <w:rFonts w:ascii="Calibri" w:eastAsia="Times New Roman" w:hAnsi="Calibri" w:cs="Calibri"/>
          <w:i/>
          <w:iCs/>
          <w:color w:val="000000"/>
          <w:kern w:val="0"/>
          <w:sz w:val="22"/>
          <w:szCs w:val="22"/>
          <w14:ligatures w14:val="none"/>
        </w:rPr>
        <w:t>C. burnetii</w:t>
      </w:r>
      <w:r w:rsidRPr="008E7DCB">
        <w:rPr>
          <w:rFonts w:ascii="Calibri" w:eastAsia="Times New Roman" w:hAnsi="Calibri" w:cs="Calibri"/>
          <w:color w:val="000000"/>
          <w:kern w:val="0"/>
          <w:sz w:val="22"/>
          <w:szCs w:val="22"/>
          <w14:ligatures w14:val="none"/>
        </w:rPr>
        <w:t> (2.02%) and a symbiont </w:t>
      </w:r>
      <w:r w:rsidRPr="008E7DCB">
        <w:rPr>
          <w:rFonts w:ascii="Calibri" w:eastAsia="Times New Roman" w:hAnsi="Calibri" w:cs="Calibri"/>
          <w:i/>
          <w:iCs/>
          <w:color w:val="000000"/>
          <w:kern w:val="0"/>
          <w:sz w:val="22"/>
          <w:szCs w:val="22"/>
          <w14:ligatures w14:val="none"/>
        </w:rPr>
        <w:t>Candidatus</w:t>
      </w:r>
      <w:r w:rsidRPr="008E7DCB">
        <w:rPr>
          <w:rFonts w:ascii="Calibri" w:eastAsia="Times New Roman" w:hAnsi="Calibri" w:cs="Calibri"/>
          <w:color w:val="000000"/>
          <w:kern w:val="0"/>
          <w:sz w:val="22"/>
          <w:szCs w:val="22"/>
          <w14:ligatures w14:val="none"/>
        </w:rPr>
        <w:t> Midichloria mitochondrii (12.12%). The high occurrence of zoonotic pathogens in the abattoir suggests an increased risk to the abattoir workers and potential consumers. Measures need to be put in place to better protect the workers and prevent or reduce the risk of tick-borne zoonotic pathogen transmission.</w:t>
      </w:r>
    </w:p>
    <w:p w14:paraId="38E48CF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25-A-3508-ASTMH</w:t>
      </w:r>
    </w:p>
    <w:p w14:paraId="3300836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Vaccines and Immunotherapeutics</w:t>
      </w:r>
    </w:p>
    <w:p w14:paraId="35BDA53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Safety and immunogenicity of delayed third dose of R21/Matrix-M</w:t>
      </w:r>
      <w:r w:rsidRPr="008E7DCB">
        <w:rPr>
          <w:rFonts w:ascii="Calibri" w:eastAsia="Times New Roman" w:hAnsi="Calibri" w:cs="Calibri"/>
          <w:b/>
          <w:bCs/>
          <w:color w:val="000000"/>
          <w:kern w:val="0"/>
          <w:sz w:val="22"/>
          <w:szCs w:val="22"/>
          <w:vertAlign w:val="superscript"/>
          <w14:ligatures w14:val="none"/>
        </w:rPr>
        <w:t> </w:t>
      </w:r>
      <w:r w:rsidRPr="008E7DCB">
        <w:rPr>
          <w:rFonts w:ascii="Calibri" w:eastAsia="Times New Roman" w:hAnsi="Calibri" w:cs="Calibri"/>
          <w:b/>
          <w:bCs/>
          <w:color w:val="000000"/>
          <w:kern w:val="0"/>
          <w:sz w:val="22"/>
          <w:szCs w:val="22"/>
          <w14:ligatures w14:val="none"/>
        </w:rPr>
        <w:t>malaria vaccine in children in Mali</w:t>
      </w:r>
    </w:p>
    <w:p w14:paraId="4777FB8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R21/Matrix-M</w:t>
      </w:r>
      <w:r w:rsidRPr="008E7DCB">
        <w:rPr>
          <w:rFonts w:ascii="Calibri" w:eastAsia="Times New Roman" w:hAnsi="Calibri" w:cs="Calibri"/>
          <w:color w:val="000000"/>
          <w:kern w:val="0"/>
          <w:sz w:val="22"/>
          <w:szCs w:val="22"/>
          <w:vertAlign w:val="superscript"/>
          <w14:ligatures w14:val="none"/>
        </w:rPr>
        <w:t> </w:t>
      </w:r>
      <w:r w:rsidRPr="008E7DCB">
        <w:rPr>
          <w:rFonts w:ascii="Calibri" w:eastAsia="Times New Roman" w:hAnsi="Calibri" w:cs="Calibri"/>
          <w:color w:val="000000"/>
          <w:kern w:val="0"/>
          <w:sz w:val="22"/>
          <w:szCs w:val="22"/>
          <w14:ligatures w14:val="none"/>
        </w:rPr>
        <w:t>malaria vaccine was approved by WHO in 2023 and is being widely deployed in sub-Saharan Africa using the 0, 1, 2 months schedule for the primary series. Studies have shown that a delayed or a delayed and fractional dose of the vaccine improved immunogenicity and efficacy in malaria naïve individuals. To assess safety and immunogenicity of a delayed third dose of R21/Matrix-M</w:t>
      </w:r>
      <w:r w:rsidRPr="008E7DCB">
        <w:rPr>
          <w:rFonts w:ascii="Calibri" w:eastAsia="Times New Roman" w:hAnsi="Calibri" w:cs="Calibri"/>
          <w:color w:val="000000"/>
          <w:kern w:val="0"/>
          <w:sz w:val="22"/>
          <w:szCs w:val="22"/>
          <w:vertAlign w:val="superscript"/>
          <w14:ligatures w14:val="none"/>
        </w:rPr>
        <w:t> </w:t>
      </w:r>
      <w:r w:rsidRPr="008E7DCB">
        <w:rPr>
          <w:rFonts w:ascii="Calibri" w:eastAsia="Times New Roman" w:hAnsi="Calibri" w:cs="Calibri"/>
          <w:color w:val="000000"/>
          <w:kern w:val="0"/>
          <w:sz w:val="22"/>
          <w:szCs w:val="22"/>
          <w14:ligatures w14:val="none"/>
        </w:rPr>
        <w:t>in malaria exposed children, 60 children aged 5-36-months were randomised in a 1:1 ratio to receive R21/Matrix-M</w:t>
      </w:r>
      <w:r w:rsidRPr="008E7DCB">
        <w:rPr>
          <w:rFonts w:ascii="Calibri" w:eastAsia="Times New Roman" w:hAnsi="Calibri" w:cs="Calibri"/>
          <w:color w:val="000000"/>
          <w:kern w:val="0"/>
          <w:sz w:val="22"/>
          <w:szCs w:val="22"/>
          <w:vertAlign w:val="superscript"/>
          <w14:ligatures w14:val="none"/>
        </w:rPr>
        <w:t> </w:t>
      </w:r>
      <w:r w:rsidRPr="008E7DCB">
        <w:rPr>
          <w:rFonts w:ascii="Calibri" w:eastAsia="Times New Roman" w:hAnsi="Calibri" w:cs="Calibri"/>
          <w:color w:val="000000"/>
          <w:kern w:val="0"/>
          <w:sz w:val="22"/>
          <w:szCs w:val="22"/>
          <w14:ligatures w14:val="none"/>
        </w:rPr>
        <w:t>at 0, 1, 6 months schedule or 0, 1, 12 months schedule in Ouelessebougou, Mali. Children were enrolled in April /May 2023 and followed up for 24 months ending May 2025. Both vaccine schedules were safe with no grade 3 or serious adverse events related to vaccination. Analysis of immunogenicity is ongoing, and results will be presented.</w:t>
      </w:r>
    </w:p>
    <w:p w14:paraId="60FA68D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25-A-3509-ASTMH</w:t>
      </w:r>
    </w:p>
    <w:p w14:paraId="01954D1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Epidemiology and Vector Control</w:t>
      </w:r>
    </w:p>
    <w:p w14:paraId="57BC03D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Dengue fever in Mali: evaluation of the risk of entomological transmission in Bamako urban areas.</w:t>
      </w:r>
    </w:p>
    <w:p w14:paraId="62EB17D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Dengue fever in Mali: evaluation of the risk of entomological transmission in Bamako urban areasBackground:</w:t>
      </w:r>
      <w:r w:rsidRPr="008E7DCB">
        <w:rPr>
          <w:rFonts w:ascii="Calibri" w:eastAsia="Times New Roman" w:hAnsi="Calibri" w:cs="Calibri"/>
          <w:color w:val="000000"/>
          <w:kern w:val="0"/>
          <w:sz w:val="22"/>
          <w:szCs w:val="22"/>
          <w14:ligatures w14:val="none"/>
        </w:rPr>
        <w:t> Mali has been experiencing a dengue epidemic since September 2023, with Bamako as its epicenter. Unfortunately, little is known about the local ecology of the vector(s) responsible for the epidemic. This study was conducted to identify the vectors, describe their breeding habitats, and to assess the risk of entomological transmission of this arbovirus.</w:t>
      </w:r>
      <w:r w:rsidRPr="008E7DCB">
        <w:rPr>
          <w:rFonts w:ascii="Calibri" w:eastAsia="Times New Roman" w:hAnsi="Calibri" w:cs="Calibri"/>
          <w:b/>
          <w:bCs/>
          <w:color w:val="000000"/>
          <w:kern w:val="0"/>
          <w:sz w:val="22"/>
          <w:szCs w:val="22"/>
          <w14:ligatures w14:val="none"/>
        </w:rPr>
        <w:t>Methods: </w:t>
      </w:r>
      <w:r w:rsidRPr="008E7DCB">
        <w:rPr>
          <w:rFonts w:ascii="Calibri" w:eastAsia="Times New Roman" w:hAnsi="Calibri" w:cs="Calibri"/>
          <w:color w:val="000000"/>
          <w:kern w:val="0"/>
          <w:sz w:val="22"/>
          <w:szCs w:val="22"/>
          <w14:ligatures w14:val="none"/>
        </w:rPr>
        <w:t>A house-to-house cross-sectional survey of </w:t>
      </w:r>
      <w:r w:rsidRPr="008E7DCB">
        <w:rPr>
          <w:rFonts w:ascii="Calibri" w:eastAsia="Times New Roman" w:hAnsi="Calibri" w:cs="Calibri"/>
          <w:i/>
          <w:iCs/>
          <w:color w:val="000000"/>
          <w:kern w:val="0"/>
          <w:sz w:val="22"/>
          <w:szCs w:val="22"/>
          <w14:ligatures w14:val="none"/>
        </w:rPr>
        <w:t>Aedes</w:t>
      </w:r>
      <w:r w:rsidRPr="008E7DCB">
        <w:rPr>
          <w:rFonts w:ascii="Calibri" w:eastAsia="Times New Roman" w:hAnsi="Calibri" w:cs="Calibri"/>
          <w:color w:val="000000"/>
          <w:kern w:val="0"/>
          <w:sz w:val="22"/>
          <w:szCs w:val="22"/>
          <w14:ligatures w14:val="none"/>
        </w:rPr>
        <w:t> mosquito breeding habitats was conducted in the Commune IV of Bamako district in August 2024. While containers with water were inspected for mosquito larvae, adult mosquitoes were collected indoors and outdoors in selected households. Adult </w:t>
      </w:r>
      <w:r w:rsidRPr="008E7DCB">
        <w:rPr>
          <w:rFonts w:ascii="Calibri" w:eastAsia="Times New Roman" w:hAnsi="Calibri" w:cs="Calibri"/>
          <w:i/>
          <w:iCs/>
          <w:color w:val="000000"/>
          <w:kern w:val="0"/>
          <w:sz w:val="22"/>
          <w:szCs w:val="22"/>
          <w14:ligatures w14:val="none"/>
        </w:rPr>
        <w:t>Aedes </w:t>
      </w:r>
      <w:r w:rsidRPr="008E7DCB">
        <w:rPr>
          <w:rFonts w:ascii="Calibri" w:eastAsia="Times New Roman" w:hAnsi="Calibri" w:cs="Calibri"/>
          <w:color w:val="000000"/>
          <w:kern w:val="0"/>
          <w:sz w:val="22"/>
          <w:szCs w:val="22"/>
          <w14:ligatures w14:val="none"/>
        </w:rPr>
        <w:t>mosquitoes</w:t>
      </w:r>
      <w:r w:rsidRPr="008E7DCB">
        <w:rPr>
          <w:rFonts w:ascii="Calibri" w:eastAsia="Times New Roman" w:hAnsi="Calibri" w:cs="Calibri"/>
          <w:i/>
          <w:iCs/>
          <w:color w:val="000000"/>
          <w:kern w:val="0"/>
          <w:sz w:val="22"/>
          <w:szCs w:val="22"/>
          <w14:ligatures w14:val="none"/>
        </w:rPr>
        <w:t> </w:t>
      </w:r>
      <w:r w:rsidRPr="008E7DCB">
        <w:rPr>
          <w:rFonts w:ascii="Calibri" w:eastAsia="Times New Roman" w:hAnsi="Calibri" w:cs="Calibri"/>
          <w:color w:val="000000"/>
          <w:kern w:val="0"/>
          <w:sz w:val="22"/>
          <w:szCs w:val="22"/>
          <w14:ligatures w14:val="none"/>
        </w:rPr>
        <w:t>collected were identified as </w:t>
      </w:r>
      <w:r w:rsidRPr="008E7DCB">
        <w:rPr>
          <w:rFonts w:ascii="Calibri" w:eastAsia="Times New Roman" w:hAnsi="Calibri" w:cs="Calibri"/>
          <w:i/>
          <w:iCs/>
          <w:color w:val="000000"/>
          <w:kern w:val="0"/>
          <w:sz w:val="22"/>
          <w:szCs w:val="22"/>
          <w14:ligatures w14:val="none"/>
        </w:rPr>
        <w:t>Aedes aegypti</w:t>
      </w:r>
      <w:r w:rsidRPr="008E7DCB">
        <w:rPr>
          <w:rFonts w:ascii="Calibri" w:eastAsia="Times New Roman" w:hAnsi="Calibri" w:cs="Calibri"/>
          <w:color w:val="000000"/>
          <w:kern w:val="0"/>
          <w:sz w:val="22"/>
          <w:szCs w:val="22"/>
          <w14:ligatures w14:val="none"/>
        </w:rPr>
        <w:t>. Adult Aedes mosquitoes collected were identified and tested for dengue virus NS1 protein using rapid diagnostic test (RDT).</w:t>
      </w:r>
      <w:r w:rsidRPr="008E7DCB">
        <w:rPr>
          <w:rFonts w:ascii="Calibri" w:eastAsia="Times New Roman" w:hAnsi="Calibri" w:cs="Calibri"/>
          <w:b/>
          <w:bCs/>
          <w:color w:val="000000"/>
          <w:kern w:val="0"/>
          <w:sz w:val="22"/>
          <w:szCs w:val="22"/>
          <w14:ligatures w14:val="none"/>
        </w:rPr>
        <w:t>Results:</w:t>
      </w:r>
      <w:r w:rsidRPr="008E7DCB">
        <w:rPr>
          <w:rFonts w:ascii="Calibri" w:eastAsia="Times New Roman" w:hAnsi="Calibri" w:cs="Calibri"/>
          <w:color w:val="000000"/>
          <w:kern w:val="0"/>
          <w:sz w:val="22"/>
          <w:szCs w:val="22"/>
          <w14:ligatures w14:val="none"/>
        </w:rPr>
        <w:t> Abandoned containers (46.4%), storage containers (28.6%), tires (21.4%), and septic tanks (3.6%) were positive breeding sites for </w:t>
      </w:r>
      <w:r w:rsidRPr="008E7DCB">
        <w:rPr>
          <w:rFonts w:ascii="Calibri" w:eastAsia="Times New Roman" w:hAnsi="Calibri" w:cs="Calibri"/>
          <w:i/>
          <w:iCs/>
          <w:color w:val="000000"/>
          <w:kern w:val="0"/>
          <w:sz w:val="22"/>
          <w:szCs w:val="22"/>
          <w14:ligatures w14:val="none"/>
        </w:rPr>
        <w:t>Aedes spp</w:t>
      </w:r>
      <w:r w:rsidRPr="008E7DCB">
        <w:rPr>
          <w:rFonts w:ascii="Calibri" w:eastAsia="Times New Roman" w:hAnsi="Calibri" w:cs="Calibri"/>
          <w:color w:val="000000"/>
          <w:kern w:val="0"/>
          <w:sz w:val="22"/>
          <w:szCs w:val="22"/>
          <w14:ligatures w14:val="none"/>
        </w:rPr>
        <w:t> larvae. The Breteau and Container indices exceeded the WHO-recommended thresholds for dengue virus risk in Commune VI. The main dengue vector, </w:t>
      </w:r>
      <w:r w:rsidRPr="008E7DCB">
        <w:rPr>
          <w:rFonts w:ascii="Calibri" w:eastAsia="Times New Roman" w:hAnsi="Calibri" w:cs="Calibri"/>
          <w:i/>
          <w:iCs/>
          <w:color w:val="000000"/>
          <w:kern w:val="0"/>
          <w:sz w:val="22"/>
          <w:szCs w:val="22"/>
          <w14:ligatures w14:val="none"/>
        </w:rPr>
        <w:t>Aedes aegypti</w:t>
      </w:r>
      <w:r w:rsidRPr="008E7DCB">
        <w:rPr>
          <w:rFonts w:ascii="Calibri" w:eastAsia="Times New Roman" w:hAnsi="Calibri" w:cs="Calibri"/>
          <w:color w:val="000000"/>
          <w:kern w:val="0"/>
          <w:sz w:val="22"/>
          <w:szCs w:val="22"/>
          <w14:ligatures w14:val="none"/>
        </w:rPr>
        <w:t>, was collected both indoors and outdoors during the day. Five out of the 72 pools tested were positive for dengue NS1 protein. </w:t>
      </w:r>
      <w:r w:rsidRPr="008E7DCB">
        <w:rPr>
          <w:rFonts w:ascii="Calibri" w:eastAsia="Times New Roman" w:hAnsi="Calibri" w:cs="Calibri"/>
          <w:b/>
          <w:bCs/>
          <w:color w:val="000000"/>
          <w:kern w:val="0"/>
          <w:sz w:val="22"/>
          <w:szCs w:val="22"/>
          <w14:ligatures w14:val="none"/>
        </w:rPr>
        <w:t>Conclusion: </w:t>
      </w:r>
      <w:r w:rsidRPr="008E7DCB">
        <w:rPr>
          <w:rFonts w:ascii="Calibri" w:eastAsia="Times New Roman" w:hAnsi="Calibri" w:cs="Calibri"/>
          <w:color w:val="000000"/>
          <w:kern w:val="0"/>
          <w:sz w:val="22"/>
          <w:szCs w:val="22"/>
          <w14:ligatures w14:val="none"/>
        </w:rPr>
        <w:t xml:space="preserve">This study showed a high risk of dengue </w:t>
      </w:r>
      <w:r w:rsidRPr="008E7DCB">
        <w:rPr>
          <w:rFonts w:ascii="Calibri" w:eastAsia="Times New Roman" w:hAnsi="Calibri" w:cs="Calibri"/>
          <w:color w:val="000000"/>
          <w:kern w:val="0"/>
          <w:sz w:val="22"/>
          <w:szCs w:val="22"/>
          <w14:ligatures w14:val="none"/>
        </w:rPr>
        <w:lastRenderedPageBreak/>
        <w:t>transmission. </w:t>
      </w:r>
      <w:r w:rsidRPr="008E7DCB">
        <w:rPr>
          <w:rFonts w:ascii="Calibri" w:eastAsia="Times New Roman" w:hAnsi="Calibri" w:cs="Calibri"/>
          <w:i/>
          <w:iCs/>
          <w:color w:val="000000"/>
          <w:kern w:val="0"/>
          <w:sz w:val="22"/>
          <w:szCs w:val="22"/>
          <w14:ligatures w14:val="none"/>
        </w:rPr>
        <w:t>Aedes aegypti</w:t>
      </w:r>
      <w:r w:rsidRPr="008E7DCB">
        <w:rPr>
          <w:rFonts w:ascii="Calibri" w:eastAsia="Times New Roman" w:hAnsi="Calibri" w:cs="Calibri"/>
          <w:color w:val="000000"/>
          <w:kern w:val="0"/>
          <w:sz w:val="22"/>
          <w:szCs w:val="22"/>
          <w14:ligatures w14:val="none"/>
        </w:rPr>
        <w:t> was the only vector present. This data should be considered when establishing a vector control strategy for the Bamako district. </w:t>
      </w:r>
      <w:r w:rsidRPr="008E7DCB">
        <w:rPr>
          <w:rFonts w:ascii="Calibri" w:eastAsia="Times New Roman" w:hAnsi="Calibri" w:cs="Calibri"/>
          <w:b/>
          <w:bCs/>
          <w:color w:val="000000"/>
          <w:kern w:val="0"/>
          <w:sz w:val="22"/>
          <w:szCs w:val="22"/>
          <w14:ligatures w14:val="none"/>
        </w:rPr>
        <w:t>Key words: </w:t>
      </w:r>
      <w:r w:rsidRPr="008E7DCB">
        <w:rPr>
          <w:rFonts w:ascii="Calibri" w:eastAsia="Times New Roman" w:hAnsi="Calibri" w:cs="Calibri"/>
          <w:color w:val="000000"/>
          <w:kern w:val="0"/>
          <w:sz w:val="22"/>
          <w:szCs w:val="22"/>
          <w14:ligatures w14:val="none"/>
        </w:rPr>
        <w:t>Dengue, </w:t>
      </w:r>
      <w:r w:rsidRPr="008E7DCB">
        <w:rPr>
          <w:rFonts w:ascii="Calibri" w:eastAsia="Times New Roman" w:hAnsi="Calibri" w:cs="Calibri"/>
          <w:i/>
          <w:iCs/>
          <w:color w:val="000000"/>
          <w:kern w:val="0"/>
          <w:sz w:val="22"/>
          <w:szCs w:val="22"/>
          <w14:ligatures w14:val="none"/>
        </w:rPr>
        <w:t>Aedes aegypti</w:t>
      </w:r>
      <w:r w:rsidRPr="008E7DCB">
        <w:rPr>
          <w:rFonts w:ascii="Calibri" w:eastAsia="Times New Roman" w:hAnsi="Calibri" w:cs="Calibri"/>
          <w:color w:val="000000"/>
          <w:kern w:val="0"/>
          <w:sz w:val="22"/>
          <w:szCs w:val="22"/>
          <w14:ligatures w14:val="none"/>
        </w:rPr>
        <w:t>, Bamako, Mali</w:t>
      </w:r>
    </w:p>
    <w:p w14:paraId="6FFE207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25-A-3510-ASTMH</w:t>
      </w:r>
    </w:p>
    <w:p w14:paraId="032F75A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Vaccine Clinical Trials</w:t>
      </w:r>
    </w:p>
    <w:p w14:paraId="4EC06E9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Online Education Increases Clinician Knowledge on the Latest Clinical Data on Chikungunya Vaccines</w:t>
      </w:r>
    </w:p>
    <w:p w14:paraId="475F6D2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Chikungunya virus</w:t>
      </w:r>
      <w:r w:rsidRPr="008E7DCB">
        <w:rPr>
          <w:rFonts w:ascii="Calibri" w:eastAsia="Times New Roman" w:hAnsi="Calibri" w:cs="Calibri"/>
          <w:color w:val="000000"/>
          <w:kern w:val="0"/>
          <w:sz w:val="22"/>
          <w:szCs w:val="22"/>
          <w14:ligatures w14:val="none"/>
        </w:rPr>
        <w:t> poses an increasing public health threat, having affected millions across more than 100 countries. Due to the virus’s unpredictable outbreaks and rapid spread, proactive preparedness, including vaccination, is essential to reduce its impact. Vaccines showing protection in phase 3 clinical trials are now available. To raise awareness among infectious disease (ID) specialists and primary care physicians (PCPs), we developed a CME-accredited activity titled </w:t>
      </w:r>
      <w:r w:rsidRPr="008E7DCB">
        <w:rPr>
          <w:rFonts w:ascii="Calibri" w:eastAsia="Times New Roman" w:hAnsi="Calibri" w:cs="Calibri"/>
          <w:i/>
          <w:iCs/>
          <w:color w:val="000000"/>
          <w:kern w:val="0"/>
          <w:sz w:val="22"/>
          <w:szCs w:val="22"/>
          <w14:ligatures w14:val="none"/>
        </w:rPr>
        <w:t>“Chikungunya Virus Vaccines: Latest Data and Clinical Insights.”</w:t>
      </w:r>
      <w:r w:rsidRPr="008E7DCB">
        <w:rPr>
          <w:rFonts w:ascii="Calibri" w:eastAsia="Times New Roman" w:hAnsi="Calibri" w:cs="Calibri"/>
          <w:color w:val="000000"/>
          <w:kern w:val="0"/>
          <w:sz w:val="22"/>
          <w:szCs w:val="22"/>
          <w14:ligatures w14:val="none"/>
        </w:rPr>
        <w:t> The objective was to inform clinicians about recent clinical trial data and the potential use of these vaccines in practice. ID specialists and PCPs participated in a 15-minute online CME activity (https://www.medscape.org/viewarticle/1002026) featuring a discussion between two leading experts, supported by visual slides. Educational impact was measured using a 4-question repeated-pairs pre-/post-assessment. Paired samples t-tests evaluated improvements in knowledge and confidence; McNemar’s test assessed individual item significance (p &lt; .05), and Cohen’s d was used to measure effect size (&lt;0.20 modest, 0.20-0.49 small, 0.50-0.79 moderate, ≥0.80 large). Data were collected from 6 January to 3 April 2025. A total of 759 ID specialists and 5285 PCPs participated; 127 and 573, respectively, completed both pre-/post-assessment. Of these, 62% of ID specialists and 48% of PCPs improved their knowledge (P &lt; .001), with large (0.94) and moderate (0.75) effect sizes. Confidence also improved for 51% of ID specialists and 43% of PCPs. This CME activity significantly enhanced physicians’ knowledge and confidence regarding chikungunya vaccines. However, educational gaps remain, particularly in counseling travelers. The results from this learner analysis underscores the importance of targeted educational interventions to ensure physicians are prepared as chikungunya cases rise.</w:t>
      </w:r>
    </w:p>
    <w:p w14:paraId="32EC2B6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25-A-3511-ASTMH</w:t>
      </w:r>
    </w:p>
    <w:p w14:paraId="294A7A1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Arthropods/Entomology - Other</w:t>
      </w:r>
    </w:p>
    <w:p w14:paraId="2939C1F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Scrub typhus patients develop antibodies specific towards chigger mite, </w:t>
      </w:r>
      <w:r w:rsidRPr="008E7DCB">
        <w:rPr>
          <w:rFonts w:ascii="Calibri" w:eastAsia="Times New Roman" w:hAnsi="Calibri" w:cs="Calibri"/>
          <w:i/>
          <w:iCs/>
          <w:color w:val="000000"/>
          <w:kern w:val="0"/>
          <w:sz w:val="22"/>
          <w:szCs w:val="22"/>
          <w14:ligatures w14:val="none"/>
        </w:rPr>
        <w:t>Leptotrombidium pallidum</w:t>
      </w:r>
      <w:r w:rsidRPr="008E7DCB">
        <w:rPr>
          <w:rFonts w:ascii="Calibri" w:eastAsia="Times New Roman" w:hAnsi="Calibri" w:cs="Calibri"/>
          <w:color w:val="000000"/>
          <w:kern w:val="0"/>
          <w:sz w:val="22"/>
          <w:szCs w:val="22"/>
          <w14:ligatures w14:val="none"/>
        </w:rPr>
        <w:t>, salivary proteins</w:t>
      </w:r>
    </w:p>
    <w:p w14:paraId="27D391E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Chigger mite is an arthropod vector that transmits </w:t>
      </w:r>
      <w:r w:rsidRPr="008E7DCB">
        <w:rPr>
          <w:rFonts w:ascii="Calibri" w:eastAsia="Times New Roman" w:hAnsi="Calibri" w:cs="Calibri"/>
          <w:i/>
          <w:iCs/>
          <w:color w:val="000000"/>
          <w:kern w:val="0"/>
          <w:sz w:val="22"/>
          <w:szCs w:val="22"/>
          <w14:ligatures w14:val="none"/>
        </w:rPr>
        <w:t>Orientia tsutsugamushi</w:t>
      </w:r>
      <w:r w:rsidRPr="008E7DCB">
        <w:rPr>
          <w:rFonts w:ascii="Calibri" w:eastAsia="Times New Roman" w:hAnsi="Calibri" w:cs="Calibri"/>
          <w:color w:val="000000"/>
          <w:kern w:val="0"/>
          <w:sz w:val="22"/>
          <w:szCs w:val="22"/>
          <w14:ligatures w14:val="none"/>
        </w:rPr>
        <w:t> to human which is a causative agent of scrub typhus. Whether chigger mite salivary proteins are recognized and remembered by patient’s immune system is currently unknown. We aimed to evaluate the presence of antigen-antibody reactions between chigger mite salivary proteins and human sera from scrub typhus patients. We performed transcriptome analysis of a chigger mite, Leptotrombidium pallidum, and selected four candidate salivary protein markers for mite exposure. We produced and purified recombinant proteins of each salivary protein markers. Then, we performed indirect ELISA using 42 healthy patient sera with each salivary protein markers to determine the negative cutoff value. Once negative cut-off values were determined for each marker, we performed indirect ELISA using 100 scrub typhus patient sera with four marker proteins separately. Patient sera that produced positive signal-to-noise ratio values were determined. Of 100 scrub typhus patient sera, 21 patient samples showed positive reaction with at least one chigger mite salivary protein. Among those samples, 10 patient sera produced positive reaction with all four L. pallidum salivary protein markers. Our results reported the first case of how chigger mite salivary proteins are immunologically recognized and remembered by scrub typhus patients. The results provide potential applications of chigger mite salivary proteins for diagnosis and preventative vaccine development for scrub typhus.</w:t>
      </w:r>
    </w:p>
    <w:p w14:paraId="7A91FF7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25-A-3512-ASTMH</w:t>
      </w:r>
    </w:p>
    <w:p w14:paraId="4E029EA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Mosquitoes - Epidemiology and Vector Control</w:t>
      </w:r>
    </w:p>
    <w:p w14:paraId="558D0A1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Uganda ITN Mass Campaign 2023 for Universal Coverage; Innovations and Efficiencies</w:t>
      </w:r>
    </w:p>
    <w:p w14:paraId="1EC9E32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Uganda 2023 Insecticide-Treated Net (ITN) Mass Campaign demonstrated significant innovations and efficiencies, particularly through full institutionalization and government-led implementation. Unlike previous campaigns driven in a project mode with limited sustainability focus, this campaign optimized national structures by leveraging government institutions at all levels. Early stakeholder engagement, rigorous dry and wet runs for data management, and strengthened warehousing and logistics capacity ensured operational readiness. National and sub-national leadership played pivotal roles, fostering ownership and deeper community engagement. The campaign adopted the Incident Management System (IMS), integrating with the National Coordination Committee oversight that enabled prioritization of 17 districts that were experiencing a malaria epidemic. Notably, distribution lead time was reduced from over a year to just six months, enabled by overlapping and merged waves, daily reviews, and capacity surges for operations and logistics. These innovations led to a unit cost of USD 0.70 per net distributed which is well below the global benchmark of 1USD per net distributed. The campaign’s risk mitigation plan proved effective when a fire at the central warehouse destroyed over one million nets. A built-in 10% buffer, insurance provisions, and linkages with routine distribution allowed for rapid gap closure through reallocation of in-country stocks with support from PMI/USAID. The 2023 campaign reflects a resilient, institutionalized government-owned model that enhanced efficiency, cost-effectiveness, and epidemic responsiveness.</w:t>
      </w:r>
    </w:p>
    <w:p w14:paraId="421B7F1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25-A-3513-ASTMH</w:t>
      </w:r>
    </w:p>
    <w:p w14:paraId="33E6A8B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Schistosomiasis and Other Trematodes – Immunology, Pathology, Cellular and Molecular Biology</w:t>
      </w:r>
    </w:p>
    <w:p w14:paraId="32E3196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Speciation of schistosomes involved in human urogenital schistosomiasis in Bamako, Mali</w:t>
      </w:r>
    </w:p>
    <w:p w14:paraId="4D530CC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Hybridization of schistosomes represents an increasing challenge for the control of schistosomiasis. In Mali, the water scarcity and the cohabitation of humans and animals favor hybridization between </w:t>
      </w:r>
      <w:r w:rsidRPr="008E7DCB">
        <w:rPr>
          <w:rFonts w:ascii="Calibri" w:eastAsia="Times New Roman" w:hAnsi="Calibri" w:cs="Calibri"/>
          <w:i/>
          <w:iCs/>
          <w:color w:val="000000"/>
          <w:kern w:val="0"/>
          <w:sz w:val="22"/>
          <w:szCs w:val="22"/>
          <w14:ligatures w14:val="none"/>
        </w:rPr>
        <w:t>Schistosoma haematobium</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S. bovis</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S. curassoni</w:t>
      </w:r>
      <w:r w:rsidRPr="008E7DCB">
        <w:rPr>
          <w:rFonts w:ascii="Calibri" w:eastAsia="Times New Roman" w:hAnsi="Calibri" w:cs="Calibri"/>
          <w:color w:val="000000"/>
          <w:kern w:val="0"/>
          <w:sz w:val="22"/>
          <w:szCs w:val="22"/>
          <w14:ligatures w14:val="none"/>
        </w:rPr>
        <w:t>. These hybrid species could complicate the control of the disease. This study aims to characterize the distribution of different schistosome species in three neighborhoods (Sabalibougou, Missabougou, and Taliko) in the district of Bamako. Urine samples were collected from schoolchildren aged between 6 and 10 during the period from 4 to 14 April 2023 in three areas of Bamako. The samples were subjected to a filtration method to detect the presence of </w:t>
      </w:r>
      <w:r w:rsidRPr="008E7DCB">
        <w:rPr>
          <w:rFonts w:ascii="Calibri" w:eastAsia="Times New Roman" w:hAnsi="Calibri" w:cs="Calibri"/>
          <w:i/>
          <w:iCs/>
          <w:color w:val="000000"/>
          <w:kern w:val="0"/>
          <w:sz w:val="22"/>
          <w:szCs w:val="22"/>
          <w14:ligatures w14:val="none"/>
        </w:rPr>
        <w:t>S. haematobium</w:t>
      </w:r>
      <w:r w:rsidRPr="008E7DCB">
        <w:rPr>
          <w:rFonts w:ascii="Calibri" w:eastAsia="Times New Roman" w:hAnsi="Calibri" w:cs="Calibri"/>
          <w:color w:val="000000"/>
          <w:kern w:val="0"/>
          <w:sz w:val="22"/>
          <w:szCs w:val="22"/>
          <w14:ligatures w14:val="none"/>
        </w:rPr>
        <w:t> eggs. Species identification (pure and hybrids) was carried out using Cox1 and ITS2/18S markers. A prevalence study was conducted on a total of 1,148 individuals, with 358, 378, and 385 participants from Taliko, Missabougou, and Sabalibougou, respectively. Prevalence rates of 34.4%, 2.9%, and 9.1% were observed in Taliko, Missabougou, and Sabalibougou, respectively. A total of 424 miracidia were collected from 41 children who tested positive for urogenital schistosomiasis from Taliko (27/358), Sabalibougou (10/385), and Missabougou (04/378). Of the 424 parasites genotyped, 386 and 364 parasites provided good profiles for the mitochondrial gene (Cox1) and nuclear genes (ITS/18S), respectively. Among the 353 parasites that provided a good profile for all genes, 13% and 87% had hybrid (</w:t>
      </w:r>
      <w:r w:rsidRPr="008E7DCB">
        <w:rPr>
          <w:rFonts w:ascii="Calibri" w:eastAsia="Times New Roman" w:hAnsi="Calibri" w:cs="Calibri"/>
          <w:i/>
          <w:iCs/>
          <w:color w:val="000000"/>
          <w:kern w:val="0"/>
          <w:sz w:val="22"/>
          <w:szCs w:val="22"/>
          <w14:ligatures w14:val="none"/>
        </w:rPr>
        <w:t>Sb/ScxSh, Sb/ScxSh/Sc, ShxSc, ShxSh/Sc</w:t>
      </w:r>
      <w:r w:rsidRPr="008E7DCB">
        <w:rPr>
          <w:rFonts w:ascii="Calibri" w:eastAsia="Times New Roman" w:hAnsi="Calibri" w:cs="Calibri"/>
          <w:color w:val="000000"/>
          <w:kern w:val="0"/>
          <w:sz w:val="22"/>
          <w:szCs w:val="22"/>
          <w14:ligatures w14:val="none"/>
        </w:rPr>
        <w:t>) and pure (</w:t>
      </w:r>
      <w:r w:rsidRPr="008E7DCB">
        <w:rPr>
          <w:rFonts w:ascii="Calibri" w:eastAsia="Times New Roman" w:hAnsi="Calibri" w:cs="Calibri"/>
          <w:i/>
          <w:iCs/>
          <w:color w:val="000000"/>
          <w:kern w:val="0"/>
          <w:sz w:val="22"/>
          <w:szCs w:val="22"/>
          <w14:ligatures w14:val="none"/>
        </w:rPr>
        <w:t>Sh</w:t>
      </w:r>
      <w:r w:rsidRPr="008E7DCB">
        <w:rPr>
          <w:rFonts w:ascii="Calibri" w:eastAsia="Times New Roman" w:hAnsi="Calibri" w:cs="Calibri"/>
          <w:color w:val="000000"/>
          <w:kern w:val="0"/>
          <w:sz w:val="22"/>
          <w:szCs w:val="22"/>
          <w14:ligatures w14:val="none"/>
        </w:rPr>
        <w:t>) profiles, respectively (p = 0.001). These hybrids were significantly more prevalent in Taliko, with 65.2% (p = 0.001). Taliko appears to be a primary hotspot for schistosome diversity and hybridization in Bamako. This peripheral neighborhood shows a marked circulation of hybrid profiles, which could impact transmission dynamics. Increased molecular surveillance and studies on the behavior of definitive hosts would help better elucidate the emergence of hybrids.</w:t>
      </w:r>
    </w:p>
    <w:p w14:paraId="061D8E7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25-A-3514-ASTMH</w:t>
      </w:r>
    </w:p>
    <w:p w14:paraId="36EEA40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Helminths – Nematodes – Intestinal Nematodes</w:t>
      </w:r>
    </w:p>
    <w:p w14:paraId="7C184B2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Impact of Mass Drug Administration for Parasitic Worm Infection on Iron-Deficiency Anemia</w:t>
      </w:r>
    </w:p>
    <w:p w14:paraId="4B072AF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Soil-transmitted helminths (STH) and schistosomiasis (SCH) are often associated with iron-deficiency anemia (IDA), likely due to common symptoms such as blood loss. The relationship, however, between highly efficacious Mass Drug Administration (MDA) and anemia reductions may be mischaracterized due to population and individual interactions. To generate an updated understanding of the relationship between MDA and anemia, we conducted a review of key literature. The review focused on articles measuring the impacts of MDA on IDA outcomes at both individual and program levels, while also exploring key articles on STH and SCH IDA related symptoms and the efficacy of anthelminthic medication. Articles were identified through key word searches on PubMed. A dilution of effects complicates effective measurement of MDA’s impact on IDA at population level. This was identified as being driven by three key factors. 1) Not all individuals receiving MDA are infected. 2) STH or SCH driven IDA is often associated with high-intensity infections which are least prevalent. Equally not all high-intensity infections will result in IDA. 3) IDA risk factors are species specific through direct blood loss, inflammation, or impaired nutrient uptake. Therefore, patients infected with a specific worm species may be at lower risk for IDA. At an individual level, there are differing efficacies of anthelmintics per species of worm, which can lead to differing impacts on reduction of IDA burden. It is difficult to quantify population level impact of MDA on IDA, however, a clear link can be drawn between deworming and reducing IDA risk at the individual level. Focus should be on the identified connection between parasitic worm infection and risk of IDA when discussing MDA effects. Deworming programs should tailor strategies considering the efficacy of different anthelmintics to create more specific, context based guidance for STH and SCH endemic geographies. When treatment is effective, worms are no longer a contributing cause of anemia, and programs may shift efforts towards other potential causes of anemia.</w:t>
      </w:r>
    </w:p>
    <w:p w14:paraId="6D08613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25-A-3515-ASTMH</w:t>
      </w:r>
    </w:p>
    <w:p w14:paraId="7586046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316478E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role of TNFα in predicting severe malaria outcomes in Benin, west Africa</w:t>
      </w:r>
    </w:p>
    <w:p w14:paraId="767E1AE3"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Cerebral malaria represents a critical complication arising from Plasmodium falciparum infection. This study investigates the potential role of TNFα as a predictive marker for the prognosis of cerebral malaria in pediatric wards across Southern Benin, West Africa. Specifically, we examined the correlation between the prognosis of cerebral malaria in children under five years of age and the elevation of TNFα levels. We conducted a prospective cohort study with both descriptive and analytical objectives, collecting data from June to November 2019 on a sample of 69 children. In this study, the Z test was employed to evaluate the variability of the mean TNFα values on Day 0, Day 1, and at discharge.Our sample population primarily included children aged between 1 and 5 years (53.62%, n=37) with a sex ratio of 1.55. The predominant clinical manifestations observed were coma (73.91%, n=51), repeated convulsions (79.71%, n=55), and lethargy (18.84%, n=13). In children who recovered, the mean TNFα level showed a significant reduction from 7.46 pg/mL to 6.66 pg/mL (p&lt;0.00001) between Day 0 and Day 1. Further, the TNFα level decreased from 6.66 pg/mL to 2.39 pg/mL between Day 1 and discharge (p&lt;0.00001). These findings suggest that TNFα measurement may serve as a reliable prognostic marker for cerebral malaria.</w:t>
      </w:r>
    </w:p>
    <w:p w14:paraId="5EDA7DC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25-A-3516-ASTMH</w:t>
      </w:r>
    </w:p>
    <w:p w14:paraId="7F1863A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Epidemiology</w:t>
      </w:r>
    </w:p>
    <w:p w14:paraId="65B4037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Plasmodium species positivity rates across regions with different malaria transmission intensities in Mainland Tanzania: Data from a nationwide survey conducted in 2023</w:t>
      </w:r>
    </w:p>
    <w:p w14:paraId="45F6BC2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Although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is the most dominant and highly virulent species in Sub-Saharan Africa, non-falciparum species like </w:t>
      </w:r>
      <w:r w:rsidRPr="008E7DCB">
        <w:rPr>
          <w:rFonts w:ascii="Calibri" w:eastAsia="Times New Roman" w:hAnsi="Calibri" w:cs="Calibri"/>
          <w:i/>
          <w:iCs/>
          <w:color w:val="000000"/>
          <w:kern w:val="0"/>
          <w:sz w:val="22"/>
          <w:szCs w:val="22"/>
          <w14:ligatures w14:val="none"/>
        </w:rPr>
        <w:t>Plasmodium malariae, Plasmodium ovale</w:t>
      </w:r>
      <w:r w:rsidRPr="008E7DCB">
        <w:rPr>
          <w:rFonts w:ascii="Calibri" w:eastAsia="Times New Roman" w:hAnsi="Calibri" w:cs="Calibri"/>
          <w:color w:val="000000"/>
          <w:kern w:val="0"/>
          <w:sz w:val="22"/>
          <w:szCs w:val="22"/>
          <w14:ligatures w14:val="none"/>
        </w:rPr>
        <w:t> spp. and </w:t>
      </w:r>
      <w:r w:rsidRPr="008E7DCB">
        <w:rPr>
          <w:rFonts w:ascii="Calibri" w:eastAsia="Times New Roman" w:hAnsi="Calibri" w:cs="Calibri"/>
          <w:i/>
          <w:iCs/>
          <w:color w:val="000000"/>
          <w:kern w:val="0"/>
          <w:sz w:val="22"/>
          <w:szCs w:val="22"/>
          <w14:ligatures w14:val="none"/>
        </w:rPr>
        <w:t>Plasmodium vivax</w:t>
      </w:r>
      <w:r w:rsidRPr="008E7DCB">
        <w:rPr>
          <w:rFonts w:ascii="Calibri" w:eastAsia="Times New Roman" w:hAnsi="Calibri" w:cs="Calibri"/>
          <w:color w:val="000000"/>
          <w:kern w:val="0"/>
          <w:sz w:val="22"/>
          <w:szCs w:val="22"/>
          <w14:ligatures w14:val="none"/>
        </w:rPr>
        <w:t> are increasingly recognised as a hidden burden. Generally, infections by non-falciparum species occur with low parasite densities, frequently present as co-infections with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xml:space="preserve"> and tend to be rare and less severe. These parasites may evade detection by standard diagnostic methods and </w:t>
      </w:r>
      <w:r w:rsidRPr="008E7DCB">
        <w:rPr>
          <w:rFonts w:ascii="Calibri" w:eastAsia="Times New Roman" w:hAnsi="Calibri" w:cs="Calibri"/>
          <w:color w:val="000000"/>
          <w:kern w:val="0"/>
          <w:sz w:val="22"/>
          <w:szCs w:val="22"/>
          <w14:ligatures w14:val="none"/>
        </w:rPr>
        <w:lastRenderedPageBreak/>
        <w:t>complicate case management and malaria control/elimination. To investigate the distribution of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species (except </w:t>
      </w:r>
      <w:r w:rsidRPr="008E7DCB">
        <w:rPr>
          <w:rFonts w:ascii="Calibri" w:eastAsia="Times New Roman" w:hAnsi="Calibri" w:cs="Calibri"/>
          <w:i/>
          <w:iCs/>
          <w:color w:val="000000"/>
          <w:kern w:val="0"/>
          <w:sz w:val="22"/>
          <w:szCs w:val="22"/>
          <w14:ligatures w14:val="none"/>
        </w:rPr>
        <w:t>P. vivax</w:t>
      </w:r>
      <w:r w:rsidRPr="008E7DCB">
        <w:rPr>
          <w:rFonts w:ascii="Calibri" w:eastAsia="Times New Roman" w:hAnsi="Calibri" w:cs="Calibri"/>
          <w:color w:val="000000"/>
          <w:kern w:val="0"/>
          <w:sz w:val="22"/>
          <w:szCs w:val="22"/>
          <w14:ligatures w14:val="none"/>
        </w:rPr>
        <w:t>), we analysed 5314 randomly selected samples from a total of 18,586 collected across 26 regions of Mainland Tanzania and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species were detected using qPCR. Of the analysed samples, 52.3% (n=2780) were positive for any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species.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was detected in 97.8% (n=2719),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in 2.7% (n=76), and </w:t>
      </w:r>
      <w:r w:rsidRPr="008E7DCB">
        <w:rPr>
          <w:rFonts w:ascii="Calibri" w:eastAsia="Times New Roman" w:hAnsi="Calibri" w:cs="Calibri"/>
          <w:i/>
          <w:iCs/>
          <w:color w:val="000000"/>
          <w:kern w:val="0"/>
          <w:sz w:val="22"/>
          <w:szCs w:val="22"/>
          <w14:ligatures w14:val="none"/>
        </w:rPr>
        <w:t>P. ovale</w:t>
      </w:r>
      <w:r w:rsidRPr="008E7DCB">
        <w:rPr>
          <w:rFonts w:ascii="Calibri" w:eastAsia="Times New Roman" w:hAnsi="Calibri" w:cs="Calibri"/>
          <w:color w:val="000000"/>
          <w:kern w:val="0"/>
          <w:sz w:val="22"/>
          <w:szCs w:val="22"/>
          <w14:ligatures w14:val="none"/>
        </w:rPr>
        <w:t> spp in 3.5% (n=98) of the qPCR positive samples. Mixed infections were detected in 3.8% (n=107), with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in 1.4% (n=40) and </w:t>
      </w:r>
      <w:r w:rsidRPr="008E7DCB">
        <w:rPr>
          <w:rFonts w:ascii="Calibri" w:eastAsia="Times New Roman" w:hAnsi="Calibri" w:cs="Calibri"/>
          <w:i/>
          <w:iCs/>
          <w:color w:val="000000"/>
          <w:kern w:val="0"/>
          <w:sz w:val="22"/>
          <w:szCs w:val="22"/>
          <w14:ligatures w14:val="none"/>
        </w:rPr>
        <w:t>P. ovale</w:t>
      </w:r>
      <w:r w:rsidRPr="008E7DCB">
        <w:rPr>
          <w:rFonts w:ascii="Calibri" w:eastAsia="Times New Roman" w:hAnsi="Calibri" w:cs="Calibri"/>
          <w:color w:val="000000"/>
          <w:kern w:val="0"/>
          <w:sz w:val="22"/>
          <w:szCs w:val="22"/>
          <w14:ligatures w14:val="none"/>
        </w:rPr>
        <w:t> mixed with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in 2.2% (n=61) of the samples with positive qPCR results. Mono-infections were detected at 93.9% (n= 2612), 1.1% (n=30) and 1.1% (n=31) for </w:t>
      </w:r>
      <w:r w:rsidRPr="008E7DCB">
        <w:rPr>
          <w:rFonts w:ascii="Calibri" w:eastAsia="Times New Roman" w:hAnsi="Calibri" w:cs="Calibri"/>
          <w:i/>
          <w:iCs/>
          <w:color w:val="000000"/>
          <w:kern w:val="0"/>
          <w:sz w:val="22"/>
          <w:szCs w:val="22"/>
          <w14:ligatures w14:val="none"/>
        </w:rPr>
        <w:t>P. falciparum, P. malariae</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 ovale</w:t>
      </w:r>
      <w:r w:rsidRPr="008E7DCB">
        <w:rPr>
          <w:rFonts w:ascii="Calibri" w:eastAsia="Times New Roman" w:hAnsi="Calibri" w:cs="Calibri"/>
          <w:color w:val="000000"/>
          <w:kern w:val="0"/>
          <w:sz w:val="22"/>
          <w:szCs w:val="22"/>
          <w14:ligatures w14:val="none"/>
        </w:rPr>
        <w:t> spp., respectively. Unlike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P. ovale, P. falciparum</w:t>
      </w:r>
      <w:r w:rsidRPr="008E7DCB">
        <w:rPr>
          <w:rFonts w:ascii="Calibri" w:eastAsia="Times New Roman" w:hAnsi="Calibri" w:cs="Calibri"/>
          <w:color w:val="000000"/>
          <w:kern w:val="0"/>
          <w:sz w:val="22"/>
          <w:szCs w:val="22"/>
          <w14:ligatures w14:val="none"/>
        </w:rPr>
        <w:t> infections were significantly influenced by transmission intensities, with the highest odds in regions with high transmission intensities compared to those with moderate (OR=1.25, </w:t>
      </w:r>
      <w:r w:rsidRPr="008E7DCB">
        <w:rPr>
          <w:rFonts w:ascii="Calibri" w:eastAsia="Times New Roman" w:hAnsi="Calibri" w:cs="Calibri"/>
          <w:i/>
          <w:iCs/>
          <w:color w:val="000000"/>
          <w:kern w:val="0"/>
          <w:sz w:val="22"/>
          <w:szCs w:val="22"/>
          <w14:ligatures w14:val="none"/>
        </w:rPr>
        <w:t>P</w:t>
      </w:r>
      <w:r w:rsidRPr="008E7DCB">
        <w:rPr>
          <w:rFonts w:ascii="Calibri" w:eastAsia="Times New Roman" w:hAnsi="Calibri" w:cs="Calibri"/>
          <w:color w:val="000000"/>
          <w:kern w:val="0"/>
          <w:sz w:val="22"/>
          <w:szCs w:val="22"/>
          <w14:ligatures w14:val="none"/>
        </w:rPr>
        <w:t>=0.003), low (OR=1.47, </w:t>
      </w:r>
      <w:r w:rsidRPr="008E7DCB">
        <w:rPr>
          <w:rFonts w:ascii="Calibri" w:eastAsia="Times New Roman" w:hAnsi="Calibri" w:cs="Calibri"/>
          <w:i/>
          <w:iCs/>
          <w:color w:val="000000"/>
          <w:kern w:val="0"/>
          <w:sz w:val="22"/>
          <w:szCs w:val="22"/>
          <w14:ligatures w14:val="none"/>
        </w:rPr>
        <w:t>P</w:t>
      </w:r>
      <w:r w:rsidRPr="008E7DCB">
        <w:rPr>
          <w:rFonts w:ascii="Calibri" w:eastAsia="Times New Roman" w:hAnsi="Calibri" w:cs="Calibri"/>
          <w:color w:val="000000"/>
          <w:kern w:val="0"/>
          <w:sz w:val="22"/>
          <w:szCs w:val="22"/>
          <w14:ligatures w14:val="none"/>
        </w:rPr>
        <w:t>&lt;0.001), and very low transmission (OR=1.85, </w:t>
      </w:r>
      <w:r w:rsidRPr="008E7DCB">
        <w:rPr>
          <w:rFonts w:ascii="Calibri" w:eastAsia="Times New Roman" w:hAnsi="Calibri" w:cs="Calibri"/>
          <w:i/>
          <w:iCs/>
          <w:color w:val="000000"/>
          <w:kern w:val="0"/>
          <w:sz w:val="22"/>
          <w:szCs w:val="22"/>
          <w14:ligatures w14:val="none"/>
        </w:rPr>
        <w:t>P</w:t>
      </w:r>
      <w:r w:rsidRPr="008E7DCB">
        <w:rPr>
          <w:rFonts w:ascii="Calibri" w:eastAsia="Times New Roman" w:hAnsi="Calibri" w:cs="Calibri"/>
          <w:color w:val="000000"/>
          <w:kern w:val="0"/>
          <w:sz w:val="22"/>
          <w:szCs w:val="22"/>
          <w14:ligatures w14:val="none"/>
        </w:rPr>
        <w:t>&lt;0.001). School children (aged 5-15 years) had higher odds of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infections compared to adults with ≥15 years (OR=1.56, </w:t>
      </w:r>
      <w:r w:rsidRPr="008E7DCB">
        <w:rPr>
          <w:rFonts w:ascii="Calibri" w:eastAsia="Times New Roman" w:hAnsi="Calibri" w:cs="Calibri"/>
          <w:i/>
          <w:iCs/>
          <w:color w:val="000000"/>
          <w:kern w:val="0"/>
          <w:sz w:val="22"/>
          <w:szCs w:val="22"/>
          <w14:ligatures w14:val="none"/>
        </w:rPr>
        <w:t>P</w:t>
      </w:r>
      <w:r w:rsidRPr="008E7DCB">
        <w:rPr>
          <w:rFonts w:ascii="Calibri" w:eastAsia="Times New Roman" w:hAnsi="Calibri" w:cs="Calibri"/>
          <w:color w:val="000000"/>
          <w:kern w:val="0"/>
          <w:sz w:val="22"/>
          <w:szCs w:val="22"/>
          <w14:ligatures w14:val="none"/>
        </w:rPr>
        <w:t>&lt;0.001) and under-fives (OR=1.47, </w:t>
      </w:r>
      <w:r w:rsidRPr="008E7DCB">
        <w:rPr>
          <w:rFonts w:ascii="Calibri" w:eastAsia="Times New Roman" w:hAnsi="Calibri" w:cs="Calibri"/>
          <w:i/>
          <w:iCs/>
          <w:color w:val="000000"/>
          <w:kern w:val="0"/>
          <w:sz w:val="22"/>
          <w:szCs w:val="22"/>
          <w14:ligatures w14:val="none"/>
        </w:rPr>
        <w:t>P</w:t>
      </w:r>
      <w:r w:rsidRPr="008E7DCB">
        <w:rPr>
          <w:rFonts w:ascii="Calibri" w:eastAsia="Times New Roman" w:hAnsi="Calibri" w:cs="Calibri"/>
          <w:color w:val="000000"/>
          <w:kern w:val="0"/>
          <w:sz w:val="22"/>
          <w:szCs w:val="22"/>
          <w14:ligatures w14:val="none"/>
        </w:rPr>
        <w:t>&lt;0.001). Adults were also less likely to have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infections than school children (OR=0.45, </w:t>
      </w:r>
      <w:r w:rsidRPr="008E7DCB">
        <w:rPr>
          <w:rFonts w:ascii="Calibri" w:eastAsia="Times New Roman" w:hAnsi="Calibri" w:cs="Calibri"/>
          <w:i/>
          <w:iCs/>
          <w:color w:val="000000"/>
          <w:kern w:val="0"/>
          <w:sz w:val="22"/>
          <w:szCs w:val="22"/>
          <w14:ligatures w14:val="none"/>
        </w:rPr>
        <w:t>P</w:t>
      </w:r>
      <w:r w:rsidRPr="008E7DCB">
        <w:rPr>
          <w:rFonts w:ascii="Calibri" w:eastAsia="Times New Roman" w:hAnsi="Calibri" w:cs="Calibri"/>
          <w:color w:val="000000"/>
          <w:kern w:val="0"/>
          <w:sz w:val="22"/>
          <w:szCs w:val="22"/>
          <w14:ligatures w14:val="none"/>
        </w:rPr>
        <w:t>=0.021). These findings show that non-falciparum species vary across Mainland Tanzania and may contribute significantly to the malaria burden, highlighting the need for broader malaria surveillance beyond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and targeted treatment strategies</w:t>
      </w:r>
    </w:p>
    <w:p w14:paraId="259C498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25-A-3519-ASTMH</w:t>
      </w:r>
    </w:p>
    <w:p w14:paraId="77BCBBF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Epidemiology</w:t>
      </w:r>
    </w:p>
    <w:p w14:paraId="1E8303D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effect of malaria parasitemia in pregnancy on neonatal and infant mortality: an individual participant data meta-analysis</w:t>
      </w:r>
    </w:p>
    <w:p w14:paraId="2337092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in pregnancy can lead to adverse consequences for pregnant women and their infants, including maternal anaemia, foetal death, and premature birth. Whilst the risks associated with malaria at birth are well characterised, less is known about effects on the infant. We conducted a systematic review and individual participant data meta-analysis to assess the burden and effects of malaria infection in pregnancy on neonatal and infant mortality. A literature search was conducted in English using the Malaria in Pregnancy Library, without time limits, for clinical trials and prospective cohort studies reporting malaria testing in pregnancy (systematic screening with any type of test at one or more time points in pregnancy or at birth) and following infants for at least 28 days post-delivery. Eligible studies were identified, and authors were invited to share de-identified individual patient data. The data received was reformatted, merged, and analysed, and a two-stage random effects individual patient data meta-analysis was used. Of 106 potentially eligible studies, 20 contributed datasets by the time of the abstract submission. Studies were conducted between 1996-2019, and 18 (90.0%) were conducted in Africa. Malaria in pregnancy was associated with neonatal death, with the strongest associations observed when diagnosed at delivery by blood smear or rapid diagnostic test (adjusted risk ratio [aRR] 2.12, 95% confidence interval 1.28-3.51, p=0.0035, n=13,660, 13 studies, </w:t>
      </w:r>
      <w:r w:rsidRPr="008E7DCB">
        <w:rPr>
          <w:rFonts w:ascii="Calibri" w:eastAsia="Times New Roman" w:hAnsi="Calibri" w:cs="Calibri"/>
          <w:i/>
          <w:iCs/>
          <w:color w:val="000000"/>
          <w:kern w:val="0"/>
          <w:sz w:val="22"/>
          <w:szCs w:val="22"/>
          <w14:ligatures w14:val="none"/>
        </w:rPr>
        <w:t>I</w:t>
      </w:r>
      <w:r w:rsidRPr="008E7DCB">
        <w:rPr>
          <w:rFonts w:ascii="Calibri" w:eastAsia="Times New Roman" w:hAnsi="Calibri" w:cs="Calibri"/>
          <w:i/>
          <w:iCs/>
          <w:color w:val="000000"/>
          <w:kern w:val="0"/>
          <w:sz w:val="22"/>
          <w:szCs w:val="22"/>
          <w:vertAlign w:val="superscript"/>
          <w14:ligatures w14:val="none"/>
        </w:rPr>
        <w:t>2</w:t>
      </w:r>
      <w:r w:rsidRPr="008E7DCB">
        <w:rPr>
          <w:rFonts w:ascii="Calibri" w:eastAsia="Times New Roman" w:hAnsi="Calibri" w:cs="Calibri"/>
          <w:color w:val="000000"/>
          <w:kern w:val="0"/>
          <w:sz w:val="22"/>
          <w:szCs w:val="22"/>
          <w14:ligatures w14:val="none"/>
        </w:rPr>
        <w:t> 32.3%), but no clear association was detected with infant death (death in the first year of life) for the same exposure (aRR 0.92, 0.63-1.33, p=0.65, n=3007, 3 studies) with only few studies contributing. The full analysis will be presented at the meeting.</w:t>
      </w:r>
    </w:p>
    <w:p w14:paraId="1167D46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25-A-3520-ASTMH</w:t>
      </w:r>
    </w:p>
    <w:p w14:paraId="574CFB3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Epidemiology</w:t>
      </w:r>
    </w:p>
    <w:p w14:paraId="3F4F425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Malaria qPCR positivity in Ndola District, Zambia</w:t>
      </w:r>
    </w:p>
    <w:p w14:paraId="5EB165D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Reported malaria has been increased in a low-moderate transmission area of Ndola District, Zambia, however, little is known about malaria infections within the community. Since September 2023, we have conducted a longitudinal household (n=408 households) study across three health facility catchment areas within Ndola District. Surveys and dried blood spots are collected every two months for subsequent qPCR testing (n=2995 visits). RDTs were given at study visits if requested by the participant because of signs and symptoms of malaria (n=638 visits). Overall, qPCR positivity was 9.5% (283/2971) </w:t>
      </w:r>
      <w:r w:rsidRPr="008E7DCB">
        <w:rPr>
          <w:rFonts w:ascii="Calibri" w:eastAsia="Times New Roman" w:hAnsi="Calibri" w:cs="Calibri"/>
          <w:color w:val="000000"/>
          <w:kern w:val="0"/>
          <w:sz w:val="22"/>
          <w:szCs w:val="22"/>
          <w14:ligatures w14:val="none"/>
        </w:rPr>
        <w:lastRenderedPageBreak/>
        <w:t>and did not differ by age (Chi-square test: p = 0.1722). qPCR positivity differed by location (OR urban population - Kawama = 0.5 (0.38-0.69); urban population Twapia = 0.4 (0.3-0.54)) with the proportion positive more than twice in the peri-urban (Kaniki 15%) versus urban (Twaipia 6.4%) location. qPCR positivity did not differ by bednet usage (OR of using a bednet last night = 0.99 (0.78-1.28)). In this study area, where malaria is increasing risk is the highest within peri-urban environments with no relationship with age or bednet usage.</w:t>
      </w:r>
    </w:p>
    <w:p w14:paraId="569BC4B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25-A-3521-ASTMH</w:t>
      </w:r>
    </w:p>
    <w:p w14:paraId="30D6666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Helminths – Nematodes – Filariasis (Genetics/Genomics)</w:t>
      </w:r>
    </w:p>
    <w:p w14:paraId="2C22CFD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Genomic Epidemiology Results Lead to New Understanding of Strain Diversity and Mito-Nuclear Discordance Within </w:t>
      </w:r>
      <w:r w:rsidRPr="008E7DCB">
        <w:rPr>
          <w:rFonts w:ascii="Calibri" w:eastAsia="Times New Roman" w:hAnsi="Calibri" w:cs="Calibri"/>
          <w:i/>
          <w:iCs/>
          <w:color w:val="000000"/>
          <w:kern w:val="0"/>
          <w:sz w:val="22"/>
          <w:szCs w:val="22"/>
          <w14:ligatures w14:val="none"/>
        </w:rPr>
        <w:t>Brugia malayi</w:t>
      </w:r>
      <w:r w:rsidRPr="008E7DCB">
        <w:rPr>
          <w:rFonts w:ascii="Calibri" w:eastAsia="Times New Roman" w:hAnsi="Calibri" w:cs="Calibri"/>
          <w:color w:val="000000"/>
          <w:kern w:val="0"/>
          <w:sz w:val="22"/>
          <w:szCs w:val="22"/>
          <w14:ligatures w14:val="none"/>
        </w:rPr>
        <w:t> in Indonesia</w:t>
      </w:r>
    </w:p>
    <w:p w14:paraId="4E8D1A5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i/>
          <w:iCs/>
          <w:color w:val="000000"/>
          <w:kern w:val="0"/>
          <w:sz w:val="22"/>
          <w:szCs w:val="22"/>
          <w14:ligatures w14:val="none"/>
        </w:rPr>
        <w:t>Brugia malayi</w:t>
      </w:r>
      <w:r w:rsidRPr="008E7DCB">
        <w:rPr>
          <w:rFonts w:ascii="Calibri" w:eastAsia="Times New Roman" w:hAnsi="Calibri" w:cs="Calibri"/>
          <w:color w:val="000000"/>
          <w:kern w:val="0"/>
          <w:sz w:val="22"/>
          <w:szCs w:val="22"/>
          <w14:ligatures w14:val="none"/>
        </w:rPr>
        <w:t> is the most common cause of lymphatic filariasis (LF) in Indonesia. Although the Belitung District was declared free of LF in 2017 after five rounds of mass drug administration and three transmission assessment surveys, surveys conducted in 2022 identified areas with microfilaria (Mf) prevalence &gt; 1% in humans. Whole nuclear genome analysis of 220 single </w:t>
      </w:r>
      <w:r w:rsidRPr="008E7DCB">
        <w:rPr>
          <w:rFonts w:ascii="Calibri" w:eastAsia="Times New Roman" w:hAnsi="Calibri" w:cs="Calibri"/>
          <w:i/>
          <w:iCs/>
          <w:color w:val="000000"/>
          <w:kern w:val="0"/>
          <w:sz w:val="22"/>
          <w:szCs w:val="22"/>
          <w14:ligatures w14:val="none"/>
        </w:rPr>
        <w:t>B. malayi </w:t>
      </w:r>
      <w:r w:rsidRPr="008E7DCB">
        <w:rPr>
          <w:rFonts w:ascii="Calibri" w:eastAsia="Times New Roman" w:hAnsi="Calibri" w:cs="Calibri"/>
          <w:color w:val="000000"/>
          <w:kern w:val="0"/>
          <w:sz w:val="22"/>
          <w:szCs w:val="22"/>
          <w14:ligatures w14:val="none"/>
        </w:rPr>
        <w:t>Mf from cats, dogs, monkeys, and humans indicated that the </w:t>
      </w:r>
      <w:r w:rsidRPr="008E7DCB">
        <w:rPr>
          <w:rFonts w:ascii="Calibri" w:eastAsia="Times New Roman" w:hAnsi="Calibri" w:cs="Calibri"/>
          <w:i/>
          <w:iCs/>
          <w:color w:val="000000"/>
          <w:kern w:val="0"/>
          <w:sz w:val="22"/>
          <w:szCs w:val="22"/>
          <w14:ligatures w14:val="none"/>
        </w:rPr>
        <w:t>B. malayi</w:t>
      </w:r>
      <w:r w:rsidRPr="008E7DCB">
        <w:rPr>
          <w:rFonts w:ascii="Calibri" w:eastAsia="Times New Roman" w:hAnsi="Calibri" w:cs="Calibri"/>
          <w:color w:val="000000"/>
          <w:kern w:val="0"/>
          <w:sz w:val="22"/>
          <w:szCs w:val="22"/>
          <w14:ligatures w14:val="none"/>
        </w:rPr>
        <w:t> population in Belitung is genetically distinct from parasites in the Thailand and in the laboratory FR3/TRS strain (originally from Malaysia). Furthermore, the </w:t>
      </w:r>
      <w:r w:rsidRPr="008E7DCB">
        <w:rPr>
          <w:rFonts w:ascii="Calibri" w:eastAsia="Times New Roman" w:hAnsi="Calibri" w:cs="Calibri"/>
          <w:i/>
          <w:iCs/>
          <w:color w:val="000000"/>
          <w:kern w:val="0"/>
          <w:sz w:val="22"/>
          <w:szCs w:val="22"/>
          <w14:ligatures w14:val="none"/>
        </w:rPr>
        <w:t>B. malayi</w:t>
      </w:r>
      <w:r w:rsidRPr="008E7DCB">
        <w:rPr>
          <w:rFonts w:ascii="Calibri" w:eastAsia="Times New Roman" w:hAnsi="Calibri" w:cs="Calibri"/>
          <w:color w:val="000000"/>
          <w:kern w:val="0"/>
          <w:sz w:val="22"/>
          <w:szCs w:val="22"/>
          <w14:ligatures w14:val="none"/>
        </w:rPr>
        <w:t> population in Belitung is genetically structured into two subpopulations: a zoophilic </w:t>
      </w:r>
      <w:r w:rsidRPr="008E7DCB">
        <w:rPr>
          <w:rFonts w:ascii="Calibri" w:eastAsia="Times New Roman" w:hAnsi="Calibri" w:cs="Calibri"/>
          <w:i/>
          <w:iCs/>
          <w:color w:val="000000"/>
          <w:kern w:val="0"/>
          <w:sz w:val="22"/>
          <w:szCs w:val="22"/>
          <w14:ligatures w14:val="none"/>
        </w:rPr>
        <w:t>Mansonia</w:t>
      </w:r>
      <w:r w:rsidRPr="008E7DCB">
        <w:rPr>
          <w:rFonts w:ascii="Calibri" w:eastAsia="Times New Roman" w:hAnsi="Calibri" w:cs="Calibri"/>
          <w:color w:val="000000"/>
          <w:kern w:val="0"/>
          <w:sz w:val="22"/>
          <w:szCs w:val="22"/>
          <w14:ligatures w14:val="none"/>
        </w:rPr>
        <w:t>-transmitted population that infects both humans and animals and an anthropophilic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-transmitted population found exclusively in humans. Both strains can be present in individual human hosts. Additionally, whole mitochondrial genome analysis revealed a distinct haplotype group within the anthropophilic population that has a strong phylogenetic affinity to the mitochondrial DNA of </w:t>
      </w:r>
      <w:r w:rsidRPr="008E7DCB">
        <w:rPr>
          <w:rFonts w:ascii="Calibri" w:eastAsia="Times New Roman" w:hAnsi="Calibri" w:cs="Calibri"/>
          <w:i/>
          <w:iCs/>
          <w:color w:val="000000"/>
          <w:kern w:val="0"/>
          <w:sz w:val="22"/>
          <w:szCs w:val="22"/>
          <w14:ligatures w14:val="none"/>
        </w:rPr>
        <w:t>B. timori</w:t>
      </w:r>
      <w:r w:rsidRPr="008E7DCB">
        <w:rPr>
          <w:rFonts w:ascii="Calibri" w:eastAsia="Times New Roman" w:hAnsi="Calibri" w:cs="Calibri"/>
          <w:color w:val="000000"/>
          <w:kern w:val="0"/>
          <w:sz w:val="22"/>
          <w:szCs w:val="22"/>
          <w14:ligatures w14:val="none"/>
        </w:rPr>
        <w:t>, another LF-causing species transmitted by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that is not found in animals and only occurs East of the Wallace Line. This mitochondrial haplogroup was also found at low frequency (below 20%) in the zoophilic </w:t>
      </w:r>
      <w:r w:rsidRPr="008E7DCB">
        <w:rPr>
          <w:rFonts w:ascii="Calibri" w:eastAsia="Times New Roman" w:hAnsi="Calibri" w:cs="Calibri"/>
          <w:i/>
          <w:iCs/>
          <w:color w:val="000000"/>
          <w:kern w:val="0"/>
          <w:sz w:val="22"/>
          <w:szCs w:val="22"/>
          <w14:ligatures w14:val="none"/>
        </w:rPr>
        <w:t>B. malayi</w:t>
      </w:r>
      <w:r w:rsidRPr="008E7DCB">
        <w:rPr>
          <w:rFonts w:ascii="Calibri" w:eastAsia="Times New Roman" w:hAnsi="Calibri" w:cs="Calibri"/>
          <w:color w:val="000000"/>
          <w:kern w:val="0"/>
          <w:sz w:val="22"/>
          <w:szCs w:val="22"/>
          <w14:ligatures w14:val="none"/>
        </w:rPr>
        <w:t> population. Thus, there appear to be striking differences between the mitochondrial and nuclear patterns of variability in these sympatric populations. Mito-nuclear discordance may result from incomplete lineage sorting or asymmetrical introgression. These results highlight complex evolutionary relationships and demographic histories within the </w:t>
      </w:r>
      <w:r w:rsidRPr="008E7DCB">
        <w:rPr>
          <w:rFonts w:ascii="Calibri" w:eastAsia="Times New Roman" w:hAnsi="Calibri" w:cs="Calibri"/>
          <w:i/>
          <w:iCs/>
          <w:color w:val="000000"/>
          <w:kern w:val="0"/>
          <w:sz w:val="22"/>
          <w:szCs w:val="22"/>
          <w14:ligatures w14:val="none"/>
        </w:rPr>
        <w:t>Brugia </w:t>
      </w:r>
      <w:r w:rsidRPr="008E7DCB">
        <w:rPr>
          <w:rFonts w:ascii="Calibri" w:eastAsia="Times New Roman" w:hAnsi="Calibri" w:cs="Calibri"/>
          <w:color w:val="000000"/>
          <w:kern w:val="0"/>
          <w:sz w:val="22"/>
          <w:szCs w:val="22"/>
          <w14:ligatures w14:val="none"/>
        </w:rPr>
        <w:t>genus. Highly divergent mitochondrial DNA lineages in </w:t>
      </w:r>
      <w:r w:rsidRPr="008E7DCB">
        <w:rPr>
          <w:rFonts w:ascii="Calibri" w:eastAsia="Times New Roman" w:hAnsi="Calibri" w:cs="Calibri"/>
          <w:i/>
          <w:iCs/>
          <w:color w:val="000000"/>
          <w:kern w:val="0"/>
          <w:sz w:val="22"/>
          <w:szCs w:val="22"/>
          <w14:ligatures w14:val="none"/>
        </w:rPr>
        <w:t>B. malayi</w:t>
      </w:r>
      <w:r w:rsidRPr="008E7DCB">
        <w:rPr>
          <w:rFonts w:ascii="Calibri" w:eastAsia="Times New Roman" w:hAnsi="Calibri" w:cs="Calibri"/>
          <w:color w:val="000000"/>
          <w:kern w:val="0"/>
          <w:sz w:val="22"/>
          <w:szCs w:val="22"/>
          <w14:ligatures w14:val="none"/>
        </w:rPr>
        <w:t>, which exhibit non-monophyletic relationships, have significant implications for the use of mitochondrial markers for genetic surveillance and epidemiological research of parasites that cause LF.</w:t>
      </w:r>
    </w:p>
    <w:p w14:paraId="1638594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25-A-3523-ASTMH</w:t>
      </w:r>
    </w:p>
    <w:p w14:paraId="0AC5617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Measures for Control and Elimination of Neglected Tropical Diseases (NTDs)</w:t>
      </w:r>
    </w:p>
    <w:p w14:paraId="5139E5C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Trachoma elimination in Niger: screening of trachomatous trichiasis cases by community relays in nine endemic health districts.</w:t>
      </w:r>
    </w:p>
    <w:p w14:paraId="3531F12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Niger has targeted the control and elimination of trachoma since 2001, with the objective of disease elimination nationwide. Globally, the trachoma elimination target is 2030. Mapping demonstrated that 62 of 72 total health districts (HDs) were endemic for trachoma and subsequently implemented the WHO SAFE strategy (</w:t>
      </w:r>
      <w:r w:rsidRPr="008E7DCB">
        <w:rPr>
          <w:rFonts w:ascii="Calibri" w:eastAsia="Times New Roman" w:hAnsi="Calibri" w:cs="Calibri"/>
          <w:b/>
          <w:bCs/>
          <w:color w:val="000000"/>
          <w:kern w:val="0"/>
          <w:sz w:val="22"/>
          <w:szCs w:val="22"/>
          <w:u w:val="single"/>
          <w14:ligatures w14:val="none"/>
        </w:rPr>
        <w:t>s</w:t>
      </w:r>
      <w:r w:rsidRPr="008E7DCB">
        <w:rPr>
          <w:rFonts w:ascii="Calibri" w:eastAsia="Times New Roman" w:hAnsi="Calibri" w:cs="Calibri"/>
          <w:color w:val="000000"/>
          <w:kern w:val="0"/>
          <w:sz w:val="22"/>
          <w:szCs w:val="22"/>
          <w14:ligatures w14:val="none"/>
        </w:rPr>
        <w:t>urgery for trichiasis, </w:t>
      </w:r>
      <w:r w:rsidRPr="008E7DCB">
        <w:rPr>
          <w:rFonts w:ascii="Calibri" w:eastAsia="Times New Roman" w:hAnsi="Calibri" w:cs="Calibri"/>
          <w:b/>
          <w:bCs/>
          <w:color w:val="000000"/>
          <w:kern w:val="0"/>
          <w:sz w:val="22"/>
          <w:szCs w:val="22"/>
          <w:u w:val="single"/>
          <w14:ligatures w14:val="none"/>
        </w:rPr>
        <w:t>a</w:t>
      </w:r>
      <w:r w:rsidRPr="008E7DCB">
        <w:rPr>
          <w:rFonts w:ascii="Calibri" w:eastAsia="Times New Roman" w:hAnsi="Calibri" w:cs="Calibri"/>
          <w:color w:val="000000"/>
          <w:kern w:val="0"/>
          <w:sz w:val="22"/>
          <w:szCs w:val="22"/>
          <w14:ligatures w14:val="none"/>
        </w:rPr>
        <w:t>ntibiotics, </w:t>
      </w:r>
      <w:r w:rsidRPr="008E7DCB">
        <w:rPr>
          <w:rFonts w:ascii="Calibri" w:eastAsia="Times New Roman" w:hAnsi="Calibri" w:cs="Calibri"/>
          <w:b/>
          <w:bCs/>
          <w:color w:val="000000"/>
          <w:kern w:val="0"/>
          <w:sz w:val="22"/>
          <w:szCs w:val="22"/>
          <w:u w:val="single"/>
          <w14:ligatures w14:val="none"/>
        </w:rPr>
        <w:t>f</w:t>
      </w:r>
      <w:r w:rsidRPr="008E7DCB">
        <w:rPr>
          <w:rFonts w:ascii="Calibri" w:eastAsia="Times New Roman" w:hAnsi="Calibri" w:cs="Calibri"/>
          <w:color w:val="000000"/>
          <w:kern w:val="0"/>
          <w:sz w:val="22"/>
          <w:szCs w:val="22"/>
          <w14:ligatures w14:val="none"/>
        </w:rPr>
        <w:t>acial cleanliness and </w:t>
      </w:r>
      <w:r w:rsidRPr="008E7DCB">
        <w:rPr>
          <w:rFonts w:ascii="Calibri" w:eastAsia="Times New Roman" w:hAnsi="Calibri" w:cs="Calibri"/>
          <w:b/>
          <w:bCs/>
          <w:color w:val="000000"/>
          <w:kern w:val="0"/>
          <w:sz w:val="22"/>
          <w:szCs w:val="22"/>
          <w:u w:val="single"/>
          <w14:ligatures w14:val="none"/>
        </w:rPr>
        <w:t>e</w:t>
      </w:r>
      <w:r w:rsidRPr="008E7DCB">
        <w:rPr>
          <w:rFonts w:ascii="Calibri" w:eastAsia="Times New Roman" w:hAnsi="Calibri" w:cs="Calibri"/>
          <w:color w:val="000000"/>
          <w:kern w:val="0"/>
          <w:sz w:val="22"/>
          <w:szCs w:val="22"/>
          <w14:ligatures w14:val="none"/>
        </w:rPr>
        <w:t xml:space="preserve">nvironmental improvements).In order to declare trachoma elimination as a public health problem, two main criteria need to be reached: sustained trachomatous inflammation - follicular (TF) prevalence of &lt;5% in children aged 1-9 years and trachomatous trichiasis (TT) prevalence of &lt;0.2% in adults. In 2024, Niger intensified its efforts by creating a trichiasis case screening system in all endemic HDs where TF prevalence is &lt;5% after surveillance assessments but TT prevalence remains &gt;0.2%, including in nine HDs supported by Helen Keller Intl. Community relays were recruited and trained to identify suspected TT cases at the community level using a door-to-door strategy. Here we report the success of the door-to-door case-finding strategy in Niger. 3,941 relays were trained in the regions of Dosso, Tahoua, Maradi and Zinder. The relays screened 1,073,463 people &gt;15 years and found 22,325 (2.1%) suspected cases of TT. Trained ophthalmic nurses and TT surgeons then confirmed the reported suspected cases, with 15,130 (67.8%) </w:t>
      </w:r>
      <w:r w:rsidRPr="008E7DCB">
        <w:rPr>
          <w:rFonts w:ascii="Calibri" w:eastAsia="Times New Roman" w:hAnsi="Calibri" w:cs="Calibri"/>
          <w:color w:val="000000"/>
          <w:kern w:val="0"/>
          <w:sz w:val="22"/>
          <w:szCs w:val="22"/>
          <w14:ligatures w14:val="none"/>
        </w:rPr>
        <w:lastRenderedPageBreak/>
        <w:t>suspected TT cases visited (loss to follow up due to insecurity) and 1,739 (11.5%) of those were confirmed to have TT. Corrective surgery was offered to all patients and 1,489 (85.6%) people accepted (1,004 women and 485 men). The positive predictive rate of the community relays to detect TT was 11.5%, well within ranges reported by other national trachoma programs using TT case-finders. Niger expects to roll out this strategy nationwide and is on target to submit their WHO trachoma elimination dossier by 2027.</w:t>
      </w:r>
    </w:p>
    <w:p w14:paraId="57FDD69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25-A-3524-ASTMH</w:t>
      </w:r>
    </w:p>
    <w:p w14:paraId="401E1BC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Measures for Control and Elimination of Neglected Tropical Diseases (NTDs)</w:t>
      </w:r>
    </w:p>
    <w:p w14:paraId="5E1C484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Lessons Learned from Integrating the Neglected Tropical Diseases Programme into the Kenyan Health System</w:t>
      </w:r>
    </w:p>
    <w:p w14:paraId="7E0CD0D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Neglected Tropical Diseases (NTD) programs in Kenya have traditionally been siloed and heavily reliant on external partners, contrary to the WHO NTD Roadmap 2021-2030, which emphasizes country ownership and integration into national health systems. To address this, Kenya’s Ministry of Health launched a two-year pilot in Kilifi and Siaya counties to assess integrating NTD interventions into routine MoH structures, focusing on evaluating system readiness, developing an integration model, and embedding NTD programs within regular health services. The pilot enhanced data systems by integrating NTD indicators into Kenya Health Information system, electronic Community Health Information System, and Electronic Medical Records platforms, trained healthcare workers, included NTD services in the Social Health Insurance Fund, and conducted outreach and patient mapping for targeted interventions. Sustainability efforts included advocating for county-led procurement of deworming drugs to reduce donor dependence and promote government ownership. Key lessons highlight the importance of a clear coordination framework, strong M&amp;E, and continuous skill transfer, as one-off training was insufficient for optimal NTD management. The project continuously supported master trainers to deliver on-the-job training and CME, while strengthening the health product supply chain and emphasizing domestic resource mobilization for sustainable NTD service delivery. Routine community deworming was shown to be feasible and sustainable through training Community Health Promoters (CHPs) and integrating deworming into broader primary healthcare, with CHPs delivering these services during household visits.</w:t>
      </w:r>
    </w:p>
    <w:p w14:paraId="4CB478C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25-A-3525-ASTMH</w:t>
      </w:r>
    </w:p>
    <w:p w14:paraId="428B79B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Epidemiology</w:t>
      </w:r>
    </w:p>
    <w:p w14:paraId="7BCA07A5" w14:textId="55A5E57F"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Spatiotemporal dynamics of clinical and asymptomatic malaria and environmental risk factors in villages around the Soum agropole, Burkina Faso</w:t>
      </w:r>
    </w:p>
    <w:p w14:paraId="109449C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building of dams and irrigation schemes as resilience measures against growing food insecurity and water scarcity due to climate change could exacerbate the risk of malaria. The aim of this study is to describe the spatiotemporal distribution of asymptomatic and clinical malaria and the environmental determinants of malaria infections in villages around the dam of the Soum agropole in Burkina Faso. We conducted monthly cross-sectional surveys from March-22 to Feb-23 in five villages of the Nanoro Health District selected according to their proximity with the dam: Soum and Goulouré (near), Nazoanga (moderate distance), and Soala and Séguédin (far). Capillary blood samples were analyzed by microscopy for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xml:space="preserve"> identification. Bivariate analyses were performed to assess the prevalence of clinical and asymptomatic malaria while a mixed-effects logistic regression model identified risk factors of malaria infection. A total of 13,786 participants were included in the study. Overall malaria prevalence (clinical cases and asymptomatic carriers) was 39.6%. Children aged 5-19 had highest prevalence (51.6%-69.4%), while adults (≥20 years) had the lowest (14.1%). Soum (3.2%-11.0%) and Goulouré (13.4%-14.1%) had higher prevalence of clinical cases, while Soala (8.2%-14.9%) and Séguédin (13.0%-14.1%) had higher rates of asymptomatic carriage during the low transmission season. The risk of malaria infection was significantly associated with the 5-19 age group (OR=4.39) with the highest risk observed in Soum and Nazoanga. Pupils/students (OR=1.48) were also at higher risk of malaria infection. </w:t>
      </w:r>
      <w:r w:rsidRPr="008E7DCB">
        <w:rPr>
          <w:rFonts w:ascii="Calibri" w:eastAsia="Times New Roman" w:hAnsi="Calibri" w:cs="Calibri"/>
          <w:color w:val="000000"/>
          <w:kern w:val="0"/>
          <w:sz w:val="22"/>
          <w:szCs w:val="22"/>
          <w14:ligatures w14:val="none"/>
        </w:rPr>
        <w:lastRenderedPageBreak/>
        <w:t>Low-transmission season (OR=0.60), secondary level of education (OR=0.69) and seasonal chemoprevention (OR=0.60) were associated with a protective effect. Our study observed a complex malaria dynamic around the Soum dam in Burkina Faso where in particular, the prevalence of clinical cases near the dam was higher during the low-transmission season. These results highlighting dam impact on public health and the need for interdisciplinary approaches including water management and socio-economic policies.</w:t>
      </w:r>
    </w:p>
    <w:p w14:paraId="23DFA62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25-A-3527-ASTMH</w:t>
      </w:r>
    </w:p>
    <w:p w14:paraId="55F6AD0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Epidemiology and Vector Control</w:t>
      </w:r>
    </w:p>
    <w:p w14:paraId="735853C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i/>
          <w:iCs/>
          <w:color w:val="000000"/>
          <w:kern w:val="0"/>
          <w:sz w:val="22"/>
          <w:szCs w:val="22"/>
          <w14:ligatures w14:val="none"/>
        </w:rPr>
        <w:t>Anopheles</w:t>
      </w:r>
      <w:r w:rsidRPr="008E7DCB">
        <w:rPr>
          <w:rFonts w:ascii="Calibri" w:eastAsia="Times New Roman" w:hAnsi="Calibri" w:cs="Calibri"/>
          <w:b/>
          <w:bCs/>
          <w:color w:val="000000"/>
          <w:kern w:val="0"/>
          <w:sz w:val="22"/>
          <w:szCs w:val="22"/>
          <w14:ligatures w14:val="none"/>
        </w:rPr>
        <w:t> mosquito characterization during the rainy and dry seasons in malaria hyperendemic area of Kati-Faladie, Mali</w:t>
      </w:r>
    </w:p>
    <w:p w14:paraId="1E931DF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Background:</w:t>
      </w:r>
      <w:r w:rsidRPr="008E7DCB">
        <w:rPr>
          <w:rFonts w:ascii="Calibri" w:eastAsia="Times New Roman" w:hAnsi="Calibri" w:cs="Calibri"/>
          <w:color w:val="000000"/>
          <w:kern w:val="0"/>
          <w:sz w:val="22"/>
          <w:szCs w:val="22"/>
          <w14:ligatures w14:val="none"/>
        </w:rPr>
        <w:t> The mosquitoes </w:t>
      </w:r>
      <w:r w:rsidRPr="008E7DCB">
        <w:rPr>
          <w:rFonts w:ascii="Calibri" w:eastAsia="Times New Roman" w:hAnsi="Calibri" w:cs="Calibri"/>
          <w:i/>
          <w:iCs/>
          <w:color w:val="000000"/>
          <w:kern w:val="0"/>
          <w:sz w:val="22"/>
          <w:szCs w:val="22"/>
          <w14:ligatures w14:val="none"/>
        </w:rPr>
        <w:t>Anopheles coluzzii</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An. gambiae(s.s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An. arabiensis</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An. funestus</w:t>
      </w:r>
      <w:r w:rsidRPr="008E7DCB">
        <w:rPr>
          <w:rFonts w:ascii="Calibri" w:eastAsia="Times New Roman" w:hAnsi="Calibri" w:cs="Calibri"/>
          <w:color w:val="000000"/>
          <w:kern w:val="0"/>
          <w:sz w:val="22"/>
          <w:szCs w:val="22"/>
          <w14:ligatures w14:val="none"/>
        </w:rPr>
        <w:t> are the dominant vector species of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parasites in Mali. The vector massive circulation is observed during the rainy season and clearly decreases during dry season with only a few mosquitoes able to survive during this non optimal dry season. However, the small proportion of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that remain ability transmit malaria is to be determined. Here we hypothesized that the species</w:t>
      </w:r>
      <w:r w:rsidRPr="008E7DCB">
        <w:rPr>
          <w:rFonts w:ascii="Calibri" w:eastAsia="Times New Roman" w:hAnsi="Calibri" w:cs="Calibri"/>
          <w:i/>
          <w:iCs/>
          <w:color w:val="000000"/>
          <w:kern w:val="0"/>
          <w:sz w:val="22"/>
          <w:szCs w:val="22"/>
          <w14:ligatures w14:val="none"/>
        </w:rPr>
        <w:t> </w:t>
      </w:r>
      <w:r w:rsidRPr="008E7DCB">
        <w:rPr>
          <w:rFonts w:ascii="Calibri" w:eastAsia="Times New Roman" w:hAnsi="Calibri" w:cs="Calibri"/>
          <w:color w:val="000000"/>
          <w:kern w:val="0"/>
          <w:sz w:val="22"/>
          <w:szCs w:val="22"/>
          <w14:ligatures w14:val="none"/>
        </w:rPr>
        <w:t>of</w:t>
      </w:r>
      <w:r w:rsidRPr="008E7DCB">
        <w:rPr>
          <w:rFonts w:ascii="Calibri" w:eastAsia="Times New Roman" w:hAnsi="Calibri" w:cs="Calibri"/>
          <w:i/>
          <w:iCs/>
          <w:color w:val="000000"/>
          <w:kern w:val="0"/>
          <w:sz w:val="22"/>
          <w:szCs w:val="22"/>
          <w14:ligatures w14:val="none"/>
        </w:rPr>
        <w:t> Anopheles</w:t>
      </w:r>
      <w:r w:rsidRPr="008E7DCB">
        <w:rPr>
          <w:rFonts w:ascii="Calibri" w:eastAsia="Times New Roman" w:hAnsi="Calibri" w:cs="Calibri"/>
          <w:color w:val="000000"/>
          <w:kern w:val="0"/>
          <w:sz w:val="22"/>
          <w:szCs w:val="22"/>
          <w14:ligatures w14:val="none"/>
        </w:rPr>
        <w:t> mosquito that transmit malaria during the dry and rainy seasons are different. The main objective is to profile the mosquito population to identify those sustaining malaria transmission during the dry and rainy seasons. </w:t>
      </w:r>
      <w:r w:rsidRPr="008E7DCB">
        <w:rPr>
          <w:rFonts w:ascii="Calibri" w:eastAsia="Times New Roman" w:hAnsi="Calibri" w:cs="Calibri"/>
          <w:b/>
          <w:bCs/>
          <w:color w:val="000000"/>
          <w:kern w:val="0"/>
          <w:sz w:val="22"/>
          <w:szCs w:val="22"/>
          <w14:ligatures w14:val="none"/>
        </w:rPr>
        <w:t>Methods: </w:t>
      </w:r>
      <w:r w:rsidRPr="008E7DCB">
        <w:rPr>
          <w:rFonts w:ascii="Calibri" w:eastAsia="Times New Roman" w:hAnsi="Calibri" w:cs="Calibri"/>
          <w:color w:val="000000"/>
          <w:kern w:val="0"/>
          <w:sz w:val="22"/>
          <w:szCs w:val="22"/>
          <w14:ligatures w14:val="none"/>
        </w:rPr>
        <w:t>Mosquitoes were captured during the rainy season by spray catch in Faladie, a rural village in Koulikoro, 80 kilometers from Bamako in Mali. Collected specimens were identified using morphological dichotomies keys of Culicidae and PCR.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infection was characterized by mosquitoes captured by qPCR for 18 S genes</w:t>
      </w:r>
      <w:r w:rsidRPr="008E7DCB">
        <w:rPr>
          <w:rFonts w:ascii="Calibri" w:eastAsia="Times New Roman" w:hAnsi="Calibri" w:cs="Calibri"/>
          <w:b/>
          <w:bCs/>
          <w:color w:val="000000"/>
          <w:kern w:val="0"/>
          <w:sz w:val="22"/>
          <w:szCs w:val="22"/>
          <w14:ligatures w14:val="none"/>
        </w:rPr>
        <w:t>. Results: </w:t>
      </w:r>
      <w:r w:rsidRPr="008E7DCB">
        <w:rPr>
          <w:rFonts w:ascii="Calibri" w:eastAsia="Times New Roman" w:hAnsi="Calibri" w:cs="Calibri"/>
          <w:color w:val="000000"/>
          <w:kern w:val="0"/>
          <w:sz w:val="22"/>
          <w:szCs w:val="22"/>
          <w14:ligatures w14:val="none"/>
        </w:rPr>
        <w:t>In this study 1,082 mosquitoes were caught inside the houses (78% female, 22% male) of which 454 (42%) were anophelines and 624 (58%) culicines. Morphologically, the anopheline population consisted of 92.48% </w:t>
      </w:r>
      <w:r w:rsidRPr="008E7DCB">
        <w:rPr>
          <w:rFonts w:ascii="Calibri" w:eastAsia="Times New Roman" w:hAnsi="Calibri" w:cs="Calibri"/>
          <w:i/>
          <w:iCs/>
          <w:color w:val="000000"/>
          <w:kern w:val="0"/>
          <w:sz w:val="22"/>
          <w:szCs w:val="22"/>
          <w14:ligatures w14:val="none"/>
        </w:rPr>
        <w:t>An. gambiae</w:t>
      </w:r>
      <w:r w:rsidRPr="008E7DCB">
        <w:rPr>
          <w:rFonts w:ascii="Calibri" w:eastAsia="Times New Roman" w:hAnsi="Calibri" w:cs="Calibri"/>
          <w:color w:val="000000"/>
          <w:kern w:val="0"/>
          <w:sz w:val="22"/>
          <w:szCs w:val="22"/>
          <w14:ligatures w14:val="none"/>
        </w:rPr>
        <w:t> s.l and 7.52% </w:t>
      </w:r>
      <w:r w:rsidRPr="008E7DCB">
        <w:rPr>
          <w:rFonts w:ascii="Calibri" w:eastAsia="Times New Roman" w:hAnsi="Calibri" w:cs="Calibri"/>
          <w:i/>
          <w:iCs/>
          <w:color w:val="000000"/>
          <w:kern w:val="0"/>
          <w:sz w:val="22"/>
          <w:szCs w:val="22"/>
          <w14:ligatures w14:val="none"/>
        </w:rPr>
        <w:t>An</w:t>
      </w:r>
      <w:r w:rsidRPr="008E7DCB">
        <w:rPr>
          <w:rFonts w:ascii="Calibri" w:eastAsia="Times New Roman" w:hAnsi="Calibri" w:cs="Calibri"/>
          <w:color w:val="000000"/>
          <w:kern w:val="0"/>
          <w:sz w:val="22"/>
          <w:szCs w:val="22"/>
          <w14:ligatures w14:val="none"/>
        </w:rPr>
        <w:t>. s.p.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female densities per room was 3.10. For this collection the </w:t>
      </w:r>
      <w:r w:rsidRPr="008E7DCB">
        <w:rPr>
          <w:rFonts w:ascii="Calibri" w:eastAsia="Times New Roman" w:hAnsi="Calibri" w:cs="Calibri"/>
          <w:i/>
          <w:iCs/>
          <w:color w:val="000000"/>
          <w:kern w:val="0"/>
          <w:sz w:val="22"/>
          <w:szCs w:val="22"/>
          <w14:ligatures w14:val="none"/>
        </w:rPr>
        <w:t>Anopheles </w:t>
      </w:r>
      <w:r w:rsidRPr="008E7DCB">
        <w:rPr>
          <w:rFonts w:ascii="Calibri" w:eastAsia="Times New Roman" w:hAnsi="Calibri" w:cs="Calibri"/>
          <w:color w:val="000000"/>
          <w:kern w:val="0"/>
          <w:sz w:val="22"/>
          <w:szCs w:val="22"/>
          <w14:ligatures w14:val="none"/>
        </w:rPr>
        <w:t>infection rate is 9,22% for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b/>
          <w:bCs/>
          <w:color w:val="000000"/>
          <w:kern w:val="0"/>
          <w:sz w:val="22"/>
          <w:szCs w:val="22"/>
          <w14:ligatures w14:val="none"/>
        </w:rPr>
        <w:t>Ongoing: </w:t>
      </w:r>
      <w:r w:rsidRPr="008E7DCB">
        <w:rPr>
          <w:rFonts w:ascii="Calibri" w:eastAsia="Times New Roman" w:hAnsi="Calibri" w:cs="Calibri"/>
          <w:color w:val="000000"/>
          <w:kern w:val="0"/>
          <w:sz w:val="22"/>
          <w:szCs w:val="22"/>
          <w14:ligatures w14:val="none"/>
        </w:rPr>
        <w:t>PCR (Acomplex 28S) for </w:t>
      </w:r>
      <w:r w:rsidRPr="008E7DCB">
        <w:rPr>
          <w:rFonts w:ascii="Calibri" w:eastAsia="Times New Roman" w:hAnsi="Calibri" w:cs="Calibri"/>
          <w:i/>
          <w:iCs/>
          <w:color w:val="000000"/>
          <w:kern w:val="0"/>
          <w:sz w:val="22"/>
          <w:szCs w:val="22"/>
          <w14:ligatures w14:val="none"/>
        </w:rPr>
        <w:t>Anopheles gambiae</w:t>
      </w:r>
      <w:r w:rsidRPr="008E7DCB">
        <w:rPr>
          <w:rFonts w:ascii="Calibri" w:eastAsia="Times New Roman" w:hAnsi="Calibri" w:cs="Calibri"/>
          <w:color w:val="000000"/>
          <w:kern w:val="0"/>
          <w:sz w:val="22"/>
          <w:szCs w:val="22"/>
          <w14:ligatures w14:val="none"/>
        </w:rPr>
        <w:t> s.l molecular identification. </w:t>
      </w:r>
      <w:r w:rsidRPr="008E7DCB">
        <w:rPr>
          <w:rFonts w:ascii="Calibri" w:eastAsia="Times New Roman" w:hAnsi="Calibri" w:cs="Calibri"/>
          <w:i/>
          <w:iCs/>
          <w:color w:val="000000"/>
          <w:kern w:val="0"/>
          <w:sz w:val="22"/>
          <w:szCs w:val="22"/>
          <w14:ligatures w14:val="none"/>
        </w:rPr>
        <w:t>Anopheles </w:t>
      </w:r>
      <w:r w:rsidRPr="008E7DCB">
        <w:rPr>
          <w:rFonts w:ascii="Calibri" w:eastAsia="Times New Roman" w:hAnsi="Calibri" w:cs="Calibri"/>
          <w:color w:val="000000"/>
          <w:kern w:val="0"/>
          <w:sz w:val="22"/>
          <w:szCs w:val="22"/>
          <w14:ligatures w14:val="none"/>
        </w:rPr>
        <w:t>blood meal determination by ELISA.</w:t>
      </w:r>
      <w:r w:rsidRPr="008E7DCB">
        <w:rPr>
          <w:rFonts w:ascii="Calibri" w:eastAsia="Times New Roman" w:hAnsi="Calibri" w:cs="Calibri"/>
          <w:b/>
          <w:bCs/>
          <w:color w:val="000000"/>
          <w:kern w:val="0"/>
          <w:sz w:val="22"/>
          <w:szCs w:val="22"/>
          <w14:ligatures w14:val="none"/>
        </w:rPr>
        <w:t> </w:t>
      </w:r>
      <w:r w:rsidRPr="008E7DCB">
        <w:rPr>
          <w:rFonts w:ascii="Calibri" w:eastAsia="Times New Roman" w:hAnsi="Calibri" w:cs="Calibri"/>
          <w:color w:val="000000"/>
          <w:kern w:val="0"/>
          <w:sz w:val="22"/>
          <w:szCs w:val="22"/>
          <w14:ligatures w14:val="none"/>
        </w:rPr>
        <w:t>Collect mosquitoes by dry season in the same houses. This study will provide efficient data guided malaria elimination.</w:t>
      </w:r>
    </w:p>
    <w:p w14:paraId="0CF22FF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25-A-3528-ASTMH</w:t>
      </w:r>
    </w:p>
    <w:p w14:paraId="4227651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Genetics, Genomics and Evolution</w:t>
      </w:r>
    </w:p>
    <w:p w14:paraId="7C5DB99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Detection of SNPs and Structural Variants in polyclonal Plasmodium falciparum samples using Oxford Nanopore technology: Implications for discovery of new variants</w:t>
      </w:r>
    </w:p>
    <w:p w14:paraId="32A66D7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Long-read sequencing enables detection of single-nucleotide polymorphisms (SNPs) and structural variations (SVs) in Plasmodium falciparum. We assessed the sensitivity of Oxford Nanopore Technology (ONT) for detecting known SNPs (in drug resistance genes) and SVs (in chromosomes 5, 8, and 13) using controlled mixtures of lab strains (Dd2, HB3, 3D7). Mock samples were prepared by mixing synchronized ring-stage parasites with uninfected human blood, generating various parasite densities. To mimic polyclonal infections, strain combinations were prepared with ≥10,000 parasites/µl and minor allele frequencies of 10 to 40%. Seven mixtures were tested: four two-strain (3D7 and Dd2 at 8:2, 2:8, 6:4, 4:6) and three three-strain (3D7:HB3:Dd2 at 6:3:1, 3:1:6, 1:6:3). SNPs from dominant strains were consistently detected, while detection in minor strains depended on abundance. For example, in 6:3:1, all five HB3-specific SNPs were found, but only 11 of 19 Dd2 SNPs (10%) were detected. In 1:6:3 (HB3 dominant), 22 of 24 SNPs were detected. SV analysis showed reliable detection of CNVs and deletions (e.g., pfmdr1 amplification, pfhrp2/3 deletions) in dominant strains. In 3:1:6 (Dd2 60%), increased depth at 5:929,384-970,000 and zero depth at 8:1,370,000-1,387,982 indicated CNV and pfhrp2 deletion. These were undetectable when Dd2 was at 10%. Similarly, pfhrp3 deletions were detected at 13:2,830,000-2,844,785 when HB3 was dominant, but not when it was least abundant. Overall, ONT reliably detects SNPs and SVs, especially in dominant or single-strain infections, but shows reduced sensitivity for minority variants, posing challenges for molecular surveillance in high-transmission areas.</w:t>
      </w:r>
    </w:p>
    <w:p w14:paraId="35C329C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lastRenderedPageBreak/>
        <w:t>25-A-3529-ASTMH</w:t>
      </w:r>
    </w:p>
    <w:p w14:paraId="1B25A6A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Molecular Biology, Population Genetics and Genomics</w:t>
      </w:r>
    </w:p>
    <w:p w14:paraId="0E784BB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Update of the mosquito (Diptera Culicidae) checklist of Peru based on recent findings and Barcode (COI) sequencing of genitalia-confirmed specimens</w:t>
      </w:r>
    </w:p>
    <w:p w14:paraId="37FC56A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Vector-borne diseases account for more than 17% of all infectious diseases, with mosquitoes (Diptera: Culicidae) being the main vectors of parasites such as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and arboviruses. In Peru, knowledge of mosquito biodiversity is limited and outdated. This study presents an updated national checklist of mosquitoes, incorporating 31 new records for the country. Specimens were collected between September 2023 and July 2024 across 10 departments using CDC and BG-Sentinel traps. Morphological identification was confirmed through male genitalia dissection and sequencing of the mitochondrial COI gene. A total of 4,574 mosquitoes (2,870 males and 1,704 females) were collected, identifying 61 species belonging to 12 genera </w:t>
      </w:r>
      <w:r w:rsidRPr="008E7DCB">
        <w:rPr>
          <w:rFonts w:ascii="Calibri" w:eastAsia="Times New Roman" w:hAnsi="Calibri" w:cs="Calibri"/>
          <w:i/>
          <w:iCs/>
          <w:color w:val="000000"/>
          <w:kern w:val="0"/>
          <w:sz w:val="22"/>
          <w:szCs w:val="22"/>
          <w14:ligatures w14:val="none"/>
        </w:rPr>
        <w:t>Aedeomyia</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Aedes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Anopheles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Coquillettidia</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Culex</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Limatus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Mansonia</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Psorophora</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Shanoniana</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Trichoprosopon</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Uranotaenia</w:t>
      </w:r>
      <w:r w:rsidRPr="008E7DCB">
        <w:rPr>
          <w:rFonts w:ascii="Calibri" w:eastAsia="Times New Roman" w:hAnsi="Calibri" w:cs="Calibri"/>
          <w:color w:val="000000"/>
          <w:kern w:val="0"/>
          <w:sz w:val="22"/>
          <w:szCs w:val="22"/>
          <w14:ligatures w14:val="none"/>
        </w:rPr>
        <w:t>, and </w:t>
      </w:r>
      <w:r w:rsidRPr="008E7DCB">
        <w:rPr>
          <w:rFonts w:ascii="Calibri" w:eastAsia="Times New Roman" w:hAnsi="Calibri" w:cs="Calibri"/>
          <w:i/>
          <w:iCs/>
          <w:color w:val="000000"/>
          <w:kern w:val="0"/>
          <w:sz w:val="22"/>
          <w:szCs w:val="22"/>
          <w14:ligatures w14:val="none"/>
        </w:rPr>
        <w:t>Wyeomyia</w:t>
      </w:r>
      <w:r w:rsidRPr="008E7DCB">
        <w:rPr>
          <w:rFonts w:ascii="Calibri" w:eastAsia="Times New Roman" w:hAnsi="Calibri" w:cs="Calibri"/>
          <w:color w:val="000000"/>
          <w:kern w:val="0"/>
          <w:sz w:val="22"/>
          <w:szCs w:val="22"/>
          <w14:ligatures w14:val="none"/>
        </w:rPr>
        <w:t>. Of these, nine species play a significant vectorial role: </w:t>
      </w:r>
      <w:r w:rsidRPr="008E7DCB">
        <w:rPr>
          <w:rFonts w:ascii="Calibri" w:eastAsia="Times New Roman" w:hAnsi="Calibri" w:cs="Calibri"/>
          <w:i/>
          <w:iCs/>
          <w:color w:val="000000"/>
          <w:kern w:val="0"/>
          <w:sz w:val="22"/>
          <w:szCs w:val="22"/>
          <w14:ligatures w14:val="none"/>
        </w:rPr>
        <w:t>Aedes aegypti</w:t>
      </w:r>
      <w:r w:rsidRPr="008E7DCB">
        <w:rPr>
          <w:rFonts w:ascii="Calibri" w:eastAsia="Times New Roman" w:hAnsi="Calibri" w:cs="Calibri"/>
          <w:color w:val="000000"/>
          <w:kern w:val="0"/>
          <w:sz w:val="22"/>
          <w:szCs w:val="22"/>
          <w14:ligatures w14:val="none"/>
        </w:rPr>
        <w:t> Linnaeus, 1762; </w:t>
      </w:r>
      <w:r w:rsidRPr="008E7DCB">
        <w:rPr>
          <w:rFonts w:ascii="Calibri" w:eastAsia="Times New Roman" w:hAnsi="Calibri" w:cs="Calibri"/>
          <w:i/>
          <w:iCs/>
          <w:color w:val="000000"/>
          <w:kern w:val="0"/>
          <w:sz w:val="22"/>
          <w:szCs w:val="22"/>
          <w14:ligatures w14:val="none"/>
        </w:rPr>
        <w:t>Ae. angustivittatus</w:t>
      </w:r>
      <w:r w:rsidRPr="008E7DCB">
        <w:rPr>
          <w:rFonts w:ascii="Calibri" w:eastAsia="Times New Roman" w:hAnsi="Calibri" w:cs="Calibri"/>
          <w:color w:val="000000"/>
          <w:kern w:val="0"/>
          <w:sz w:val="22"/>
          <w:szCs w:val="22"/>
          <w14:ligatures w14:val="none"/>
        </w:rPr>
        <w:t> Dyar and Knab; </w:t>
      </w:r>
      <w:r w:rsidRPr="008E7DCB">
        <w:rPr>
          <w:rFonts w:ascii="Calibri" w:eastAsia="Times New Roman" w:hAnsi="Calibri" w:cs="Calibri"/>
          <w:i/>
          <w:iCs/>
          <w:color w:val="000000"/>
          <w:kern w:val="0"/>
          <w:sz w:val="22"/>
          <w:szCs w:val="22"/>
          <w14:ligatures w14:val="none"/>
        </w:rPr>
        <w:t>Ae. scapularis</w:t>
      </w:r>
      <w:r w:rsidRPr="008E7DCB">
        <w:rPr>
          <w:rFonts w:ascii="Calibri" w:eastAsia="Times New Roman" w:hAnsi="Calibri" w:cs="Calibri"/>
          <w:color w:val="000000"/>
          <w:kern w:val="0"/>
          <w:sz w:val="22"/>
          <w:szCs w:val="22"/>
          <w14:ligatures w14:val="none"/>
        </w:rPr>
        <w:t> Rondani, 1848, 1907; </w:t>
      </w:r>
      <w:r w:rsidRPr="008E7DCB">
        <w:rPr>
          <w:rFonts w:ascii="Calibri" w:eastAsia="Times New Roman" w:hAnsi="Calibri" w:cs="Calibri"/>
          <w:i/>
          <w:iCs/>
          <w:color w:val="000000"/>
          <w:kern w:val="0"/>
          <w:sz w:val="22"/>
          <w:szCs w:val="22"/>
          <w14:ligatures w14:val="none"/>
        </w:rPr>
        <w:t>An. triannulatus</w:t>
      </w:r>
      <w:r w:rsidRPr="008E7DCB">
        <w:rPr>
          <w:rFonts w:ascii="Calibri" w:eastAsia="Times New Roman" w:hAnsi="Calibri" w:cs="Calibri"/>
          <w:color w:val="000000"/>
          <w:kern w:val="0"/>
          <w:sz w:val="22"/>
          <w:szCs w:val="22"/>
          <w14:ligatures w14:val="none"/>
        </w:rPr>
        <w:t> (Neiva and Pinto, 1922); </w:t>
      </w:r>
      <w:r w:rsidRPr="008E7DCB">
        <w:rPr>
          <w:rFonts w:ascii="Calibri" w:eastAsia="Times New Roman" w:hAnsi="Calibri" w:cs="Calibri"/>
          <w:i/>
          <w:iCs/>
          <w:color w:val="000000"/>
          <w:kern w:val="0"/>
          <w:sz w:val="22"/>
          <w:szCs w:val="22"/>
          <w14:ligatures w14:val="none"/>
        </w:rPr>
        <w:t>Cx. nigripalpus</w:t>
      </w:r>
      <w:r w:rsidRPr="008E7DCB">
        <w:rPr>
          <w:rFonts w:ascii="Calibri" w:eastAsia="Times New Roman" w:hAnsi="Calibri" w:cs="Calibri"/>
          <w:color w:val="000000"/>
          <w:kern w:val="0"/>
          <w:sz w:val="22"/>
          <w:szCs w:val="22"/>
          <w14:ligatures w14:val="none"/>
        </w:rPr>
        <w:t> Theobald, 1901; </w:t>
      </w:r>
      <w:r w:rsidRPr="008E7DCB">
        <w:rPr>
          <w:rFonts w:ascii="Calibri" w:eastAsia="Times New Roman" w:hAnsi="Calibri" w:cs="Calibri"/>
          <w:i/>
          <w:iCs/>
          <w:color w:val="000000"/>
          <w:kern w:val="0"/>
          <w:sz w:val="22"/>
          <w:szCs w:val="22"/>
          <w14:ligatures w14:val="none"/>
        </w:rPr>
        <w:t>Cx. quinquefasciatus</w:t>
      </w:r>
      <w:r w:rsidRPr="008E7DCB">
        <w:rPr>
          <w:rFonts w:ascii="Calibri" w:eastAsia="Times New Roman" w:hAnsi="Calibri" w:cs="Calibri"/>
          <w:color w:val="000000"/>
          <w:kern w:val="0"/>
          <w:sz w:val="22"/>
          <w:szCs w:val="22"/>
          <w14:ligatures w14:val="none"/>
        </w:rPr>
        <w:t> Say, 1823; </w:t>
      </w:r>
      <w:r w:rsidRPr="008E7DCB">
        <w:rPr>
          <w:rFonts w:ascii="Calibri" w:eastAsia="Times New Roman" w:hAnsi="Calibri" w:cs="Calibri"/>
          <w:i/>
          <w:iCs/>
          <w:color w:val="000000"/>
          <w:kern w:val="0"/>
          <w:sz w:val="22"/>
          <w:szCs w:val="22"/>
          <w14:ligatures w14:val="none"/>
        </w:rPr>
        <w:t>Cx. spissipes</w:t>
      </w:r>
      <w:r w:rsidRPr="008E7DCB">
        <w:rPr>
          <w:rFonts w:ascii="Calibri" w:eastAsia="Times New Roman" w:hAnsi="Calibri" w:cs="Calibri"/>
          <w:color w:val="000000"/>
          <w:kern w:val="0"/>
          <w:sz w:val="22"/>
          <w:szCs w:val="22"/>
          <w14:ligatures w14:val="none"/>
        </w:rPr>
        <w:t> (Theobald, 1903); </w:t>
      </w:r>
      <w:r w:rsidRPr="008E7DCB">
        <w:rPr>
          <w:rFonts w:ascii="Calibri" w:eastAsia="Times New Roman" w:hAnsi="Calibri" w:cs="Calibri"/>
          <w:i/>
          <w:iCs/>
          <w:color w:val="000000"/>
          <w:kern w:val="0"/>
          <w:sz w:val="22"/>
          <w:szCs w:val="22"/>
          <w14:ligatures w14:val="none"/>
        </w:rPr>
        <w:t>Cx. vomerifer</w:t>
      </w:r>
      <w:r w:rsidRPr="008E7DCB">
        <w:rPr>
          <w:rFonts w:ascii="Calibri" w:eastAsia="Times New Roman" w:hAnsi="Calibri" w:cs="Calibri"/>
          <w:color w:val="000000"/>
          <w:kern w:val="0"/>
          <w:sz w:val="22"/>
          <w:szCs w:val="22"/>
          <w14:ligatures w14:val="none"/>
        </w:rPr>
        <w:t> Komp, 1932 and </w:t>
      </w:r>
      <w:r w:rsidRPr="008E7DCB">
        <w:rPr>
          <w:rFonts w:ascii="Calibri" w:eastAsia="Times New Roman" w:hAnsi="Calibri" w:cs="Calibri"/>
          <w:i/>
          <w:iCs/>
          <w:color w:val="000000"/>
          <w:kern w:val="0"/>
          <w:sz w:val="22"/>
          <w:szCs w:val="22"/>
          <w14:ligatures w14:val="none"/>
        </w:rPr>
        <w:t>Ps. ferox</w:t>
      </w:r>
      <w:r w:rsidRPr="008E7DCB">
        <w:rPr>
          <w:rFonts w:ascii="Calibri" w:eastAsia="Times New Roman" w:hAnsi="Calibri" w:cs="Calibri"/>
          <w:color w:val="000000"/>
          <w:kern w:val="0"/>
          <w:sz w:val="22"/>
          <w:szCs w:val="22"/>
          <w14:ligatures w14:val="none"/>
        </w:rPr>
        <w:t> (Humboldt, 1819). A total of 183 sequences were obtained, of which 64% fully matched the morphological identification through the BOLD platform, while 53% showed ≥95% identity in the BLASTn analysis. Furthermore, this study provides, for the first time, partial COI sequences for 23 species. The findings of this study significantly expand current knowledge of mosquito biodiversity in Peru and highlight the existing limitations in global genetic databases. The integration of morphological and molecular approaches improves taxonomic accuracy, which is crucial for developing more effective vector surveillance and control strategies. Moreover, this study establishes a solid foundation for vector control, and the generated sequences will contribute to the creation of a molecular database that will facilitate identification in future studies.</w:t>
      </w:r>
    </w:p>
    <w:p w14:paraId="669656C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25-A-3530-ASTMH</w:t>
      </w:r>
    </w:p>
    <w:p w14:paraId="308D17D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Antimalarial Resistance and Chemotherapy</w:t>
      </w:r>
    </w:p>
    <w:p w14:paraId="2FD9833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Field applicable</w:t>
      </w:r>
      <w:r w:rsidRPr="008E7DCB">
        <w:rPr>
          <w:rFonts w:ascii="Calibri" w:eastAsia="Times New Roman" w:hAnsi="Calibri" w:cs="Calibri"/>
          <w:b/>
          <w:bCs/>
          <w:i/>
          <w:iCs/>
          <w:color w:val="000000"/>
          <w:kern w:val="0"/>
          <w:sz w:val="22"/>
          <w:szCs w:val="22"/>
          <w14:ligatures w14:val="none"/>
        </w:rPr>
        <w:t> </w:t>
      </w:r>
      <w:r w:rsidRPr="008E7DCB">
        <w:rPr>
          <w:rFonts w:ascii="Calibri" w:eastAsia="Times New Roman" w:hAnsi="Calibri" w:cs="Calibri"/>
          <w:b/>
          <w:bCs/>
          <w:color w:val="000000"/>
          <w:kern w:val="0"/>
          <w:sz w:val="22"/>
          <w:szCs w:val="22"/>
          <w14:ligatures w14:val="none"/>
        </w:rPr>
        <w:t>improvements for artemisinin partial resistance </w:t>
      </w:r>
      <w:r w:rsidRPr="008E7DCB">
        <w:rPr>
          <w:rFonts w:ascii="Calibri" w:eastAsia="Times New Roman" w:hAnsi="Calibri" w:cs="Calibri"/>
          <w:b/>
          <w:bCs/>
          <w:i/>
          <w:iCs/>
          <w:color w:val="000000"/>
          <w:kern w:val="0"/>
          <w:sz w:val="22"/>
          <w:szCs w:val="22"/>
          <w14:ligatures w14:val="none"/>
        </w:rPr>
        <w:t>in vitro</w:t>
      </w:r>
      <w:r w:rsidRPr="008E7DCB">
        <w:rPr>
          <w:rFonts w:ascii="Calibri" w:eastAsia="Times New Roman" w:hAnsi="Calibri" w:cs="Calibri"/>
          <w:b/>
          <w:bCs/>
          <w:color w:val="000000"/>
          <w:kern w:val="0"/>
          <w:sz w:val="22"/>
          <w:szCs w:val="22"/>
          <w14:ligatures w14:val="none"/>
        </w:rPr>
        <w:t> and </w:t>
      </w:r>
      <w:r w:rsidRPr="008E7DCB">
        <w:rPr>
          <w:rFonts w:ascii="Calibri" w:eastAsia="Times New Roman" w:hAnsi="Calibri" w:cs="Calibri"/>
          <w:b/>
          <w:bCs/>
          <w:i/>
          <w:iCs/>
          <w:color w:val="000000"/>
          <w:kern w:val="0"/>
          <w:sz w:val="22"/>
          <w:szCs w:val="22"/>
          <w14:ligatures w14:val="none"/>
        </w:rPr>
        <w:t>ex vivo</w:t>
      </w:r>
      <w:r w:rsidRPr="008E7DCB">
        <w:rPr>
          <w:rFonts w:ascii="Calibri" w:eastAsia="Times New Roman" w:hAnsi="Calibri" w:cs="Calibri"/>
          <w:b/>
          <w:bCs/>
          <w:color w:val="000000"/>
          <w:kern w:val="0"/>
          <w:sz w:val="22"/>
          <w:szCs w:val="22"/>
          <w14:ligatures w14:val="none"/>
        </w:rPr>
        <w:t> phenotyping in sub-Saharan Africa</w:t>
      </w:r>
    </w:p>
    <w:p w14:paraId="468C314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emergence of artemisinin partial resistance (AR) in eastern Africa is a major threat to malaria control. Some 20 point mutations in the </w:t>
      </w:r>
      <w:r w:rsidRPr="008E7DCB">
        <w:rPr>
          <w:rFonts w:ascii="Calibri" w:eastAsia="Times New Roman" w:hAnsi="Calibri" w:cs="Calibri"/>
          <w:i/>
          <w:iCs/>
          <w:color w:val="000000"/>
          <w:kern w:val="0"/>
          <w:sz w:val="22"/>
          <w:szCs w:val="22"/>
          <w14:ligatures w14:val="none"/>
        </w:rPr>
        <w:t>Plasmodium falciparum Kelch-13</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K13</w:t>
      </w:r>
      <w:r w:rsidRPr="008E7DCB">
        <w:rPr>
          <w:rFonts w:ascii="Calibri" w:eastAsia="Times New Roman" w:hAnsi="Calibri" w:cs="Calibri"/>
          <w:color w:val="000000"/>
          <w:kern w:val="0"/>
          <w:sz w:val="22"/>
          <w:szCs w:val="22"/>
          <w14:ligatures w14:val="none"/>
        </w:rPr>
        <w:t>) gene have been associated with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ex vivo</w:t>
      </w:r>
      <w:r w:rsidRPr="008E7DCB">
        <w:rPr>
          <w:rFonts w:ascii="Calibri" w:eastAsia="Times New Roman" w:hAnsi="Calibri" w:cs="Calibri"/>
          <w:color w:val="000000"/>
          <w:kern w:val="0"/>
          <w:sz w:val="22"/>
          <w:szCs w:val="22"/>
          <w14:ligatures w14:val="none"/>
        </w:rPr>
        <w:t> and/or </w:t>
      </w:r>
      <w:r w:rsidRPr="008E7DCB">
        <w:rPr>
          <w:rFonts w:ascii="Calibri" w:eastAsia="Times New Roman" w:hAnsi="Calibri" w:cs="Calibri"/>
          <w:i/>
          <w:iCs/>
          <w:color w:val="000000"/>
          <w:kern w:val="0"/>
          <w:sz w:val="22"/>
          <w:szCs w:val="22"/>
          <w14:ligatures w14:val="none"/>
        </w:rPr>
        <w:t>in vivo</w:t>
      </w:r>
      <w:r w:rsidRPr="008E7DCB">
        <w:rPr>
          <w:rFonts w:ascii="Calibri" w:eastAsia="Times New Roman" w:hAnsi="Calibri" w:cs="Calibri"/>
          <w:color w:val="000000"/>
          <w:kern w:val="0"/>
          <w:sz w:val="22"/>
          <w:szCs w:val="22"/>
          <w14:ligatures w14:val="none"/>
        </w:rPr>
        <w:t> AR phenotypes and serve as resistance markers. However, AR also occurs when </w:t>
      </w:r>
      <w:r w:rsidRPr="008E7DCB">
        <w:rPr>
          <w:rFonts w:ascii="Calibri" w:eastAsia="Times New Roman" w:hAnsi="Calibri" w:cs="Calibri"/>
          <w:i/>
          <w:iCs/>
          <w:color w:val="000000"/>
          <w:kern w:val="0"/>
          <w:sz w:val="22"/>
          <w:szCs w:val="22"/>
          <w14:ligatures w14:val="none"/>
        </w:rPr>
        <w:t>K13</w:t>
      </w:r>
      <w:r w:rsidRPr="008E7DCB">
        <w:rPr>
          <w:rFonts w:ascii="Calibri" w:eastAsia="Times New Roman" w:hAnsi="Calibri" w:cs="Calibri"/>
          <w:color w:val="000000"/>
          <w:kern w:val="0"/>
          <w:sz w:val="22"/>
          <w:szCs w:val="22"/>
          <w14:ligatures w14:val="none"/>
        </w:rPr>
        <w:t> mutations are absent, indicating a role for other genetic variants and complicating </w:t>
      </w:r>
      <w:r w:rsidRPr="008E7DCB">
        <w:rPr>
          <w:rFonts w:ascii="Calibri" w:eastAsia="Times New Roman" w:hAnsi="Calibri" w:cs="Calibri"/>
          <w:i/>
          <w:iCs/>
          <w:color w:val="000000"/>
          <w:kern w:val="0"/>
          <w:sz w:val="22"/>
          <w:szCs w:val="22"/>
          <w14:ligatures w14:val="none"/>
        </w:rPr>
        <w:t>K13</w:t>
      </w:r>
      <w:r w:rsidRPr="008E7DCB">
        <w:rPr>
          <w:rFonts w:ascii="Calibri" w:eastAsia="Times New Roman" w:hAnsi="Calibri" w:cs="Calibri"/>
          <w:color w:val="000000"/>
          <w:kern w:val="0"/>
          <w:sz w:val="22"/>
          <w:szCs w:val="22"/>
          <w14:ligatures w14:val="none"/>
        </w:rPr>
        <w:t>-centric surveillance. Moreover, the urgency of expanded surveillance is underscored by novel (and unvalidated) </w:t>
      </w:r>
      <w:r w:rsidRPr="008E7DCB">
        <w:rPr>
          <w:rFonts w:ascii="Calibri" w:eastAsia="Times New Roman" w:hAnsi="Calibri" w:cs="Calibri"/>
          <w:i/>
          <w:iCs/>
          <w:color w:val="000000"/>
          <w:kern w:val="0"/>
          <w:sz w:val="22"/>
          <w:szCs w:val="22"/>
          <w14:ligatures w14:val="none"/>
        </w:rPr>
        <w:t>K13</w:t>
      </w:r>
      <w:r w:rsidRPr="008E7DCB">
        <w:rPr>
          <w:rFonts w:ascii="Calibri" w:eastAsia="Times New Roman" w:hAnsi="Calibri" w:cs="Calibri"/>
          <w:color w:val="000000"/>
          <w:kern w:val="0"/>
          <w:sz w:val="22"/>
          <w:szCs w:val="22"/>
          <w14:ligatures w14:val="none"/>
        </w:rPr>
        <w:t> mutations increasingly reported across sub-Saharan Africa (SSA). Widespread and decentralized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w:t>
      </w:r>
      <w:r w:rsidRPr="008E7DCB">
        <w:rPr>
          <w:rFonts w:ascii="Calibri" w:eastAsia="Times New Roman" w:hAnsi="Calibri" w:cs="Calibri"/>
          <w:i/>
          <w:iCs/>
          <w:color w:val="000000"/>
          <w:kern w:val="0"/>
          <w:sz w:val="22"/>
          <w:szCs w:val="22"/>
          <w14:ligatures w14:val="none"/>
        </w:rPr>
        <w:t>ex vivo</w:t>
      </w:r>
      <w:r w:rsidRPr="008E7DCB">
        <w:rPr>
          <w:rFonts w:ascii="Calibri" w:eastAsia="Times New Roman" w:hAnsi="Calibri" w:cs="Calibri"/>
          <w:color w:val="000000"/>
          <w:kern w:val="0"/>
          <w:sz w:val="22"/>
          <w:szCs w:val="22"/>
          <w14:ligatures w14:val="none"/>
        </w:rPr>
        <w:t> phenotypic AR surveillance could help here. However, the available ring-stage survival assay (RSA) is technically complex, unwieldy to scale, and uncommonly performed. Significant challenges include transfer times from sample collection to RSA or cryopreservation, insufficient technical capacities for RSAs, and insufficient microscopy capacities. Here we describe optimized methods to overcome these challenges. First, we have developed a field-friendly sample freezing protocol not requiring centrifugation, a sterile environment, or freezing below -20°C, enabling sample processing in the field. Under laboratory conditions, we observed good results for RBC integrity after thawing and parasite revival. Evaluating this simplified cryopreservation method on patient isolates is currently ongoing in Germany, Rwanda, and Uganda. Second, we demonstrate for Rwandan and Ugandan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xml:space="preserve"> isolates that artemisinin IC50 values are informative and can serve as early warning signals for AR. Compared to RSAs, dihydroartemisinin IC50 assays have modest technical requirements, are more scalable, and so are more commonly performed. Third, we have developed an extended recovery RSA that replaces microscopy read-out with qPCR (amenable to dried </w:t>
      </w:r>
      <w:r w:rsidRPr="008E7DCB">
        <w:rPr>
          <w:rFonts w:ascii="Calibri" w:eastAsia="Times New Roman" w:hAnsi="Calibri" w:cs="Calibri"/>
          <w:color w:val="000000"/>
          <w:kern w:val="0"/>
          <w:sz w:val="22"/>
          <w:szCs w:val="22"/>
          <w14:ligatures w14:val="none"/>
        </w:rPr>
        <w:lastRenderedPageBreak/>
        <w:t>blood spots), increasing scalability and precision. Phenotyping AR in SSA is a crucial but difficult component of effective monitoring. The changes noted above allow for a better integration of AR phenotyping into existing, local surveillance systems in SSA.</w:t>
      </w:r>
    </w:p>
    <w:p w14:paraId="0B4AFEC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25-A-3531-ASTMH</w:t>
      </w:r>
    </w:p>
    <w:p w14:paraId="571DFD6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Arthropods/Entomology - Other</w:t>
      </w:r>
    </w:p>
    <w:p w14:paraId="348F26B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Next generation sequencing of Canadian tick borne pathogens using targeted enrichment</w:t>
      </w:r>
    </w:p>
    <w:p w14:paraId="72CD339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Through surveillance programs established in the 1990s, tick and animals samples have been collected and tested at the National Microbiology Laboratory in Winnipeg, Manitoba for tick-borne pathogens; namely </w:t>
      </w:r>
      <w:r w:rsidRPr="008E7DCB">
        <w:rPr>
          <w:rFonts w:ascii="Calibri" w:eastAsia="Times New Roman" w:hAnsi="Calibri" w:cs="Calibri"/>
          <w:i/>
          <w:iCs/>
          <w:color w:val="000000"/>
          <w:kern w:val="0"/>
          <w:sz w:val="22"/>
          <w:szCs w:val="22"/>
          <w14:ligatures w14:val="none"/>
        </w:rPr>
        <w:t>Anaplasma phagocytophilium</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Babesia microti,</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Borrelia burgdorferi,</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Borrelia miyamotoi </w:t>
      </w:r>
      <w:r w:rsidRPr="008E7DCB">
        <w:rPr>
          <w:rFonts w:ascii="Calibri" w:eastAsia="Times New Roman" w:hAnsi="Calibri" w:cs="Calibri"/>
          <w:color w:val="000000"/>
          <w:kern w:val="0"/>
          <w:sz w:val="22"/>
          <w:szCs w:val="22"/>
          <w14:ligatures w14:val="none"/>
        </w:rPr>
        <w:t>and Powassan virus. Although the pathogen status (i.e., positive/negative) of these samples was known, additional genetic information regarding strain, mutations, MLST type, etc., was not investigated. Due to the difficulty of isolating and sequencing pathogens from small amounts of vector material, a target bait enrichment panel of nucleic acid sequences was designed to target genomes of interest. We created a 39,753 probe bait panel by 3X tiling across the </w:t>
      </w:r>
      <w:r w:rsidRPr="008E7DCB">
        <w:rPr>
          <w:rFonts w:ascii="Calibri" w:eastAsia="Times New Roman" w:hAnsi="Calibri" w:cs="Calibri"/>
          <w:i/>
          <w:iCs/>
          <w:color w:val="000000"/>
          <w:kern w:val="0"/>
          <w:sz w:val="22"/>
          <w:szCs w:val="22"/>
          <w14:ligatures w14:val="none"/>
        </w:rPr>
        <w:t>B. microti, A. phagocytophilum, E. chaffeensis, F. tularensis, </w:t>
      </w:r>
      <w:r w:rsidRPr="008E7DCB">
        <w:rPr>
          <w:rFonts w:ascii="Calibri" w:eastAsia="Times New Roman" w:hAnsi="Calibri" w:cs="Calibri"/>
          <w:color w:val="000000"/>
          <w:kern w:val="0"/>
          <w:sz w:val="22"/>
          <w:szCs w:val="22"/>
          <w14:ligatures w14:val="none"/>
        </w:rPr>
        <w:t>Powassan virus,</w:t>
      </w:r>
      <w:r w:rsidRPr="008E7DCB">
        <w:rPr>
          <w:rFonts w:ascii="Calibri" w:eastAsia="Times New Roman" w:hAnsi="Calibri" w:cs="Calibri"/>
          <w:i/>
          <w:iCs/>
          <w:color w:val="000000"/>
          <w:kern w:val="0"/>
          <w:sz w:val="22"/>
          <w:szCs w:val="22"/>
          <w14:ligatures w14:val="none"/>
        </w:rPr>
        <w:t> </w:t>
      </w:r>
      <w:r w:rsidRPr="008E7DCB">
        <w:rPr>
          <w:rFonts w:ascii="Calibri" w:eastAsia="Times New Roman" w:hAnsi="Calibri" w:cs="Calibri"/>
          <w:color w:val="000000"/>
          <w:kern w:val="0"/>
          <w:sz w:val="22"/>
          <w:szCs w:val="22"/>
          <w14:ligatures w14:val="none"/>
        </w:rPr>
        <w:t>and </w:t>
      </w:r>
      <w:r w:rsidRPr="008E7DCB">
        <w:rPr>
          <w:rFonts w:ascii="Calibri" w:eastAsia="Times New Roman" w:hAnsi="Calibri" w:cs="Calibri"/>
          <w:i/>
          <w:iCs/>
          <w:color w:val="000000"/>
          <w:kern w:val="0"/>
          <w:sz w:val="22"/>
          <w:szCs w:val="22"/>
          <w14:ligatures w14:val="none"/>
        </w:rPr>
        <w:t>Borrelia </w:t>
      </w:r>
      <w:r w:rsidRPr="008E7DCB">
        <w:rPr>
          <w:rFonts w:ascii="Calibri" w:eastAsia="Times New Roman" w:hAnsi="Calibri" w:cs="Calibri"/>
          <w:color w:val="000000"/>
          <w:kern w:val="0"/>
          <w:sz w:val="22"/>
          <w:szCs w:val="22"/>
          <w14:ligatures w14:val="none"/>
        </w:rPr>
        <w:t>spp. genomes. Additional coverage was added in areas commonly used for pathogen screening, phylogenetic analyses, and MLST schema. We trialed the panel across a range of sample types, cycle threshold values, comparing single versus co-infections. By selecting samples with lower cycle thresholds values as well as completing two rounds of bait enrichment instead of one, we were able to increase the total on target sequence reads by approximately 30%. Our results suggest that a broad, multi-pathogen panel reduces the presence of vector/host background DNA and is capable of generating good quality complete genomes. Preliminary phylogenetic analysis of the resulting genomes such as </w:t>
      </w:r>
      <w:r w:rsidRPr="008E7DCB">
        <w:rPr>
          <w:rFonts w:ascii="Calibri" w:eastAsia="Times New Roman" w:hAnsi="Calibri" w:cs="Calibri"/>
          <w:i/>
          <w:iCs/>
          <w:color w:val="000000"/>
          <w:kern w:val="0"/>
          <w:sz w:val="22"/>
          <w:szCs w:val="22"/>
          <w14:ligatures w14:val="none"/>
        </w:rPr>
        <w:t>A. phagocytophilum</w:t>
      </w:r>
      <w:r w:rsidRPr="008E7DCB">
        <w:rPr>
          <w:rFonts w:ascii="Calibri" w:eastAsia="Times New Roman" w:hAnsi="Calibri" w:cs="Calibri"/>
          <w:color w:val="000000"/>
          <w:kern w:val="0"/>
          <w:sz w:val="22"/>
          <w:szCs w:val="22"/>
          <w14:ligatures w14:val="none"/>
        </w:rPr>
        <w:t>, demonstrates high strain diversity in one geographical area. Phylogenetic analysis of the other target pathogens are underway. Many of the genomes are the first Canadian strains to be fully sequenced. By integrating sample metadata such as location of collection, time, animal host, and tick stage, with phylogenetic analysis and epidemiological modelling, we are able to investigate the temporal and dispersal history of our pathogen strains. Overall, our research aims to better our understanding of the diversity, adaptation and evolution of circulating Canadian tick borne pathogens.</w:t>
      </w:r>
    </w:p>
    <w:p w14:paraId="4540098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25-A-3532-ASTMH</w:t>
      </w:r>
    </w:p>
    <w:p w14:paraId="44BA87B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Clinical Tropical Medicine</w:t>
      </w:r>
    </w:p>
    <w:p w14:paraId="42F635A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An AI-Powered Smartphone Application for Universal Standardized Lateral Flow Assays Interpretation</w:t>
      </w:r>
    </w:p>
    <w:p w14:paraId="7A741E6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Lateral flow assays (LFAs) are pivotal in the rapid diagnosis of tropical and infectious diseases, facilitating timely patient management and informing public health strategies. However, subjective interpretation and underreporting of LFA results can impede accurate disease monitoring and epidemiological surveillance. We present the development and evaluation of a universal, AI-driven smartphone application designed to digitize and interpret multiple types of LFAs. This universal AI algorithm to interpret LFAs was tested on 17 different LFA types, encompassing tests for Chagas disease (9), malaria (2), COVID-19 (5, including both antigen and antibody tests), and cryptococcosis (1). The AI model was trained on a dataset of 22,576 smartphone-captured images, incorporating variability from multiple smartphone models and lighting conditions. A leave-one-out approach assessed the model’s generalization capabilities across various LFA types. In detecting the second band (indicative of antibody or antigen presence), the model achieved an overall AUC of 94.3% on unseen LFAs, which improved to 99.3% (Sensitivity=98,6%; Specificity=98%) after incorporating 50 training images per LFA type. For detecting the third band of LFAs, where less training images were available, the model obtained an AUC of 83.9% on unseen tests, enhancing to 94.2% (Sensitivity=92.9%; Specificity=87,9%) with 50 additional training images per LFA type. This study demonstrates the feasibility of an AI-powered universal digital reader that interprets LFA results from diverse test types using smartphone-captured images. By standardizing test interpretation and digitizing results, this tool enhances epidemiological surveillance, </w:t>
      </w:r>
      <w:r w:rsidRPr="008E7DCB">
        <w:rPr>
          <w:rFonts w:ascii="Calibri" w:eastAsia="Times New Roman" w:hAnsi="Calibri" w:cs="Calibri"/>
          <w:color w:val="000000"/>
          <w:kern w:val="0"/>
          <w:sz w:val="22"/>
          <w:szCs w:val="22"/>
          <w14:ligatures w14:val="none"/>
        </w:rPr>
        <w:lastRenderedPageBreak/>
        <w:t>particularly in resource-limited settings. Its adaptability across various diseases highlights its potential to improve disease management and promote equitable access to healthcare globally.</w:t>
      </w:r>
    </w:p>
    <w:p w14:paraId="53BF491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25-A-3533-ASTMH</w:t>
      </w:r>
    </w:p>
    <w:p w14:paraId="6C647C0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65F715F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Development and validation of predictive models to identify the ‘sick’ child at a pediatric telemedicine and medication delivery service in Haiti</w:t>
      </w:r>
    </w:p>
    <w:p w14:paraId="5312CDF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One of the most important and difficult challenges in pediatric telemedicine is to discriminate between the ‘sick’ and ‘not sick’ child, especially in resource-limited settings. To address this challenge, we developed and deployed a study design that paired virtual exams with in-person exams, which served as a reference standard for model development. Within the context of a telemedicine and medication delivery service (TMDS) in Haiti, we used machine learning (XGBoost) to analyze paired data from 683 participants across three consecutive implementation science studies. During virtual exams, providers flagged reported data that they considered potentially unreliable. Model development prioritized identifying ‘sick’ patients and cases needing escalation. To address a limited sample size, an ensemble method that relied on gradient boosted decision-trees was employed for model derivation. The area under the receiver operating characteristic curve (AUC) served as the key metric to assess performance. Among 2225 patients enrolled across the 3 studies, there were 683 paired records for analysis. The median age was 15 months and 47% were female. For prediction of a ‘sick’ child, we found an AUC of 0.82 (95% CI 0.78-0.86) after 5-fold cross validation; calibration slope and intercept were 1.31 (95% CI: 1.09-1.53) and 0.04 (95% CI: -0.14 - 0.23), respectively. For prediction of escalation, we found an AUC of 0.78 (95% CI 0.74-0.81) after 5-fold cross validation; calibration slope and intercept were 0.63 (95% CI: 0.52-0.74) and 0.05 (95% CI: 0.52-0.74), respectively. Inclusion of data marked as potentially unreliable by providers had mixed effects. The methods developed and findings represent an important proof-of-concept to navigate complex decision making in virtual settings. The models require external validation prior to integration and deployment in an electronic clinical decision-support (eCDS) tool. The</w:t>
      </w:r>
      <w:r w:rsidRPr="008E7DCB">
        <w:rPr>
          <w:rFonts w:ascii="Calibri" w:eastAsia="Times New Roman" w:hAnsi="Calibri" w:cs="Calibri"/>
          <w:color w:val="000000"/>
          <w:kern w:val="0"/>
          <w:sz w:val="22"/>
          <w:szCs w:val="22"/>
          <w14:ligatures w14:val="none"/>
        </w:rPr>
        <w:br/>
        <w:t>ultimate goals are to enable a safety check for experienced providers and digitally convey prior experience on safety to new providers.</w:t>
      </w:r>
    </w:p>
    <w:p w14:paraId="13756FA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25-A-3534-ASTMH</w:t>
      </w:r>
    </w:p>
    <w:p w14:paraId="1B482B9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Drug Development and Clinical Trials</w:t>
      </w:r>
    </w:p>
    <w:p w14:paraId="3ABDDB6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Methemoglobin levels during primaquine administration in </w:t>
      </w:r>
      <w:r w:rsidRPr="008E7DCB">
        <w:rPr>
          <w:rFonts w:ascii="Calibri" w:eastAsia="Times New Roman" w:hAnsi="Calibri" w:cs="Calibri"/>
          <w:i/>
          <w:iCs/>
          <w:color w:val="000000"/>
          <w:kern w:val="0"/>
          <w:sz w:val="22"/>
          <w:szCs w:val="22"/>
          <w14:ligatures w14:val="none"/>
        </w:rPr>
        <w:t>Plasmodium vivax</w:t>
      </w:r>
      <w:r w:rsidRPr="008E7DCB">
        <w:rPr>
          <w:rFonts w:ascii="Calibri" w:eastAsia="Times New Roman" w:hAnsi="Calibri" w:cs="Calibri"/>
          <w:color w:val="000000"/>
          <w:kern w:val="0"/>
          <w:sz w:val="22"/>
          <w:szCs w:val="22"/>
          <w14:ligatures w14:val="none"/>
        </w:rPr>
        <w:t>-infected Thai adults</w:t>
      </w:r>
    </w:p>
    <w:p w14:paraId="2096250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oxidative state generated by primaquine (PQ) metabolism is the mechanism by which it is thought to clear dormant </w:t>
      </w:r>
      <w:r w:rsidRPr="008E7DCB">
        <w:rPr>
          <w:rFonts w:ascii="Calibri" w:eastAsia="Times New Roman" w:hAnsi="Calibri" w:cs="Calibri"/>
          <w:i/>
          <w:iCs/>
          <w:color w:val="000000"/>
          <w:kern w:val="0"/>
          <w:sz w:val="22"/>
          <w:szCs w:val="22"/>
          <w14:ligatures w14:val="none"/>
        </w:rPr>
        <w:t>Plasmodium vivax</w:t>
      </w:r>
      <w:r w:rsidRPr="008E7DCB">
        <w:rPr>
          <w:rFonts w:ascii="Calibri" w:eastAsia="Times New Roman" w:hAnsi="Calibri" w:cs="Calibri"/>
          <w:color w:val="000000"/>
          <w:kern w:val="0"/>
          <w:sz w:val="22"/>
          <w:szCs w:val="22"/>
          <w14:ligatures w14:val="none"/>
        </w:rPr>
        <w:t> hypnozoites from the liver; however, this redox activity can result in increased methemoglobin (metHgb) levels in the blood. Recently, studies have reported on associations between increased production of metHgb during PQ treatment (using levels at Day 7) and a reduced risk of </w:t>
      </w:r>
      <w:r w:rsidRPr="008E7DCB">
        <w:rPr>
          <w:rFonts w:ascii="Calibri" w:eastAsia="Times New Roman" w:hAnsi="Calibri" w:cs="Calibri"/>
          <w:i/>
          <w:iCs/>
          <w:color w:val="000000"/>
          <w:kern w:val="0"/>
          <w:sz w:val="22"/>
          <w:szCs w:val="22"/>
          <w14:ligatures w14:val="none"/>
        </w:rPr>
        <w:t>P. vivax</w:t>
      </w:r>
      <w:r w:rsidRPr="008E7DCB">
        <w:rPr>
          <w:rFonts w:ascii="Calibri" w:eastAsia="Times New Roman" w:hAnsi="Calibri" w:cs="Calibri"/>
          <w:color w:val="000000"/>
          <w:kern w:val="0"/>
          <w:sz w:val="22"/>
          <w:szCs w:val="22"/>
          <w14:ligatures w14:val="none"/>
        </w:rPr>
        <w:t> recurrence. A small primaquine 6-month efficacy study (n=28) was conducted in Thailand to evaluate PQ pharmacokinetics effect on efficacy and to identify potential hypnozoite biomarkers. Methemoglobin levels measured by peripheral co-oximeter sensor over the 2-week primaquine course (15 mg/day as per Thai National Guidelines). The weight-based dosing of PQ ranged from 0.18-0.34 mg/kg/dose and 2.58-4.77 mg/kg total dose. The median Day 7 (D7) metHgb was 2.2% (range 0-10.7%), differing slightly by PQ regimen administered: artesunate plus PQ 2.5%, PQ alone 1.3%, and chloroquine plus PQ: 1.9%, (p=0.30, Kruskal Wallis test). When comparing subjects with blood smear-confirmed</w:t>
      </w:r>
      <w:r w:rsidRPr="008E7DCB">
        <w:rPr>
          <w:rFonts w:ascii="Calibri" w:eastAsia="Times New Roman" w:hAnsi="Calibri" w:cs="Calibri"/>
          <w:i/>
          <w:iCs/>
          <w:color w:val="000000"/>
          <w:kern w:val="0"/>
          <w:sz w:val="22"/>
          <w:szCs w:val="22"/>
          <w14:ligatures w14:val="none"/>
        </w:rPr>
        <w:t> P. vivax </w:t>
      </w:r>
      <w:r w:rsidRPr="008E7DCB">
        <w:rPr>
          <w:rFonts w:ascii="Calibri" w:eastAsia="Times New Roman" w:hAnsi="Calibri" w:cs="Calibri"/>
          <w:color w:val="000000"/>
          <w:kern w:val="0"/>
          <w:sz w:val="22"/>
          <w:szCs w:val="22"/>
          <w14:ligatures w14:val="none"/>
        </w:rPr>
        <w:t xml:space="preserve">recurrence (n=4) to no recurrence (n=23), there was no difference in median PQ daily dose (0.255 mg/kg/day vs. 0.26 mg/kg/day, p=0.66 Mann-Whitney) or D7 metHgb levels (2.1% vs. 2.25%, p=0.77, Mann-Whitney). When PQ was administered as monotherapy, there was a strong correlation of D7 metHgb levels to PQ mg/kg/dose (r=0.83, n=10, p=0.0055). When PQ was given with a blood stage drug, the metHgb to dose correlation was lost. Of those subjects with recurrence, CYP2D6 genotyping found 2 subjects to be Intermediate Metabolizers (IM) and 2 to be Normal Metabolizers (NM). There was no difference in Day 7 metHgb between NM and IM subjects (1.95% and 2.5%, p=0.71, Mann Whitney). </w:t>
      </w:r>
      <w:r w:rsidRPr="008E7DCB">
        <w:rPr>
          <w:rFonts w:ascii="Calibri" w:eastAsia="Times New Roman" w:hAnsi="Calibri" w:cs="Calibri"/>
          <w:color w:val="000000"/>
          <w:kern w:val="0"/>
          <w:sz w:val="22"/>
          <w:szCs w:val="22"/>
          <w14:ligatures w14:val="none"/>
        </w:rPr>
        <w:lastRenderedPageBreak/>
        <w:t>Overall, the metHgb levels in this study were quite low, reflecting the lower PQ dose administered, yet the estimated cure rate was 82% (23 of 27). We did not detect any difference in D7 metHgb production in relation to drug regimen, recurrence or CYP2D6 status in this small study, suggesting further investigation of factors predictive of radical cure is necessary.</w:t>
      </w:r>
    </w:p>
    <w:p w14:paraId="3B1762F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25-A-3535-ASTMH</w:t>
      </w:r>
    </w:p>
    <w:p w14:paraId="0B3DA83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Helminths – Nematodes – Filariasis (Clinical)</w:t>
      </w:r>
    </w:p>
    <w:p w14:paraId="576B9FD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Multibead based assay provides one-step species-specificity for the diagnosis of filarial infections and </w:t>
      </w:r>
      <w:r w:rsidRPr="008E7DCB">
        <w:rPr>
          <w:rFonts w:ascii="Calibri" w:eastAsia="Times New Roman" w:hAnsi="Calibri" w:cs="Calibri"/>
          <w:i/>
          <w:iCs/>
          <w:color w:val="000000"/>
          <w:kern w:val="0"/>
          <w:sz w:val="22"/>
          <w:szCs w:val="22"/>
          <w14:ligatures w14:val="none"/>
        </w:rPr>
        <w:t>Strongyloides</w:t>
      </w:r>
      <w:r w:rsidRPr="008E7DCB">
        <w:rPr>
          <w:rFonts w:ascii="Calibri" w:eastAsia="Times New Roman" w:hAnsi="Calibri" w:cs="Calibri"/>
          <w:color w:val="000000"/>
          <w:kern w:val="0"/>
          <w:sz w:val="22"/>
          <w:szCs w:val="22"/>
          <w14:ligatures w14:val="none"/>
        </w:rPr>
        <w:t> </w:t>
      </w:r>
      <w:r w:rsidRPr="008E7DCB">
        <w:rPr>
          <w:rFonts w:ascii="Calibri" w:eastAsia="Times New Roman" w:hAnsi="Calibri" w:cs="Calibri"/>
          <w:i/>
          <w:iCs/>
          <w:color w:val="000000"/>
          <w:kern w:val="0"/>
          <w:sz w:val="22"/>
          <w:szCs w:val="22"/>
          <w14:ligatures w14:val="none"/>
        </w:rPr>
        <w:t>stercoralis</w:t>
      </w:r>
      <w:r w:rsidRPr="008E7DCB">
        <w:rPr>
          <w:rFonts w:ascii="Calibri" w:eastAsia="Times New Roman" w:hAnsi="Calibri" w:cs="Calibri"/>
          <w:color w:val="000000"/>
          <w:kern w:val="0"/>
          <w:sz w:val="22"/>
          <w:szCs w:val="22"/>
          <w14:ligatures w14:val="none"/>
        </w:rPr>
        <w:t> in travelers and immigrants</w:t>
      </w:r>
    </w:p>
    <w:p w14:paraId="56E10FF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Previously, antifilarial antibody testing in the evaluation of returned travelers and immigrants to North America has relied on IgG- and IgG4-specific responses to crude filarial extracts (BmA), tests that suffer from significant cross-reactivity with Strongyloides and cannot distinguish among the infecting filarial species. Nevertheless, between 1992 and 2016, &gt;11000 samples have been tested; close to 20% were able to be definitively diagnosed with a filarial infection (based on IgG4 anti-BmA reactivity) and ~50% had the diagnosis excluded (based on IgG anti-BmA seronegativity). To create an all-in-one assay for screening travelers and immigrants where infections with filariae or </w:t>
      </w:r>
      <w:r w:rsidRPr="008E7DCB">
        <w:rPr>
          <w:rFonts w:ascii="Calibri" w:eastAsia="Times New Roman" w:hAnsi="Calibri" w:cs="Calibri"/>
          <w:i/>
          <w:iCs/>
          <w:color w:val="000000"/>
          <w:kern w:val="0"/>
          <w:sz w:val="22"/>
          <w:szCs w:val="22"/>
          <w14:ligatures w14:val="none"/>
        </w:rPr>
        <w:t>Strongyloides stercoralis </w:t>
      </w:r>
      <w:r w:rsidRPr="008E7DCB">
        <w:rPr>
          <w:rFonts w:ascii="Calibri" w:eastAsia="Times New Roman" w:hAnsi="Calibri" w:cs="Calibri"/>
          <w:color w:val="000000"/>
          <w:kern w:val="0"/>
          <w:sz w:val="22"/>
          <w:szCs w:val="22"/>
          <w14:ligatures w14:val="none"/>
        </w:rPr>
        <w:t>(Ss) are being considered, we configured a multibead-based assay to measure simultaneously the IgG and IgG4 responses to BmA and to the species-specific recombinants Ll-SXP1, Ov-16, OvOC3261, Wb-123, Wb5, Ss-NIE and Ss-IR. By tuning the assays to &gt;99% specificity for the species of interest (using ROC-based cutoffs), we have utilized this new assay to prospectively test samples from 1684 unique patients. Based on an hierarchical algorithm that allows species-specific diagnosis with high confidence for both filarial and Strongyloides infections, we have been able to provide species-specific diagnosis in 277 (</w:t>
      </w:r>
      <w:r w:rsidRPr="008E7DCB">
        <w:rPr>
          <w:rFonts w:ascii="Calibri" w:eastAsia="Times New Roman" w:hAnsi="Calibri" w:cs="Calibri"/>
          <w:i/>
          <w:iCs/>
          <w:color w:val="000000"/>
          <w:kern w:val="0"/>
          <w:sz w:val="22"/>
          <w:szCs w:val="22"/>
          <w14:ligatures w14:val="none"/>
        </w:rPr>
        <w:t>Loa loa</w:t>
      </w:r>
      <w:r w:rsidRPr="008E7DCB">
        <w:rPr>
          <w:rFonts w:ascii="Calibri" w:eastAsia="Times New Roman" w:hAnsi="Calibri" w:cs="Calibri"/>
          <w:color w:val="000000"/>
          <w:kern w:val="0"/>
          <w:sz w:val="22"/>
          <w:szCs w:val="22"/>
          <w14:ligatures w14:val="none"/>
        </w:rPr>
        <w:t> [N=94], </w:t>
      </w:r>
      <w:r w:rsidRPr="008E7DCB">
        <w:rPr>
          <w:rFonts w:ascii="Calibri" w:eastAsia="Times New Roman" w:hAnsi="Calibri" w:cs="Calibri"/>
          <w:i/>
          <w:iCs/>
          <w:color w:val="000000"/>
          <w:kern w:val="0"/>
          <w:sz w:val="22"/>
          <w:szCs w:val="22"/>
          <w14:ligatures w14:val="none"/>
        </w:rPr>
        <w:t>Wuchereria bancrofti </w:t>
      </w:r>
      <w:r w:rsidRPr="008E7DCB">
        <w:rPr>
          <w:rFonts w:ascii="Calibri" w:eastAsia="Times New Roman" w:hAnsi="Calibri" w:cs="Calibri"/>
          <w:color w:val="000000"/>
          <w:kern w:val="0"/>
          <w:sz w:val="22"/>
          <w:szCs w:val="22"/>
          <w14:ligatures w14:val="none"/>
        </w:rPr>
        <w:t>[N=24], </w:t>
      </w:r>
      <w:r w:rsidRPr="008E7DCB">
        <w:rPr>
          <w:rFonts w:ascii="Calibri" w:eastAsia="Times New Roman" w:hAnsi="Calibri" w:cs="Calibri"/>
          <w:i/>
          <w:iCs/>
          <w:color w:val="000000"/>
          <w:kern w:val="0"/>
          <w:sz w:val="22"/>
          <w:szCs w:val="22"/>
          <w14:ligatures w14:val="none"/>
        </w:rPr>
        <w:t>Onchocerca volvulus</w:t>
      </w:r>
      <w:r w:rsidRPr="008E7DCB">
        <w:rPr>
          <w:rFonts w:ascii="Calibri" w:eastAsia="Times New Roman" w:hAnsi="Calibri" w:cs="Calibri"/>
          <w:color w:val="000000"/>
          <w:kern w:val="0"/>
          <w:sz w:val="22"/>
          <w:szCs w:val="22"/>
          <w14:ligatures w14:val="none"/>
        </w:rPr>
        <w:t> [N=23], and Ss [N=136]) and exclude any of these organisms in 1407 (84%) based on IgG/IgG4/recombinant antigen seronegativity. These data provide a new framework for clinically useful parasite-specific serology that helps to direct targeted therapeutic options.</w:t>
      </w:r>
    </w:p>
    <w:p w14:paraId="132D79E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25-A-3537-ASTMH</w:t>
      </w:r>
    </w:p>
    <w:p w14:paraId="52AA553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Mosquitoes - Bionomics, Behavior and Surveillance</w:t>
      </w:r>
    </w:p>
    <w:p w14:paraId="6B9488C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Insecticide Resistance in Malaria Vector Control, Does It Really Matters?</w:t>
      </w:r>
    </w:p>
    <w:p w14:paraId="3C4F4987"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The deployment of vector control interventions such as insecticide-treated nets (ITNs) andindoor residual spraying has led to a remarkable reduction in malaria burden in SubsaharaAfrica. However, the impact of control efforts on malaria burden is dwindling, a situation thatcoincides with the spread of insecticide resistance in vectors across endemic countries. Usingfield and lab-based approaches, the present study further investigated the impact ofinsecticide resistance on malaria transmission, which remains unclear and is currently subjectof intense debate.Homozygous</w:t>
      </w:r>
      <w:r w:rsidRPr="008E7DCB">
        <w:rPr>
          <w:rFonts w:ascii="Calibri" w:eastAsia="Times New Roman" w:hAnsi="Calibri" w:cs="Calibri"/>
          <w:i/>
          <w:iCs/>
          <w:color w:val="000000"/>
          <w:kern w:val="0"/>
          <w:sz w:val="22"/>
          <w:szCs w:val="22"/>
          <w14:ligatures w14:val="none"/>
        </w:rPr>
        <w:t> Anopheles funestus</w:t>
      </w:r>
      <w:r w:rsidRPr="008E7DCB">
        <w:rPr>
          <w:rFonts w:ascii="Calibri" w:eastAsia="Times New Roman" w:hAnsi="Calibri" w:cs="Calibri"/>
          <w:color w:val="000000"/>
          <w:kern w:val="0"/>
          <w:sz w:val="22"/>
          <w:szCs w:val="22"/>
          <w14:ligatures w14:val="none"/>
        </w:rPr>
        <w:t xml:space="preserve"> strains bearing or not the L119F-GSTe2 metabolic resistanceallele were established and their fitness was characterized. Experimental hut trials (EHTs) andtunnel tests were used to investigate the influence of this allele on the efficacy of variousbrands of ITNs. Furthermore, the distribution of L119F-GSTe2 genotypes was determined infield collected mosquitoes and its association with key entomological parameters of malariatransmission was assessed.Homozygous L119F-GSTe2-RR mosquitoes laid significantly less eggs than their susceptiblecounterparts (53.27 vs 72.69; P&lt;0.01) and also showed lower egg hatch rate (30.51% vs42.06%; P&lt;0.001). In contrast no significant impact was observed on larval development.Results of experimental hut and tunnel tests were concordant showing lower blood feedinginhibition and mortality in the resistant L119F-GSTe2-RR strain for all ITNs tested exceptPermanet 3.0 top. However, induced exophily and personal protection were higher for thesusceptible L119F-GSTe2-SS strain. In field mosquitoes the L119F-GSTe2-RR genotypes weresignificatively more parous (61.43% vs 44.04%; P&lt;0.01), more endophagic (62.08% vs 48.38%;P&lt;0.01) and more infected with Plasmodium oocyst stages (37.84% vs 26.09%; P&lt;0.05).Altogether, the results of this study represent additional bulk of evidences that </w:t>
      </w:r>
      <w:r w:rsidRPr="008E7DCB">
        <w:rPr>
          <w:rFonts w:ascii="Calibri" w:eastAsia="Times New Roman" w:hAnsi="Calibri" w:cs="Calibri"/>
          <w:color w:val="000000"/>
          <w:kern w:val="0"/>
          <w:sz w:val="22"/>
          <w:szCs w:val="22"/>
          <w14:ligatures w14:val="none"/>
        </w:rPr>
        <w:lastRenderedPageBreak/>
        <w:t>insecticideresistance can increase malaria transmission. This call for urgent design and implementationof insecticide resistance management strategies in African malaria endemic settings.</w:t>
      </w:r>
    </w:p>
    <w:p w14:paraId="48C48BC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25-A-3538-ASTMH</w:t>
      </w:r>
    </w:p>
    <w:p w14:paraId="3733DD1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Viruses - Immunology</w:t>
      </w:r>
    </w:p>
    <w:p w14:paraId="5BB575E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Longitudinal Analysis of the Cellular Immune Response to Ebola Virus Disease</w:t>
      </w:r>
    </w:p>
    <w:p w14:paraId="5B77E6E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Ebola Virus Disease (EVD), caused by Ebola virus (EBOV) is a severe viral hemorrhagic fever with a high mortality rate. Due to patient availability and biosafety requirements, little is known about the immune response during acute EVD. To address this we performed spectral flow cytometry on longitudinal cryopreserved EVD patient samples with a novel high-parameter antibody panel. Peripheral blood mononuclear cells (PBMCs) were isolated longitudinally from a hospitalized patient with EVD between days 6 and 350 post-symptom onset and cryopreserved. Thawed cells were stained with a custom 43-marker fluorescent antibody panel and analyzed on a spectral cytometer. Bivariate gating and dimensional reduction with metaclustering were used to identify phenotypes of interest and trends. A high proportion of CD68+ myeloid cells stained positive for IgG through day 12 post-symptom onset. Double-negative (CD14- CD16-) monocytes were present in circulation through day 12. Circulating CD19+ CD27+ CD38+ plasmablasts peaked on day 12 and were elevated through day 29. Unbiased dimensional reduction and metaclustering demonstrated dynamic changes in cell populations through day 22 post-symptom onset. IgG positivity on monocytes correlated with qPCR quantitation of EBOV in peripheral blood leukocytes, consistent with opsonization and suggesting that Fc-mediated effector functions were critical for clearance of the virus from circulation in this patient. Double-negative monocytes have been reported as evidence of emergency myelopoiesis in EVD and here persisted through viral clearance. Circulating plasmablasts correlated with a period of rapidly rising anti-EBOV antibody titers and increasing affinity in this patient. These findings are evidence of rapid changes in the immune response during acute EVD and demonstrate the need for close longitudinal sampling in future patients to understand dynamic responses.</w:t>
      </w:r>
    </w:p>
    <w:p w14:paraId="21E1B4D6"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25-A-3539-ASTMH</w:t>
      </w:r>
    </w:p>
    <w:p w14:paraId="6AE340D1"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Helminths – Nematodes – Filariasis (Epidemiology)</w:t>
      </w:r>
    </w:p>
    <w:p w14:paraId="2B3A924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Comparison of exposure to </w:t>
      </w:r>
      <w:r w:rsidRPr="008E7DCB">
        <w:rPr>
          <w:rFonts w:ascii="Calibri" w:eastAsia="Times New Roman" w:hAnsi="Calibri" w:cs="Calibri"/>
          <w:i/>
          <w:iCs/>
          <w:color w:val="000000"/>
          <w:kern w:val="0"/>
          <w:sz w:val="22"/>
          <w:szCs w:val="22"/>
          <w14:ligatures w14:val="none"/>
        </w:rPr>
        <w:t>Onchocerca volvulus </w:t>
      </w:r>
      <w:r w:rsidRPr="008E7DCB">
        <w:rPr>
          <w:rFonts w:ascii="Calibri" w:eastAsia="Times New Roman" w:hAnsi="Calibri" w:cs="Calibri"/>
          <w:color w:val="000000"/>
          <w:kern w:val="0"/>
          <w:sz w:val="22"/>
          <w:szCs w:val="22"/>
          <w14:ligatures w14:val="none"/>
        </w:rPr>
        <w:t>among host and refugee populations in Gambella region, Ethiopia</w:t>
      </w:r>
    </w:p>
    <w:p w14:paraId="010A8D7B"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Onchocerciasis is a neglected tropical disease of significance in Gambella region, Ethiopia, where mass drug administration (MDA) with ivermectin has been underway for ≥10 years. Migratory populations can increase the risk of transmission of </w:t>
      </w:r>
      <w:r w:rsidRPr="008E7DCB">
        <w:rPr>
          <w:rFonts w:ascii="Calibri" w:eastAsia="Times New Roman" w:hAnsi="Calibri" w:cs="Calibri"/>
          <w:i/>
          <w:iCs/>
          <w:color w:val="000000"/>
          <w:kern w:val="0"/>
          <w:sz w:val="22"/>
          <w:szCs w:val="22"/>
          <w14:ligatures w14:val="none"/>
        </w:rPr>
        <w:t>Onchocerca volvulus </w:t>
      </w:r>
      <w:r w:rsidRPr="008E7DCB">
        <w:rPr>
          <w:rFonts w:ascii="Calibri" w:eastAsia="Times New Roman" w:hAnsi="Calibri" w:cs="Calibri"/>
          <w:color w:val="000000"/>
          <w:kern w:val="0"/>
          <w:sz w:val="22"/>
          <w:szCs w:val="22"/>
          <w14:ligatures w14:val="none"/>
        </w:rPr>
        <w:t>(OV)</w:t>
      </w:r>
      <w:r w:rsidRPr="008E7DCB">
        <w:rPr>
          <w:rFonts w:ascii="Calibri" w:eastAsia="Times New Roman" w:hAnsi="Calibri" w:cs="Calibri"/>
          <w:i/>
          <w:iCs/>
          <w:color w:val="000000"/>
          <w:kern w:val="0"/>
          <w:sz w:val="22"/>
          <w:szCs w:val="22"/>
          <w14:ligatures w14:val="none"/>
        </w:rPr>
        <w:t> </w:t>
      </w:r>
      <w:r w:rsidRPr="008E7DCB">
        <w:rPr>
          <w:rFonts w:ascii="Calibri" w:eastAsia="Times New Roman" w:hAnsi="Calibri" w:cs="Calibri"/>
          <w:color w:val="000000"/>
          <w:kern w:val="0"/>
          <w:sz w:val="22"/>
          <w:szCs w:val="22"/>
          <w14:ligatures w14:val="none"/>
        </w:rPr>
        <w:t>by importing parasites or can be put at risk if transmission in the destination area is not sufficiently suppressed. Onchocerciasis is endemic in parts of South Sudan bordering Gambella, but the OV prevalence among refugees from South Sudan living in southwestern Ethiopia is not well understood. We compared the Ov16 serological results from children 5-10 years from both refugee camps and host communities in 3 districts of Gambella region, southwestern Ethiopia, which has a large population of refugees from neighboring South Sudan. Refugee children (n=1,593) were selected from a systematic sample of blocks within 4 refugee camps in 2024. Children from host communities (n=1500) were tested in 2023 and 2024 from sites previously identified as high-risk for OV transmission. Host community sites were located on average 22.1km (range 1.0km-74.9km) away from refugee camps. Dried blood spots were tested for Ov16 antibodies by ELISA. Twenty children from the host communities (1.3%) were Ov16 seropositive, while only 2 (0.1%) were positive from among the refugee children. These results suggest that, in this setting, refugee children either do not hail from highly endemic areas or that they are at low risk of exposure to onchocerciasis. This may result from different behaviors, or the physical location of refugee camps compared to host communities. The refugee camps do not appear to represent a risk to the host population. Nonetheless, the refugees will continue to receive MDA until OV transmission in the entire area is interrupted. Further analysis of travel and migration patterns, abundance of </w:t>
      </w:r>
      <w:r w:rsidRPr="008E7DCB">
        <w:rPr>
          <w:rFonts w:ascii="Calibri" w:eastAsia="Times New Roman" w:hAnsi="Calibri" w:cs="Calibri"/>
          <w:i/>
          <w:iCs/>
          <w:color w:val="000000"/>
          <w:kern w:val="0"/>
          <w:sz w:val="22"/>
          <w:szCs w:val="22"/>
          <w14:ligatures w14:val="none"/>
        </w:rPr>
        <w:t>Simulium</w:t>
      </w:r>
      <w:r w:rsidRPr="008E7DCB">
        <w:rPr>
          <w:rFonts w:ascii="Calibri" w:eastAsia="Times New Roman" w:hAnsi="Calibri" w:cs="Calibri"/>
          <w:color w:val="000000"/>
          <w:kern w:val="0"/>
          <w:sz w:val="22"/>
          <w:szCs w:val="22"/>
          <w14:ligatures w14:val="none"/>
        </w:rPr>
        <w:t xml:space="preserve"> vectors </w:t>
      </w:r>
      <w:r w:rsidRPr="008E7DCB">
        <w:rPr>
          <w:rFonts w:ascii="Calibri" w:eastAsia="Times New Roman" w:hAnsi="Calibri" w:cs="Calibri"/>
          <w:color w:val="000000"/>
          <w:kern w:val="0"/>
          <w:sz w:val="22"/>
          <w:szCs w:val="22"/>
          <w14:ligatures w14:val="none"/>
        </w:rPr>
        <w:lastRenderedPageBreak/>
        <w:t>surrounding refugee camps, and other factors influencing exposure risk are important to eliminating onchocerciasis transmission among refugees and local residents. To our knowledge, this represents the first survey of onchocerciasis epidemiology among refugees in this region.</w:t>
      </w:r>
    </w:p>
    <w:p w14:paraId="0CE25970"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25-A-3541-ASTMH</w:t>
      </w:r>
    </w:p>
    <w:p w14:paraId="628DE88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Other</w:t>
      </w:r>
    </w:p>
    <w:p w14:paraId="791EED14"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Global Health Research Education Complemented by a Comprehensive Knowledge-sharing Community</w:t>
      </w:r>
    </w:p>
    <w:p w14:paraId="327A12D9"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In 2023 the Global Health Network launched the University of Oxford’s first fully online award-bearing qualification, a Postgraduate Diploma in Global Health Research, to increase equity in health research education. The course is underpinned by the Special Programme for Research and Training in Tropical Diseases Essential Research Skills Curriculum developed through ‘crowd-consensus’. Learning outcomes include design and implementation of high quality, ethical, health research studies, and translation of research into policy and research practice with consideration of its broader societal impact. Taught by teachers mostly based in the global south, this considers health research within the context of low resource settings. Topics include research methods, data management and analysis, community engagement, ethics, quality assurance, leadership, communication and presentation skills. Students are supported at class, group and individual levels by experienced tutors while group assessments reflect real-life scenarios with individual assessment is through critical reflection. Positive feedback from the inaugural student cohort led funders to offer more scholarships, and impact is already going far beyond the qualification. They have joined over 1M TGHN members, where since 2012 four million e-Learning modules and hundreds of thousands of research tools have been accessed, with over 200,000 attending events regionally or online. Students have had opportunity to be involved in specific network projects, such as a funder priority-setting exercise and understanding of clinical trial enablers for low resource setting, and are engaging with local, national or regional research capacity-building initiatives. Alumni report guided career paths and successful applications to international meetings. Anyone anywhere may study global health without the expense of travel and disruption to work and family. With this diploma, research is further enabled in places where it was lacking, enhancing teams' abilities to be ready to respond to existing and new disease threats and engage policy makers to make evidence-based decisions.</w:t>
      </w:r>
    </w:p>
    <w:p w14:paraId="1031EEF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25-A-3542-ASTMH</w:t>
      </w:r>
    </w:p>
    <w:p w14:paraId="66A9554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Global Health - Security/Emerging Infection Preparedness, Surveillance and Response(s)</w:t>
      </w:r>
    </w:p>
    <w:p w14:paraId="0939F6BD"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Tracking Uganda’s Public Health Resilience: A 7-Year Analysis of SPAR Scores and Outbreak Response (2017-2024)</w:t>
      </w:r>
    </w:p>
    <w:p w14:paraId="0FBB77F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 xml:space="preserve">In 2017, Uganda conducted its first Joint External Evaluation (JEE) amidst multiple outbreaks, including EVD, Marburg, COVID-19, and Mpox. These events significantly influenced the development of IHR (2005) core capacities, regularly monitored through the State party Annual report (SPAR), enhancing the country’s ability to detect, respond to, and manage public health emergencies. We assessed trends in Uganda’s public health preparedness from 2017 to 2024 using SPAR scores and how capacity gained has influenced disease outbreak response capabilities. We conducted a retrospective analysis of Uganda’s SPAR scores (2017-2024) and assessed trends across 13 IHR core capacities. We compared mean scores between 2017 and 2024 using paired-sample t-tests. We reviewed outbreak response times and major events from Ministry of Health records and compared the link between preparedness and response speed (7-1-7) benchmark with Pearson correlation (r). We set statistical significance at p&lt; 0.05. We identified key capacity changes to inform health security improvements. Between 2017 and 2024, Uganda’s mean SPAR score increased significantly from 48% (±6.2) to 61% (±7.8), p &lt; 0.01. Notable improvements were observed in several core capacities: coordination increased from 69% to 84%, laboratory capacity from 60% to 82%, health emergency management from 60% to 100%, and risk communication from 56% to 80%. Critical gaps persisted in health service provision, which remained at </w:t>
      </w:r>
      <w:r w:rsidRPr="008E7DCB">
        <w:rPr>
          <w:rFonts w:ascii="Calibri" w:eastAsia="Times New Roman" w:hAnsi="Calibri" w:cs="Calibri"/>
          <w:color w:val="000000"/>
          <w:kern w:val="0"/>
          <w:sz w:val="22"/>
          <w:szCs w:val="22"/>
          <w14:ligatures w14:val="none"/>
        </w:rPr>
        <w:lastRenderedPageBreak/>
        <w:t>53 %, and in points of entry, which stagnated at 56%. During this period, over 10 graded Public health events were responded to, including three Ebola outbreaks, one Marburg outbreak, as well as COVID-19, Mpox, and recurring cholera and anthrax events. There was a negative relationship between SPAR scores and outbreak response time (r = -0.79, p&lt;0.05). Uganda’s preparedness improved, enhancing outbreak response speed. Higher SPAR scores correlated with faster detection and action, though gaps remain in service readiness and points of entry capacity.</w:t>
      </w:r>
    </w:p>
    <w:p w14:paraId="25F7221E"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25-A-3543-ASTMH</w:t>
      </w:r>
    </w:p>
    <w:p w14:paraId="14E4A062"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Diagnosis - Challenges and Innovations</w:t>
      </w:r>
    </w:p>
    <w:p w14:paraId="21E98E05"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 simple two-stage approach for improving malaria diagnostic accuracy in an area of low RDT sensitivity</w:t>
      </w:r>
    </w:p>
    <w:p w14:paraId="17FA150F"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As in other endemic countries, malaria has receded in Zimbabwe over the past decade following scaled-up vector control and artemisinin-based combination therapy interventions for possible eventual elimination of the disease. However, the emergence of </w:t>
      </w:r>
      <w:r w:rsidRPr="008E7DCB">
        <w:rPr>
          <w:rFonts w:ascii="Calibri" w:eastAsia="Times New Roman" w:hAnsi="Calibri" w:cs="Calibri"/>
          <w:i/>
          <w:iCs/>
          <w:color w:val="000000"/>
          <w:kern w:val="0"/>
          <w:sz w:val="22"/>
          <w:szCs w:val="22"/>
          <w14:ligatures w14:val="none"/>
        </w:rPr>
        <w:t>Plasmodium falciparum</w:t>
      </w:r>
      <w:r w:rsidRPr="008E7DCB">
        <w:rPr>
          <w:rFonts w:ascii="Calibri" w:eastAsia="Times New Roman" w:hAnsi="Calibri" w:cs="Calibri"/>
          <w:color w:val="000000"/>
          <w:kern w:val="0"/>
          <w:sz w:val="22"/>
          <w:szCs w:val="22"/>
          <w14:ligatures w14:val="none"/>
        </w:rPr>
        <w:t> malaria variants that evade rapid diagnostic testing poses a key threat to effective control and elimination of the scourge. The present study examined the diagnostic accuracy of empiric-based symptomatic and routine RDT testing among febrile suspected malaria patients presenting at health facilities in an area of unstable seasonal transmission typified by low parasitaemia and low RDT sensitivity in Zimbabwe. The study employed a cross-sectional design. Malaria symptoms rating and RDT testing were conducted by health facility staff, with simultaneous collection of thick and thin blood smears, as part of routine malaria testing and treatment. Blood smears were rigorously examined for malaria parasites against 2000 leucocytes before declaring a slide negative, while thin films were used to determine </w:t>
      </w:r>
      <w:r w:rsidRPr="008E7DCB">
        <w:rPr>
          <w:rFonts w:ascii="Calibri" w:eastAsia="Times New Roman" w:hAnsi="Calibri" w:cs="Calibri"/>
          <w:i/>
          <w:iCs/>
          <w:color w:val="000000"/>
          <w:kern w:val="0"/>
          <w:sz w:val="22"/>
          <w:szCs w:val="22"/>
          <w14:ligatures w14:val="none"/>
        </w:rPr>
        <w:t>Plasmodium</w:t>
      </w:r>
      <w:r w:rsidRPr="008E7DCB">
        <w:rPr>
          <w:rFonts w:ascii="Calibri" w:eastAsia="Times New Roman" w:hAnsi="Calibri" w:cs="Calibri"/>
          <w:color w:val="000000"/>
          <w:kern w:val="0"/>
          <w:sz w:val="22"/>
          <w:szCs w:val="22"/>
          <w14:ligatures w14:val="none"/>
        </w:rPr>
        <w:t> species. In a binary multivariate logistic model, significant predictor symptoms for RDT and microscopy positivity were headache, myalgia, arthralgia, general body malaise and vomiting. Our data showed that streamlined screening of suspected malaria cases based on the spontaneous complaint or admission of having any of these symptoms yielded 99.7% sensitivity (0.3% false-negative rate), while RDT sensitivity was 54.2% (45.8% false-negative rate), using microscopy as gold standard (P &lt; 0.001, N = 15,935). Thus, two-stage diagnosis based on screening for the significant symptoms, followed by RDT testing on the positives, exhibited overall 70.6% sensitivity, 99.4% specificity and 97.9% accuracy. In conclusion, the simple two-stage approach can render effective streamlining of workload and significant improvement on the accuracy of routine malaria diagnosis in an area challenged by low RDT sensitivity and diagnosis-evading </w:t>
      </w:r>
      <w:r w:rsidRPr="008E7DCB">
        <w:rPr>
          <w:rFonts w:ascii="Calibri" w:eastAsia="Times New Roman" w:hAnsi="Calibri" w:cs="Calibri"/>
          <w:i/>
          <w:iCs/>
          <w:color w:val="000000"/>
          <w:kern w:val="0"/>
          <w:sz w:val="22"/>
          <w:szCs w:val="22"/>
          <w14:ligatures w14:val="none"/>
        </w:rPr>
        <w:t>P. falciparum</w:t>
      </w:r>
      <w:r w:rsidRPr="008E7DCB">
        <w:rPr>
          <w:rFonts w:ascii="Calibri" w:eastAsia="Times New Roman" w:hAnsi="Calibri" w:cs="Calibri"/>
          <w:color w:val="000000"/>
          <w:kern w:val="0"/>
          <w:sz w:val="22"/>
          <w:szCs w:val="22"/>
          <w14:ligatures w14:val="none"/>
        </w:rPr>
        <w:t> malaria. These gains can be accrued with no need for new equipment or significant additional staff training.</w:t>
      </w:r>
    </w:p>
    <w:p w14:paraId="70069F9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25-A-3544-ASTMH</w:t>
      </w:r>
    </w:p>
    <w:p w14:paraId="49262898"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Malaria - Pathogenesis</w:t>
      </w:r>
    </w:p>
    <w:p w14:paraId="57F0320C"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b/>
          <w:bCs/>
          <w:color w:val="000000"/>
          <w:kern w:val="0"/>
          <w:sz w:val="22"/>
          <w:szCs w:val="22"/>
          <w14:ligatures w14:val="none"/>
        </w:rPr>
        <w:t>Neglected pathogen </w:t>
      </w:r>
      <w:r w:rsidRPr="008E7DCB">
        <w:rPr>
          <w:rFonts w:ascii="Calibri" w:eastAsia="Times New Roman" w:hAnsi="Calibri" w:cs="Calibri"/>
          <w:b/>
          <w:bCs/>
          <w:i/>
          <w:iCs/>
          <w:color w:val="000000"/>
          <w:kern w:val="0"/>
          <w:sz w:val="22"/>
          <w:szCs w:val="22"/>
          <w14:ligatures w14:val="none"/>
        </w:rPr>
        <w:t>Plasmodium malariae</w:t>
      </w:r>
      <w:r w:rsidRPr="008E7DCB">
        <w:rPr>
          <w:rFonts w:ascii="Calibri" w:eastAsia="Times New Roman" w:hAnsi="Calibri" w:cs="Calibri"/>
          <w:b/>
          <w:bCs/>
          <w:color w:val="000000"/>
          <w:kern w:val="0"/>
          <w:sz w:val="22"/>
          <w:szCs w:val="22"/>
          <w14:ligatures w14:val="none"/>
        </w:rPr>
        <w:t>: Host parasitaemia and red blood cell invasion assessment in field isolates</w:t>
      </w:r>
    </w:p>
    <w:p w14:paraId="34BCE69A" w14:textId="77777777" w:rsidR="008E7DCB" w:rsidRPr="008E7DCB" w:rsidRDefault="008E7DCB" w:rsidP="008E7DCB">
      <w:pPr>
        <w:spacing w:before="100" w:beforeAutospacing="1" w:after="100" w:afterAutospacing="1" w:line="200" w:lineRule="atLeast"/>
        <w:rPr>
          <w:rFonts w:ascii="Calibri" w:eastAsia="Times New Roman" w:hAnsi="Calibri" w:cs="Calibri"/>
          <w:color w:val="000000"/>
          <w:kern w:val="0"/>
          <w:sz w:val="22"/>
          <w:szCs w:val="22"/>
          <w14:ligatures w14:val="none"/>
        </w:rPr>
      </w:pPr>
      <w:r w:rsidRPr="008E7DCB">
        <w:rPr>
          <w:rFonts w:ascii="Calibri" w:eastAsia="Times New Roman" w:hAnsi="Calibri" w:cs="Calibri"/>
          <w:color w:val="000000"/>
          <w:kern w:val="0"/>
          <w:sz w:val="22"/>
          <w:szCs w:val="22"/>
          <w14:ligatures w14:val="none"/>
        </w:rPr>
        <w:t>Light microscopy remains the gold standard for diagnosing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in patients. Parasite density is a key factor in the diagnosis of this naturally circulating parasite, requiring careful examination. We studied erythrocyte cells invaded by this parasite and examined its parasitemia. Our study used parasites collected from individuals infected with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in the municipality of Kati-Faladié, rural Mali, in February-March 2021 and March 2022. Light microscopy was used to identify and quantify parasites from thick and thin Giemsa-stained blood smears.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mono-infection was confirmed by qPCR. The invasion assay was tested by </w:t>
      </w:r>
      <w:r w:rsidRPr="008E7DCB">
        <w:rPr>
          <w:rFonts w:ascii="Calibri" w:eastAsia="Times New Roman" w:hAnsi="Calibri" w:cs="Calibri"/>
          <w:i/>
          <w:iCs/>
          <w:color w:val="000000"/>
          <w:kern w:val="0"/>
          <w:sz w:val="22"/>
          <w:szCs w:val="22"/>
          <w14:ligatures w14:val="none"/>
        </w:rPr>
        <w:t>in vitro</w:t>
      </w:r>
      <w:r w:rsidRPr="008E7DCB">
        <w:rPr>
          <w:rFonts w:ascii="Calibri" w:eastAsia="Times New Roman" w:hAnsi="Calibri" w:cs="Calibri"/>
          <w:color w:val="000000"/>
          <w:kern w:val="0"/>
          <w:sz w:val="22"/>
          <w:szCs w:val="22"/>
          <w14:ligatures w14:val="none"/>
        </w:rPr>
        <w:t> growth of parasites by cell culture, unstained and stained controls, uninfected and infected RBCs were established using RBC fluorochromes, and analyzed in a BD LSR-II flow cytometer. Data collected were analyzed with FlowJo v10.7 software (Tree Star, Ashland, Oregon). A total of 28 individuals infected with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xml:space="preserve"> were identified by microscopy and confirmed by qPCR. Infected volunteers ranged in age from 4 to 13, with a median age of 10. The median parasitaemia observed was 1199 parasites/µL blood (minimum = 112, maximum = 5120). Mean parasitaemia density was 2616 parasites/µL. The majority of patients (82.14%) had a low parasite </w:t>
      </w:r>
      <w:r w:rsidRPr="008E7DCB">
        <w:rPr>
          <w:rFonts w:ascii="Calibri" w:eastAsia="Times New Roman" w:hAnsi="Calibri" w:cs="Calibri"/>
          <w:color w:val="000000"/>
          <w:kern w:val="0"/>
          <w:sz w:val="22"/>
          <w:szCs w:val="22"/>
          <w14:ligatures w14:val="none"/>
        </w:rPr>
        <w:lastRenderedPageBreak/>
        <w:t>density (1 to 2500 parasites/µL), 17.86% had a moderate parasite density (2501 to 199,999 parasites/µL). High parasite density (≥200,000 parasites/µL blood) was not detected. Reticulocyte-positive (CD71+) samples of infected RBCs were identified by flow cytometry with anti-CD71 antibodies, combined with Mitotracker or SyberGreen. Our results showed that most infected individuals were over 5 years old, that </w:t>
      </w:r>
      <w:r w:rsidRPr="008E7DCB">
        <w:rPr>
          <w:rFonts w:ascii="Calibri" w:eastAsia="Times New Roman" w:hAnsi="Calibri" w:cs="Calibri"/>
          <w:i/>
          <w:iCs/>
          <w:color w:val="000000"/>
          <w:kern w:val="0"/>
          <w:sz w:val="22"/>
          <w:szCs w:val="22"/>
          <w14:ligatures w14:val="none"/>
        </w:rPr>
        <w:t>P. malariae</w:t>
      </w:r>
      <w:r w:rsidRPr="008E7DCB">
        <w:rPr>
          <w:rFonts w:ascii="Calibri" w:eastAsia="Times New Roman" w:hAnsi="Calibri" w:cs="Calibri"/>
          <w:color w:val="000000"/>
          <w:kern w:val="0"/>
          <w:sz w:val="22"/>
          <w:szCs w:val="22"/>
          <w14:ligatures w14:val="none"/>
        </w:rPr>
        <w:t> had a low parasitaemia and that it would most likely be able to invade immature red blood cells.</w:t>
      </w:r>
    </w:p>
    <w:p w14:paraId="559A125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25-A-3545-ASTMH</w:t>
      </w:r>
    </w:p>
    <w:p w14:paraId="12BDBE0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Bionomics, Behavior and Surveillance</w:t>
      </w:r>
    </w:p>
    <w:p w14:paraId="14304ED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Evaluating the impact of light emitting diodes (LEDs) wavelength on male and female </w:t>
      </w:r>
      <w:r w:rsidRPr="006505C0">
        <w:rPr>
          <w:rFonts w:ascii="Calibri" w:eastAsia="Times New Roman" w:hAnsi="Calibri" w:cs="Calibri"/>
          <w:i/>
          <w:iCs/>
          <w:color w:val="000000"/>
          <w:kern w:val="0"/>
          <w:sz w:val="22"/>
          <w:szCs w:val="22"/>
          <w14:ligatures w14:val="none"/>
        </w:rPr>
        <w:t>Aedes aegypti</w:t>
      </w:r>
      <w:r w:rsidRPr="006505C0">
        <w:rPr>
          <w:rFonts w:ascii="Calibri" w:eastAsia="Times New Roman" w:hAnsi="Calibri" w:cs="Calibri"/>
          <w:color w:val="000000"/>
          <w:kern w:val="0"/>
          <w:sz w:val="22"/>
          <w:szCs w:val="22"/>
          <w14:ligatures w14:val="none"/>
        </w:rPr>
        <w:t> attraction to light</w:t>
      </w:r>
    </w:p>
    <w:p w14:paraId="1C4D535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i/>
          <w:iCs/>
          <w:color w:val="000000"/>
          <w:kern w:val="0"/>
          <w:sz w:val="22"/>
          <w:szCs w:val="22"/>
          <w14:ligatures w14:val="none"/>
        </w:rPr>
        <w:t>Aedes aegypti </w:t>
      </w:r>
      <w:r w:rsidRPr="006505C0">
        <w:rPr>
          <w:rFonts w:ascii="Calibri" w:eastAsia="Times New Roman" w:hAnsi="Calibri" w:cs="Calibri"/>
          <w:color w:val="000000"/>
          <w:kern w:val="0"/>
          <w:sz w:val="22"/>
          <w:szCs w:val="22"/>
          <w14:ligatures w14:val="none"/>
        </w:rPr>
        <w:t>is a major public health threat worldwide through its ability to transmit several arboviruses including Zika, dengue and chikungunya. As most blood feeding organisms, </w:t>
      </w:r>
      <w:r w:rsidRPr="006505C0">
        <w:rPr>
          <w:rFonts w:ascii="Calibri" w:eastAsia="Times New Roman" w:hAnsi="Calibri" w:cs="Calibri"/>
          <w:i/>
          <w:iCs/>
          <w:color w:val="000000"/>
          <w:kern w:val="0"/>
          <w:sz w:val="22"/>
          <w:szCs w:val="22"/>
          <w14:ligatures w14:val="none"/>
        </w:rPr>
        <w:t>Aedes aegypti</w:t>
      </w:r>
      <w:r w:rsidRPr="006505C0">
        <w:rPr>
          <w:rFonts w:ascii="Calibri" w:eastAsia="Times New Roman" w:hAnsi="Calibri" w:cs="Calibri"/>
          <w:color w:val="000000"/>
          <w:kern w:val="0"/>
          <w:sz w:val="22"/>
          <w:szCs w:val="22"/>
          <w14:ligatures w14:val="none"/>
        </w:rPr>
        <w:t> relies on visual cues and odors to locate target host from which to take their bloodmeal. The CDC light trap is a gold standard used by mosquito control districts and research programs worldwide for its ability to capture a wide variety of species but has typically been less successful at attracting </w:t>
      </w:r>
      <w:r w:rsidRPr="006505C0">
        <w:rPr>
          <w:rFonts w:ascii="Calibri" w:eastAsia="Times New Roman" w:hAnsi="Calibri" w:cs="Calibri"/>
          <w:i/>
          <w:iCs/>
          <w:color w:val="000000"/>
          <w:kern w:val="0"/>
          <w:sz w:val="22"/>
          <w:szCs w:val="22"/>
          <w14:ligatures w14:val="none"/>
        </w:rPr>
        <w:t>Aedes aegypti</w:t>
      </w:r>
      <w:r w:rsidRPr="006505C0">
        <w:rPr>
          <w:rFonts w:ascii="Calibri" w:eastAsia="Times New Roman" w:hAnsi="Calibri" w:cs="Calibri"/>
          <w:color w:val="000000"/>
          <w:kern w:val="0"/>
          <w:sz w:val="22"/>
          <w:szCs w:val="22"/>
          <w14:ligatures w14:val="none"/>
        </w:rPr>
        <w:t>. The BG sentinel trap is considered the most effective trap to target the females of this invasive species. Yet, this trap performs poorly when it comes to capturing male or infected females making it difficult to assess the efficacy of sterile male programs, the efficacy of strategies using males to deliver biological control agent (autodissemination) or to remove infected female from endemic areas. In this study, we used a visual assay to assess the light preference of </w:t>
      </w:r>
      <w:r w:rsidRPr="006505C0">
        <w:rPr>
          <w:rFonts w:ascii="Calibri" w:eastAsia="Times New Roman" w:hAnsi="Calibri" w:cs="Calibri"/>
          <w:i/>
          <w:iCs/>
          <w:color w:val="000000"/>
          <w:kern w:val="0"/>
          <w:sz w:val="22"/>
          <w:szCs w:val="22"/>
          <w14:ligatures w14:val="none"/>
        </w:rPr>
        <w:t>Aedes aegypti</w:t>
      </w:r>
      <w:r w:rsidRPr="006505C0">
        <w:rPr>
          <w:rFonts w:ascii="Calibri" w:eastAsia="Times New Roman" w:hAnsi="Calibri" w:cs="Calibri"/>
          <w:color w:val="000000"/>
          <w:kern w:val="0"/>
          <w:sz w:val="22"/>
          <w:szCs w:val="22"/>
          <w14:ligatures w14:val="none"/>
        </w:rPr>
        <w:t> to evaluate the impact of different LED wavelengths on males, females and viruliferous females attraction. 50 males, 50 uninfected females and 50 viruliferous females were tested for their preference towards different wavelengths using our new system and specific LEDs. Treatments include a control (no light), incandescent light (300-1400 nm), UV LED (390 nm), blue LED (470 nm), green LED (520 nm) red LED (660 nm), and near IR (850 nm).</w:t>
      </w:r>
    </w:p>
    <w:p w14:paraId="5D83042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25-A-3546-ASTMH</w:t>
      </w:r>
    </w:p>
    <w:p w14:paraId="064313F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Epidemiology and Vector Control</w:t>
      </w:r>
    </w:p>
    <w:p w14:paraId="56612B9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Large-Scale Deployment of Traps to Control Malaria Mosquito Populations</w:t>
      </w:r>
    </w:p>
    <w:p w14:paraId="68D12EC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Abstract</w:t>
      </w:r>
      <w:r w:rsidRPr="006505C0">
        <w:rPr>
          <w:rFonts w:ascii="Calibri" w:eastAsia="Times New Roman" w:hAnsi="Calibri" w:cs="Calibri"/>
          <w:color w:val="000000"/>
          <w:kern w:val="0"/>
          <w:sz w:val="22"/>
          <w:szCs w:val="22"/>
          <w14:ligatures w14:val="none"/>
        </w:rPr>
        <w:t>: Effective tools to prevent mosquito bites are essential for malaria control. The Lehmann Funnel Entry Trap (LFET), a window screen proven effective in reducing mosquito density, was tested for its large-scale impact on malaria vector control and community acceptance. A total of 1313 traps were deployed in Vallée du Kou 3 (VK3), with 12 traps randomly selected for detailed evaluation against untrapped houses in Vallée du Kou 5(VK5). Traps were placed in windows with doors blocked by curtains. From July to October, mosquitoes were collected for nine days per month from VK3 traps and VK5 control houses. Morphological identification, density analysis, resistance gene screening, and female age structure determination were conducted. The trap’s impact was assessed via pyrethrum spray catch (PSC) and for nine days per month, while trap fabric integrity and community perceptions were also evaluated. Traps reduced mosquito entry density by more than 90% in VK3 houses. VK3 had 33% higher house mosquito density pre-intervention and 47% lower house mosquito density post-intervention than VK5. Old female mosquito numbers rose in VK5 but not VK3. Pyrethroid resistance was high (kdr mutation frequency &gt; 0.9) in both control and intervention sites. VK3 residents appreciated the traps for reducing bites and improving sleep. The LFET effectively controls malaria vectors and is well-suited for widespread use in malaria elimination efforts</w:t>
      </w:r>
    </w:p>
    <w:p w14:paraId="3BFD08C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25-A-3547-ASTMH</w:t>
      </w:r>
    </w:p>
    <w:p w14:paraId="7546646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Security/Emerging Infection Preparedness, Surveillance and Response(s)</w:t>
      </w:r>
    </w:p>
    <w:p w14:paraId="2886A06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Development of Multiplex Real Time Polymerase Chain Reaction (PCR) assay for detection and differentiation of Monkeypox Virus (MPXV), Non-Variola Orthopoxvirus (NVAR), and Varicella Zoster Virus (VZV) using a field portable thermocycler</w:t>
      </w:r>
    </w:p>
    <w:p w14:paraId="4FC4794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Mpox was first confirmed in humans in the Democratic Republic of Congo in 1970 and has been considered endemic in Central and Western Africa since then. While the endemic status of chickenpox in these regions is poorly understood, evidence suggests that mpox and chickenpox have coexisted in these areas for a long time. Recently, reports indicated that co-infections and serial infections with these two viruses are prevalent at high rates in these areas. The co-infections can complicate diagnosis due to overlapping symptoms and lead to more severe outcomes for the patient. It is imperative to identify the virus for accurate diagnosis specifically. A precise, rapid, and early field-portable PCR test will help mitigate the spread of the disease. We have developed a field portable multiplex real-time PCR assay that includes three sets of forward and reverse primers to target the OPG002 gene and a conserved intergenic region for MPXV; one set to target the DNA polymerase gene OPG 071 for NVAR; one set to detect ORF62 gene for VZV. The assay also includes exogenous internal control to monitor the inhibition. This test does not require DNA extraction, and we diluted the lesion swab extracts 4-fold in the assay buffer and tested them directly using dried-down reagents in a cartridge. We have used the Monkeypox virus USA-2003 (NR-2500) and Vaccinia Virus Lister strain (NR-51) from BEI resources for initial assay optimization. For VZV, we used an 83-mer double-stranded template designed in-house and synthesized by Integrated DNA Technologies. The detection limit for monkeypox virus was 4 PFU/reaction, and that for vaccinia was 40 PFU/reaction. VZV analytical sensitivity was determined to be 100 copies per reaction. We also tested our totally enclosed, easy-to-use collect-to-test swab for self-collection of lesion swabs in one subject with suspected shingles infection. The PCR results were positive for lesion swabs collected 3, 4, and 10 days after the onset of symptoms. We are performing further testing using the clinical samples.</w:t>
      </w:r>
    </w:p>
    <w:p w14:paraId="3F6DFEF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25-A-3548-ASTMH</w:t>
      </w:r>
    </w:p>
    <w:p w14:paraId="79DB704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Immunology</w:t>
      </w:r>
    </w:p>
    <w:p w14:paraId="726FE54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Experimental primary DENV-1 and DENV-3 infections provide durable and sterilizing immunity against homotypic reinfection</w:t>
      </w:r>
    </w:p>
    <w:p w14:paraId="49BBD4B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Dengue is a disease of significant public health concern caused by infection with one of the four serotypes of dengue virus (DENV). While the immunopathologic etiology of dengue is complex and incompletely understood, a foundational assumption in the field is that homotypic immunity elicited by a primary infection will provide lifelong protection from symptomatic re-infection with the same DENV serotype. While this postulation is supported by strong epidemiological evidence, it is currently unclear if immunity elicited by a primary DENV infection provides sterilizing immunity from homotypic re-infection, or just protection from symptomatic disease. Despite the significant implications of this knowledge gap for understanding both DENV transmission dynamics and the factors required for maintenance of DENV immunity, this question has been challenging to address in natural infection studies due to an inability to know if - and when - someone has been re-exposed to DENV. Dengue human challenge studies offer a unique opportunity to address these persistent knowledge gaps due to the ability to precisely control the intervals of infection/re-infection as well as the serotype and strain of the infecting virus. Here we report the outcome of a phase 1, open-label DENV-1 and DENV-3 homotypic re-infection study in which volunteers previously experimentally infected with DENV-1 or DENV-3 were re-challenged with the same strain of DENV either 6mo (DENV-1 and DENV-3), 3 years (DENV-3), or 5 years (DENV-1) after their primary infection. This analysis revealed that primary DENV-1 and DENV-3 infections provided what appears to be sterilizing immunity from homotypic re-infection out to 5 years post primary exposure. This study not only provides valuable insights into the durability of homotypic DENV immunity, but also represents a valuable immunologic benchmark for future vaccine and human-challenge studies seeking to understand mechanistic biomarkers of protective DENV immunity.</w:t>
      </w:r>
    </w:p>
    <w:p w14:paraId="45DB8CE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25-A-3549-ASTMH</w:t>
      </w:r>
    </w:p>
    <w:p w14:paraId="12B9446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Respiratory Infections</w:t>
      </w:r>
    </w:p>
    <w:p w14:paraId="6881C5A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Assessing policy decisions and implementation impact of the Pneumococcal Conjugate Vaccine Schedule Change in Burkina Faso</w:t>
      </w:r>
    </w:p>
    <w:p w14:paraId="5588BE9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 June 2021, Burkina Faso transitioned from a 3+0 schedule (three primary doses at 2, 3, and 4 months) to a 2+1 schedule (two primary doses at 2 and 4 months, with a booster at 9 months) for the 13-valent pneumococcal conjugate vaccine (PCV13). In 2025, the booster dose was rescheduled to 15 months. This study assessed the decision-making processes underpinning the schedule changes and their impact on PCV13 dose 3 coverage. A retrospective review was conducted using administrative data from the District Health Information System 2 (DHIS2), national immunization coverage surveys from 2020 and 2023, and relevant policy documents. Key indicators included policy drivers, completion rates, timing of the booster, and dropout trends. PCV 13 schedule change followed both time a recommendation by the National Immunization Technical Advisory Group (NITAG). Both schedule changes were recommended by the National Immunization Technical Advisory Group (NITAG): the first aimed to improve duration of protection and herd immunity; the second aligned the booster with the introduction of the typhoid conjugate vaccine at 9 months. Administrative data from 2013 to 2024 show consistently high primary series coverage (&gt;90%), except for a decline in 2021 (66%). However, survey data revealed a drop in PCV13 dose 3 coverage from 88% in 2020 to 78% in 2023 (p &lt; 0.0001), and a national reduction of 2.32 percentage points (p &lt; 0.0001) in coverage under the 2+1 compared to the 3+0 schedule, with regional differences ranging from -6.73 to +3 points. Additionally, 2023 survey findings indicated that vaccines scheduled at 15 months—such as measles-rubella and MenAfriVac—remain below 60% coverage. These findings highlight that while schedule revisions aim to enhance long-term protection and programmatic alignment, they may compromise dose completion unless accompanied by strengthened community engagement, service delivery, and follow-up systems. Burkina Faso’s experience illustrates the trade-offs and implementation challenges that may arise when adjusting pneumococcal vaccination schedules.</w:t>
      </w:r>
    </w:p>
    <w:p w14:paraId="7A0534D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25-A-3551-ASTMH</w:t>
      </w:r>
    </w:p>
    <w:p w14:paraId="34C8477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Enteric Infections</w:t>
      </w:r>
    </w:p>
    <w:p w14:paraId="026963F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Environmental determinants of </w:t>
      </w:r>
      <w:r w:rsidRPr="006505C0">
        <w:rPr>
          <w:rFonts w:ascii="Calibri" w:eastAsia="Times New Roman" w:hAnsi="Calibri" w:cs="Calibri"/>
          <w:b/>
          <w:bCs/>
          <w:i/>
          <w:iCs/>
          <w:color w:val="000000"/>
          <w:kern w:val="0"/>
          <w:sz w:val="22"/>
          <w:szCs w:val="22"/>
          <w14:ligatures w14:val="none"/>
        </w:rPr>
        <w:t>Campylobacter</w:t>
      </w:r>
      <w:r w:rsidRPr="006505C0">
        <w:rPr>
          <w:rFonts w:ascii="Calibri" w:eastAsia="Times New Roman" w:hAnsi="Calibri" w:cs="Calibri"/>
          <w:b/>
          <w:bCs/>
          <w:color w:val="000000"/>
          <w:kern w:val="0"/>
          <w:sz w:val="22"/>
          <w:szCs w:val="22"/>
          <w14:ligatures w14:val="none"/>
        </w:rPr>
        <w:t> infection in children under age 5: a Bayesian modeling analysis of data from 29 LMICs from the Plan-EO Initiative</w:t>
      </w:r>
    </w:p>
    <w:p w14:paraId="202BB64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i/>
          <w:iCs/>
          <w:color w:val="000000"/>
          <w:kern w:val="0"/>
          <w:sz w:val="22"/>
          <w:szCs w:val="22"/>
          <w14:ligatures w14:val="none"/>
        </w:rPr>
        <w:t>Campylobacter</w:t>
      </w:r>
      <w:r w:rsidRPr="006505C0">
        <w:rPr>
          <w:rFonts w:ascii="Calibri" w:eastAsia="Times New Roman" w:hAnsi="Calibri" w:cs="Calibri"/>
          <w:color w:val="000000"/>
          <w:kern w:val="0"/>
          <w:sz w:val="22"/>
          <w:szCs w:val="22"/>
          <w14:ligatures w14:val="none"/>
        </w:rPr>
        <w:t> is a highly prevalent bacterial cause of diarrhea in children, with sequelae that include undernutrition and Guillain-Barré syndrome. Lack of adequate water, sanitation and housing materials, contact with livestock, and environmental factors are all drivers of </w:t>
      </w:r>
      <w:r w:rsidRPr="006505C0">
        <w:rPr>
          <w:rFonts w:ascii="Calibri" w:eastAsia="Times New Roman" w:hAnsi="Calibri" w:cs="Calibri"/>
          <w:i/>
          <w:iCs/>
          <w:color w:val="000000"/>
          <w:kern w:val="0"/>
          <w:sz w:val="22"/>
          <w:szCs w:val="22"/>
          <w14:ligatures w14:val="none"/>
        </w:rPr>
        <w:t>Campylobacter</w:t>
      </w:r>
      <w:r w:rsidRPr="006505C0">
        <w:rPr>
          <w:rFonts w:ascii="Calibri" w:eastAsia="Times New Roman" w:hAnsi="Calibri" w:cs="Calibri"/>
          <w:color w:val="000000"/>
          <w:kern w:val="0"/>
          <w:sz w:val="22"/>
          <w:szCs w:val="22"/>
          <w14:ligatures w14:val="none"/>
        </w:rPr>
        <w:t> transmission, however their relative contribution to disease burden are not well characterized. This study from the Planetary Child Health and Enterics Observatory (Plan-EO) Initiative applied statistical modeling methods to a large dataset of diagnostic results from studies in numerous LMICs. Spatially referenced individual participant microdata on </w:t>
      </w:r>
      <w:r w:rsidRPr="006505C0">
        <w:rPr>
          <w:rFonts w:ascii="Calibri" w:eastAsia="Times New Roman" w:hAnsi="Calibri" w:cs="Calibri"/>
          <w:i/>
          <w:iCs/>
          <w:color w:val="000000"/>
          <w:kern w:val="0"/>
          <w:sz w:val="22"/>
          <w:szCs w:val="22"/>
          <w14:ligatures w14:val="none"/>
        </w:rPr>
        <w:t>Campylobacter</w:t>
      </w:r>
      <w:r w:rsidRPr="006505C0">
        <w:rPr>
          <w:rFonts w:ascii="Calibri" w:eastAsia="Times New Roman" w:hAnsi="Calibri" w:cs="Calibri"/>
          <w:color w:val="000000"/>
          <w:kern w:val="0"/>
          <w:sz w:val="22"/>
          <w:szCs w:val="22"/>
          <w14:ligatures w14:val="none"/>
        </w:rPr>
        <w:t> positivity diagnosed in 66,000 stool samples were sourced from 26 studies of children aged 0-59 months in 25 LMICs. A spatially explicit multivariable Bayesian model was fitted using the RTMB R package to obtain effect estimates for covariates that included subject- and household-level factors ascertained by study investigators and environmental and hydrometeorological variables extracted from various data products at georeferenced child locations. Odds of Campylobacter infection increased statistically significantly in the 24 - 59-month age group (aOR = 5.84 [5.64, 6.05]), and in cases of out-patient diarrhea relative to asymptomatic individuals (1.71 [1.39, 2.10]) though not for in-patient or community detected cases. Effects of hydrometeorological variables on </w:t>
      </w:r>
      <w:r w:rsidRPr="006505C0">
        <w:rPr>
          <w:rFonts w:ascii="Calibri" w:eastAsia="Times New Roman" w:hAnsi="Calibri" w:cs="Calibri"/>
          <w:i/>
          <w:iCs/>
          <w:color w:val="000000"/>
          <w:kern w:val="0"/>
          <w:sz w:val="22"/>
          <w:szCs w:val="22"/>
          <w14:ligatures w14:val="none"/>
        </w:rPr>
        <w:t>Campylobacter</w:t>
      </w:r>
      <w:r w:rsidRPr="006505C0">
        <w:rPr>
          <w:rFonts w:ascii="Calibri" w:eastAsia="Times New Roman" w:hAnsi="Calibri" w:cs="Calibri"/>
          <w:color w:val="000000"/>
          <w:kern w:val="0"/>
          <w:sz w:val="22"/>
          <w:szCs w:val="22"/>
          <w14:ligatures w14:val="none"/>
        </w:rPr>
        <w:t> were modest compared to those previously reported for </w:t>
      </w:r>
      <w:r w:rsidRPr="006505C0">
        <w:rPr>
          <w:rFonts w:ascii="Calibri" w:eastAsia="Times New Roman" w:hAnsi="Calibri" w:cs="Calibri"/>
          <w:i/>
          <w:iCs/>
          <w:color w:val="000000"/>
          <w:kern w:val="0"/>
          <w:sz w:val="22"/>
          <w:szCs w:val="22"/>
          <w14:ligatures w14:val="none"/>
        </w:rPr>
        <w:t>Shigella</w:t>
      </w:r>
      <w:r w:rsidRPr="006505C0">
        <w:rPr>
          <w:rFonts w:ascii="Calibri" w:eastAsia="Times New Roman" w:hAnsi="Calibri" w:cs="Calibri"/>
          <w:color w:val="000000"/>
          <w:kern w:val="0"/>
          <w:sz w:val="22"/>
          <w:szCs w:val="22"/>
          <w14:ligatures w14:val="none"/>
        </w:rPr>
        <w:t> but included increased probability with higher precipitation and lower surface runoff volume, and low soil moisture. Strong protective effects were found for finished floors (0.84 [0.83, 0.86]) and sanitation facilities connected to sewers of septic tanks (0.84 [0.82, 0.87]), while owning ruminants (1.13 [1.10, 1.50]) or poultry (1.11 [1.09, 1.13]) as livestock increased risk of infection. These findings highlight the need for targeted interventions, such as improved domestic infrastructure and livestock manure management measures and can help guide prioritization for future vaccine trials and other public health initiatives.</w:t>
      </w:r>
    </w:p>
    <w:p w14:paraId="47FC44D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25-A-3552-ASTMH</w:t>
      </w:r>
    </w:p>
    <w:p w14:paraId="33EAD44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Parasite Transmission Biology</w:t>
      </w:r>
    </w:p>
    <w:p w14:paraId="52DED3F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i/>
          <w:iCs/>
          <w:color w:val="000000"/>
          <w:kern w:val="0"/>
          <w:sz w:val="22"/>
          <w:szCs w:val="22"/>
          <w14:ligatures w14:val="none"/>
        </w:rPr>
        <w:t>Plasmodium vivax</w:t>
      </w:r>
      <w:r w:rsidRPr="006505C0">
        <w:rPr>
          <w:rFonts w:ascii="Calibri" w:eastAsia="Times New Roman" w:hAnsi="Calibri" w:cs="Calibri"/>
          <w:b/>
          <w:bCs/>
          <w:color w:val="000000"/>
          <w:kern w:val="0"/>
          <w:sz w:val="22"/>
          <w:szCs w:val="22"/>
          <w14:ligatures w14:val="none"/>
        </w:rPr>
        <w:t> sporozoite infection reshapes gene expression profiles in salivary glands</w:t>
      </w:r>
      <w:r w:rsidRPr="006505C0">
        <w:rPr>
          <w:rFonts w:ascii="Calibri" w:eastAsia="Times New Roman" w:hAnsi="Calibri" w:cs="Calibri"/>
          <w:b/>
          <w:bCs/>
          <w:i/>
          <w:iCs/>
          <w:color w:val="000000"/>
          <w:kern w:val="0"/>
          <w:sz w:val="22"/>
          <w:szCs w:val="22"/>
          <w14:ligatures w14:val="none"/>
        </w:rPr>
        <w:t> </w:t>
      </w:r>
      <w:r w:rsidRPr="006505C0">
        <w:rPr>
          <w:rFonts w:ascii="Calibri" w:eastAsia="Times New Roman" w:hAnsi="Calibri" w:cs="Calibri"/>
          <w:b/>
          <w:bCs/>
          <w:color w:val="000000"/>
          <w:kern w:val="0"/>
          <w:sz w:val="22"/>
          <w:szCs w:val="22"/>
          <w14:ligatures w14:val="none"/>
        </w:rPr>
        <w:t>of the malaria vector </w:t>
      </w:r>
      <w:r w:rsidRPr="006505C0">
        <w:rPr>
          <w:rFonts w:ascii="Calibri" w:eastAsia="Times New Roman" w:hAnsi="Calibri" w:cs="Calibri"/>
          <w:b/>
          <w:bCs/>
          <w:i/>
          <w:iCs/>
          <w:color w:val="000000"/>
          <w:kern w:val="0"/>
          <w:sz w:val="22"/>
          <w:szCs w:val="22"/>
          <w14:ligatures w14:val="none"/>
        </w:rPr>
        <w:t>Anopheles darlingi</w:t>
      </w:r>
    </w:p>
    <w:p w14:paraId="4977076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i/>
          <w:iCs/>
          <w:color w:val="000000"/>
          <w:kern w:val="0"/>
          <w:sz w:val="22"/>
          <w:szCs w:val="22"/>
          <w14:ligatures w14:val="none"/>
        </w:rPr>
        <w:t>Plasmodium vivax</w:t>
      </w:r>
      <w:r w:rsidRPr="006505C0">
        <w:rPr>
          <w:rFonts w:ascii="Calibri" w:eastAsia="Times New Roman" w:hAnsi="Calibri" w:cs="Calibri"/>
          <w:color w:val="000000"/>
          <w:kern w:val="0"/>
          <w:sz w:val="22"/>
          <w:szCs w:val="22"/>
          <w14:ligatures w14:val="none"/>
        </w:rPr>
        <w:t> is the most prevalent species in the Americas where </w:t>
      </w:r>
      <w:r w:rsidRPr="006505C0">
        <w:rPr>
          <w:rFonts w:ascii="Calibri" w:eastAsia="Times New Roman" w:hAnsi="Calibri" w:cs="Calibri"/>
          <w:i/>
          <w:iCs/>
          <w:color w:val="000000"/>
          <w:kern w:val="0"/>
          <w:sz w:val="22"/>
          <w:szCs w:val="22"/>
          <w14:ligatures w14:val="none"/>
        </w:rPr>
        <w:t>Anopheles darlingi</w:t>
      </w:r>
      <w:r w:rsidRPr="006505C0">
        <w:rPr>
          <w:rFonts w:ascii="Calibri" w:eastAsia="Times New Roman" w:hAnsi="Calibri" w:cs="Calibri"/>
          <w:color w:val="000000"/>
          <w:kern w:val="0"/>
          <w:sz w:val="22"/>
          <w:szCs w:val="22"/>
          <w14:ligatures w14:val="none"/>
        </w:rPr>
        <w:t> is a dominant vector. While salivary glands (SG) are essential for parasite development and transmission, the molecular interplay between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sporozoites and mosquito salivary tissue remains poorly characterized. This study aimed to explore transcriptional changes in </w:t>
      </w:r>
      <w:r w:rsidRPr="006505C0">
        <w:rPr>
          <w:rFonts w:ascii="Calibri" w:eastAsia="Times New Roman" w:hAnsi="Calibri" w:cs="Calibri"/>
          <w:i/>
          <w:iCs/>
          <w:color w:val="000000"/>
          <w:kern w:val="0"/>
          <w:sz w:val="22"/>
          <w:szCs w:val="22"/>
          <w14:ligatures w14:val="none"/>
        </w:rPr>
        <w:t>An. darlingi</w:t>
      </w:r>
      <w:r w:rsidRPr="006505C0">
        <w:rPr>
          <w:rFonts w:ascii="Calibri" w:eastAsia="Times New Roman" w:hAnsi="Calibri" w:cs="Calibri"/>
          <w:color w:val="000000"/>
          <w:kern w:val="0"/>
          <w:sz w:val="22"/>
          <w:szCs w:val="22"/>
          <w14:ligatures w14:val="none"/>
        </w:rPr>
        <w:t> SG following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infection, which could accelerate the discovery of new vector-targeted vaccines and other preventive measurements. For this,</w:t>
      </w:r>
      <w:r w:rsidRPr="006505C0">
        <w:rPr>
          <w:rFonts w:ascii="Calibri" w:eastAsia="Times New Roman" w:hAnsi="Calibri" w:cs="Calibri"/>
          <w:i/>
          <w:iCs/>
          <w:color w:val="000000"/>
          <w:kern w:val="0"/>
          <w:sz w:val="22"/>
          <w:szCs w:val="22"/>
          <w14:ligatures w14:val="none"/>
        </w:rPr>
        <w:t> An. darlingi</w:t>
      </w:r>
      <w:r w:rsidRPr="006505C0">
        <w:rPr>
          <w:rFonts w:ascii="Calibri" w:eastAsia="Times New Roman" w:hAnsi="Calibri" w:cs="Calibri"/>
          <w:color w:val="000000"/>
          <w:kern w:val="0"/>
          <w:sz w:val="22"/>
          <w:szCs w:val="22"/>
          <w14:ligatures w14:val="none"/>
        </w:rPr>
        <w:t> females from the NAMRU SOUTH colony in Iquitos-Peru, were infected with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from five infected human volunteers. SG from infected (n=180) and non-infected specimens (n=90) were dissected and pooled (30/pool). Total RNA was isolated and used for sequencing. Gene annotations were retrieved from NCBI databases.</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At least 106 genes were found differentially expressed between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infected mosquitoes and controls. We identified 38 over-expressed and 68 under-expressed genes with Toll-like receptors and mucins genes found downregulated, suggesting local immunosuppression that may favor sporozoite survival. Genes involved in nutrient transport and metabolic processes such as lipid-binding and sugar transporter proteins, were elevated, potentially reallocating resources for mosquito and parasites. Downregulation of secretory pathway elements including synaptotagmins and microtubule regulators, extracellular matrix, and adhesion proteins, points to reshaped saliva constitution, while differential expression of neuronal signaling genes like acetylcholine receptor subunits, choline O-acetyl transferase, and SIF amide receptor, suggests possible behavioral shifts affecting feeding or host-seeking patterns.</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Our findings reveal that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sporozoites induce transcriptional remodeling in </w:t>
      </w:r>
      <w:r w:rsidRPr="006505C0">
        <w:rPr>
          <w:rFonts w:ascii="Calibri" w:eastAsia="Times New Roman" w:hAnsi="Calibri" w:cs="Calibri"/>
          <w:i/>
          <w:iCs/>
          <w:color w:val="000000"/>
          <w:kern w:val="0"/>
          <w:sz w:val="22"/>
          <w:szCs w:val="22"/>
          <w14:ligatures w14:val="none"/>
        </w:rPr>
        <w:t>An. darlingi</w:t>
      </w:r>
      <w:r w:rsidRPr="006505C0">
        <w:rPr>
          <w:rFonts w:ascii="Calibri" w:eastAsia="Times New Roman" w:hAnsi="Calibri" w:cs="Calibri"/>
          <w:color w:val="000000"/>
          <w:kern w:val="0"/>
          <w:sz w:val="22"/>
          <w:szCs w:val="22"/>
          <w14:ligatures w14:val="none"/>
        </w:rPr>
        <w:t> SG, that most likely optimize parasite transmission although its physiological cost to mosquitoes remains to be revealed.</w:t>
      </w:r>
    </w:p>
    <w:p w14:paraId="766384E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25-A-3553-ASTMH</w:t>
      </w:r>
    </w:p>
    <w:p w14:paraId="62EEA29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Clinical Tropical Medicine</w:t>
      </w:r>
    </w:p>
    <w:p w14:paraId="77E0E48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Stigma Among Diabetic Amputees in Solomon Islands: Social Impacts of a Life-Altering Surgery</w:t>
      </w:r>
    </w:p>
    <w:p w14:paraId="09AD0A0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Solomon Islands is a Western Pacific Island nation with an adult diabetes prevalence of 19.8%. Due to limited health infrastructure and healthcare accessibility, diabetic ulcers, and foot sepsis, which necessitates amputation, are common. Little is known about the experiences of patients who undergo amputation secondary to diabetes in Solomon Islands or the Pacific more broadly. We aim to describe the stigma and perceived social support experienced by diabetic amputees in Solomon Islands. A cross-sectional survey was administered to patients with a history of diabetic lower limb amputation. Patients were recruited from hospital records. The survey assessed perceived stigma, social support, mobility, and satisfaction with care using Likert-scale items (0 = strongly disagree to 4 = strongly agree). Descriptive statistics were performed and t-tests were conducted using STATA 15.1.A total of 89 patients completed the survey. The majority were male (N = 46, 52.27%), with a median age of 55 years (range: 30-82). Most participants were born in Malaita Province (N = 49, 54.44%), followed by Western Province (N = 11, 12.22%). A significant difference was found between "Other people blame me for my diabetes/amputation" and "People treat me differently because of my diabetes/amputation" (p = 5.5 × 10⁻⁹), as well as between "People treat me differently because of my diabetes/amputation" and "I feel that my diabetes/amputation has negatively impacted others" (p = 3.3 × 10⁻⁵). This suggests participants experienced being treated differently more than being blamed. Results reveal meaningful differences in how stigma is experienced. Notably, participants felt treated differently more than being blamed or believing they burdened others. These distinctions suggest that enacted stigma—actual differential treatment from others—may be more immediately felt or observable than internalized stigma (e.g., self-blame or concern for others’ burdens). These findings highlight the multidimensional nature of stigma and offer insight into social and psychological impacts of diabetes-related amputation.</w:t>
      </w:r>
    </w:p>
    <w:p w14:paraId="4E66A4D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25-A-3554-ASTMH</w:t>
      </w:r>
    </w:p>
    <w:p w14:paraId="52CF382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Ectoparasite-Borne Disease - Other</w:t>
      </w:r>
    </w:p>
    <w:p w14:paraId="72A92A4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First detection of Yersinia pestis in Xenopsylla brasiliensis in Madagascar Evidence from a northern plague-endemic area, 2024</w:t>
      </w:r>
    </w:p>
    <w:p w14:paraId="5EC7829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Plague, caused by </w:t>
      </w:r>
      <w:r w:rsidRPr="006505C0">
        <w:rPr>
          <w:rFonts w:ascii="Calibri" w:eastAsia="Times New Roman" w:hAnsi="Calibri" w:cs="Calibri"/>
          <w:i/>
          <w:iCs/>
          <w:color w:val="000000"/>
          <w:kern w:val="0"/>
          <w:sz w:val="22"/>
          <w:szCs w:val="22"/>
          <w14:ligatures w14:val="none"/>
        </w:rPr>
        <w:t>Yersinia pestis</w:t>
      </w:r>
      <w:r w:rsidRPr="006505C0">
        <w:rPr>
          <w:rFonts w:ascii="Calibri" w:eastAsia="Times New Roman" w:hAnsi="Calibri" w:cs="Calibri"/>
          <w:color w:val="000000"/>
          <w:kern w:val="0"/>
          <w:sz w:val="22"/>
          <w:szCs w:val="22"/>
          <w14:ligatures w14:val="none"/>
        </w:rPr>
        <w:t>, remains a public health threat in Madagascar. It is primarily maintained in rodent populations and transmitted via flea bites. In September 2024, bubonic plague cases were reported in Bealanana, the northern foci in Madagascar. No studies had been conducted in this area to identify potential reservoirs and vectors. This study aimed to identify plague risk indicators in rural landlocked area. Investigations were carried out in four villages with suspected bubonic plague cases in 2024. Nine human samples were tested. Sampling involved the capture of small mammals using live traps and collect of free-living fleas using light traps. Spleen, blood and flea samples were tested for serological to detect IgG anti F1 antibody and real-time PCR to detect </w:t>
      </w:r>
      <w:r w:rsidRPr="006505C0">
        <w:rPr>
          <w:rFonts w:ascii="Calibri" w:eastAsia="Times New Roman" w:hAnsi="Calibri" w:cs="Calibri"/>
          <w:i/>
          <w:iCs/>
          <w:color w:val="000000"/>
          <w:kern w:val="0"/>
          <w:sz w:val="22"/>
          <w:szCs w:val="22"/>
          <w14:ligatures w14:val="none"/>
        </w:rPr>
        <w:t>Y. pestis </w:t>
      </w:r>
      <w:r w:rsidRPr="006505C0">
        <w:rPr>
          <w:rFonts w:ascii="Calibri" w:eastAsia="Times New Roman" w:hAnsi="Calibri" w:cs="Calibri"/>
          <w:color w:val="000000"/>
          <w:kern w:val="0"/>
          <w:sz w:val="22"/>
          <w:szCs w:val="22"/>
          <w14:ligatures w14:val="none"/>
        </w:rPr>
        <w:t>DNA by targeting pla and caf1 genes. Of the human samples, 25% tested positive for </w:t>
      </w:r>
      <w:r w:rsidRPr="006505C0">
        <w:rPr>
          <w:rFonts w:ascii="Calibri" w:eastAsia="Times New Roman" w:hAnsi="Calibri" w:cs="Calibri"/>
          <w:i/>
          <w:iCs/>
          <w:color w:val="000000"/>
          <w:kern w:val="0"/>
          <w:sz w:val="22"/>
          <w:szCs w:val="22"/>
          <w14:ligatures w14:val="none"/>
        </w:rPr>
        <w:t>Y. pestis</w:t>
      </w:r>
      <w:r w:rsidRPr="006505C0">
        <w:rPr>
          <w:rFonts w:ascii="Calibri" w:eastAsia="Times New Roman" w:hAnsi="Calibri" w:cs="Calibri"/>
          <w:color w:val="000000"/>
          <w:kern w:val="0"/>
          <w:sz w:val="22"/>
          <w:szCs w:val="22"/>
          <w14:ligatures w14:val="none"/>
        </w:rPr>
        <w:t>. Dead rodents were reported one week before the first human case in the index village. A total of 137 rodents were captured belonging to </w:t>
      </w:r>
      <w:r w:rsidRPr="006505C0">
        <w:rPr>
          <w:rFonts w:ascii="Calibri" w:eastAsia="Times New Roman" w:hAnsi="Calibri" w:cs="Calibri"/>
          <w:i/>
          <w:iCs/>
          <w:color w:val="000000"/>
          <w:kern w:val="0"/>
          <w:sz w:val="22"/>
          <w:szCs w:val="22"/>
          <w14:ligatures w14:val="none"/>
        </w:rPr>
        <w:t>Rattus rattus</w:t>
      </w:r>
      <w:r w:rsidRPr="006505C0">
        <w:rPr>
          <w:rFonts w:ascii="Calibri" w:eastAsia="Times New Roman" w:hAnsi="Calibri" w:cs="Calibri"/>
          <w:color w:val="000000"/>
          <w:kern w:val="0"/>
          <w:sz w:val="22"/>
          <w:szCs w:val="22"/>
          <w14:ligatures w14:val="none"/>
        </w:rPr>
        <w:t> (64%), </w:t>
      </w:r>
      <w:r w:rsidRPr="006505C0">
        <w:rPr>
          <w:rFonts w:ascii="Calibri" w:eastAsia="Times New Roman" w:hAnsi="Calibri" w:cs="Calibri"/>
          <w:i/>
          <w:iCs/>
          <w:color w:val="000000"/>
          <w:kern w:val="0"/>
          <w:sz w:val="22"/>
          <w:szCs w:val="22"/>
          <w14:ligatures w14:val="none"/>
        </w:rPr>
        <w:t>Mus musculus</w:t>
      </w:r>
      <w:r w:rsidRPr="006505C0">
        <w:rPr>
          <w:rFonts w:ascii="Calibri" w:eastAsia="Times New Roman" w:hAnsi="Calibri" w:cs="Calibri"/>
          <w:color w:val="000000"/>
          <w:kern w:val="0"/>
          <w:sz w:val="22"/>
          <w:szCs w:val="22"/>
          <w14:ligatures w14:val="none"/>
        </w:rPr>
        <w:t> (21%) and </w:t>
      </w:r>
      <w:r w:rsidRPr="006505C0">
        <w:rPr>
          <w:rFonts w:ascii="Calibri" w:eastAsia="Times New Roman" w:hAnsi="Calibri" w:cs="Calibri"/>
          <w:i/>
          <w:iCs/>
          <w:color w:val="000000"/>
          <w:kern w:val="0"/>
          <w:sz w:val="22"/>
          <w:szCs w:val="22"/>
          <w14:ligatures w14:val="none"/>
        </w:rPr>
        <w:t>Suncus murinus</w:t>
      </w:r>
      <w:r w:rsidRPr="006505C0">
        <w:rPr>
          <w:rFonts w:ascii="Calibri" w:eastAsia="Times New Roman" w:hAnsi="Calibri" w:cs="Calibri"/>
          <w:color w:val="000000"/>
          <w:kern w:val="0"/>
          <w:sz w:val="22"/>
          <w:szCs w:val="22"/>
          <w14:ligatures w14:val="none"/>
        </w:rPr>
        <w:t> (15%). Fleas collected from rodents (300) were all identified as </w:t>
      </w:r>
      <w:r w:rsidRPr="006505C0">
        <w:rPr>
          <w:rFonts w:ascii="Calibri" w:eastAsia="Times New Roman" w:hAnsi="Calibri" w:cs="Calibri"/>
          <w:i/>
          <w:iCs/>
          <w:color w:val="000000"/>
          <w:kern w:val="0"/>
          <w:sz w:val="22"/>
          <w:szCs w:val="22"/>
          <w14:ligatures w14:val="none"/>
        </w:rPr>
        <w:t>Xenopsylla brasiliensis</w:t>
      </w:r>
      <w:r w:rsidRPr="006505C0">
        <w:rPr>
          <w:rFonts w:ascii="Calibri" w:eastAsia="Times New Roman" w:hAnsi="Calibri" w:cs="Calibri"/>
          <w:color w:val="000000"/>
          <w:kern w:val="0"/>
          <w:sz w:val="22"/>
          <w:szCs w:val="22"/>
          <w14:ligatures w14:val="none"/>
        </w:rPr>
        <w:t>. Free-living fleas (187) were mainly </w:t>
      </w:r>
      <w:r w:rsidRPr="006505C0">
        <w:rPr>
          <w:rFonts w:ascii="Calibri" w:eastAsia="Times New Roman" w:hAnsi="Calibri" w:cs="Calibri"/>
          <w:i/>
          <w:iCs/>
          <w:color w:val="000000"/>
          <w:kern w:val="0"/>
          <w:sz w:val="22"/>
          <w:szCs w:val="22"/>
          <w14:ligatures w14:val="none"/>
        </w:rPr>
        <w:t>Pulex irritans</w:t>
      </w:r>
      <w:r w:rsidRPr="006505C0">
        <w:rPr>
          <w:rFonts w:ascii="Calibri" w:eastAsia="Times New Roman" w:hAnsi="Calibri" w:cs="Calibri"/>
          <w:color w:val="000000"/>
          <w:kern w:val="0"/>
          <w:sz w:val="22"/>
          <w:szCs w:val="22"/>
          <w14:ligatures w14:val="none"/>
        </w:rPr>
        <w:t> (96%), followed by </w:t>
      </w:r>
      <w:r w:rsidRPr="006505C0">
        <w:rPr>
          <w:rFonts w:ascii="Calibri" w:eastAsia="Times New Roman" w:hAnsi="Calibri" w:cs="Calibri"/>
          <w:i/>
          <w:iCs/>
          <w:color w:val="000000"/>
          <w:kern w:val="0"/>
          <w:sz w:val="22"/>
          <w:szCs w:val="22"/>
          <w14:ligatures w14:val="none"/>
        </w:rPr>
        <w:t>Ctenocephalides felis</w:t>
      </w:r>
      <w:r w:rsidRPr="006505C0">
        <w:rPr>
          <w:rFonts w:ascii="Calibri" w:eastAsia="Times New Roman" w:hAnsi="Calibri" w:cs="Calibri"/>
          <w:color w:val="000000"/>
          <w:kern w:val="0"/>
          <w:sz w:val="22"/>
          <w:szCs w:val="22"/>
          <w14:ligatures w14:val="none"/>
        </w:rPr>
        <w:t> (3%) and </w:t>
      </w:r>
      <w:r w:rsidRPr="006505C0">
        <w:rPr>
          <w:rFonts w:ascii="Calibri" w:eastAsia="Times New Roman" w:hAnsi="Calibri" w:cs="Calibri"/>
          <w:i/>
          <w:iCs/>
          <w:color w:val="000000"/>
          <w:kern w:val="0"/>
          <w:sz w:val="22"/>
          <w:szCs w:val="22"/>
          <w14:ligatures w14:val="none"/>
        </w:rPr>
        <w:t>X. brasiliensis</w:t>
      </w:r>
      <w:r w:rsidRPr="006505C0">
        <w:rPr>
          <w:rFonts w:ascii="Calibri" w:eastAsia="Times New Roman" w:hAnsi="Calibri" w:cs="Calibri"/>
          <w:color w:val="000000"/>
          <w:kern w:val="0"/>
          <w:sz w:val="22"/>
          <w:szCs w:val="22"/>
          <w14:ligatures w14:val="none"/>
        </w:rPr>
        <w:t> (1%). Of the 137 small mammals tested, 33 were seropositive to anti F1 antibodies and none for molecular tests. However, </w:t>
      </w:r>
      <w:r w:rsidRPr="006505C0">
        <w:rPr>
          <w:rFonts w:ascii="Calibri" w:eastAsia="Times New Roman" w:hAnsi="Calibri" w:cs="Calibri"/>
          <w:i/>
          <w:iCs/>
          <w:color w:val="000000"/>
          <w:kern w:val="0"/>
          <w:sz w:val="22"/>
          <w:szCs w:val="22"/>
          <w14:ligatures w14:val="none"/>
        </w:rPr>
        <w:t>Y. pestis</w:t>
      </w:r>
      <w:r w:rsidRPr="006505C0">
        <w:rPr>
          <w:rFonts w:ascii="Calibri" w:eastAsia="Times New Roman" w:hAnsi="Calibri" w:cs="Calibri"/>
          <w:color w:val="000000"/>
          <w:kern w:val="0"/>
          <w:sz w:val="22"/>
          <w:szCs w:val="22"/>
          <w14:ligatures w14:val="none"/>
        </w:rPr>
        <w:t> DNA was detected in free-living fleas </w:t>
      </w:r>
      <w:r w:rsidRPr="006505C0">
        <w:rPr>
          <w:rFonts w:ascii="Calibri" w:eastAsia="Times New Roman" w:hAnsi="Calibri" w:cs="Calibri"/>
          <w:i/>
          <w:iCs/>
          <w:color w:val="000000"/>
          <w:kern w:val="0"/>
          <w:sz w:val="22"/>
          <w:szCs w:val="22"/>
          <w14:ligatures w14:val="none"/>
        </w:rPr>
        <w:t>P. irritans</w:t>
      </w:r>
      <w:r w:rsidRPr="006505C0">
        <w:rPr>
          <w:rFonts w:ascii="Calibri" w:eastAsia="Times New Roman" w:hAnsi="Calibri" w:cs="Calibri"/>
          <w:color w:val="000000"/>
          <w:kern w:val="0"/>
          <w:sz w:val="22"/>
          <w:szCs w:val="22"/>
          <w14:ligatures w14:val="none"/>
        </w:rPr>
        <w:t>, and for the first time in </w:t>
      </w:r>
      <w:r w:rsidRPr="006505C0">
        <w:rPr>
          <w:rFonts w:ascii="Calibri" w:eastAsia="Times New Roman" w:hAnsi="Calibri" w:cs="Calibri"/>
          <w:i/>
          <w:iCs/>
          <w:color w:val="000000"/>
          <w:kern w:val="0"/>
          <w:sz w:val="22"/>
          <w:szCs w:val="22"/>
          <w14:ligatures w14:val="none"/>
        </w:rPr>
        <w:t>X. brasiliensis,</w:t>
      </w:r>
      <w:r w:rsidRPr="006505C0">
        <w:rPr>
          <w:rFonts w:ascii="Calibri" w:eastAsia="Times New Roman" w:hAnsi="Calibri" w:cs="Calibri"/>
          <w:color w:val="000000"/>
          <w:kern w:val="0"/>
          <w:sz w:val="22"/>
          <w:szCs w:val="22"/>
          <w14:ligatures w14:val="none"/>
        </w:rPr>
        <w:t> flea known as vector plague in Africa and identified in Madagascar in 2014. Proliferation of </w:t>
      </w:r>
      <w:r w:rsidRPr="006505C0">
        <w:rPr>
          <w:rFonts w:ascii="Calibri" w:eastAsia="Times New Roman" w:hAnsi="Calibri" w:cs="Calibri"/>
          <w:i/>
          <w:iCs/>
          <w:color w:val="000000"/>
          <w:kern w:val="0"/>
          <w:sz w:val="22"/>
          <w:szCs w:val="22"/>
          <w14:ligatures w14:val="none"/>
        </w:rPr>
        <w:t>P. irritans</w:t>
      </w:r>
      <w:r w:rsidRPr="006505C0">
        <w:rPr>
          <w:rFonts w:ascii="Calibri" w:eastAsia="Times New Roman" w:hAnsi="Calibri" w:cs="Calibri"/>
          <w:color w:val="000000"/>
          <w:kern w:val="0"/>
          <w:sz w:val="22"/>
          <w:szCs w:val="22"/>
          <w14:ligatures w14:val="none"/>
        </w:rPr>
        <w:t> in rice bran outside home, which creates an environment conducive to flea development, was also observed. Our findings suggest </w:t>
      </w:r>
      <w:r w:rsidRPr="006505C0">
        <w:rPr>
          <w:rFonts w:ascii="Calibri" w:eastAsia="Times New Roman" w:hAnsi="Calibri" w:cs="Calibri"/>
          <w:i/>
          <w:iCs/>
          <w:color w:val="000000"/>
          <w:kern w:val="0"/>
          <w:sz w:val="22"/>
          <w:szCs w:val="22"/>
          <w14:ligatures w14:val="none"/>
        </w:rPr>
        <w:t>R. rattus </w:t>
      </w:r>
      <w:r w:rsidRPr="006505C0">
        <w:rPr>
          <w:rFonts w:ascii="Calibri" w:eastAsia="Times New Roman" w:hAnsi="Calibri" w:cs="Calibri"/>
          <w:color w:val="000000"/>
          <w:kern w:val="0"/>
          <w:sz w:val="22"/>
          <w:szCs w:val="22"/>
          <w14:ligatures w14:val="none"/>
        </w:rPr>
        <w:t>as a likely reservoir, with probably resistant individuals surviving the epizootic. The usual flea vectors X.</w:t>
      </w:r>
      <w:r w:rsidRPr="006505C0">
        <w:rPr>
          <w:rFonts w:ascii="Calibri" w:eastAsia="Times New Roman" w:hAnsi="Calibri" w:cs="Calibri"/>
          <w:i/>
          <w:iCs/>
          <w:color w:val="000000"/>
          <w:kern w:val="0"/>
          <w:sz w:val="22"/>
          <w:szCs w:val="22"/>
          <w14:ligatures w14:val="none"/>
        </w:rPr>
        <w:t> cheopis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Synopsyllus fonquerniei</w:t>
      </w:r>
      <w:r w:rsidRPr="006505C0">
        <w:rPr>
          <w:rFonts w:ascii="Calibri" w:eastAsia="Times New Roman" w:hAnsi="Calibri" w:cs="Calibri"/>
          <w:color w:val="000000"/>
          <w:kern w:val="0"/>
          <w:sz w:val="22"/>
          <w:szCs w:val="22"/>
          <w14:ligatures w14:val="none"/>
        </w:rPr>
        <w:t>, were absents during this investigation. The presence of </w:t>
      </w:r>
      <w:r w:rsidRPr="006505C0">
        <w:rPr>
          <w:rFonts w:ascii="Calibri" w:eastAsia="Times New Roman" w:hAnsi="Calibri" w:cs="Calibri"/>
          <w:i/>
          <w:iCs/>
          <w:color w:val="000000"/>
          <w:kern w:val="0"/>
          <w:sz w:val="22"/>
          <w:szCs w:val="22"/>
          <w14:ligatures w14:val="none"/>
        </w:rPr>
        <w:t>Y. pestis </w:t>
      </w:r>
      <w:r w:rsidRPr="006505C0">
        <w:rPr>
          <w:rFonts w:ascii="Calibri" w:eastAsia="Times New Roman" w:hAnsi="Calibri" w:cs="Calibri"/>
          <w:color w:val="000000"/>
          <w:kern w:val="0"/>
          <w:sz w:val="22"/>
          <w:szCs w:val="22"/>
          <w14:ligatures w14:val="none"/>
        </w:rPr>
        <w:t>DNA in </w:t>
      </w:r>
      <w:r w:rsidRPr="006505C0">
        <w:rPr>
          <w:rFonts w:ascii="Calibri" w:eastAsia="Times New Roman" w:hAnsi="Calibri" w:cs="Calibri"/>
          <w:i/>
          <w:iCs/>
          <w:color w:val="000000"/>
          <w:kern w:val="0"/>
          <w:sz w:val="22"/>
          <w:szCs w:val="22"/>
          <w14:ligatures w14:val="none"/>
        </w:rPr>
        <w:t>X. brasiliensis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P. irritans </w:t>
      </w:r>
      <w:r w:rsidRPr="006505C0">
        <w:rPr>
          <w:rFonts w:ascii="Calibri" w:eastAsia="Times New Roman" w:hAnsi="Calibri" w:cs="Calibri"/>
          <w:color w:val="000000"/>
          <w:kern w:val="0"/>
          <w:sz w:val="22"/>
          <w:szCs w:val="22"/>
          <w14:ligatures w14:val="none"/>
        </w:rPr>
        <w:t>highlights a possible change in the ecological dynamics of vectors. Further research is needed to understand the role of these fleas in plague transmission.</w:t>
      </w:r>
    </w:p>
    <w:p w14:paraId="26E8C4E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25-A-3555-ASTMH</w:t>
      </w:r>
    </w:p>
    <w:p w14:paraId="4AD7802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Maternal, Newborn and Child Health and Nutrition</w:t>
      </w:r>
    </w:p>
    <w:p w14:paraId="485D348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Paving Pathway to the Minimally Invasive Tissue Sampling in Perinatal Deaths</w:t>
      </w:r>
    </w:p>
    <w:p w14:paraId="3AB44A3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Minimally Invasive Tissue Sampling (MITS) is a process in which the tissue samples are retrieved and then analyzed microbiologically and pathologically to determine the cause of death. This project works in collaboration with the WHO Maternal and Perinatal Death Surveillance and Response (MPDSR) program, where cases enrolled in this program are also included in MITS. The first stepping stone of the feasibility study of MITS in the Kaski district started with a collaboration with the Family Welfare Division (FWD) of the Ministry of Health Services, which coordinates the WHO MPDSR program in Nepal. In Kaski district, Pokhara Municipality Health Division and the District Health Directorate Office are the two stakeholders responsible for implementing this program. The dialogues and multiple need assessment and planning meetings with these authorities and other stakeholders, such as obstetricians, pediatricians, medical directors, nursing in-charges and staff, paved the way further. As an initial step, various community sensitization programs and cascading training were conducted. There is support and cooperation from the government stakeholders in implementation as the project team continuously shares the updates and findings; also, these authorities request the inputs of the project in their maternal and child health programs. The FWD and district offices are proactive in incorporating MITS in the existing system by analyzing cost-efficacy. The total cost of examining a case as of now is 1000 USD per case, which includes the cost of all the laboratory investigations and human resources. If only a certain test is performed, such as placental examination for stillbirths and lung tissue examination for neonatal deaths, the cause of death is determined at a reasonable cost. The discussion and way forward on cost are still ongoing. Reluctance from the stakeholders, such as clinicians and families, and scarce resources were the challenges in the initial days. The adequate and desired tissue retrieval was another </w:t>
      </w:r>
      <w:r w:rsidRPr="006505C0">
        <w:rPr>
          <w:rFonts w:ascii="Calibri" w:eastAsia="Times New Roman" w:hAnsi="Calibri" w:cs="Calibri"/>
          <w:color w:val="000000"/>
          <w:kern w:val="0"/>
          <w:sz w:val="22"/>
          <w:szCs w:val="22"/>
          <w14:ligatures w14:val="none"/>
        </w:rPr>
        <w:lastRenderedPageBreak/>
        <w:t>challenge, which was overcome by continuous modification in the procedure and communication among MITS experts.</w:t>
      </w:r>
    </w:p>
    <w:p w14:paraId="3190553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25-A-3556-ASTMH</w:t>
      </w:r>
    </w:p>
    <w:p w14:paraId="0922A13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Vaccine Clinical Trials</w:t>
      </w:r>
    </w:p>
    <w:p w14:paraId="108E5F5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Phase 1 trial to safely model primary, secondary, and tertiary dengue</w:t>
      </w:r>
    </w:p>
    <w:p w14:paraId="40ED641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Natural secondary infection with a distinct dengue virus (DENV) serotype is associated with higher peak viremia and greater disease severity. Secondary infection is also followed by a robust, broad B and T cell response thought to protect against any DENV serotype. We conducted a trial in humans using an attenuated DENV3 strain to safely test these observations in humans in a controlled setting and identify correlates of protection and viral enhancement (NCT05691530). In this phase 1 trial, we enrolled</w:t>
      </w:r>
      <w:r w:rsidRPr="006505C0">
        <w:rPr>
          <w:rFonts w:ascii="Calibri" w:eastAsia="Times New Roman" w:hAnsi="Calibri" w:cs="Calibri"/>
          <w:b/>
          <w:bCs/>
          <w:color w:val="000000"/>
          <w:kern w:val="0"/>
          <w:sz w:val="22"/>
          <w:szCs w:val="22"/>
          <w14:ligatures w14:val="none"/>
        </w:rPr>
        <w:t> </w:t>
      </w:r>
      <w:r w:rsidRPr="006505C0">
        <w:rPr>
          <w:rFonts w:ascii="Calibri" w:eastAsia="Times New Roman" w:hAnsi="Calibri" w:cs="Calibri"/>
          <w:color w:val="000000"/>
          <w:kern w:val="0"/>
          <w:sz w:val="22"/>
          <w:szCs w:val="22"/>
          <w14:ligatures w14:val="none"/>
        </w:rPr>
        <w:t>45 participants with no, one, or more than one prior heterotypic DENV infection as defined by infection history and plaque reduction neutralization test using partially immature DENV1-4. Individuals were inoculated with rDEN3Δ30/31-7164 and closely followed clinically. Blood samples were provided at days 0, 1, 3, 6, 9, 12, 15, 28, and 57 after vaccination. Participants experienced mild natural signs and symptoms associated with dengue but without serious outcomes. The secondary DENV infection group (n=18) had higher viremia (p&lt;0.05) compared to the primary (n=14) or tertiary groups (n=10); the tertiary group had viremia near the limit of detection. An additional group with ‘possible’ tertiary infections (n=3, balanced but low neutralizing antibodies) had viremia like the secondary group. Compared to day 0, primary and secondary groups had a decline in neutrophils and white blood cells, and the secondary group also had a decline in platelets and increase in liver enzymes. Secondary infection was associated with the largest increase in neutralizing antibodies (day 0 vs. 28 and 57, p&lt;0.01) while the tertiary group had the smallest increase. Antibody populations measured at day 0 and identified as correlates in natural infection studies, like mature virus neutralization, were predictive of low viremia. In ongoing work, we are measuring CD4+ and CD8+ T cell profiles with activation-induced marker and intracellular cytokine staining assays, antibody-dependent enhancement titers, and envelope-dimer epitope antibodies. This study informs how prior exposure increases viremia and immunity becomes protective against dengue.</w:t>
      </w:r>
    </w:p>
    <w:p w14:paraId="6E251F5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25-A-3557-ASTMH</w:t>
      </w:r>
    </w:p>
    <w:p w14:paraId="212F4E4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2EDACA5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Madagascar e-Learning for the 2024 ITN Mass Campaign</w:t>
      </w:r>
    </w:p>
    <w:p w14:paraId="1A914F9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In preparation for the 2024 Mass Distribution Campaign of Insecticide-Treated Nets (ITNs), the Ministry of Public Health, through the National Malaria Control Program and partners, adopted an e-learning strategy to train actors at all levels. This shift responded to recommendations from domestic and global institutions, including the Ministry of Public Health, the Alliance for Malaria Prevention, and the Global Fund, aiming to reduce logistical and financial inefficiencies of traditional training. Inspired by digital learning best practices from the Expanded Program on Immunization, the e-learning platform was developed and deployed in 13 days under the leadership of the Department of Communication. Over 550 national, regional, and district-level actors were trained, with a 92% participation rate and a 76% pass rate. Despite connectivity issues, community-level training was conducted face-to-face by trainers who had been trained via the platform. Learning analytics showed that the Communication module had the highest completion (85.7%), followed by Authentication (78.6%), while Financial Management was the most challenging (66.1%). A 24-hour access policy, technical support, mobile network planning, and regional coaching were introduced to facilitate learning. Key implementation challenges included tight timelines, unstable internet, and power outages—mitigated by automatic access recovery, offline materials, and local discussions. The platform's impact was notable in supporting logistics: only 0.001% of ITNs were lost (14,663,522 shipped vs. 14,663,395 received), far below the 20% safety margin. The post-campaign Data Quality Assessment indicated 92% data availability and 86% integrity, though further improvement is needed. E-learning reduced training costs by 72%, but two months later, 16% of </w:t>
      </w:r>
      <w:r w:rsidRPr="006505C0">
        <w:rPr>
          <w:rFonts w:ascii="Calibri" w:eastAsia="Times New Roman" w:hAnsi="Calibri" w:cs="Calibri"/>
          <w:color w:val="000000"/>
          <w:kern w:val="0"/>
          <w:sz w:val="22"/>
          <w:szCs w:val="22"/>
          <w14:ligatures w14:val="none"/>
        </w:rPr>
        <w:lastRenderedPageBreak/>
        <w:t>expense vouchers from Regional, District, and health facility teams remain unvalidated due to documentation issues. Further evaluation will assess long-term effects on operations and data. Certification and training allowances were identified as future engagement drivers.</w:t>
      </w:r>
    </w:p>
    <w:p w14:paraId="53A606A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25-A-3558-ASTMH</w:t>
      </w:r>
    </w:p>
    <w:p w14:paraId="235914A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B78F23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Leveraging Mobile Digital Platforms and Open-Source Tools for Clinical Trial Data Collection in Low-Resource Settings: Lessons Learnt from a Malaria Trial in Ghana</w:t>
      </w:r>
    </w:p>
    <w:p w14:paraId="59F0719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Clinical trials have traditionally relied on paper-based Case Report Forms (CRFs) for data capture, which are later digitized through Electronic Data Capture (EDC) systems. Despite technological advancements, paper CRFs remain the standard due to the requirements for source data verification by Clinical Research Associates (CRAs) and regulators. However, mobile digital platforms (MDPs) are becoming increasingly necessary in low-resource settings, enabling near real-time access to research data. Nevertheless, challenges persist, including poor internet connectivity, limited power sources, device management, and quality assurance. In an ongoing Phase 3 malaria clinical trial in Ghana, mobile data collection (MDC) is employed across various trial units. Data are collected offline by fieldworkers, clinicians, lab staff, and coordinators and then uploaded to a cloud server when internet access is available. REDCap (21 CFR Part 11 compliant) and open-source tools like Python, Django, and MySQL facilitate data capture, export, integration, visit scheduling, and query tracking. The field team transports charged tablets to remote locations to address limited power infrastructure. A custom Python-based application assists with visit tracking, displays participant schedules and queries, and allows for file downloads for offline access. Clinicians document adverse events, fieldworkers collect data during scheduled and unscheduled visits, pharmacists handle drug accountability, and lab staff enter results directly, utilizing REDCap. Key benefits include timely data collection, reduced errors, and real-time availability of research data. Connectivity and power issues are managed through field coordination. The system also supports remote Source Data Review, reducing the need for on-site monitoring. This approach demonstrates the feasibility and advantages of utilizing MDPs and open-source tools for clinical trial data capture in low-resource settings, enhancing data quality, reducing turnaround time, and promoting cost-effective scalability and sustainability.</w:t>
      </w:r>
    </w:p>
    <w:p w14:paraId="78423FE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25-A-3559-ASTMH</w:t>
      </w:r>
    </w:p>
    <w:p w14:paraId="209AC53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HIV and Tropical Co-Infections</w:t>
      </w:r>
    </w:p>
    <w:p w14:paraId="6C8D3E60" w14:textId="586229FA"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Depression among people living with Human Immunodeficiency Virus in the Muanda Health Zone Kongo Central province in the Democratic Republic of Congo proportion and relative factors</w:t>
      </w:r>
    </w:p>
    <w:p w14:paraId="019ECFD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Depression is the most common psychiatric disorder among individuals living with the human immunodeficiency virus (HIV). Globally, an estimated 350 million people suffer from depression, which was recognized as the second most prevalent illness in 2020. The burden of depression is particularly high among people living with HIV (PLHIV), especially in developing countries. Understanding the prevalence and associated factors of depression in this population is critical for informing mental health interventions. A cross-sectional analytical study was conducted to assess the prevalence and associated factors of depression among PLHIV in the Muanda Health Zone of the Kongo Central province in the Democratic Republic of Congo. Binary logistic regression analysis was employed to identify factors significantly associated with depression, after descriptive and bivariate analyses. The median age of participants was 49 years (interquartile range: 17 years; range: 9-86 years), with 74.4% aged 40 years or older. Women represented the majority of the sample (70.9%), while men comprised 29.1%, yielding a sex ratio of 3:7 (male to female). The overall prevalence of depression among PLHIV in the Muanda Health Zone was 44% (95% CI: 39.43-48.79). Two factors were found to be significantly associated with moderately severe to severe depression: having an income activity (p = 0.001; OR=3.18; IC:1.69- 6.31); and physical exercise (p = 0.04; OR=2.59; IC:1.01- 6.65). Depression remains underdiagnosed and undertreated among PLHIV. Broader studies involving larger and more diverse populations are essential </w:t>
      </w:r>
      <w:r w:rsidRPr="006505C0">
        <w:rPr>
          <w:rFonts w:ascii="Calibri" w:eastAsia="Times New Roman" w:hAnsi="Calibri" w:cs="Calibri"/>
          <w:color w:val="000000"/>
          <w:kern w:val="0"/>
          <w:sz w:val="22"/>
          <w:szCs w:val="22"/>
          <w14:ligatures w14:val="none"/>
        </w:rPr>
        <w:lastRenderedPageBreak/>
        <w:t>to better understand its underlying causes and risk factors. Early diagnosis and timely interventions should be prioritized in HIV care to improve mental health outcomes.</w:t>
      </w:r>
    </w:p>
    <w:p w14:paraId="4497C1A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25-A-3560-ASTMH</w:t>
      </w:r>
    </w:p>
    <w:p w14:paraId="0CEDAC2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14F2B3E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Innovative Data Management in Rural Gambia The Pneumococcal Vaccine Schedules Trial</w:t>
      </w:r>
    </w:p>
    <w:p w14:paraId="3DEC8D4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Research data management for research projects in rural Africa presents unique challenges. The Pneumococcal Vaccine Schedules (PVS) cluster-randomised trial in The Gambia employed state-of-the-art data management techniques to maintain data integrity and validity where many observations are made in places without electricity or internet. We verified the identity and residential status of newborns in the study region in a live sample frame that is updated continually and includes over 11,000 births annually. Monthly visits of 4,500 children were recorded into databases from EPI clinics with information on all immunisation administrations (more than 5500 doses of vaccinations). User prompts and decision-making guidelines for group assignment for more than 10,000 births annually and proper vaccination administration were employed based on the village of residency for more than 40,000 PCV doses annually. Data was synchronised weekly to a central server (up to 400 trial enrolments, 2500 PCV doses, and 800 clinical presentations per week, tracking a 300,000-person residential population) and then delivered to site-specific devices, where they are automatically validated. A back-end relational database integrating variables from five distinct applications was updated weekly. Patients who presented to health facilities had their demographic identity linked to them by identifiers and family genealogy. Off-site external trial monitoring, query, and audit trail using remote data viewing were also utilised. Staff members accessed real-time data, utilising automated queries with ongoing weekly resolution. Expert reviewers reviewed collected data from the field by using the verbal autopsy coding, which is an online application system (ICD-10 codes) to determine the cause of death.</w:t>
      </w:r>
    </w:p>
    <w:p w14:paraId="36F5510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25-A-3561-ASTMH</w:t>
      </w:r>
    </w:p>
    <w:p w14:paraId="7C338BF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608E0CB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Impact of the 5th cycle of Seasonal Malaria Chemoprevention in the areas with long malaria transmission seasonality in Mali</w:t>
      </w:r>
    </w:p>
    <w:p w14:paraId="448B0ED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Introduction: </w:t>
      </w:r>
      <w:r w:rsidRPr="006505C0">
        <w:rPr>
          <w:rFonts w:ascii="Calibri" w:eastAsia="Times New Roman" w:hAnsi="Calibri" w:cs="Calibri"/>
          <w:color w:val="000000"/>
          <w:kern w:val="0"/>
          <w:sz w:val="22"/>
          <w:szCs w:val="22"/>
          <w14:ligatures w14:val="none"/>
        </w:rPr>
        <w:t>Seasonal malaria chemoprevention (SMC) is a monthly preventive intervention recommended in areas of seasonal malaria transmission. To optimize its implementation, the number of cycles has been adapted to the duration of the malaria season with the local malaria stratification performed at country level. The aim of this study is to compare malaria incidence and severity in children under 5-year-old (y.o.), in health districts with a long malaria transmission season in Mali that have implemented 5 cycles. </w:t>
      </w:r>
      <w:r w:rsidRPr="006505C0">
        <w:rPr>
          <w:rFonts w:ascii="Calibri" w:eastAsia="Times New Roman" w:hAnsi="Calibri" w:cs="Calibri"/>
          <w:b/>
          <w:bCs/>
          <w:color w:val="000000"/>
          <w:kern w:val="0"/>
          <w:sz w:val="22"/>
          <w:szCs w:val="22"/>
          <w14:ligatures w14:val="none"/>
        </w:rPr>
        <w:t>Method: </w:t>
      </w:r>
      <w:r w:rsidRPr="006505C0">
        <w:rPr>
          <w:rFonts w:ascii="Calibri" w:eastAsia="Times New Roman" w:hAnsi="Calibri" w:cs="Calibri"/>
          <w:color w:val="000000"/>
          <w:kern w:val="0"/>
          <w:sz w:val="22"/>
          <w:szCs w:val="22"/>
          <w14:ligatures w14:val="none"/>
        </w:rPr>
        <w:t>Routine data were collected in from DHIS2 in 4 health districts with similar parasitological and meteorological characteristics (from July to December 2021-2024), 2 of which implemented 5 cycles of SMC. These health districts are also in the same transmission stratum. Rainfall data were collected using Climate Hazards Group InfraRed Precipitation. Monthly incidence was presented compared by the Wilcoxon test between the two groups. A General Additive Mixed Model (GAMM) was used to determine the standardized incidence ratio of malaria incidence in children under 5 y.o., taking rainfall into account. </w:t>
      </w:r>
      <w:r w:rsidRPr="006505C0">
        <w:rPr>
          <w:rFonts w:ascii="Calibri" w:eastAsia="Times New Roman" w:hAnsi="Calibri" w:cs="Calibri"/>
          <w:b/>
          <w:bCs/>
          <w:color w:val="000000"/>
          <w:kern w:val="0"/>
          <w:sz w:val="22"/>
          <w:szCs w:val="22"/>
          <w14:ligatures w14:val="none"/>
        </w:rPr>
        <w:t>Results: </w:t>
      </w:r>
      <w:r w:rsidRPr="006505C0">
        <w:rPr>
          <w:rFonts w:ascii="Calibri" w:eastAsia="Times New Roman" w:hAnsi="Calibri" w:cs="Calibri"/>
          <w:color w:val="000000"/>
          <w:kern w:val="0"/>
          <w:sz w:val="22"/>
          <w:szCs w:val="22"/>
          <w14:ligatures w14:val="none"/>
        </w:rPr>
        <w:t>SMC was implemented in 1,438 villages and targeted 298,483 children under 5 y.o. in each cycle. The average coverage per cycle was 89%. Univariate analysis showed that global malaria incidence (35.4 vs 47.6, </w:t>
      </w:r>
      <w:r w:rsidRPr="006505C0">
        <w:rPr>
          <w:rFonts w:ascii="Calibri" w:eastAsia="Times New Roman" w:hAnsi="Calibri" w:cs="Calibri"/>
          <w:i/>
          <w:iCs/>
          <w:color w:val="000000"/>
          <w:kern w:val="0"/>
          <w:sz w:val="22"/>
          <w:szCs w:val="22"/>
          <w14:ligatures w14:val="none"/>
        </w:rPr>
        <w:t>p&lt;0.01</w:t>
      </w:r>
      <w:r w:rsidRPr="006505C0">
        <w:rPr>
          <w:rFonts w:ascii="Calibri" w:eastAsia="Times New Roman" w:hAnsi="Calibri" w:cs="Calibri"/>
          <w:color w:val="000000"/>
          <w:kern w:val="0"/>
          <w:sz w:val="22"/>
          <w:szCs w:val="22"/>
          <w14:ligatures w14:val="none"/>
        </w:rPr>
        <w:t>) and severe malaria incidence (12.8 vs 16.3, </w:t>
      </w:r>
      <w:r w:rsidRPr="006505C0">
        <w:rPr>
          <w:rFonts w:ascii="Calibri" w:eastAsia="Times New Roman" w:hAnsi="Calibri" w:cs="Calibri"/>
          <w:i/>
          <w:iCs/>
          <w:color w:val="000000"/>
          <w:kern w:val="0"/>
          <w:sz w:val="22"/>
          <w:szCs w:val="22"/>
          <w14:ligatures w14:val="none"/>
        </w:rPr>
        <w:t>P=0.01</w:t>
      </w:r>
      <w:r w:rsidRPr="006505C0">
        <w:rPr>
          <w:rFonts w:ascii="Calibri" w:eastAsia="Times New Roman" w:hAnsi="Calibri" w:cs="Calibri"/>
          <w:color w:val="000000"/>
          <w:kern w:val="0"/>
          <w:sz w:val="22"/>
          <w:szCs w:val="22"/>
          <w14:ligatures w14:val="none"/>
        </w:rPr>
        <w:t>) for children under 5 y.o. were significantly lower with 5 cycles than 4 cycles. Rainfall was not significantly different between the 2 groups. Malaria incidence was significantly lower in children under 5 y.o. with SIR: 0.83 (CI: 0.69-0.98) (GAMM adjusted on Rainfall). The incidence of severe malaria was not significantly SIR: 0.86 (CI: 0.62-1.10). Adjusted R-squared of the model was 86%. </w:t>
      </w:r>
      <w:r w:rsidRPr="006505C0">
        <w:rPr>
          <w:rFonts w:ascii="Calibri" w:eastAsia="Times New Roman" w:hAnsi="Calibri" w:cs="Calibri"/>
          <w:b/>
          <w:bCs/>
          <w:color w:val="000000"/>
          <w:kern w:val="0"/>
          <w:sz w:val="22"/>
          <w:szCs w:val="22"/>
          <w14:ligatures w14:val="none"/>
        </w:rPr>
        <w:t>Conclusion: </w:t>
      </w:r>
      <w:r w:rsidRPr="006505C0">
        <w:rPr>
          <w:rFonts w:ascii="Calibri" w:eastAsia="Times New Roman" w:hAnsi="Calibri" w:cs="Calibri"/>
          <w:color w:val="000000"/>
          <w:kern w:val="0"/>
          <w:sz w:val="22"/>
          <w:szCs w:val="22"/>
          <w14:ligatures w14:val="none"/>
        </w:rPr>
        <w:t>Adapting a 5th cycle adapted to the duration of the malaria season has reduced the incidence of malaria in children under 5 y.o. Local risk stratification enables better targeting of interventions.</w:t>
      </w:r>
    </w:p>
    <w:p w14:paraId="25C43A3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25-A-3562-ASTMH</w:t>
      </w:r>
    </w:p>
    <w:p w14:paraId="73F97AE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Other</w:t>
      </w:r>
    </w:p>
    <w:p w14:paraId="44EE1CC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Lessons learnt from a Five-year experience of the Groupe de Recherche Action en Santé (GRAS) clinical laboratory, Burkina Faso, in participating to an external proficiency testing programme</w:t>
      </w:r>
    </w:p>
    <w:p w14:paraId="7DD3FFF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Since 2020, as part of the quality assurance of its research activities, GRAS was registered with the College of African Pathologists (CAP) and the Clinical Laboratories Services (CLS) Johannesburg, from South Africa for external proficiency testing (PT) of its laboratory. The performances achieved during these last five years are reported. PT samples were couriered three times a year (quadr-month) (hereafter referred to as Q) to GRAS Lab and results are generally due back three to four weeks later. For parasitology, challenges specimen are thick and thin blood films stained with Giemsa and mounted with strip to protected them for multiple use, or photographs also called ̎whole slide images ̎(WSI). For biochemistry and haematology, a set of 5 samples was received for processing. All the evaluations were performed according to the lab internal established procedures. The overall CAP parasitological laboratory performance from 2020 to 2024 was 97.3% (ranging from 93,33 to 100%); with 93,33%, 100%, 100%, 93.33% and 100% respectively in 2020, 2021, 2022, 2023 and 2024. Annually, the number of challenged microscopists varied according to work load activities and needs. In total, 31 microscopists were enrolled in CLS PT scheme, with 73.9% graded as “experts” microscopists and 19.2% graded as “reference” microscopists. Haematology laboratory PT show 100% accuracy over the 4 years participation that indicating the high-performance level of the tested automates, the comparability of data between automates. Same trend was observed for biochemistry PT with an overall score of 92,12% ranging from 78% to 100%. The Proficiency testing has demonstrated value as an important laboratory quality assurance tool, and has helped laboratories identify issues related to test design and performance.</w:t>
      </w:r>
    </w:p>
    <w:p w14:paraId="490EE37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25-A-3563-ASTMH</w:t>
      </w:r>
    </w:p>
    <w:p w14:paraId="5B38620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Diagnosis - Challenges and Innovations</w:t>
      </w:r>
    </w:p>
    <w:p w14:paraId="1D16A48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Regional differences in</w:t>
      </w:r>
      <w:r w:rsidRPr="006505C0">
        <w:rPr>
          <w:rFonts w:ascii="Calibri" w:eastAsia="Times New Roman" w:hAnsi="Calibri" w:cs="Calibri"/>
          <w:i/>
          <w:iCs/>
          <w:color w:val="000000"/>
          <w:kern w:val="0"/>
          <w:sz w:val="22"/>
          <w:szCs w:val="22"/>
          <w14:ligatures w14:val="none"/>
        </w:rPr>
        <w:t> pfhrp2/3</w:t>
      </w:r>
      <w:r w:rsidRPr="006505C0">
        <w:rPr>
          <w:rFonts w:ascii="Calibri" w:eastAsia="Times New Roman" w:hAnsi="Calibri" w:cs="Calibri"/>
          <w:color w:val="000000"/>
          <w:kern w:val="0"/>
          <w:sz w:val="22"/>
          <w:szCs w:val="22"/>
          <w14:ligatures w14:val="none"/>
        </w:rPr>
        <w:t> gene deletions and their impact on malaria diagnosis in the Brazilian Amazon</w:t>
      </w:r>
    </w:p>
    <w:p w14:paraId="08B2A90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is an infectious disease caused by the parasite of the genus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with more than 140,000 cases in 2024 in Brazil, about 15% due to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the most severe species. Diagnostic techniques include microscopy, rapid diagnostic tests (RDTs) for detection of </w:t>
      </w:r>
      <w:r w:rsidRPr="006505C0">
        <w:rPr>
          <w:rFonts w:ascii="Calibri" w:eastAsia="Times New Roman" w:hAnsi="Calibri" w:cs="Calibri"/>
          <w:i/>
          <w:iCs/>
          <w:color w:val="000000"/>
          <w:kern w:val="0"/>
          <w:sz w:val="22"/>
          <w:szCs w:val="22"/>
          <w14:ligatures w14:val="none"/>
        </w:rPr>
        <w:t>pfhrp2/3</w:t>
      </w:r>
      <w:r w:rsidRPr="006505C0">
        <w:rPr>
          <w:rFonts w:ascii="Calibri" w:eastAsia="Times New Roman" w:hAnsi="Calibri" w:cs="Calibri"/>
          <w:color w:val="000000"/>
          <w:kern w:val="0"/>
          <w:sz w:val="22"/>
          <w:szCs w:val="22"/>
          <w14:ligatures w14:val="none"/>
        </w:rPr>
        <w:t> gene antigens, and polymerase chain reaction (PCR). Deletions in the </w:t>
      </w:r>
      <w:r w:rsidRPr="006505C0">
        <w:rPr>
          <w:rFonts w:ascii="Calibri" w:eastAsia="Times New Roman" w:hAnsi="Calibri" w:cs="Calibri"/>
          <w:i/>
          <w:iCs/>
          <w:color w:val="000000"/>
          <w:kern w:val="0"/>
          <w:sz w:val="22"/>
          <w:szCs w:val="22"/>
          <w14:ligatures w14:val="none"/>
        </w:rPr>
        <w:t>pfhrp2/3</w:t>
      </w:r>
      <w:r w:rsidRPr="006505C0">
        <w:rPr>
          <w:rFonts w:ascii="Calibri" w:eastAsia="Times New Roman" w:hAnsi="Calibri" w:cs="Calibri"/>
          <w:color w:val="000000"/>
          <w:kern w:val="0"/>
          <w:sz w:val="22"/>
          <w:szCs w:val="22"/>
          <w14:ligatures w14:val="none"/>
        </w:rPr>
        <w:t> genes could be associated with false-negative results by RDTs. The objective of this study is to analyze</w:t>
      </w:r>
      <w:r w:rsidRPr="006505C0">
        <w:rPr>
          <w:rFonts w:ascii="Calibri" w:eastAsia="Times New Roman" w:hAnsi="Calibri" w:cs="Calibri"/>
          <w:i/>
          <w:iCs/>
          <w:color w:val="000000"/>
          <w:kern w:val="0"/>
          <w:sz w:val="22"/>
          <w:szCs w:val="22"/>
          <w14:ligatures w14:val="none"/>
        </w:rPr>
        <w:t> pfhrp2/3</w:t>
      </w:r>
      <w:r w:rsidRPr="006505C0">
        <w:rPr>
          <w:rFonts w:ascii="Calibri" w:eastAsia="Times New Roman" w:hAnsi="Calibri" w:cs="Calibri"/>
          <w:color w:val="000000"/>
          <w:kern w:val="0"/>
          <w:sz w:val="22"/>
          <w:szCs w:val="22"/>
          <w14:ligatures w14:val="none"/>
        </w:rPr>
        <w:t> deletions in two malaria-endemic regions in Amazon (northern Brazil) and their respective impacts on diagnosis by RDTs. Of the 80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-positive participants included in this study, 49 were treated in Porto Velho, Rondônia (RO), and 31 were treated in Boa Vista, Roraima (RR/ Abracamal study). The diagnosis of these cases was performed by microscopy and qPCR, and for RO, by three RDTs. In RO, considering the reference qPCR test, 65% (32/49) of the cases were positive by microscopy, 98% (48/49) by RDT1, 98% (48/49) by RDT2 and 96% (47/49) by RDT3. In RR, considering the same qPCR test as reference, 64.5% (20/31) were positive for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by microscopy, with the remaining 11 cases being misclassified as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by microscopy. The RDTs for this RR population are in progress. To analyze the implications of deletion in the </w:t>
      </w:r>
      <w:r w:rsidRPr="006505C0">
        <w:rPr>
          <w:rFonts w:ascii="Calibri" w:eastAsia="Times New Roman" w:hAnsi="Calibri" w:cs="Calibri"/>
          <w:i/>
          <w:iCs/>
          <w:color w:val="000000"/>
          <w:kern w:val="0"/>
          <w:sz w:val="22"/>
          <w:szCs w:val="22"/>
          <w14:ligatures w14:val="none"/>
        </w:rPr>
        <w:t>pfhrp2</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pfhrp3</w:t>
      </w:r>
      <w:r w:rsidRPr="006505C0">
        <w:rPr>
          <w:rFonts w:ascii="Calibri" w:eastAsia="Times New Roman" w:hAnsi="Calibri" w:cs="Calibri"/>
          <w:color w:val="000000"/>
          <w:kern w:val="0"/>
          <w:sz w:val="22"/>
          <w:szCs w:val="22"/>
          <w14:ligatures w14:val="none"/>
        </w:rPr>
        <w:t> genes, fragments of exon 2 were analyzed by conventional PCR followed by Sanger sequencing. This analysis revealed deletions in </w:t>
      </w:r>
      <w:r w:rsidRPr="006505C0">
        <w:rPr>
          <w:rFonts w:ascii="Calibri" w:eastAsia="Times New Roman" w:hAnsi="Calibri" w:cs="Calibri"/>
          <w:i/>
          <w:iCs/>
          <w:color w:val="000000"/>
          <w:kern w:val="0"/>
          <w:sz w:val="22"/>
          <w:szCs w:val="22"/>
          <w14:ligatures w14:val="none"/>
        </w:rPr>
        <w:t>pfhrp2</w:t>
      </w:r>
      <w:r w:rsidRPr="006505C0">
        <w:rPr>
          <w:rFonts w:ascii="Calibri" w:eastAsia="Times New Roman" w:hAnsi="Calibri" w:cs="Calibri"/>
          <w:color w:val="000000"/>
          <w:kern w:val="0"/>
          <w:sz w:val="22"/>
          <w:szCs w:val="22"/>
          <w14:ligatures w14:val="none"/>
        </w:rPr>
        <w:t> in (2%; 1/49) RO and (13%; 4/31) RR. This single case with evidence of deletion in RO showed negative results for all RDTs. Additionally, one case with important microdeletions was associated with RDT3 failure. The frequency of deletions for the </w:t>
      </w:r>
      <w:r w:rsidRPr="006505C0">
        <w:rPr>
          <w:rFonts w:ascii="Calibri" w:eastAsia="Times New Roman" w:hAnsi="Calibri" w:cs="Calibri"/>
          <w:i/>
          <w:iCs/>
          <w:color w:val="000000"/>
          <w:kern w:val="0"/>
          <w:sz w:val="22"/>
          <w:szCs w:val="22"/>
          <w14:ligatures w14:val="none"/>
        </w:rPr>
        <w:t>pfhrp3</w:t>
      </w:r>
      <w:r w:rsidRPr="006505C0">
        <w:rPr>
          <w:rFonts w:ascii="Calibri" w:eastAsia="Times New Roman" w:hAnsi="Calibri" w:cs="Calibri"/>
          <w:color w:val="000000"/>
          <w:kern w:val="0"/>
          <w:sz w:val="22"/>
          <w:szCs w:val="22"/>
          <w14:ligatures w14:val="none"/>
        </w:rPr>
        <w:t> gene was 94%; (46/49) of RO samples and 3% (1/31) of RR samples. This important difference may be related to potential selective pressures acting on the </w:t>
      </w:r>
      <w:r w:rsidRPr="006505C0">
        <w:rPr>
          <w:rFonts w:ascii="Calibri" w:eastAsia="Times New Roman" w:hAnsi="Calibri" w:cs="Calibri"/>
          <w:i/>
          <w:iCs/>
          <w:color w:val="000000"/>
          <w:kern w:val="0"/>
          <w:sz w:val="22"/>
          <w:szCs w:val="22"/>
          <w14:ligatures w14:val="none"/>
        </w:rPr>
        <w:t>pfhrp2/3</w:t>
      </w:r>
      <w:r w:rsidRPr="006505C0">
        <w:rPr>
          <w:rFonts w:ascii="Calibri" w:eastAsia="Times New Roman" w:hAnsi="Calibri" w:cs="Calibri"/>
          <w:color w:val="000000"/>
          <w:kern w:val="0"/>
          <w:sz w:val="22"/>
          <w:szCs w:val="22"/>
          <w14:ligatures w14:val="none"/>
        </w:rPr>
        <w:t> genes, reinforcing the importance of molecular epidemiological surveillance in the monitoring and control of malaria in the Amazon region.</w:t>
      </w:r>
    </w:p>
    <w:p w14:paraId="490B778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25-A-3564-ASTMH</w:t>
      </w:r>
    </w:p>
    <w:p w14:paraId="57F4D41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Vaccines and Immunotherapeutics</w:t>
      </w:r>
    </w:p>
    <w:p w14:paraId="6679B86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Using Mobile Platforms to Drive Malaria Vaccine Awareness and Behavior Change in the Integrated Health Services Project Areas in Burkina Faso</w:t>
      </w:r>
    </w:p>
    <w:p w14:paraId="66A4CBF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remains a public health issue in Burkina Faso. In response to the disease burden, the World Health Organization (WHO) and the National Immunization Technical Advisory Group in Burkina Faso’s (NITAG-BF) recommendations led to the introduction of the RTS, S vaccine in the expanded programme on immunization (EPI) in February 2024. To ensure the success of this introduction, it was essential to diversify communication channels to raise awareness of this vaccine among caregivers of eligible children. The Integrated Health Services (IHS) project that supports the government of Burkina Faso in increasing access to and use of quality integrated health services, including malaria, has set up an innovative communication channel allowing people to receive messages about the vaccine through mobile phones. This approach, which is part of the Ministry of Health (MoH)'s communication plan for the introduction of malaria vaccine in the EPI, consists of sending audio messages in interactive voice response (IVR) and short messages service (SMS) format to the population in the IHS 3 targeted regions about the benefits and timing of the vaccine. The contacts to which the messages are sent are obtained from the database of the 3-2-1 platform, which also provides pre-recorded voice messages. The selection of users was random. The system includes a questionnaire to determine if the listener of voice messages is a caregiver of an eligible child for malaria vaccine, or if the SMS is received. The messages were developed in collaboration with the MoH and translated into local languages for the IVR format. From May to August 2024, 44,143 SMS were sent and received. 1,668 contacts listened to the audio messages out of 2,468. 569 listeners stated they were caregivers of children eligible for the malaria vaccine. According to data collected during the supervision conducted in September, 62% of mothers know the number of malaria vaccine contacts, and 88% of children are up to date with their vaccinations. This activity, combined with other interventions, should increase knowledge of RTS,S vaccination and improve coverage of vaccinated children.</w:t>
      </w:r>
    </w:p>
    <w:p w14:paraId="5B30CC0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25-A-3565-ASTMH</w:t>
      </w:r>
    </w:p>
    <w:p w14:paraId="7A10A69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6BD51FC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Evaluating prescriber preferences for indeterminate Chagas treatments: an international cross-sectional study</w:t>
      </w:r>
    </w:p>
    <w:p w14:paraId="6A31764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Around 6 million people are infected with</w:t>
      </w:r>
      <w:r w:rsidRPr="006505C0">
        <w:rPr>
          <w:rFonts w:ascii="Calibri" w:eastAsia="Times New Roman" w:hAnsi="Calibri" w:cs="Calibri"/>
          <w:i/>
          <w:iCs/>
          <w:color w:val="000000"/>
          <w:kern w:val="0"/>
          <w:sz w:val="22"/>
          <w:szCs w:val="22"/>
          <w14:ligatures w14:val="none"/>
        </w:rPr>
        <w:t> T. cruzi</w:t>
      </w:r>
      <w:r w:rsidRPr="006505C0">
        <w:rPr>
          <w:rFonts w:ascii="Calibri" w:eastAsia="Times New Roman" w:hAnsi="Calibri" w:cs="Calibri"/>
          <w:color w:val="000000"/>
          <w:kern w:val="0"/>
          <w:sz w:val="22"/>
          <w:szCs w:val="22"/>
          <w14:ligatures w14:val="none"/>
        </w:rPr>
        <w:t>, yet current treatments can have serious side effects and poor adherence. The BENDITA and MULTIBENZ trials explored shorter treatment durations but raised concerns about potentially reduced efficacy. We aimed to determine acceptable efficacy levels for new treatments targeting indeterminate </w:t>
      </w:r>
      <w:r w:rsidRPr="006505C0">
        <w:rPr>
          <w:rFonts w:ascii="Calibri" w:eastAsia="Times New Roman" w:hAnsi="Calibri" w:cs="Calibri"/>
          <w:i/>
          <w:iCs/>
          <w:color w:val="000000"/>
          <w:kern w:val="0"/>
          <w:sz w:val="22"/>
          <w:szCs w:val="22"/>
          <w14:ligatures w14:val="none"/>
        </w:rPr>
        <w:t>T. cruzi</w:t>
      </w:r>
      <w:r w:rsidRPr="006505C0">
        <w:rPr>
          <w:rFonts w:ascii="Calibri" w:eastAsia="Times New Roman" w:hAnsi="Calibri" w:cs="Calibri"/>
          <w:color w:val="000000"/>
          <w:kern w:val="0"/>
          <w:sz w:val="22"/>
          <w:szCs w:val="22"/>
          <w14:ligatures w14:val="none"/>
        </w:rPr>
        <w:t xml:space="preserve"> infection. This international cross-sectional study, conducted from June to August 2024, used convenience sampling to include healthcare providers, public health officials and experienced Chagas disease researchers, through the DNDi Chagas Clinical Research Platform and targeted email outreach. We used an online questionnaire in Spanish, English and Portuguese to ask respondents to rate satisfaction with and list disadvantages of current treatments, and to indicate their likelihood of prescribing hypothetical new treatments with efficacy levels of 70-79% (Treatment A), 60-69% (B) and 50-59% (C). We identified factors that would increase prescribing likelihood. The study was conducted according to the Helsinki declaration. We included 30 participants (mean age: 52.6 years; 60% male), most of whom (80%) worked in Latin America, with the remainder based in the USA or Europe. 57% of respondents were physicians and nurses, with 52% reporting &gt;10 years’ experience treating Chagas disease. Respondents expressed similar satisfaction levels for nifurtimox and benznidazole (mean score: 0.33 (over 1) vs 0.27; p = 0.76). The main disadvantages listed were adverse effects, long treatment duration and limited access. 47% indicated a higher likelihood of prescribing Treatment A, compared to 20% for B and 7% for C. Factors such as fewer adverse effects, prevention of vertical transmission and use as second line treatment increased the likelihood of </w:t>
      </w:r>
      <w:r w:rsidRPr="006505C0">
        <w:rPr>
          <w:rFonts w:ascii="Calibri" w:eastAsia="Times New Roman" w:hAnsi="Calibri" w:cs="Calibri"/>
          <w:color w:val="000000"/>
          <w:kern w:val="0"/>
          <w:sz w:val="22"/>
          <w:szCs w:val="22"/>
          <w14:ligatures w14:val="none"/>
        </w:rPr>
        <w:lastRenderedPageBreak/>
        <w:t>prescribing Treatments A and B. This study highlights significant dissatisfaction with current treatments, with healthcare providers preferring new regimens with efficacy &gt;70%. Targeted interventions focusing on safety, accessibility and prevention of vertical transmission could encourage adoption of treatments with lower efficacy (60-69%).</w:t>
      </w:r>
    </w:p>
    <w:p w14:paraId="069453C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25-A-3566-ASTMH</w:t>
      </w:r>
    </w:p>
    <w:p w14:paraId="035F7B3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Immunology</w:t>
      </w:r>
    </w:p>
    <w:p w14:paraId="01060EF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Differential IgG Recognition of Folded and Heat-Denatured Apical Membrane Antigen 1 Across Three Human Plasmodium Species in a Malaria-Endemic Population</w:t>
      </w:r>
    </w:p>
    <w:p w14:paraId="6078355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need for highly effective malaria vaccines is imperative. The apical membrane antigen 1 (AMA1) is a leading blood-stage vaccine candidate. There is consensus that anti-AMA1 immunoglobulin gamma (IgG) mainly target conformational epitopes. As such, peptide vaccination strategies are not encouraged. However, this is supported by limited evidence. This study examined the differential recognition of folded and heat-denatured Apical Membrane Antigen 1 (AMA1) proteins of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P. malariae</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P. ovale</w:t>
      </w:r>
      <w:r w:rsidRPr="006505C0">
        <w:rPr>
          <w:rFonts w:ascii="Calibri" w:eastAsia="Times New Roman" w:hAnsi="Calibri" w:cs="Calibri"/>
          <w:color w:val="000000"/>
          <w:kern w:val="0"/>
          <w:sz w:val="22"/>
          <w:szCs w:val="22"/>
          <w14:ligatures w14:val="none"/>
        </w:rPr>
        <w:t> by IgG in individuals naturally exposed to malaria in Kintampo, Ghana. Using an optimized indirect enzyme-linked immunosorbent protocol, we quantified total IgG responses to native and heat-denatured AMA1 proteins, this allowed for inference of antibody binding to conformational and to linear epitopes. Heat denaturation was performed at 80°C for 15 minutes, based on thermal unfolding profiles determined by Prometheus Panta (NanoTemper). Assay validation was done using an anti-</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AMA1 monoclonal antibody specific for a conformational epitope and an anti-His-tag antibody recognizing a linear epitope. All AMA1 proteins were recognised by naturally acquired IgG. We observed higher anti-</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AMA1 IgG compared to </w:t>
      </w:r>
      <w:r w:rsidRPr="006505C0">
        <w:rPr>
          <w:rFonts w:ascii="Calibri" w:eastAsia="Times New Roman" w:hAnsi="Calibri" w:cs="Calibri"/>
          <w:i/>
          <w:iCs/>
          <w:color w:val="000000"/>
          <w:kern w:val="0"/>
          <w:sz w:val="22"/>
          <w:szCs w:val="22"/>
          <w14:ligatures w14:val="none"/>
        </w:rPr>
        <w:t>Pm</w:t>
      </w:r>
      <w:r w:rsidRPr="006505C0">
        <w:rPr>
          <w:rFonts w:ascii="Calibri" w:eastAsia="Times New Roman" w:hAnsi="Calibri" w:cs="Calibri"/>
          <w:color w:val="000000"/>
          <w:kern w:val="0"/>
          <w:sz w:val="22"/>
          <w:szCs w:val="22"/>
          <w14:ligatures w14:val="none"/>
        </w:rPr>
        <w:t>AMA1 and </w:t>
      </w:r>
      <w:r w:rsidRPr="006505C0">
        <w:rPr>
          <w:rFonts w:ascii="Calibri" w:eastAsia="Times New Roman" w:hAnsi="Calibri" w:cs="Calibri"/>
          <w:i/>
          <w:iCs/>
          <w:color w:val="000000"/>
          <w:kern w:val="0"/>
          <w:sz w:val="22"/>
          <w:szCs w:val="22"/>
          <w14:ligatures w14:val="none"/>
        </w:rPr>
        <w:t>Po</w:t>
      </w:r>
      <w:r w:rsidRPr="006505C0">
        <w:rPr>
          <w:rFonts w:ascii="Calibri" w:eastAsia="Times New Roman" w:hAnsi="Calibri" w:cs="Calibri"/>
          <w:color w:val="000000"/>
          <w:kern w:val="0"/>
          <w:sz w:val="22"/>
          <w:szCs w:val="22"/>
          <w14:ligatures w14:val="none"/>
        </w:rPr>
        <w:t>AMA1. This reflects the prevalence of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species in the Kintampo study area. There were higher IgG levels against linear epitopes compared to IgG against conformational epitopes for all AMA1 proteins. While IgGs against linear epitopes increased with age, antibodies against conformational epitopes did not. However, there were positive correlations between IgG against conformational epitopes and the overall IgG levels for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AMA1 and </w:t>
      </w:r>
      <w:r w:rsidRPr="006505C0">
        <w:rPr>
          <w:rFonts w:ascii="Calibri" w:eastAsia="Times New Roman" w:hAnsi="Calibri" w:cs="Calibri"/>
          <w:i/>
          <w:iCs/>
          <w:color w:val="000000"/>
          <w:kern w:val="0"/>
          <w:sz w:val="22"/>
          <w:szCs w:val="22"/>
          <w14:ligatures w14:val="none"/>
        </w:rPr>
        <w:t>Pm</w:t>
      </w:r>
      <w:r w:rsidRPr="006505C0">
        <w:rPr>
          <w:rFonts w:ascii="Calibri" w:eastAsia="Times New Roman" w:hAnsi="Calibri" w:cs="Calibri"/>
          <w:color w:val="000000"/>
          <w:kern w:val="0"/>
          <w:sz w:val="22"/>
          <w:szCs w:val="22"/>
          <w14:ligatures w14:val="none"/>
        </w:rPr>
        <w:t>AMA1. These findings provide new insights into the nature of AMA1-specific immune responses in naturally exposed populations and have implications for AMA1-based design strategies.</w:t>
      </w:r>
    </w:p>
    <w:p w14:paraId="7EA2A21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25-A-3568-ASTMH</w:t>
      </w:r>
    </w:p>
    <w:p w14:paraId="4030679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Emerging Viral Diseases</w:t>
      </w:r>
    </w:p>
    <w:p w14:paraId="1C0266E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Extensive silent transmission of Oropouche virus during the 2024 outbreak in Salvador, Brazil</w:t>
      </w:r>
    </w:p>
    <w:p w14:paraId="23330A2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In 2023-2024, an outbreak of Oropouche virus (OROV) was identified in northern Brazil and spread to other parts of the country. The true extent of OROV transmission during the national outbreak is not well understood since prospective studies evaluating OROV infection have not been performed. We ascertained for serological evidence of OROV infection in a cohort from a community in the city of Salvador, Brazil, where passive surveillance identified two oropouche cases during the 2024 outbreak. We performed virus neutralization test (VNT) to measure neutralizing antibodies to the outbreak strain, OROV43, in samples collected before and after the outbreak. Seropositivity was defined as a VNT titer &gt;1:10, which was informed by findings of samples from virologically-confirmed oropouche cases and negative controls. Among 610 participants for which VNT was performed, 104 (17%) were seropositive in post-outbreak samples. Seropositivity was not associated with sex (p = 0.40), age (p = 0.13) or individual or household characteristics. We reconstructed seroprevalence across the study area and observed a homogeneous distribution with seroprevalence ranging between 16.5% and 18.8%. Only two (1.9%) OROV seropositive participants reported symptoms of fever and joint, and body pain, but this proportion was not significantly different from that reported by seronegative participants. We are performing VNT on pre-outbreak samples from the cohort to ascertain seroconversions and confirm these findings. Our preliminary findings suggest that high levels of OROV transmission (17% attack rate) occurred in a setting where few cases were identified by passive surveillance, highlighting the ability of the virus to spread extensively and silently. These findings underscore the critical need to strengthen </w:t>
      </w:r>
      <w:r w:rsidRPr="006505C0">
        <w:rPr>
          <w:rFonts w:ascii="Calibri" w:eastAsia="Times New Roman" w:hAnsi="Calibri" w:cs="Calibri"/>
          <w:color w:val="000000"/>
          <w:kern w:val="0"/>
          <w:sz w:val="22"/>
          <w:szCs w:val="22"/>
          <w14:ligatures w14:val="none"/>
        </w:rPr>
        <w:lastRenderedPageBreak/>
        <w:t>detection strategies, given that OROV infection may be associated with congenital birth defects and that large proportion of the population in the Americas are susceptible.</w:t>
      </w:r>
    </w:p>
    <w:p w14:paraId="781970A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25-A-3569-ASTMH</w:t>
      </w:r>
    </w:p>
    <w:p w14:paraId="0302B10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Diversity, Inclusion, Decolonization and Human Rights</w:t>
      </w:r>
    </w:p>
    <w:p w14:paraId="194CFEA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Assessing psychosocial effects and functional impairment on the quality of life among lymphoedema patients due to lymphatic filariasis in Kenya</w:t>
      </w:r>
    </w:p>
    <w:p w14:paraId="39D31D1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Lymphatic Filariasis can lead to lymphoedema of the legs and arms or breasts for females, making most patients functionally limited and hence unable to take care of themselves, affecting their psychosocial welfare. A cross-sectional descriptive study was conducted among 52 lymphoedema patients to assess how the disease interferes with self-care practices, functional ability, and psychosocial impact. The study collected data on socio-demographic characteristics, disability, affected body parts, stage and grade of lymphoedema, self-care practices, frequency of acute attacks, functional impairments, and psychosocial impact. The World Health Organization Disability Assessment Schedule (WHODAS) was used for disability scores: 0= “No difficulty” to 4= “Extreme difficulty or cannot do.” Participants were clinically assessed and classified into seven stages of lymphoedema using standard staging criteria based on visible swelling, skin changes, and functional impairment. The median age was 65 years (interquartile range: 43–77 years), with the majority being female (75%). Most participants were of stages 1–3 (73%), and 69% of surveyed participants experienced at least one episode of acute attacks. The leg (76.9%) was the most affected body part. Most patients (88.5%) experienced mild disability. The most affected domain was mobility, with 39% of patients reporting difficulty walking long distances and standing for extended periods. Emotional distress (28.0%) and difficulty engaging in community activities (23.5%) were also commonly reported in the participation domain. The burden of lymphoedema on work performance, emotional well-being, and social relationships increased progressively with disease severity. This study demonstrates that lymphoedema patients have other underlying health conditions that are often not addressed, affecting their quality of life. As such, the study recommends the institution of psychosocial support groups and the need to intensify morbidity management interventions with periodic monitoring of the patients to improve their overall quality of life.</w:t>
      </w:r>
    </w:p>
    <w:p w14:paraId="7310284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25-A-3570-ASTMH</w:t>
      </w:r>
    </w:p>
    <w:p w14:paraId="4DE6816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Vaccines and Immunotherapeutics</w:t>
      </w:r>
    </w:p>
    <w:p w14:paraId="1EFF93F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Design of a Phase 2, Randomized, Double-Blind, Placebo-Controlled Trial to Evaluate the Effect of the Anti-sporozoite Monoclonal Antibody L9LS on R21/Matrix-M</w:t>
      </w:r>
      <w:r w:rsidRPr="006505C0">
        <w:rPr>
          <w:rFonts w:ascii="Calibri" w:eastAsia="Times New Roman" w:hAnsi="Calibri" w:cs="Calibri"/>
          <w:color w:val="000000"/>
          <w:kern w:val="0"/>
          <w:sz w:val="22"/>
          <w:szCs w:val="22"/>
          <w:vertAlign w:val="superscript"/>
          <w14:ligatures w14:val="none"/>
        </w:rPr>
        <w:t>TM </w:t>
      </w:r>
      <w:r w:rsidRPr="006505C0">
        <w:rPr>
          <w:rFonts w:ascii="Calibri" w:eastAsia="Times New Roman" w:hAnsi="Calibri" w:cs="Calibri"/>
          <w:color w:val="000000"/>
          <w:kern w:val="0"/>
          <w:sz w:val="22"/>
          <w:szCs w:val="22"/>
          <w14:ligatures w14:val="none"/>
        </w:rPr>
        <w:t>Vaccine Immunogenicity</w:t>
      </w:r>
    </w:p>
    <w:p w14:paraId="4DDBC65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L9LS is a long-acting monoclonal antibody (mAb) targeting the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xml:space="preserve"> circumsporozoite protein (PfCSP) that has demonstrated safety and efficacy for up to 6 months in trials involving children and adults in Africa. A high priority potential use case for L9LS is malaria prevention in infants before they complete the 3-dose series of RTS,S/AS01 (RTS,S) or R21/Matrix-M™ (R21) at 7-9 months of age. For example, a single dose of L9LS at the 10-week EPI visit could provide protection from malaria during this vulnerable period. Because L9LS targets PfCSP, the same protein included in the RTS,S and R21 vaccines, it is important to assess for potential interaction between L9LS and PfCSP-based vaccines. Here, we describe the design of a randomized, double-blind, placebo-controlled trial scheduled to start in Sotuba, Mali in Q3 2025 that will evaluate the effect of L9LS on R21 immunogenicity. In Part 1, 24 healthy adults will be randomized 1:1 to receive 1800 mg of L9LS or normal saline placebo SC, followed by the first dose of R21 on day 7. If no safety concerns arise through day 7 after R21 administration, the trial will proceed to part 2. In Part 2, 333 healthy infants 5-12 months of age will be randomized into 1 of 3 cohorts and further randomized 2:1 to receive 225 mg of L9LS or placebo IM. The 3 cohorts will differ in the timing between L9LS/placebo and the initiation of the R21 vaccine series (7 days, 2 months, and 4 months between L9LS and the first R21 dose). Infants will be followed at study visits 7 days after L9LS/placebo administration and 7 days after each R21 vaccination, after which they will continue to be followed every 28 days through the fourth dose of R21. Primary study objectives include evaluation of </w:t>
      </w:r>
      <w:r w:rsidRPr="006505C0">
        <w:rPr>
          <w:rFonts w:ascii="Calibri" w:eastAsia="Times New Roman" w:hAnsi="Calibri" w:cs="Calibri"/>
          <w:color w:val="000000"/>
          <w:kern w:val="0"/>
          <w:sz w:val="22"/>
          <w:szCs w:val="22"/>
          <w14:ligatures w14:val="none"/>
        </w:rPr>
        <w:lastRenderedPageBreak/>
        <w:t>the safety and tolerability of L9LS and R21 when administered in close succession, as well as R21 immunogenicity (total IgG anti-NANP titers) at 28 and 84 days following the 3rd and 4th dose of R21. Additional study evaluations include L9LS pharmacokinetics, anti-drug antibody assessments, and Pf infection and clinical malaria risk.</w:t>
      </w:r>
    </w:p>
    <w:p w14:paraId="0353E0A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25-A-3571-ASTMH</w:t>
      </w:r>
    </w:p>
    <w:p w14:paraId="43DD33B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Kinetoplastida and Other Protozoa - Diagnosis and New Detection Tools (Including Leishmania and Trypanosomes)</w:t>
      </w:r>
    </w:p>
    <w:p w14:paraId="1816BCC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AI-powered Digital Microscopy for Enhanced Diagnosis and Monitoring of Visceral Leishmaniasis</w:t>
      </w:r>
    </w:p>
    <w:p w14:paraId="3B558E2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Visceral leishmaniasis (VL) is a significant public health concern, with an estimated 30,000 new cases per year and the highest burden in rural areas in East Africa and Brazil. Tissue aspiration microscopy (mainly from the spleen and bone marrow) remains the gold standard for VL diagnosis and treatment response evaluation. Therefore, continuous quality assurance in both sample preparation and microscopist expertise is essential to ensure accurate diagnosis of active VL, treatment failure, relapses and cure. VL-INNO, an EDCTP-funded project, has developed an artificial intelligence (AI) based digital solution for real-time detection and quantification of Leishmania amastigotes. This system consists of two modules: an app for smartphone or tablet transforming conventional microscopes into digital ones, and TeleSpot, a web-based platform for remote collaborative image analysis. This system was deployed in the Leishmaniasis Research Treatment Center (LRTC), Gondar, Ethiopia following an implementation research approach and conducting a technology usability and acceptability evaluation after laboratory staff training. Curated bone marrow and spleen aspirate microscopy slides from VL cases and controls were obtained from the LRTC and an internal repository. The slides were digitized, creating two datasets: one for AI model training using YOLO v-11 and labeled amastigotes, and another for model validation. The preliminary version of the AI algorithm showed 71.1% precision and 82.7% recall for parasite quantification. This project represents a significant advancement in the standardization and automation of VL diagnosis, enabling remote quality control and improving diagnostic accuracy in resource-limited settings.</w:t>
      </w:r>
    </w:p>
    <w:p w14:paraId="5C3ABF1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25-A-3572-ASTMH</w:t>
      </w:r>
    </w:p>
    <w:p w14:paraId="54C292A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One Health: The Interface of Humans, Ecosystems, and Animal Health</w:t>
      </w:r>
    </w:p>
    <w:p w14:paraId="4781DA3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Evaluating zoonotic malaria transmission and agricultural land use in Indonesia: ZOOMAL Study</w:t>
      </w:r>
    </w:p>
    <w:p w14:paraId="5B9CD12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Agricultural expansion and deforestation have resulted in land use change linked to altered dynamics and distribution of malaria and other vector borne diseases globally, posing a threat to achieving related Sustainable Development Goals. In Southeast Asia, </w:t>
      </w:r>
      <w:r w:rsidRPr="006505C0">
        <w:rPr>
          <w:rFonts w:ascii="Calibri" w:eastAsia="Times New Roman" w:hAnsi="Calibri" w:cs="Calibri"/>
          <w:i/>
          <w:iCs/>
          <w:color w:val="000000"/>
          <w:kern w:val="0"/>
          <w:sz w:val="22"/>
          <w:szCs w:val="22"/>
          <w14:ligatures w14:val="none"/>
        </w:rPr>
        <w:t>Plasmodium knowlesi </w:t>
      </w:r>
      <w:r w:rsidRPr="006505C0">
        <w:rPr>
          <w:rFonts w:ascii="Calibri" w:eastAsia="Times New Roman" w:hAnsi="Calibri" w:cs="Calibri"/>
          <w:color w:val="000000"/>
          <w:kern w:val="0"/>
          <w:sz w:val="22"/>
          <w:szCs w:val="22"/>
          <w14:ligatures w14:val="none"/>
        </w:rPr>
        <w:t>is an emerging zoonotic malaria parasite that naturally infects long-tailed (</w:t>
      </w:r>
      <w:r w:rsidRPr="006505C0">
        <w:rPr>
          <w:rFonts w:ascii="Calibri" w:eastAsia="Times New Roman" w:hAnsi="Calibri" w:cs="Calibri"/>
          <w:i/>
          <w:iCs/>
          <w:color w:val="000000"/>
          <w:kern w:val="0"/>
          <w:sz w:val="22"/>
          <w:szCs w:val="22"/>
          <w14:ligatures w14:val="none"/>
        </w:rPr>
        <w:t>Macaca fasicularis</w:t>
      </w:r>
      <w:r w:rsidRPr="006505C0">
        <w:rPr>
          <w:rFonts w:ascii="Calibri" w:eastAsia="Times New Roman" w:hAnsi="Calibri" w:cs="Calibri"/>
          <w:color w:val="000000"/>
          <w:kern w:val="0"/>
          <w:sz w:val="22"/>
          <w:szCs w:val="22"/>
          <w14:ligatures w14:val="none"/>
        </w:rPr>
        <w:t>) and pig-tailed (</w:t>
      </w:r>
      <w:r w:rsidRPr="006505C0">
        <w:rPr>
          <w:rFonts w:ascii="Calibri" w:eastAsia="Times New Roman" w:hAnsi="Calibri" w:cs="Calibri"/>
          <w:i/>
          <w:iCs/>
          <w:color w:val="000000"/>
          <w:kern w:val="0"/>
          <w:sz w:val="22"/>
          <w:szCs w:val="22"/>
          <w14:ligatures w14:val="none"/>
        </w:rPr>
        <w:t>M. nemestrina</w:t>
      </w:r>
      <w:r w:rsidRPr="006505C0">
        <w:rPr>
          <w:rFonts w:ascii="Calibri" w:eastAsia="Times New Roman" w:hAnsi="Calibri" w:cs="Calibri"/>
          <w:color w:val="000000"/>
          <w:kern w:val="0"/>
          <w:sz w:val="22"/>
          <w:szCs w:val="22"/>
          <w14:ligatures w14:val="none"/>
        </w:rPr>
        <w:t>) macaques, and is transmitted by mosquitoes of the </w:t>
      </w:r>
      <w:r w:rsidRPr="006505C0">
        <w:rPr>
          <w:rFonts w:ascii="Calibri" w:eastAsia="Times New Roman" w:hAnsi="Calibri" w:cs="Calibri"/>
          <w:i/>
          <w:iCs/>
          <w:color w:val="000000"/>
          <w:kern w:val="0"/>
          <w:sz w:val="22"/>
          <w:szCs w:val="22"/>
          <w14:ligatures w14:val="none"/>
        </w:rPr>
        <w:t>Anopheles leucosphyrus </w:t>
      </w:r>
      <w:r w:rsidRPr="006505C0">
        <w:rPr>
          <w:rFonts w:ascii="Calibri" w:eastAsia="Times New Roman" w:hAnsi="Calibri" w:cs="Calibri"/>
          <w:color w:val="000000"/>
          <w:kern w:val="0"/>
          <w:sz w:val="22"/>
          <w:szCs w:val="22"/>
          <w14:ligatures w14:val="none"/>
        </w:rPr>
        <w:t>group. This study aims to assess the burden of zoonotic malaria to support the strengthening of national public health system surveillance systems. A longitudinal, health care facility-based cross-sectional survey was conducted using passive and reactive case detection. Five primary health care facilities across districts in North Sumatera, Indonesia, were selected based on </w:t>
      </w:r>
      <w:r w:rsidRPr="006505C0">
        <w:rPr>
          <w:rFonts w:ascii="Calibri" w:eastAsia="Times New Roman" w:hAnsi="Calibri" w:cs="Calibri"/>
          <w:i/>
          <w:iCs/>
          <w:color w:val="000000"/>
          <w:kern w:val="0"/>
          <w:sz w:val="22"/>
          <w:szCs w:val="22"/>
          <w14:ligatures w14:val="none"/>
        </w:rPr>
        <w:t>P. knowlesi </w:t>
      </w:r>
      <w:r w:rsidRPr="006505C0">
        <w:rPr>
          <w:rFonts w:ascii="Calibri" w:eastAsia="Times New Roman" w:hAnsi="Calibri" w:cs="Calibri"/>
          <w:color w:val="000000"/>
          <w:kern w:val="0"/>
          <w:sz w:val="22"/>
          <w:szCs w:val="22"/>
          <w14:ligatures w14:val="none"/>
        </w:rPr>
        <w:t>transmission suitability map. Molecular analysis were performed to detect zoonotic malaria. Patients presenting with any symptoms, along with their companions, were enrolled in the study. Risk factors for malaria acquisition and associated clinical features were analysed. A total of 4738 samples collected between February 2022 and March 2023 were screened for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genus and species using 18S rRNA gene-specific PCR assays. Eighty samples tested positive for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genus, including one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nine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27 </w:t>
      </w:r>
      <w:r w:rsidRPr="006505C0">
        <w:rPr>
          <w:rFonts w:ascii="Calibri" w:eastAsia="Times New Roman" w:hAnsi="Calibri" w:cs="Calibri"/>
          <w:i/>
          <w:iCs/>
          <w:color w:val="000000"/>
          <w:kern w:val="0"/>
          <w:sz w:val="22"/>
          <w:szCs w:val="22"/>
          <w14:ligatures w14:val="none"/>
        </w:rPr>
        <w:t>P. malariae</w:t>
      </w:r>
      <w:r w:rsidRPr="006505C0">
        <w:rPr>
          <w:rFonts w:ascii="Calibri" w:eastAsia="Times New Roman" w:hAnsi="Calibri" w:cs="Calibri"/>
          <w:color w:val="000000"/>
          <w:kern w:val="0"/>
          <w:sz w:val="22"/>
          <w:szCs w:val="22"/>
          <w14:ligatures w14:val="none"/>
        </w:rPr>
        <w:t>, and six </w:t>
      </w:r>
      <w:r w:rsidRPr="006505C0">
        <w:rPr>
          <w:rFonts w:ascii="Calibri" w:eastAsia="Times New Roman" w:hAnsi="Calibri" w:cs="Calibri"/>
          <w:i/>
          <w:iCs/>
          <w:color w:val="000000"/>
          <w:kern w:val="0"/>
          <w:sz w:val="22"/>
          <w:szCs w:val="22"/>
          <w14:ligatures w14:val="none"/>
        </w:rPr>
        <w:t>P. knowlesi</w:t>
      </w:r>
      <w:r w:rsidRPr="006505C0">
        <w:rPr>
          <w:rFonts w:ascii="Calibri" w:eastAsia="Times New Roman" w:hAnsi="Calibri" w:cs="Calibri"/>
          <w:color w:val="000000"/>
          <w:kern w:val="0"/>
          <w:sz w:val="22"/>
          <w:szCs w:val="22"/>
          <w14:ligatures w14:val="none"/>
        </w:rPr>
        <w:t>. No other zoonotic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species were detected. All </w:t>
      </w:r>
      <w:r w:rsidRPr="006505C0">
        <w:rPr>
          <w:rFonts w:ascii="Calibri" w:eastAsia="Times New Roman" w:hAnsi="Calibri" w:cs="Calibri"/>
          <w:i/>
          <w:iCs/>
          <w:color w:val="000000"/>
          <w:kern w:val="0"/>
          <w:sz w:val="22"/>
          <w:szCs w:val="22"/>
          <w14:ligatures w14:val="none"/>
        </w:rPr>
        <w:t>P. knowlesi</w:t>
      </w:r>
      <w:r w:rsidRPr="006505C0">
        <w:rPr>
          <w:rFonts w:ascii="Calibri" w:eastAsia="Times New Roman" w:hAnsi="Calibri" w:cs="Calibri"/>
          <w:color w:val="000000"/>
          <w:kern w:val="0"/>
          <w:sz w:val="22"/>
          <w:szCs w:val="22"/>
          <w14:ligatures w14:val="none"/>
        </w:rPr>
        <w:t> cases were symptomatic, with headache (83%) being the most commong symptom. Risk factors associated with both human and zoonotic malaria will be presented at the ASTMH annual meeting.</w:t>
      </w:r>
    </w:p>
    <w:p w14:paraId="2A11DF2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25-A-3574-ASTMH</w:t>
      </w:r>
    </w:p>
    <w:p w14:paraId="0AAB98C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Malaria - Genetics, Genomics and Evolution</w:t>
      </w:r>
    </w:p>
    <w:p w14:paraId="7411563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Field-deployable targeted nanopore sequencing to assess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circumsporozoite genetic variability in western Kenya</w:t>
      </w:r>
    </w:p>
    <w:p w14:paraId="5826990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two currently approved malaria vaccines (RTS,S and R21), along with candidate monoclonal antibodies (L9LS), target the central repeat and C-terminal domains of Plasmodium falciparum (Pf) circumsporozoite protein (csp). Polymorphisms in these regions, exacerbated by selective pressure driving escape variants, could undermine long-term effectiveness of these tools in Africa. We used a rapid and locally deployable Nanopore sequencing assay to assess csp genetic diversity in western Kenya. A set of 139 Pf-positive dried blood spot (DBS) samples, from patients with parasitemia &gt;75/μL from a previously completed (2022-2024) field study were successfully sequenced for csp at the Centre for Global Health Research (CGHR), Kenya Medical Research Institute (KEMRI) in Kisumu, Kenya. Analysis identified 22 non-synonymous and 2 synonymous mutations across the C-terminal domain. Eight high-frequency non-synonymous mutations (&gt;20% prevalence) localized to T-cell epitopes: four within a CD4+ epitope (including E295K, N298K, N305K, N321K) and one in a CD8+ epitope (K317E). Three mutations altered side-chain charge (E295K, K317E, K322E), while three others exhibited high biochemical divergence (Grantham distance &gt;100: N298K, N305K, N321K), that could affect immune recognition. Haplotype analysis of clonal infections (77/139) revealed five major C-terminal variants (≥5% frequency), representing 62% of samples. Only 2.6% (2/77) matched the 3D7 reference strain used in RTS,S/R21 vaccines, with dominant haplotypes differing by 2-5 mutations. The very low concordance of circulating genotypes to the 3D7 reference strain is similar to previously observed results (&lt;4% concordance in C-terminus) in a cohort from 1996-2001. These findings underscore extensive csp diversity in western Kenya (a high transmission setting), including polymorphisms in vaccine antigen targets. Rapid and locally deployable nanopore genomic surveillance could help detect csp escape variants and facilitate improved monitoring of vaccine effectiveness at a population level in Africa.</w:t>
      </w:r>
    </w:p>
    <w:p w14:paraId="5BCABD1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25-A-3575-ASTMH</w:t>
      </w:r>
    </w:p>
    <w:p w14:paraId="0BC644F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504FED5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Impact of Seasonal Malaria Chemoprevention (SMC) on malaria morbidity and mortality among children under five in the Bono East Region of Ghana.</w:t>
      </w:r>
    </w:p>
    <w:p w14:paraId="25507B3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Ghana introduced the Seasonal Malaria Chemoprevention (SMC) as an additional intervention in children under 5 years of age. Since 2021, the intervention has expanded to 69 districts in seven regions, including five out of eleven districts in Bono East region. SMC implementation has contributed significantly to reducing malaria morbidity and mortality among children under five, with national parasite prevalence dropping from 27.5% in 2011 to 8.6% in 2022. However, limited data exist on its direct impact on malaria admissions and mortality at the subnational level, particularly in Bone East. This analysis assessed the impact of SMC on the morbidity and mortality in children under five, using a quasi-experimental design. We conducted a quantitative review of secondary data from health facilities, comparing pre- and post-intervention indicators in the five implementing districts. We also compared post-intervention outcomes between implementing and non-implementing districts in Bono East. Malaria admissions in the implementing districts decreased from 3,386 cases in 2018 to 2,237 cases in 2023, representing a 34% reduction. The malaria case fatality rate in children under five declined from 0.27% to 0.10% over the same period. A significantly higher all-cause mortality rate was observed in non-implementing districts compared to implementing districts during the post-intervention period (Hazard Ratio: 2.80; 95% CI: 1.05-3.12). These findings provide strong evidence of the effectiveness of SMC in reducing malaria-related morbidity and mortality in the Bono East region. The results support continued implementation and expansion of SMC in Ghana and similar malaria-endemic settings.</w:t>
      </w:r>
    </w:p>
    <w:p w14:paraId="1B92F22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25-A-3576-ASTMH</w:t>
      </w:r>
    </w:p>
    <w:p w14:paraId="6F6166F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Schistosomiasis and Other Trematodes – Diagnostics and Treatment</w:t>
      </w:r>
    </w:p>
    <w:p w14:paraId="06B8CC0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lastRenderedPageBreak/>
        <w:t>Low Cure Rate After Treatment of Chronic Fascioliasis with Triclabendazole in the Cajamarca and Cusco Regions of Peru</w:t>
      </w:r>
    </w:p>
    <w:p w14:paraId="7A790E5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Fascioliasis is a zoonotic disease with a complex life cycle involving humans, domestic animals, and snails. The infection risk is particularly high in rural communities of the Andes Mountains. Heavy reliance on triclabendazole for treatment and control in humans and livestock is associated with resistance. This study aimed to evaluate the efficacy of triclabendazole (Novartis Pharma, Switzerland) in patients with chronic fascioliasis in Peru. Subjects were recruited from a cross-sectional study and an ongoing cohort study evaluating the epidemiology of fascioliasis in the Cajamarca and Cusco regions. Children &gt;3 years and adults were diagnosed using rapid sedimentation and Kato-Katz stool microscopy. Directly observed treatment with 2 doses of triclabendazole at 10 mg/kg separated 24 hours after a meal was administered. Subjects were followed up 30 days after treatment using the same stool microscopy methods. A total of 127 subjects were treated, including 92 children and 35 adults. The overall treatment response rate was 35.4% (45/127), with 33.7% (31/92) of children and 40% (14/35) of adults clearing the eggs from the stool (p=0.51). The treatment response was 30% (24/80) in Cajamarca and 44.7% (21/47) in Cusco (p=0.09). In Cajamarca, 27.8% (15/54) of children and 34.6% (9/26) of adults responded to triclabendazole. In Cusco, 42.1% (16/38) of children and 55.6% (5/9) of adults responded to treatment. Two doses of triclabendazole showed a very low cure rate in subjects with chronic fascioliasis in the Cajamarca and Cusco regions. The lack of efficacy of triclabendazole in highly endemic areas threatens the health of vulnerable populations and the public health efforts to control the infection.</w:t>
      </w:r>
    </w:p>
    <w:p w14:paraId="11276CC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25-A-3577-ASTMH</w:t>
      </w:r>
    </w:p>
    <w:p w14:paraId="3085EEF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1D2DEC5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Emerging signals of artemisinin partial resistance in Equatorial Guinea: Analysis of parasite clearance rates and molecular markers from therapeutic efficacy studies</w:t>
      </w:r>
    </w:p>
    <w:p w14:paraId="05D0F20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Artemisinin-based combination therapies (ACTs) remain the cornerstone of malaria treatment in Equatorial Guinea. Following completion of therapeutic efficacy studies (TES) between March-December 2024 across Malabo, Bata, and Ebibeyin, we report concerning trends in parasite clearance rates compared to baseline data from 2017-2018. Standard WHO TES protocols were followed with 28-day monitoring, evaluating both Artemether+Lumefantrine and Artesunate+Amodiaquine treatments. Among the 528 patients enrolled, parasitemia was monitored by microscopy and confirmed by expert microscopists. Our analysis revealed a significant increase in patients exhibiting delayed parasite clearance (parasitemia persisting &gt;72 hours post-treatment) compared to the 2017/2018 studies where no such delays were observed. This alarming signal prompted collection of blood samples on filter paper for planned molecular analysis to screen for mutations in the PfKelch13 propeller domain and other resistance-associated markers. These samples are currently being processed at the Instituto de Salud Carlos III in Madrid. Comparison with published literature suggests these clinical findings align with emerging patterns in parts of East Africa, though they represent the first such reports from Central Africa. While overall efficacy of ACTs remains acceptable, these early warning signs necessitate enhanced surveillance, improved treatment adherence monitoring, and consideration of resistance containment strategies. We will present comprehensive clearance rate analyses and discuss implications for national treatment policy in the context of regional artemisinin partial resistance concerns.</w:t>
      </w:r>
    </w:p>
    <w:p w14:paraId="3BE15B9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25-A-3578-ASTMH</w:t>
      </w:r>
    </w:p>
    <w:p w14:paraId="4F82BAE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Antimicrobial Resistance</w:t>
      </w:r>
    </w:p>
    <w:p w14:paraId="6548A84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Characterization of antimicrobial resistance in ESKAPE-E pathogens from four hospitals in Honduras 2023-2024</w:t>
      </w:r>
    </w:p>
    <w:p w14:paraId="2F6C716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Infections caused by ESKAPE-E pathogens (</w:t>
      </w:r>
      <w:r w:rsidRPr="006505C0">
        <w:rPr>
          <w:rFonts w:ascii="Calibri" w:eastAsia="Times New Roman" w:hAnsi="Calibri" w:cs="Calibri"/>
          <w:i/>
          <w:iCs/>
          <w:color w:val="000000"/>
          <w:kern w:val="0"/>
          <w:sz w:val="22"/>
          <w:szCs w:val="22"/>
          <w14:ligatures w14:val="none"/>
        </w:rPr>
        <w:t>Enterococcus faecium, Staphylococcus aureus, Klebsiella pneumoniae, Acinetobacter baumannii, Pseudomonas aeruginosa</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Enterobacter cloacae</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 xml:space="preserve">Escherichia </w:t>
      </w:r>
      <w:r w:rsidRPr="006505C0">
        <w:rPr>
          <w:rFonts w:ascii="Calibri" w:eastAsia="Times New Roman" w:hAnsi="Calibri" w:cs="Calibri"/>
          <w:i/>
          <w:iCs/>
          <w:color w:val="000000"/>
          <w:kern w:val="0"/>
          <w:sz w:val="22"/>
          <w:szCs w:val="22"/>
          <w14:ligatures w14:val="none"/>
        </w:rPr>
        <w:lastRenderedPageBreak/>
        <w:t>coli</w:t>
      </w:r>
      <w:r w:rsidRPr="006505C0">
        <w:rPr>
          <w:rFonts w:ascii="Calibri" w:eastAsia="Times New Roman" w:hAnsi="Calibri" w:cs="Calibri"/>
          <w:color w:val="000000"/>
          <w:kern w:val="0"/>
          <w:sz w:val="22"/>
          <w:szCs w:val="22"/>
          <w14:ligatures w14:val="none"/>
        </w:rPr>
        <w:t>) pose a world health problem due to their association with high levels of antimicrobial resistance (AMR). Few studies have described the presence of AMR in Honduras, where a rising frequency in quinolone and carbapenem resistance has been recently reported.To evaluate the AMR prevalence in ESKAPE-E pathogens from four hospitals in Honduras during 2023-2024, isolates collected were initially identified using microbiological culture. Subsequent identification and susceptibility testing were performed using the BD Phoenix system. Gram-negative bacteria were further assessed using the ComASP® Colistin microdilution test following Clinical and Laboratory Standards Institute M100 guidance. The five most common carbapenemases (KPC, OXA-48-like, VIM, IMP, and NDM) were detected using the NG-Test CARBA-5 assay. Multi-drug resistance (MDR) was defined as not susceptible to at least one agent in three or more antimicrobial categories.From 683 ESKAPE-E pathogens evaluated, MDR was found in 84% of isolates. </w:t>
      </w:r>
      <w:r w:rsidRPr="006505C0">
        <w:rPr>
          <w:rFonts w:ascii="Calibri" w:eastAsia="Times New Roman" w:hAnsi="Calibri" w:cs="Calibri"/>
          <w:i/>
          <w:iCs/>
          <w:color w:val="000000"/>
          <w:kern w:val="0"/>
          <w:sz w:val="22"/>
          <w:szCs w:val="22"/>
          <w14:ligatures w14:val="none"/>
        </w:rPr>
        <w:t>K. pneumoniae</w:t>
      </w:r>
      <w:r w:rsidRPr="006505C0">
        <w:rPr>
          <w:rFonts w:ascii="Calibri" w:eastAsia="Times New Roman" w:hAnsi="Calibri" w:cs="Calibri"/>
          <w:color w:val="000000"/>
          <w:kern w:val="0"/>
          <w:sz w:val="22"/>
          <w:szCs w:val="22"/>
          <w14:ligatures w14:val="none"/>
        </w:rPr>
        <w:t> (55%) and </w:t>
      </w:r>
      <w:r w:rsidRPr="006505C0">
        <w:rPr>
          <w:rFonts w:ascii="Calibri" w:eastAsia="Times New Roman" w:hAnsi="Calibri" w:cs="Calibri"/>
          <w:i/>
          <w:iCs/>
          <w:color w:val="000000"/>
          <w:kern w:val="0"/>
          <w:sz w:val="22"/>
          <w:szCs w:val="22"/>
          <w14:ligatures w14:val="none"/>
        </w:rPr>
        <w:t>A. baumannii</w:t>
      </w:r>
      <w:r w:rsidRPr="006505C0">
        <w:rPr>
          <w:rFonts w:ascii="Calibri" w:eastAsia="Times New Roman" w:hAnsi="Calibri" w:cs="Calibri"/>
          <w:color w:val="000000"/>
          <w:kern w:val="0"/>
          <w:sz w:val="22"/>
          <w:szCs w:val="22"/>
          <w14:ligatures w14:val="none"/>
        </w:rPr>
        <w:t> (30%) were the most prevalent MDR pathogens. Of the 653 Gram-negative isolates, 361 (55%) produced extended-spectrum beta-lactamases (ESBLs), 19 (3%) were resistant to colistin and (68%) were carbapenemase-producing organisms (CPO). </w:t>
      </w:r>
      <w:r w:rsidRPr="006505C0">
        <w:rPr>
          <w:rFonts w:ascii="Calibri" w:eastAsia="Times New Roman" w:hAnsi="Calibri" w:cs="Calibri"/>
          <w:i/>
          <w:iCs/>
          <w:color w:val="000000"/>
          <w:kern w:val="0"/>
          <w:sz w:val="22"/>
          <w:szCs w:val="22"/>
          <w14:ligatures w14:val="none"/>
        </w:rPr>
        <w:t>K. pneumoniae</w:t>
      </w:r>
      <w:r w:rsidRPr="006505C0">
        <w:rPr>
          <w:rFonts w:ascii="Calibri" w:eastAsia="Times New Roman" w:hAnsi="Calibri" w:cs="Calibri"/>
          <w:color w:val="000000"/>
          <w:kern w:val="0"/>
          <w:sz w:val="22"/>
          <w:szCs w:val="22"/>
          <w14:ligatures w14:val="none"/>
        </w:rPr>
        <w:t> (63%) was the most frequent CPO, and also identified as the main ESBL-producing bacteria (87%). The carbapenemase prevalence was 64% NDM, 3% IMP, and 1% KPC. From 27 Gram-positive isolates, 41% of </w:t>
      </w:r>
      <w:r w:rsidRPr="006505C0">
        <w:rPr>
          <w:rFonts w:ascii="Calibri" w:eastAsia="Times New Roman" w:hAnsi="Calibri" w:cs="Calibri"/>
          <w:i/>
          <w:iCs/>
          <w:color w:val="000000"/>
          <w:kern w:val="0"/>
          <w:sz w:val="22"/>
          <w:szCs w:val="22"/>
          <w14:ligatures w14:val="none"/>
        </w:rPr>
        <w:t>S. aureus</w:t>
      </w:r>
      <w:r w:rsidRPr="006505C0">
        <w:rPr>
          <w:rFonts w:ascii="Calibri" w:eastAsia="Times New Roman" w:hAnsi="Calibri" w:cs="Calibri"/>
          <w:color w:val="000000"/>
          <w:kern w:val="0"/>
          <w:sz w:val="22"/>
          <w:szCs w:val="22"/>
          <w14:ligatures w14:val="none"/>
        </w:rPr>
        <w:t> were methicillin-resistant, and 33% of </w:t>
      </w:r>
      <w:r w:rsidRPr="006505C0">
        <w:rPr>
          <w:rFonts w:ascii="Calibri" w:eastAsia="Times New Roman" w:hAnsi="Calibri" w:cs="Calibri"/>
          <w:i/>
          <w:iCs/>
          <w:color w:val="000000"/>
          <w:kern w:val="0"/>
          <w:sz w:val="22"/>
          <w:szCs w:val="22"/>
          <w14:ligatures w14:val="none"/>
        </w:rPr>
        <w:t>E. faecium</w:t>
      </w:r>
      <w:r w:rsidRPr="006505C0">
        <w:rPr>
          <w:rFonts w:ascii="Calibri" w:eastAsia="Times New Roman" w:hAnsi="Calibri" w:cs="Calibri"/>
          <w:color w:val="000000"/>
          <w:kern w:val="0"/>
          <w:sz w:val="22"/>
          <w:szCs w:val="22"/>
          <w14:ligatures w14:val="none"/>
        </w:rPr>
        <w:t> were vancomycin-resistant.Carbapenemase and ESBL producers were the most frequent resistance profiles found in this data set. The capacity of ESKAPE-E pathogens to present multiple resistance mechanisms simultaneously constitutes a challenge in the control and management of infections. These results reinforce the importance of maintaining MDR pathogen surveillance within hospitals.</w:t>
      </w:r>
    </w:p>
    <w:p w14:paraId="6E474C7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25-A-3579-ASTMH</w:t>
      </w:r>
    </w:p>
    <w:p w14:paraId="404C649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Enteric Infections</w:t>
      </w:r>
    </w:p>
    <w:p w14:paraId="4DBBD11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Antibiotic Use for Pediatric Diarrhea Treatment: Perspectives of Physicians and Caregivers in Mali </w:t>
      </w:r>
    </w:p>
    <w:p w14:paraId="3951503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Diarrheal diseases are a leading cause of morbidity and mortality among children globally, with an estimated 1 billion cases and 500,000 deaths annually, primarily in low- and middle-income countries (LMICs). Although most diarrheal cases resolve on their own, antibiotics are frequently prescribed in these settings, contributing to negative health outcomes such as side effects at the individual level, and antibiotic resistance at the population level. Understanding the factors influencing antibiotic prescribing is crucial for promoting antibiotic stewardship in low resource settings. This qualitative study explored physician and caregiver perspectives on antibiotic use for pediatric diarrhea through in-depth interviews with 18 physicians and 7 caregivers (ongoing, with a goal of 36 caregiver interviews) across four healthcare facilities in Mali encompassing both rural and urban settings. Interviews were analyzed to identify themes related to the perceived importance of antibiotics, circumstances of antibiotic use, and knowledge of antibiotic stewardship. While many providers make antibiotic decisions based on symptoms, some still view them as standard treatment. When prescribing antibiotics, providers often considered suspicion of pathogen (based on diagnostic results or patient living conditions), but consistent understanding of appropriate antibiotic use was lacking. Caregivers often perceived antibiotics as the most effective treatment but noted a desire for enhanced awareness and knowledge of proper antibiotic use. The findings of this study underscore the need for targeted interventions to enhance physician and caregiver understanding of appropriate antibiotic use, with the aim of reducing misuse and promoting antibiotic stewardship in pediatric diarrhea treatment in LMICs.  </w:t>
      </w:r>
    </w:p>
    <w:p w14:paraId="7F7E7D2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25-A-3580-ASTMH</w:t>
      </w:r>
    </w:p>
    <w:p w14:paraId="32935B9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Helminths – Nematodes – Intestinal Nematodes</w:t>
      </w:r>
    </w:p>
    <w:p w14:paraId="5A2C97D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Cry-Cry Protein Combinations as a Novel Therapeutic Strategy Against Gastrointestinal Nematodes</w:t>
      </w:r>
    </w:p>
    <w:p w14:paraId="7BC964C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Human gastrointestinal nematodes (GINs aka soil-transmitted helminths), including hookworms (</w:t>
      </w:r>
      <w:r w:rsidRPr="006505C0">
        <w:rPr>
          <w:rFonts w:ascii="Calibri" w:eastAsia="Times New Roman" w:hAnsi="Calibri" w:cs="Calibri"/>
          <w:i/>
          <w:iCs/>
          <w:color w:val="000000"/>
          <w:kern w:val="0"/>
          <w:sz w:val="22"/>
          <w:szCs w:val="22"/>
          <w14:ligatures w14:val="none"/>
        </w:rPr>
        <w:t>Necator</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Ancylostoma</w:t>
      </w:r>
      <w:r w:rsidRPr="006505C0">
        <w:rPr>
          <w:rFonts w:ascii="Calibri" w:eastAsia="Times New Roman" w:hAnsi="Calibri" w:cs="Calibri"/>
          <w:color w:val="000000"/>
          <w:kern w:val="0"/>
          <w:sz w:val="22"/>
          <w:szCs w:val="22"/>
          <w14:ligatures w14:val="none"/>
        </w:rPr>
        <w:t>), roundworms (</w:t>
      </w:r>
      <w:r w:rsidRPr="006505C0">
        <w:rPr>
          <w:rFonts w:ascii="Calibri" w:eastAsia="Times New Roman" w:hAnsi="Calibri" w:cs="Calibri"/>
          <w:i/>
          <w:iCs/>
          <w:color w:val="000000"/>
          <w:kern w:val="0"/>
          <w:sz w:val="22"/>
          <w:szCs w:val="22"/>
          <w14:ligatures w14:val="none"/>
        </w:rPr>
        <w:t>Ascaris</w:t>
      </w:r>
      <w:r w:rsidRPr="006505C0">
        <w:rPr>
          <w:rFonts w:ascii="Calibri" w:eastAsia="Times New Roman" w:hAnsi="Calibri" w:cs="Calibri"/>
          <w:color w:val="000000"/>
          <w:kern w:val="0"/>
          <w:sz w:val="22"/>
          <w:szCs w:val="22"/>
          <w14:ligatures w14:val="none"/>
        </w:rPr>
        <w:t>), and whipworms (</w:t>
      </w:r>
      <w:r w:rsidRPr="006505C0">
        <w:rPr>
          <w:rFonts w:ascii="Calibri" w:eastAsia="Times New Roman" w:hAnsi="Calibri" w:cs="Calibri"/>
          <w:i/>
          <w:iCs/>
          <w:color w:val="000000"/>
          <w:kern w:val="0"/>
          <w:sz w:val="22"/>
          <w:szCs w:val="22"/>
          <w14:ligatures w14:val="none"/>
        </w:rPr>
        <w:t>Trichuris</w:t>
      </w:r>
      <w:r w:rsidRPr="006505C0">
        <w:rPr>
          <w:rFonts w:ascii="Calibri" w:eastAsia="Times New Roman" w:hAnsi="Calibri" w:cs="Calibri"/>
          <w:color w:val="000000"/>
          <w:kern w:val="0"/>
          <w:sz w:val="22"/>
          <w:szCs w:val="22"/>
          <w14:ligatures w14:val="none"/>
        </w:rPr>
        <w:t xml:space="preserve">), infect ~1.5B people globally. These parasites impair childhood development, contribute to malnutrition, anemia, reduce economic outcomes, leading to &gt;5M disability-adjusted life years and &gt;$100 billion in annual productivity losses. </w:t>
      </w:r>
      <w:r w:rsidRPr="006505C0">
        <w:rPr>
          <w:rFonts w:ascii="Calibri" w:eastAsia="Times New Roman" w:hAnsi="Calibri" w:cs="Calibri"/>
          <w:color w:val="000000"/>
          <w:kern w:val="0"/>
          <w:sz w:val="22"/>
          <w:szCs w:val="22"/>
          <w14:ligatures w14:val="none"/>
        </w:rPr>
        <w:lastRenderedPageBreak/>
        <w:t>Current therapies are limited by inconsistent efficacy and rising resistance, creating an urgent need for new anthelmintics. Our team has developed a novel class of anthelmintics based on crystal (Cry) proteins from </w:t>
      </w:r>
      <w:r w:rsidRPr="006505C0">
        <w:rPr>
          <w:rFonts w:ascii="Calibri" w:eastAsia="Times New Roman" w:hAnsi="Calibri" w:cs="Calibri"/>
          <w:i/>
          <w:iCs/>
          <w:color w:val="000000"/>
          <w:kern w:val="0"/>
          <w:sz w:val="22"/>
          <w:szCs w:val="22"/>
          <w14:ligatures w14:val="none"/>
        </w:rPr>
        <w:t>Bacillus thuringiensis </w:t>
      </w:r>
      <w:r w:rsidRPr="006505C0">
        <w:rPr>
          <w:rFonts w:ascii="Calibri" w:eastAsia="Times New Roman" w:hAnsi="Calibri" w:cs="Calibri"/>
          <w:color w:val="000000"/>
          <w:kern w:val="0"/>
          <w:sz w:val="22"/>
          <w:szCs w:val="22"/>
          <w14:ligatures w14:val="none"/>
        </w:rPr>
        <w:t>(Bt), formulated as IBaCC (Inactivated Bacteria with Cytosolic Crystal(s)). These proteins are safe for vertebrates, inexpensive to produce, and scalable. Previously, we reported that our lead candidate, Cry5B IBaCC was effective against GINs in multiple animal models, including mice (whipworms, roundworms), hamsters (hookworms), pigs (roundworms), horses (roundworms), and sheep (strongylids). We have since expanded our Cry protein arsenal to include five additional new nematode active Cry proteins, including recently published Cry14Ab and Cry14Ac.In insects, Bt Cry proteins are known to be co-expressed and to act synergistically in combination, often via hetero-oligomerization that enhances potency. Here, we explored nematode-active Cry-Cry protein combinations as a strategy to improve efficacy, broaden the therapeutic spectrum, and delay the onset of resistance. </w:t>
      </w:r>
      <w:r w:rsidRPr="006505C0">
        <w:rPr>
          <w:rFonts w:ascii="Calibri" w:eastAsia="Times New Roman" w:hAnsi="Calibri" w:cs="Calibri"/>
          <w:i/>
          <w:iCs/>
          <w:color w:val="000000"/>
          <w:kern w:val="0"/>
          <w:sz w:val="22"/>
          <w:szCs w:val="22"/>
          <w14:ligatures w14:val="none"/>
        </w:rPr>
        <w:t>Ex vivo</w:t>
      </w:r>
      <w:r w:rsidRPr="006505C0">
        <w:rPr>
          <w:rFonts w:ascii="Calibri" w:eastAsia="Times New Roman" w:hAnsi="Calibri" w:cs="Calibri"/>
          <w:color w:val="000000"/>
          <w:kern w:val="0"/>
          <w:sz w:val="22"/>
          <w:szCs w:val="22"/>
          <w14:ligatures w14:val="none"/>
        </w:rPr>
        <w:t> studies indicate that some, but not all Cry-Cry combinations show synergy against adult </w:t>
      </w:r>
      <w:r w:rsidRPr="006505C0">
        <w:rPr>
          <w:rFonts w:ascii="Calibri" w:eastAsia="Times New Roman" w:hAnsi="Calibri" w:cs="Calibri"/>
          <w:i/>
          <w:iCs/>
          <w:color w:val="000000"/>
          <w:kern w:val="0"/>
          <w:sz w:val="22"/>
          <w:szCs w:val="22"/>
          <w14:ligatures w14:val="none"/>
        </w:rPr>
        <w:t>A. ceylanicum</w:t>
      </w:r>
      <w:r w:rsidRPr="006505C0">
        <w:rPr>
          <w:rFonts w:ascii="Calibri" w:eastAsia="Times New Roman" w:hAnsi="Calibri" w:cs="Calibri"/>
          <w:color w:val="000000"/>
          <w:kern w:val="0"/>
          <w:sz w:val="22"/>
          <w:szCs w:val="22"/>
          <w14:ligatures w14:val="none"/>
        </w:rPr>
        <w:t> (hookworms) and </w:t>
      </w:r>
      <w:r w:rsidRPr="006505C0">
        <w:rPr>
          <w:rFonts w:ascii="Calibri" w:eastAsia="Times New Roman" w:hAnsi="Calibri" w:cs="Calibri"/>
          <w:i/>
          <w:iCs/>
          <w:color w:val="000000"/>
          <w:kern w:val="0"/>
          <w:sz w:val="22"/>
          <w:szCs w:val="22"/>
          <w14:ligatures w14:val="none"/>
        </w:rPr>
        <w:t>T. muris</w:t>
      </w:r>
      <w:r w:rsidRPr="006505C0">
        <w:rPr>
          <w:rFonts w:ascii="Calibri" w:eastAsia="Times New Roman" w:hAnsi="Calibri" w:cs="Calibri"/>
          <w:color w:val="000000"/>
          <w:kern w:val="0"/>
          <w:sz w:val="22"/>
          <w:szCs w:val="22"/>
          <w14:ligatures w14:val="none"/>
        </w:rPr>
        <w:t> (whipworms),indicating enhanced potency beyond single-agent effects. Ongoing studies are screening all six Cry proteins in combinatorial assays to identify additional synergistic pairs, which will be validated </w:t>
      </w:r>
      <w:r w:rsidRPr="006505C0">
        <w:rPr>
          <w:rFonts w:ascii="Calibri" w:eastAsia="Times New Roman" w:hAnsi="Calibri" w:cs="Calibri"/>
          <w:i/>
          <w:iCs/>
          <w:color w:val="000000"/>
          <w:kern w:val="0"/>
          <w:sz w:val="22"/>
          <w:szCs w:val="22"/>
          <w14:ligatures w14:val="none"/>
        </w:rPr>
        <w:t>in vivo</w:t>
      </w:r>
      <w:r w:rsidRPr="006505C0">
        <w:rPr>
          <w:rFonts w:ascii="Calibri" w:eastAsia="Times New Roman" w:hAnsi="Calibri" w:cs="Calibri"/>
          <w:color w:val="000000"/>
          <w:kern w:val="0"/>
          <w:sz w:val="22"/>
          <w:szCs w:val="22"/>
          <w14:ligatures w14:val="none"/>
        </w:rPr>
        <w:t>.Our findings to date support the potential of multi-Cry IBaCC therapy strategies as a next-generation approach for treating GINs, offering improved durability, enhanced potency, and delayed emergence of resistance compared to current anthelmintic treatments.</w:t>
      </w:r>
    </w:p>
    <w:p w14:paraId="782CDC9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25-A-3581-ASTMH</w:t>
      </w:r>
    </w:p>
    <w:p w14:paraId="6C16AD9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Ectoparasite-Borne Disease - Other</w:t>
      </w:r>
    </w:p>
    <w:p w14:paraId="3D0F8BD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Eco-epidemiology of Vector-Borne Pathogens in Humans, Rodents and Their Ectoparasites in Rural Andean Communities from Coastal Peru</w:t>
      </w:r>
    </w:p>
    <w:p w14:paraId="1874CAA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Several vector-borne agents commonly associated with rodent reservoirs have been detected in human populations in Peru, but little is known about their ecology. We conducted a cross-sectional study in five rural communities in Piura, coastal Peru, to understand the eco-epidemiology of </w:t>
      </w:r>
      <w:r w:rsidRPr="006505C0">
        <w:rPr>
          <w:rFonts w:ascii="Calibri" w:eastAsia="Times New Roman" w:hAnsi="Calibri" w:cs="Calibri"/>
          <w:i/>
          <w:iCs/>
          <w:color w:val="000000"/>
          <w:kern w:val="0"/>
          <w:sz w:val="22"/>
          <w:szCs w:val="22"/>
          <w14:ligatures w14:val="none"/>
        </w:rPr>
        <w:t>Rickettsia </w:t>
      </w:r>
      <w:r w:rsidRPr="006505C0">
        <w:rPr>
          <w:rFonts w:ascii="Calibri" w:eastAsia="Times New Roman" w:hAnsi="Calibri" w:cs="Calibri"/>
          <w:color w:val="000000"/>
          <w:kern w:val="0"/>
          <w:sz w:val="22"/>
          <w:szCs w:val="22"/>
          <w14:ligatures w14:val="none"/>
        </w:rPr>
        <w:t>spp., </w:t>
      </w:r>
      <w:r w:rsidRPr="006505C0">
        <w:rPr>
          <w:rFonts w:ascii="Calibri" w:eastAsia="Times New Roman" w:hAnsi="Calibri" w:cs="Calibri"/>
          <w:i/>
          <w:iCs/>
          <w:color w:val="000000"/>
          <w:kern w:val="0"/>
          <w:sz w:val="22"/>
          <w:szCs w:val="22"/>
          <w14:ligatures w14:val="none"/>
        </w:rPr>
        <w:t>Bartonella </w:t>
      </w:r>
      <w:r w:rsidRPr="006505C0">
        <w:rPr>
          <w:rFonts w:ascii="Calibri" w:eastAsia="Times New Roman" w:hAnsi="Calibri" w:cs="Calibri"/>
          <w:color w:val="000000"/>
          <w:kern w:val="0"/>
          <w:sz w:val="22"/>
          <w:szCs w:val="22"/>
          <w14:ligatures w14:val="none"/>
        </w:rPr>
        <w:t>spp., </w:t>
      </w:r>
      <w:r w:rsidRPr="006505C0">
        <w:rPr>
          <w:rFonts w:ascii="Calibri" w:eastAsia="Times New Roman" w:hAnsi="Calibri" w:cs="Calibri"/>
          <w:i/>
          <w:iCs/>
          <w:color w:val="000000"/>
          <w:kern w:val="0"/>
          <w:sz w:val="22"/>
          <w:szCs w:val="22"/>
          <w14:ligatures w14:val="none"/>
        </w:rPr>
        <w:t>Babesia </w:t>
      </w:r>
      <w:r w:rsidRPr="006505C0">
        <w:rPr>
          <w:rFonts w:ascii="Calibri" w:eastAsia="Times New Roman" w:hAnsi="Calibri" w:cs="Calibri"/>
          <w:color w:val="000000"/>
          <w:kern w:val="0"/>
          <w:sz w:val="22"/>
          <w:szCs w:val="22"/>
          <w14:ligatures w14:val="none"/>
        </w:rPr>
        <w:t>spp.</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and</w:t>
      </w:r>
      <w:r w:rsidRPr="006505C0">
        <w:rPr>
          <w:rFonts w:ascii="Calibri" w:eastAsia="Times New Roman" w:hAnsi="Calibri" w:cs="Calibri"/>
          <w:i/>
          <w:iCs/>
          <w:color w:val="000000"/>
          <w:kern w:val="0"/>
          <w:sz w:val="22"/>
          <w:szCs w:val="22"/>
          <w14:ligatures w14:val="none"/>
        </w:rPr>
        <w:t> Yersinia pestis </w:t>
      </w:r>
      <w:r w:rsidRPr="006505C0">
        <w:rPr>
          <w:rFonts w:ascii="Calibri" w:eastAsia="Times New Roman" w:hAnsi="Calibri" w:cs="Calibri"/>
          <w:color w:val="000000"/>
          <w:kern w:val="0"/>
          <w:sz w:val="22"/>
          <w:szCs w:val="22"/>
          <w14:ligatures w14:val="none"/>
        </w:rPr>
        <w:t>across various hosts. We collected blood samples from febrile patients, as well as ectoparasites and tissue samples from peri-urban and wild rodents in the vicinity. Molecular biology was used for bacterial detection and identification, while rodent host characteristics were analyzed using descriptive statistics. A robust Poisson regression model was used to evaluate factors associated with ectoparasite infection in infested rodents. Rickettsiae related to </w:t>
      </w:r>
      <w:r w:rsidRPr="006505C0">
        <w:rPr>
          <w:rFonts w:ascii="Calibri" w:eastAsia="Times New Roman" w:hAnsi="Calibri" w:cs="Calibri"/>
          <w:i/>
          <w:iCs/>
          <w:color w:val="000000"/>
          <w:kern w:val="0"/>
          <w:sz w:val="22"/>
          <w:szCs w:val="22"/>
          <w14:ligatures w14:val="none"/>
        </w:rPr>
        <w:t>R. monacensis, R. raoultii, </w:t>
      </w:r>
      <w:r w:rsidRPr="006505C0">
        <w:rPr>
          <w:rFonts w:ascii="Calibri" w:eastAsia="Times New Roman" w:hAnsi="Calibri" w:cs="Calibri"/>
          <w:color w:val="000000"/>
          <w:kern w:val="0"/>
          <w:sz w:val="22"/>
          <w:szCs w:val="22"/>
          <w14:ligatures w14:val="none"/>
        </w:rPr>
        <w:t>and Candidatus </w:t>
      </w:r>
      <w:r w:rsidRPr="006505C0">
        <w:rPr>
          <w:rFonts w:ascii="Calibri" w:eastAsia="Times New Roman" w:hAnsi="Calibri" w:cs="Calibri"/>
          <w:i/>
          <w:iCs/>
          <w:color w:val="000000"/>
          <w:kern w:val="0"/>
          <w:sz w:val="22"/>
          <w:szCs w:val="22"/>
          <w14:ligatures w14:val="none"/>
        </w:rPr>
        <w:t>R. andeanae</w:t>
      </w:r>
      <w:r w:rsidRPr="006505C0">
        <w:rPr>
          <w:rFonts w:ascii="Calibri" w:eastAsia="Times New Roman" w:hAnsi="Calibri" w:cs="Calibri"/>
          <w:color w:val="000000"/>
          <w:kern w:val="0"/>
          <w:sz w:val="22"/>
          <w:szCs w:val="22"/>
          <w14:ligatures w14:val="none"/>
        </w:rPr>
        <w:t> were detected in ticks identified as </w:t>
      </w:r>
      <w:r w:rsidRPr="006505C0">
        <w:rPr>
          <w:rFonts w:ascii="Calibri" w:eastAsia="Times New Roman" w:hAnsi="Calibri" w:cs="Calibri"/>
          <w:i/>
          <w:iCs/>
          <w:color w:val="000000"/>
          <w:kern w:val="0"/>
          <w:sz w:val="22"/>
          <w:szCs w:val="22"/>
          <w14:ligatures w14:val="none"/>
        </w:rPr>
        <w:t>Ixodes boliviensis</w:t>
      </w:r>
      <w:r w:rsidRPr="006505C0">
        <w:rPr>
          <w:rFonts w:ascii="Calibri" w:eastAsia="Times New Roman" w:hAnsi="Calibri" w:cs="Calibri"/>
          <w:color w:val="000000"/>
          <w:kern w:val="0"/>
          <w:sz w:val="22"/>
          <w:szCs w:val="22"/>
          <w14:ligatures w14:val="none"/>
        </w:rPr>
        <w:t> (1/23) and </w:t>
      </w:r>
      <w:r w:rsidRPr="006505C0">
        <w:rPr>
          <w:rFonts w:ascii="Calibri" w:eastAsia="Times New Roman" w:hAnsi="Calibri" w:cs="Calibri"/>
          <w:i/>
          <w:iCs/>
          <w:color w:val="000000"/>
          <w:kern w:val="0"/>
          <w:sz w:val="22"/>
          <w:szCs w:val="22"/>
          <w14:ligatures w14:val="none"/>
        </w:rPr>
        <w:t>Amblyomma maculatum</w:t>
      </w:r>
      <w:r w:rsidRPr="006505C0">
        <w:rPr>
          <w:rFonts w:ascii="Calibri" w:eastAsia="Times New Roman" w:hAnsi="Calibri" w:cs="Calibri"/>
          <w:color w:val="000000"/>
          <w:kern w:val="0"/>
          <w:sz w:val="22"/>
          <w:szCs w:val="22"/>
          <w14:ligatures w14:val="none"/>
        </w:rPr>
        <w:t> s.l. (2/23). Of 130 rodents, two were positive for rickettsiae, with one identified as </w:t>
      </w:r>
      <w:r w:rsidRPr="006505C0">
        <w:rPr>
          <w:rFonts w:ascii="Calibri" w:eastAsia="Times New Roman" w:hAnsi="Calibri" w:cs="Calibri"/>
          <w:i/>
          <w:iCs/>
          <w:color w:val="000000"/>
          <w:kern w:val="0"/>
          <w:sz w:val="22"/>
          <w:szCs w:val="22"/>
          <w14:ligatures w14:val="none"/>
        </w:rPr>
        <w:t>R. monacensis</w:t>
      </w:r>
      <w:r w:rsidRPr="006505C0">
        <w:rPr>
          <w:rFonts w:ascii="Calibri" w:eastAsia="Times New Roman" w:hAnsi="Calibri" w:cs="Calibri"/>
          <w:color w:val="000000"/>
          <w:kern w:val="0"/>
          <w:sz w:val="22"/>
          <w:szCs w:val="22"/>
          <w14:ligatures w14:val="none"/>
        </w:rPr>
        <w:t>. The positivity rates for </w:t>
      </w:r>
      <w:r w:rsidRPr="006505C0">
        <w:rPr>
          <w:rFonts w:ascii="Calibri" w:eastAsia="Times New Roman" w:hAnsi="Calibri" w:cs="Calibri"/>
          <w:i/>
          <w:iCs/>
          <w:color w:val="000000"/>
          <w:kern w:val="0"/>
          <w:sz w:val="22"/>
          <w:szCs w:val="22"/>
          <w14:ligatures w14:val="none"/>
        </w:rPr>
        <w:t>Bartonella </w:t>
      </w:r>
      <w:r w:rsidRPr="006505C0">
        <w:rPr>
          <w:rFonts w:ascii="Calibri" w:eastAsia="Times New Roman" w:hAnsi="Calibri" w:cs="Calibri"/>
          <w:color w:val="000000"/>
          <w:kern w:val="0"/>
          <w:sz w:val="22"/>
          <w:szCs w:val="22"/>
          <w14:ligatures w14:val="none"/>
        </w:rPr>
        <w:t>spp. and </w:t>
      </w:r>
      <w:r w:rsidRPr="006505C0">
        <w:rPr>
          <w:rFonts w:ascii="Calibri" w:eastAsia="Times New Roman" w:hAnsi="Calibri" w:cs="Calibri"/>
          <w:i/>
          <w:iCs/>
          <w:color w:val="000000"/>
          <w:kern w:val="0"/>
          <w:sz w:val="22"/>
          <w:szCs w:val="22"/>
          <w14:ligatures w14:val="none"/>
        </w:rPr>
        <w:t>Yersinia pestis</w:t>
      </w:r>
      <w:r w:rsidRPr="006505C0">
        <w:rPr>
          <w:rFonts w:ascii="Calibri" w:eastAsia="Times New Roman" w:hAnsi="Calibri" w:cs="Calibri"/>
          <w:color w:val="000000"/>
          <w:kern w:val="0"/>
          <w:sz w:val="22"/>
          <w:szCs w:val="22"/>
          <w14:ligatures w14:val="none"/>
        </w:rPr>
        <w:t> were 39/130 and 2/130 in rodents and 37/127 and 2/127 in their fleas, respectively. Human samples and fleas were negative for </w:t>
      </w:r>
      <w:r w:rsidRPr="006505C0">
        <w:rPr>
          <w:rFonts w:ascii="Calibri" w:eastAsia="Times New Roman" w:hAnsi="Calibri" w:cs="Calibri"/>
          <w:i/>
          <w:iCs/>
          <w:color w:val="000000"/>
          <w:kern w:val="0"/>
          <w:sz w:val="22"/>
          <w:szCs w:val="22"/>
          <w14:ligatures w14:val="none"/>
        </w:rPr>
        <w:t>Rickettsia </w:t>
      </w:r>
      <w:r w:rsidRPr="006505C0">
        <w:rPr>
          <w:rFonts w:ascii="Calibri" w:eastAsia="Times New Roman" w:hAnsi="Calibri" w:cs="Calibri"/>
          <w:color w:val="000000"/>
          <w:kern w:val="0"/>
          <w:sz w:val="22"/>
          <w:szCs w:val="22"/>
          <w14:ligatures w14:val="none"/>
        </w:rPr>
        <w:t>spp., and all samples were negative for </w:t>
      </w:r>
      <w:r w:rsidRPr="006505C0">
        <w:rPr>
          <w:rFonts w:ascii="Calibri" w:eastAsia="Times New Roman" w:hAnsi="Calibri" w:cs="Calibri"/>
          <w:i/>
          <w:iCs/>
          <w:color w:val="000000"/>
          <w:kern w:val="0"/>
          <w:sz w:val="22"/>
          <w:szCs w:val="22"/>
          <w14:ligatures w14:val="none"/>
        </w:rPr>
        <w:t>Babesia </w:t>
      </w:r>
      <w:r w:rsidRPr="006505C0">
        <w:rPr>
          <w:rFonts w:ascii="Calibri" w:eastAsia="Times New Roman" w:hAnsi="Calibri" w:cs="Calibri"/>
          <w:color w:val="000000"/>
          <w:kern w:val="0"/>
          <w:sz w:val="22"/>
          <w:szCs w:val="22"/>
          <w14:ligatures w14:val="none"/>
        </w:rPr>
        <w:t>spp. Ectoparasite infection was significantly higher in infected rodents trapped outdoors, but our sample size did not allow us to ascertain whether this association was specifically driven by the presence of wild rodent species outdoors. Our study provides the first molecular detection of </w:t>
      </w:r>
      <w:r w:rsidRPr="006505C0">
        <w:rPr>
          <w:rFonts w:ascii="Calibri" w:eastAsia="Times New Roman" w:hAnsi="Calibri" w:cs="Calibri"/>
          <w:i/>
          <w:iCs/>
          <w:color w:val="000000"/>
          <w:kern w:val="0"/>
          <w:sz w:val="22"/>
          <w:szCs w:val="22"/>
          <w14:ligatures w14:val="none"/>
        </w:rPr>
        <w:t>R. monacensis-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R. raoultii-</w:t>
      </w:r>
      <w:r w:rsidRPr="006505C0">
        <w:rPr>
          <w:rFonts w:ascii="Calibri" w:eastAsia="Times New Roman" w:hAnsi="Calibri" w:cs="Calibri"/>
          <w:color w:val="000000"/>
          <w:kern w:val="0"/>
          <w:sz w:val="22"/>
          <w:szCs w:val="22"/>
          <w14:ligatures w14:val="none"/>
        </w:rPr>
        <w:t>like rickettsiae in South America and confirm that </w:t>
      </w:r>
      <w:r w:rsidRPr="006505C0">
        <w:rPr>
          <w:rFonts w:ascii="Calibri" w:eastAsia="Times New Roman" w:hAnsi="Calibri" w:cs="Calibri"/>
          <w:i/>
          <w:iCs/>
          <w:color w:val="000000"/>
          <w:kern w:val="0"/>
          <w:sz w:val="22"/>
          <w:szCs w:val="22"/>
          <w14:ligatures w14:val="none"/>
        </w:rPr>
        <w:t>Rickettsia </w:t>
      </w:r>
      <w:r w:rsidRPr="006505C0">
        <w:rPr>
          <w:rFonts w:ascii="Calibri" w:eastAsia="Times New Roman" w:hAnsi="Calibri" w:cs="Calibri"/>
          <w:color w:val="000000"/>
          <w:kern w:val="0"/>
          <w:sz w:val="22"/>
          <w:szCs w:val="22"/>
          <w14:ligatures w14:val="none"/>
        </w:rPr>
        <w:t>spp., </w:t>
      </w:r>
      <w:r w:rsidRPr="006505C0">
        <w:rPr>
          <w:rFonts w:ascii="Calibri" w:eastAsia="Times New Roman" w:hAnsi="Calibri" w:cs="Calibri"/>
          <w:i/>
          <w:iCs/>
          <w:color w:val="000000"/>
          <w:kern w:val="0"/>
          <w:sz w:val="22"/>
          <w:szCs w:val="22"/>
          <w14:ligatures w14:val="none"/>
        </w:rPr>
        <w:t>Bartonella </w:t>
      </w:r>
      <w:r w:rsidRPr="006505C0">
        <w:rPr>
          <w:rFonts w:ascii="Calibri" w:eastAsia="Times New Roman" w:hAnsi="Calibri" w:cs="Calibri"/>
          <w:color w:val="000000"/>
          <w:kern w:val="0"/>
          <w:sz w:val="22"/>
          <w:szCs w:val="22"/>
          <w14:ligatures w14:val="none"/>
        </w:rPr>
        <w:t>spp., and </w:t>
      </w:r>
      <w:r w:rsidRPr="006505C0">
        <w:rPr>
          <w:rFonts w:ascii="Calibri" w:eastAsia="Times New Roman" w:hAnsi="Calibri" w:cs="Calibri"/>
          <w:i/>
          <w:iCs/>
          <w:color w:val="000000"/>
          <w:kern w:val="0"/>
          <w:sz w:val="22"/>
          <w:szCs w:val="22"/>
          <w14:ligatures w14:val="none"/>
        </w:rPr>
        <w:t>Yersinia pestis</w:t>
      </w:r>
      <w:r w:rsidRPr="006505C0">
        <w:rPr>
          <w:rFonts w:ascii="Calibri" w:eastAsia="Times New Roman" w:hAnsi="Calibri" w:cs="Calibri"/>
          <w:color w:val="000000"/>
          <w:kern w:val="0"/>
          <w:sz w:val="22"/>
          <w:szCs w:val="22"/>
          <w14:ligatures w14:val="none"/>
        </w:rPr>
        <w:t> are circulating among rodents (and their ectoparasites) living in proximity to humans in Peru. Furthermore, our multivariate analysis showed that indoor rodents may play a lesser role as source of zoonotic agents compared to those trapped outdoors. Future direction includes the characterization and molecular screening of other rodent ectoparasites, such as mites and lice, which are highly neglected potential vectors in Peru.</w:t>
      </w:r>
    </w:p>
    <w:p w14:paraId="538EC20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25-A-3582-ASTMH</w:t>
      </w:r>
    </w:p>
    <w:p w14:paraId="26B584B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1CB05C7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Lower Lumefantrine Exposure In Pregnant Women With Uncomplicated </w:t>
      </w:r>
      <w:r w:rsidRPr="006505C0">
        <w:rPr>
          <w:rFonts w:ascii="Calibri" w:eastAsia="Times New Roman" w:hAnsi="Calibri" w:cs="Calibri"/>
          <w:b/>
          <w:bCs/>
          <w:i/>
          <w:iCs/>
          <w:color w:val="000000"/>
          <w:kern w:val="0"/>
          <w:sz w:val="22"/>
          <w:szCs w:val="22"/>
          <w14:ligatures w14:val="none"/>
        </w:rPr>
        <w:t>Falciparum </w:t>
      </w:r>
      <w:r w:rsidRPr="006505C0">
        <w:rPr>
          <w:rFonts w:ascii="Calibri" w:eastAsia="Times New Roman" w:hAnsi="Calibri" w:cs="Calibri"/>
          <w:b/>
          <w:bCs/>
          <w:color w:val="000000"/>
          <w:kern w:val="0"/>
          <w:sz w:val="22"/>
          <w:szCs w:val="22"/>
          <w14:ligatures w14:val="none"/>
        </w:rPr>
        <w:t>Malaria In Western Kenya</w:t>
      </w:r>
    </w:p>
    <w:p w14:paraId="34D7CC6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The overall aim of this study was to assess the pharmacokinetic properties of lumefantrine in pregnant and non-pregnant women with uncomplicated </w:t>
      </w:r>
      <w:r w:rsidRPr="006505C0">
        <w:rPr>
          <w:rFonts w:ascii="Calibri" w:eastAsia="Times New Roman" w:hAnsi="Calibri" w:cs="Calibri"/>
          <w:i/>
          <w:iCs/>
          <w:color w:val="000000"/>
          <w:kern w:val="0"/>
          <w:sz w:val="22"/>
          <w:szCs w:val="22"/>
          <w14:ligatures w14:val="none"/>
        </w:rPr>
        <w:t>falciparum</w:t>
      </w:r>
      <w:r w:rsidRPr="006505C0">
        <w:rPr>
          <w:rFonts w:ascii="Calibri" w:eastAsia="Times New Roman" w:hAnsi="Calibri" w:cs="Calibri"/>
          <w:color w:val="000000"/>
          <w:kern w:val="0"/>
          <w:sz w:val="22"/>
          <w:szCs w:val="22"/>
          <w14:ligatures w14:val="none"/>
        </w:rPr>
        <w:t> malaria in West Africa. Seventy-five women with uncomplicated </w:t>
      </w:r>
      <w:r w:rsidRPr="006505C0">
        <w:rPr>
          <w:rFonts w:ascii="Calibri" w:eastAsia="Times New Roman" w:hAnsi="Calibri" w:cs="Calibri"/>
          <w:i/>
          <w:iCs/>
          <w:color w:val="000000"/>
          <w:kern w:val="0"/>
          <w:sz w:val="22"/>
          <w:szCs w:val="22"/>
          <w14:ligatures w14:val="none"/>
        </w:rPr>
        <w:t>falciparum</w:t>
      </w:r>
      <w:r w:rsidRPr="006505C0">
        <w:rPr>
          <w:rFonts w:ascii="Calibri" w:eastAsia="Times New Roman" w:hAnsi="Calibri" w:cs="Calibri"/>
          <w:color w:val="000000"/>
          <w:kern w:val="0"/>
          <w:sz w:val="22"/>
          <w:szCs w:val="22"/>
          <w14:ligatures w14:val="none"/>
        </w:rPr>
        <w:t> malaria from Kisumu County of Western Kenya were enrolled, including 25 non-pregnant, 30 pregnant women in their second trimester and 20 pregnant women in their third trimester. The participants received a standard dose of artemether-lumefantrine (80/480 mg) twice daily for 3 days. Densely collected venous plasma samples were measured for drug concentration using LC-MS/MS. Nonlinear mixed-effects modelling was used to characterize the pharmacokinetic properties of lumefantrine and the impact of pregnancy. Treatment response was evaluated as PCR-corrected parasitological cure at day 28. The concentration-time data of lumefantrine were described adequately by a two-compartment disposition model, with a flexible transit absorption process and first-order elimination. Covariate modelling demonstrated that pregnancy status had a significant impact on both elimination clearance and the volume of distribution of lumefantrine. Derived pharmacokinetic exposure parameters (AUC, Cmax and day 7 concentrations) were 29.5%, 28.7% and 31.8% lower in pregnant women compared to non-pregnant women. Other covariates, such as age, baseline temperature and parasitaemia did not result in a significant impact on the pharmacokinetic properties in the study population. The 28-day PCR-corrected parasitological cure was 100% for both pregnant and non-pregnant women. In conclusion, the total drug exposure to lumefantrine was lower in pregnant women, compared to non-pregnant women, with uncomplicated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in Western Kenya. This lower drug exposure might increase the risk of treatment failure with artemether-lumefantrine in pregnant women, especially if drug-susceptibility to either drug is reduced. Continuous assessment and monitoring of the efficacy of artemether-lumefantrine in pregnant women are warranted.</w:t>
      </w:r>
    </w:p>
    <w:p w14:paraId="55C91B0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25-A-3583-ASTMH</w:t>
      </w:r>
    </w:p>
    <w:p w14:paraId="1F1DC6D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Evolution and Genomic Epidemiology</w:t>
      </w:r>
    </w:p>
    <w:p w14:paraId="5460DE0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Not all variants smell and taste the same: Greater chemosensory dysfunction in Lambda vs. Omicron SARS-CoV-2 variants</w:t>
      </w:r>
    </w:p>
    <w:p w14:paraId="23334CF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Chemosensory dysfunctions are a hallmark of COVID-19, though their prevalence may vary by viral variant. First detected in Peru in late 2020, the SARS-CoV-2 Lambda variant became predominant nationwide during early 2021. We aimed to evaluate whether Lambda infection was associated with a higher likelihood of experiencing chemosensory dysfunctions compared to Omicron. We analyzed data from a SARS-CoV-2 genomic surveillance project in Peru (2021-2022), including adults with RT-PCR or antigen-confirmed infection from two mRNA vaccine trials and institute staff. Most had stored respiratory samples from earlier follow-up and were recontacted for consent and symptom surveys; others were prospectively enrolled at diagnosis. Samples were sequenced via Oxford Nanopore’s Midnight protocol on a MinION Mk1B. Data from samples confirmed as either Lambda or Omicron and evaluated the presence of chemosensory dysfunction, defined as altered or lost sense of smell and/or taste was included. Poisson regression was applied to examine the association between variant type and chemosensory dysfunction, adjusting for sex, age, vaccine doses, other respiratory/systemic symptoms (cough, headache, and/or chest pain), and total symptom duration. Of the 397 participants in the parent study, 324 (54% female) were included; 92 (28%) were infected with Lambda. Chemosensory dysfunction prevalence was 60% with Lambda and 23% with Omicron. Of 108 reporting dysfunctions, 94 (87%) resolved within a month. In the adjusted Poisson regression, infection with Lambda was associated with a higher prevalence of chemosensory dysfunctions (PR = 2.57; 95% CI: 1.57-4.23; p &lt; 0.001). Conversely, absence of other respiratory/systemic symptoms was linked with a lower prevalence (PR = 0.29; 95% CI: 0.10-0.85; p = 0.024). More vaccine doses were positively associated (PR = 1.32; 95% CI: 1.09-1.61; p = 0.006). Sex, age, and symptom duration were not significantly associated. Infection with Lambda was more likely to develop chemosensory dysfunctions than Omicron. These findings contribute to understanding symptom profiles between variants and may guide clinical management.</w:t>
      </w:r>
    </w:p>
    <w:p w14:paraId="021BD0E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25-A-3585-ASTMH</w:t>
      </w:r>
    </w:p>
    <w:p w14:paraId="002A2AD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Clinical Tropical Medicine</w:t>
      </w:r>
    </w:p>
    <w:p w14:paraId="6CB9B2A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Temporal trends in non-malaria febrile Illness in Mainland Tanzania: Evidence from Health Facility surveys</w:t>
      </w:r>
    </w:p>
    <w:p w14:paraId="2B068A0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Febrile illnesses remain a major public health challenge and a common reason for healthcare visits. Despite reduced malaria transmission in most parts of Tanzania, febrile illness remains prevalent, largely due to non-malaria febrile illnesses (NMFIs). These include a range of infectious and non-infectious diseases which are hard to diagnose due to non-specific symptoms, and are often wrongly diagnosed as malaria. Lack of timely information leads to inappropriate antimicrobial use, underscoring the need for epidemiological data to guide care and resource use. From 2021 to 2023, health facility-based cross-sectional surveys were conducted in ten regions of Mainland Tanzania, involving 26,951 febrile patients aged ≥6 months. Malaria was diagnosed using rapid diagnostic tests (RDTs), and NMFI prevalence was assessed among RDT-negative patients. Logistic regression was used to identify factors associated with NMFIs. Overall, NMFIs accounted for 50.4% (13,573) of all febrile patients tested. The highest prevalence was in 2021 (52.7%), it dropped to 47.2% in 2022, but increased to 51.2% in 2023. Females consistently showed higher prevalence (p&lt;0.001), peaking at 55.0% in 2021. Adults had the highest burden (~54%), while under-fives showed a decline from 51.7% to 47.7%. The prevalence in schoolchildren dropped from 42.8% in 2021 to 29.7% in 2022, but increased to 43.0% in 2023. The high prevalence of NMFIs and their diagnostic overlap with malaria highlight a critical need for improved diagnostic tools, targeted surveillance, and evidence-based clinical guidelines. Strengthening these areas will be essential for enhancing case management, optimizing antimicrobial use, and informing health policy in malaria-endemic settings.</w:t>
      </w:r>
      <w:r w:rsidRPr="006505C0">
        <w:rPr>
          <w:rFonts w:ascii="Calibri" w:eastAsia="Times New Roman" w:hAnsi="Calibri" w:cs="Calibri"/>
          <w:color w:val="000000"/>
          <w:kern w:val="0"/>
          <w:sz w:val="22"/>
          <w:szCs w:val="22"/>
          <w14:ligatures w14:val="none"/>
        </w:rPr>
        <w:br/>
        <w:t>Keywords: Non-Malaria Febrile Illnesses (NMFIs), Prevalence, Diagnostic challenges, Antimicrobial use, Tanzania.</w:t>
      </w:r>
    </w:p>
    <w:p w14:paraId="34E9D30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25-A-3586-ASTMH</w:t>
      </w:r>
    </w:p>
    <w:p w14:paraId="0951C55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Immunology</w:t>
      </w:r>
    </w:p>
    <w:p w14:paraId="210CF9A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Target-agnostic identification of human antibodies to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sexual forms reveals cross-stage recognition of glutamate-rich repeats</w:t>
      </w:r>
    </w:p>
    <w:p w14:paraId="09D2E52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Circulating sexual stages of Plasmodium falciparum (Pf) can be transmitted from humans to mosquitoes, thereby furthering the spread of malaria in the population. It is well established that antibodies can efficiently block parasite transmission. In search for naturally acquired antibodies targets on sexual stages, we established an efficient method for target-agnostic single B cell activation followed by high-throughput selection of human monoclonal antibodies (mAbs) reactive to sexual stages of Pf in the form of gametes and gametocyte extracts. We isolated mAbs reactive against a range of Pf proteins including well-established targets Pfs48/45 and Pfs230. One mAb, B1E11K, was cross-reactive to various proteins containing glutamate-rich repetitive elements expressed at different stages of the parasite life cycle. A crystal structure of two B1E11K Fab domains in complex with its main antigen, RESA, expressed on asexual blood stages, showed binding of B1E11K to a repeating epitope motif in a head-to-head conformation engaging in affinity-matured homotypic interactions. Thus, this mode of recognition of Pf proteins, previously described only for Pf circumsporozoite protein (PfCSP), extends to other repeats expressed across various stages. The findings augment our understanding of immune-pathogen interactions to repeating elements of the Plasmodium parasite proteome and underscore the potential of the novel mAb identification method used to provide new insights into the natural humoral immune response against Pf.</w:t>
      </w:r>
    </w:p>
    <w:p w14:paraId="7AAD95F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25-A-3587-ASTMH</w:t>
      </w:r>
    </w:p>
    <w:p w14:paraId="705F9A5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Epidemiology and Vector Control</w:t>
      </w:r>
    </w:p>
    <w:p w14:paraId="1EB10BF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Field validation of a single closed-tube SYBR Green assay for age-grading </w:t>
      </w:r>
      <w:r w:rsidRPr="006505C0">
        <w:rPr>
          <w:rFonts w:ascii="Calibri" w:eastAsia="Times New Roman" w:hAnsi="Calibri" w:cs="Calibri"/>
          <w:i/>
          <w:iCs/>
          <w:color w:val="000000"/>
          <w:kern w:val="0"/>
          <w:sz w:val="22"/>
          <w:szCs w:val="22"/>
          <w14:ligatures w14:val="none"/>
        </w:rPr>
        <w:t>Culex quinquefasciatus</w:t>
      </w:r>
    </w:p>
    <w:p w14:paraId="0925EA0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Easily and inexpensively determining the chronological age of field-caught mosquito vectors of human pathogens remains an ongoing problem in vector-borne disease research and medical entomology. </w:t>
      </w:r>
      <w:r w:rsidRPr="006505C0">
        <w:rPr>
          <w:rFonts w:ascii="Calibri" w:eastAsia="Times New Roman" w:hAnsi="Calibri" w:cs="Calibri"/>
          <w:color w:val="000000"/>
          <w:kern w:val="0"/>
          <w:sz w:val="22"/>
          <w:szCs w:val="22"/>
          <w14:ligatures w14:val="none"/>
        </w:rPr>
        <w:lastRenderedPageBreak/>
        <w:t>Reliable age measurements can provide actionable insights into the performance of insecticides, traps, or other interventions meant to decrease the mosquito population and prevent pathogen transmission. These metrics can also inform risk models since older female mosquitoes drive vector-borne pathogen transmission. To this end, we developed a duplexed SYBR Green I-based PCR assay targeting the age-associated sarcoplasmic calcium-binding protein gene and the housekeeping protein kinase a (PKA) gene. A custom python program was used to target regions of each gene ideal for the single-tube assay which allows for each well to contain its own internal normalizing standard without the use of fluorescent probes. To validate the utility of this assay in an operational setting, we compared PCR results to mosquito parity dissections of </w:t>
      </w:r>
      <w:r w:rsidRPr="006505C0">
        <w:rPr>
          <w:rFonts w:ascii="Calibri" w:eastAsia="Times New Roman" w:hAnsi="Calibri" w:cs="Calibri"/>
          <w:i/>
          <w:iCs/>
          <w:color w:val="000000"/>
          <w:kern w:val="0"/>
          <w:sz w:val="22"/>
          <w:szCs w:val="22"/>
          <w14:ligatures w14:val="none"/>
        </w:rPr>
        <w:t>Culex quinquefasciatus</w:t>
      </w:r>
      <w:r w:rsidRPr="006505C0">
        <w:rPr>
          <w:rFonts w:ascii="Calibri" w:eastAsia="Times New Roman" w:hAnsi="Calibri" w:cs="Calibri"/>
          <w:color w:val="000000"/>
          <w:kern w:val="0"/>
          <w:sz w:val="22"/>
          <w:szCs w:val="22"/>
          <w14:ligatures w14:val="none"/>
        </w:rPr>
        <w:t> in St. Tammany Parish, Louisiana. Overall superiority of the assay was assessed on (1) concordance with parity status, (2) increased age resolution, and (3) cost-effectiveness. Given the use of highly conserved genetic loci and SYBR-based chemistries, this work provides a blueprint for translation to other important mosquito vector species, including arbovirus and malaria vectors.</w:t>
      </w:r>
    </w:p>
    <w:p w14:paraId="0E8F4DA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25-A-3588-ASTMH</w:t>
      </w:r>
    </w:p>
    <w:p w14:paraId="2AA2F45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Parasite Transmission Biology</w:t>
      </w:r>
    </w:p>
    <w:p w14:paraId="4884339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 mediates proline transport and is essential for oocyst development and transmission of </w:t>
      </w:r>
      <w:r w:rsidRPr="006505C0">
        <w:rPr>
          <w:rFonts w:ascii="Calibri" w:eastAsia="Times New Roman" w:hAnsi="Calibri" w:cs="Calibri"/>
          <w:i/>
          <w:iCs/>
          <w:color w:val="000000"/>
          <w:kern w:val="0"/>
          <w:sz w:val="22"/>
          <w:szCs w:val="22"/>
          <w14:ligatures w14:val="none"/>
        </w:rPr>
        <w:t>Plasmodium falciparum.</w:t>
      </w:r>
    </w:p>
    <w:p w14:paraId="12BC62C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Growth of </w:t>
      </w:r>
      <w:r w:rsidRPr="006505C0">
        <w:rPr>
          <w:rFonts w:ascii="Calibri" w:eastAsia="Times New Roman" w:hAnsi="Calibri" w:cs="Calibri"/>
          <w:i/>
          <w:iCs/>
          <w:color w:val="000000"/>
          <w:kern w:val="0"/>
          <w:sz w:val="22"/>
          <w:szCs w:val="22"/>
          <w14:ligatures w14:val="none"/>
        </w:rPr>
        <w:t>Plasmodium falciparum </w:t>
      </w:r>
      <w:r w:rsidRPr="006505C0">
        <w:rPr>
          <w:rFonts w:ascii="Calibri" w:eastAsia="Times New Roman" w:hAnsi="Calibri" w:cs="Calibri"/>
          <w:color w:val="000000"/>
          <w:kern w:val="0"/>
          <w:sz w:val="22"/>
          <w:szCs w:val="22"/>
          <w14:ligatures w14:val="none"/>
        </w:rPr>
        <w:t>oocysts under the basal lamina of the </w:t>
      </w:r>
      <w:r w:rsidRPr="006505C0">
        <w:rPr>
          <w:rFonts w:ascii="Calibri" w:eastAsia="Times New Roman" w:hAnsi="Calibri" w:cs="Calibri"/>
          <w:i/>
          <w:iCs/>
          <w:color w:val="000000"/>
          <w:kern w:val="0"/>
          <w:sz w:val="22"/>
          <w:szCs w:val="22"/>
          <w14:ligatures w14:val="none"/>
        </w:rPr>
        <w:t>Anopheles</w:t>
      </w:r>
      <w:r w:rsidRPr="006505C0">
        <w:rPr>
          <w:rFonts w:ascii="Calibri" w:eastAsia="Times New Roman" w:hAnsi="Calibri" w:cs="Calibri"/>
          <w:color w:val="000000"/>
          <w:kern w:val="0"/>
          <w:sz w:val="22"/>
          <w:szCs w:val="22"/>
          <w14:ligatures w14:val="none"/>
        </w:rPr>
        <w:t> midgut is fueled by nutrients acquired by the parasite from the mosquito microenvironment. Amino acids derived from the blood-meal digested by the mosquito are necessary for parasite growth, and previous work in the </w:t>
      </w:r>
      <w:r w:rsidRPr="006505C0">
        <w:rPr>
          <w:rFonts w:ascii="Calibri" w:eastAsia="Times New Roman" w:hAnsi="Calibri" w:cs="Calibri"/>
          <w:i/>
          <w:iCs/>
          <w:color w:val="000000"/>
          <w:kern w:val="0"/>
          <w:sz w:val="22"/>
          <w:szCs w:val="22"/>
          <w14:ligatures w14:val="none"/>
        </w:rPr>
        <w:t>Plasmodium berghei/An. stephensi</w:t>
      </w:r>
      <w:r w:rsidRPr="006505C0">
        <w:rPr>
          <w:rFonts w:ascii="Calibri" w:eastAsia="Times New Roman" w:hAnsi="Calibri" w:cs="Calibri"/>
          <w:color w:val="000000"/>
          <w:kern w:val="0"/>
          <w:sz w:val="22"/>
          <w:szCs w:val="22"/>
          <w14:ligatures w14:val="none"/>
        </w:rPr>
        <w:t> system demonstrated a putative amino acid transporter </w:t>
      </w:r>
      <w:r w:rsidRPr="006505C0">
        <w:rPr>
          <w:rFonts w:ascii="Calibri" w:eastAsia="Times New Roman" w:hAnsi="Calibri" w:cs="Calibri"/>
          <w:i/>
          <w:iCs/>
          <w:color w:val="000000"/>
          <w:kern w:val="0"/>
          <w:sz w:val="22"/>
          <w:szCs w:val="22"/>
          <w14:ligatures w14:val="none"/>
        </w:rPr>
        <w:t>Pb</w:t>
      </w:r>
      <w:r w:rsidRPr="006505C0">
        <w:rPr>
          <w:rFonts w:ascii="Calibri" w:eastAsia="Times New Roman" w:hAnsi="Calibri" w:cs="Calibri"/>
          <w:color w:val="000000"/>
          <w:kern w:val="0"/>
          <w:sz w:val="22"/>
          <w:szCs w:val="22"/>
          <w14:ligatures w14:val="none"/>
        </w:rPr>
        <w:t>ApiAT2 (Apicomplexan Amino acid Transporter 2) as essential for transmission. Our group showed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 mediates proline homeostasis and resistance to halofuginone (HFG) in asexual blood-stages. To investigate whether </w:t>
      </w:r>
      <w:r w:rsidRPr="006505C0">
        <w:rPr>
          <w:rFonts w:ascii="Calibri" w:eastAsia="Times New Roman" w:hAnsi="Calibri" w:cs="Calibri"/>
          <w:i/>
          <w:iCs/>
          <w:color w:val="000000"/>
          <w:kern w:val="0"/>
          <w:sz w:val="22"/>
          <w:szCs w:val="22"/>
          <w14:ligatures w14:val="none"/>
        </w:rPr>
        <w:t>P. falciparum </w:t>
      </w:r>
      <w:r w:rsidRPr="006505C0">
        <w:rPr>
          <w:rFonts w:ascii="Calibri" w:eastAsia="Times New Roman" w:hAnsi="Calibri" w:cs="Calibri"/>
          <w:color w:val="000000"/>
          <w:kern w:val="0"/>
          <w:sz w:val="22"/>
          <w:szCs w:val="22"/>
          <w14:ligatures w14:val="none"/>
        </w:rPr>
        <w:t>parasites with mutations in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 exhibit a fitness cost during transmission, </w:t>
      </w:r>
      <w:r w:rsidRPr="006505C0">
        <w:rPr>
          <w:rFonts w:ascii="Calibri" w:eastAsia="Times New Roman" w:hAnsi="Calibri" w:cs="Calibri"/>
          <w:i/>
          <w:iCs/>
          <w:color w:val="000000"/>
          <w:kern w:val="0"/>
          <w:sz w:val="22"/>
          <w:szCs w:val="22"/>
          <w14:ligatures w14:val="none"/>
        </w:rPr>
        <w:t>in vitro </w:t>
      </w:r>
      <w:r w:rsidRPr="006505C0">
        <w:rPr>
          <w:rFonts w:ascii="Calibri" w:eastAsia="Times New Roman" w:hAnsi="Calibri" w:cs="Calibri"/>
          <w:color w:val="000000"/>
          <w:kern w:val="0"/>
          <w:sz w:val="22"/>
          <w:szCs w:val="22"/>
          <w14:ligatures w14:val="none"/>
        </w:rPr>
        <w:t>HFG-selected transmissible NF54 parasites with two independent non-synonymous mutations (G449R and R345I) in the </w:t>
      </w:r>
      <w:r w:rsidRPr="006505C0">
        <w:rPr>
          <w:rFonts w:ascii="Calibri" w:eastAsia="Times New Roman" w:hAnsi="Calibri" w:cs="Calibri"/>
          <w:i/>
          <w:iCs/>
          <w:color w:val="000000"/>
          <w:kern w:val="0"/>
          <w:sz w:val="22"/>
          <w:szCs w:val="22"/>
          <w14:ligatures w14:val="none"/>
        </w:rPr>
        <w:t>pfapiat</w:t>
      </w:r>
      <w:r w:rsidRPr="006505C0">
        <w:rPr>
          <w:rFonts w:ascii="Calibri" w:eastAsia="Times New Roman" w:hAnsi="Calibri" w:cs="Calibri"/>
          <w:color w:val="000000"/>
          <w:kern w:val="0"/>
          <w:sz w:val="22"/>
          <w:szCs w:val="22"/>
          <w14:ligatures w14:val="none"/>
        </w:rPr>
        <w:t>2 locus were fed to female </w:t>
      </w:r>
      <w:r w:rsidRPr="006505C0">
        <w:rPr>
          <w:rFonts w:ascii="Calibri" w:eastAsia="Times New Roman" w:hAnsi="Calibri" w:cs="Calibri"/>
          <w:i/>
          <w:iCs/>
          <w:color w:val="000000"/>
          <w:kern w:val="0"/>
          <w:sz w:val="22"/>
          <w:szCs w:val="22"/>
          <w14:ligatures w14:val="none"/>
        </w:rPr>
        <w:t>An. gambiae</w:t>
      </w:r>
      <w:r w:rsidRPr="006505C0">
        <w:rPr>
          <w:rFonts w:ascii="Calibri" w:eastAsia="Times New Roman" w:hAnsi="Calibri" w:cs="Calibri"/>
          <w:color w:val="000000"/>
          <w:kern w:val="0"/>
          <w:sz w:val="22"/>
          <w:szCs w:val="22"/>
          <w14:ligatures w14:val="none"/>
        </w:rPr>
        <w:t> mosquitoes. Mutant parasites established infection in the mosquito midgut but showed attenuated growth as oocysts. Mutant oocysts were almost five-fold smaller than wild-type oocysts on day 7 and the prevalence of salivary gland sporozoites was six-fold lower in mosquitoes fed mutant parasites than wild-type. Genetic </w:t>
      </w:r>
      <w:r w:rsidRPr="006505C0">
        <w:rPr>
          <w:rFonts w:ascii="Calibri" w:eastAsia="Times New Roman" w:hAnsi="Calibri" w:cs="Calibri"/>
          <w:i/>
          <w:iCs/>
          <w:color w:val="000000"/>
          <w:kern w:val="0"/>
          <w:sz w:val="22"/>
          <w:szCs w:val="22"/>
          <w14:ligatures w14:val="none"/>
        </w:rPr>
        <w:t>pfapiat2 </w:t>
      </w:r>
      <w:r w:rsidRPr="006505C0">
        <w:rPr>
          <w:rFonts w:ascii="Calibri" w:eastAsia="Times New Roman" w:hAnsi="Calibri" w:cs="Calibri"/>
          <w:color w:val="000000"/>
          <w:kern w:val="0"/>
          <w:sz w:val="22"/>
          <w:szCs w:val="22"/>
          <w14:ligatures w14:val="none"/>
        </w:rPr>
        <w:t>knockout (KO) recapitulated resistance to HFG, defective oocyst development and a severe ablation of sporogony. Immunofluorescence microscopy showed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 localization to the early oocyst plasma membrane, timing closely with the onset of growth defect in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ApiAT2-KO oocysts. Transmission electron microscopy showed stalled and degenerate KO oocysts by later timepoints. Sporogony of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ApiAT2-KO oocysts was partially rescued via an additional blood-meal and fully rescued by supplementing the mosquito sugar meal with excess of all amino acids, indicating a metabolic defect in parasite development. Heterologous expression in a </w:t>
      </w:r>
      <w:r w:rsidRPr="006505C0">
        <w:rPr>
          <w:rFonts w:ascii="Calibri" w:eastAsia="Times New Roman" w:hAnsi="Calibri" w:cs="Calibri"/>
          <w:i/>
          <w:iCs/>
          <w:color w:val="000000"/>
          <w:kern w:val="0"/>
          <w:sz w:val="22"/>
          <w:szCs w:val="22"/>
          <w14:ligatures w14:val="none"/>
        </w:rPr>
        <w:t>Xenopus laevis</w:t>
      </w:r>
      <w:r w:rsidRPr="006505C0">
        <w:rPr>
          <w:rFonts w:ascii="Calibri" w:eastAsia="Times New Roman" w:hAnsi="Calibri" w:cs="Calibri"/>
          <w:color w:val="000000"/>
          <w:kern w:val="0"/>
          <w:sz w:val="22"/>
          <w:szCs w:val="22"/>
          <w14:ligatures w14:val="none"/>
        </w:rPr>
        <w:t> oocyte expression system demonstrated that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 is a specific proline transporter. Our data suggests a severe cost to transmission of HFG resistance, a crucial role of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ApiAT2 during oocyst development, and a critical dependence of parasites on proline acquisition for growth in the mosquito.</w:t>
      </w:r>
    </w:p>
    <w:p w14:paraId="602733B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25-A-3589-ASTMH</w:t>
      </w:r>
    </w:p>
    <w:p w14:paraId="5AF85DE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05385AD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Outreach training and supportive supervision for malaria case management in Equatorial Guinea: using data to increase impact</w:t>
      </w:r>
    </w:p>
    <w:p w14:paraId="5E029D3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A key strategy to eliminate malaria in Equatorial Guinea (EG) is to strengthen case management capacity in health facilities (HFs). In 2021, The Ministry of Health with support from the National Malaria Control Program (NMCP) and the Bioko Island Malaria Elimination Project (BIMEP) transformed the HF supervision strategy into the well-proven outreach training and supportive supervision (OTSS) approach </w:t>
      </w:r>
      <w:r w:rsidRPr="006505C0">
        <w:rPr>
          <w:rFonts w:ascii="Calibri" w:eastAsia="Times New Roman" w:hAnsi="Calibri" w:cs="Calibri"/>
          <w:color w:val="000000"/>
          <w:kern w:val="0"/>
          <w:sz w:val="22"/>
          <w:szCs w:val="22"/>
          <w14:ligatures w14:val="none"/>
        </w:rPr>
        <w:lastRenderedPageBreak/>
        <w:t>which identifies and addresses competency gaps in real-time through on-the-job training. Quarterly OTSS visits were conducted by trained supervisors in public HFs of Bioko using checklists assessing critical steps of diagnosis and clinical management of uncomplicated and severe malaria. Data were digitally recorded and scores were used for targeted on-site technical support and joint agreement of action plans. A total of 77 laboratory and 133 clinical visits in 15 and 23 HFs of the 4 districts of Bioko Island, respectively, were completed between August 2022 and October 2023. The districts’ overall performance scores from their last visit ranged from 60% to 76% for the clinical checklist, and from 68% to 77% for the laboratory checklist, falling below the 80% target. Reasons include insufficient follow-up between visits, low numbers of supervisors at central level, and insufficient use of data for more targeted support, among others. These results led to the addition of interventions that focus on improving the use of data dashboards for decision-making. Decentralization of OTSS capacity was also prioritized by developing manuals and toolkits to train district-level supervisors in order to increase qualified support closer to HFs. OTSS processes and checklists were revised for improved data-driven mentorship and a strengthened culture for data use. The EG experience demonstrates that in order to successfully implement and achieve the expected impact of OTSS, a strong system for data use is needed.</w:t>
      </w:r>
    </w:p>
    <w:p w14:paraId="2556F58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25-A-3590-ASTMH</w:t>
      </w:r>
    </w:p>
    <w:p w14:paraId="14169AC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423DAB5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Trends of Molecular markers associated with Antimalarial drug resistance in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among community members in selected regions of Mainland Tanzania</w:t>
      </w:r>
    </w:p>
    <w:p w14:paraId="52E35F5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emergence and spread of drug-resistant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parasites pose a significant challenge to malaria elimination. Malaria molecular surveillance (MMS) is an emerging strategy aimed at detecting both known and emerging mutations linked to antimalaria drug resistance. This study determined trends of molecular markers (in </w:t>
      </w:r>
      <w:r w:rsidRPr="006505C0">
        <w:rPr>
          <w:rFonts w:ascii="Calibri" w:eastAsia="Times New Roman" w:hAnsi="Calibri" w:cs="Calibri"/>
          <w:i/>
          <w:iCs/>
          <w:color w:val="000000"/>
          <w:kern w:val="0"/>
          <w:sz w:val="22"/>
          <w:szCs w:val="22"/>
          <w14:ligatures w14:val="none"/>
        </w:rPr>
        <w:t>pfdhfr-ts, pfdhps, pfmdr1 and pfk13 </w:t>
      </w:r>
      <w:r w:rsidRPr="006505C0">
        <w:rPr>
          <w:rFonts w:ascii="Calibri" w:eastAsia="Times New Roman" w:hAnsi="Calibri" w:cs="Calibri"/>
          <w:color w:val="000000"/>
          <w:kern w:val="0"/>
          <w:sz w:val="22"/>
          <w:szCs w:val="22"/>
          <w14:ligatures w14:val="none"/>
        </w:rPr>
        <w:t>genes) associated with resistance or reduced susceptibility to antimalarial drugs among community members (with or without symptoms of malaria). Samples with positive results by rapid diagnostic tests were collected as dried blood spots during cross-sectional surveys in Kigoma, Ruvuma and Tanga in 2021–2023. DNA was extracted from samples collected in 2021 (n=544) and 2022 (n=511), while analysis of 2023 samples (n=637) is ongoing. Samples were sequenced using molecular inversion probes. In 2021, no validated or candidate </w:t>
      </w:r>
      <w:r w:rsidRPr="006505C0">
        <w:rPr>
          <w:rFonts w:ascii="Calibri" w:eastAsia="Times New Roman" w:hAnsi="Calibri" w:cs="Calibri"/>
          <w:i/>
          <w:iCs/>
          <w:color w:val="000000"/>
          <w:kern w:val="0"/>
          <w:sz w:val="22"/>
          <w:szCs w:val="22"/>
          <w14:ligatures w14:val="none"/>
        </w:rPr>
        <w:t>pfk13</w:t>
      </w:r>
      <w:r w:rsidRPr="006505C0">
        <w:rPr>
          <w:rFonts w:ascii="Calibri" w:eastAsia="Times New Roman" w:hAnsi="Calibri" w:cs="Calibri"/>
          <w:color w:val="000000"/>
          <w:kern w:val="0"/>
          <w:sz w:val="22"/>
          <w:szCs w:val="22"/>
          <w14:ligatures w14:val="none"/>
        </w:rPr>
        <w:t> mutations associated with artemisinin partial resistance (ART-R) were detected. In 2022, the candidate </w:t>
      </w:r>
      <w:r w:rsidRPr="006505C0">
        <w:rPr>
          <w:rFonts w:ascii="Calibri" w:eastAsia="Times New Roman" w:hAnsi="Calibri" w:cs="Calibri"/>
          <w:i/>
          <w:iCs/>
          <w:color w:val="000000"/>
          <w:kern w:val="0"/>
          <w:sz w:val="22"/>
          <w:szCs w:val="22"/>
          <w14:ligatures w14:val="none"/>
        </w:rPr>
        <w:t>pfk13</w:t>
      </w:r>
      <w:r w:rsidRPr="006505C0">
        <w:rPr>
          <w:rFonts w:ascii="Calibri" w:eastAsia="Times New Roman" w:hAnsi="Calibri" w:cs="Calibri"/>
          <w:color w:val="000000"/>
          <w:kern w:val="0"/>
          <w:sz w:val="22"/>
          <w:szCs w:val="22"/>
          <w14:ligatures w14:val="none"/>
        </w:rPr>
        <w:t> mutation V568</w:t>
      </w:r>
      <w:r w:rsidRPr="006505C0">
        <w:rPr>
          <w:rFonts w:ascii="Calibri" w:eastAsia="Times New Roman" w:hAnsi="Calibri" w:cs="Calibri"/>
          <w:b/>
          <w:bCs/>
          <w:color w:val="000000"/>
          <w:kern w:val="0"/>
          <w:sz w:val="22"/>
          <w:szCs w:val="22"/>
          <w14:ligatures w14:val="none"/>
        </w:rPr>
        <w:t>G</w:t>
      </w:r>
      <w:r w:rsidRPr="006505C0">
        <w:rPr>
          <w:rFonts w:ascii="Calibri" w:eastAsia="Times New Roman" w:hAnsi="Calibri" w:cs="Calibri"/>
          <w:color w:val="000000"/>
          <w:kern w:val="0"/>
          <w:sz w:val="22"/>
          <w:szCs w:val="22"/>
          <w14:ligatures w14:val="none"/>
        </w:rPr>
        <w:t> was detected in Tanga (5%) and Kigoma (1%). In </w:t>
      </w:r>
      <w:r w:rsidRPr="006505C0">
        <w:rPr>
          <w:rFonts w:ascii="Calibri" w:eastAsia="Times New Roman" w:hAnsi="Calibri" w:cs="Calibri"/>
          <w:i/>
          <w:iCs/>
          <w:color w:val="000000"/>
          <w:kern w:val="0"/>
          <w:sz w:val="22"/>
          <w:szCs w:val="22"/>
          <w14:ligatures w14:val="none"/>
        </w:rPr>
        <w:t>pfdhps</w:t>
      </w:r>
      <w:r w:rsidRPr="006505C0">
        <w:rPr>
          <w:rFonts w:ascii="Calibri" w:eastAsia="Times New Roman" w:hAnsi="Calibri" w:cs="Calibri"/>
          <w:color w:val="000000"/>
          <w:kern w:val="0"/>
          <w:sz w:val="22"/>
          <w:szCs w:val="22"/>
          <w14:ligatures w14:val="none"/>
        </w:rPr>
        <w:t>, mutations (at codon A437</w:t>
      </w:r>
      <w:r w:rsidRPr="006505C0">
        <w:rPr>
          <w:rFonts w:ascii="Calibri" w:eastAsia="Times New Roman" w:hAnsi="Calibri" w:cs="Calibri"/>
          <w:b/>
          <w:bCs/>
          <w:color w:val="000000"/>
          <w:kern w:val="0"/>
          <w:sz w:val="22"/>
          <w:szCs w:val="22"/>
          <w14:ligatures w14:val="none"/>
        </w:rPr>
        <w:t>G</w:t>
      </w:r>
      <w:r w:rsidRPr="006505C0">
        <w:rPr>
          <w:rFonts w:ascii="Calibri" w:eastAsia="Times New Roman" w:hAnsi="Calibri" w:cs="Calibri"/>
          <w:color w:val="000000"/>
          <w:kern w:val="0"/>
          <w:sz w:val="22"/>
          <w:szCs w:val="22"/>
          <w14:ligatures w14:val="none"/>
        </w:rPr>
        <w:t>, A581</w:t>
      </w:r>
      <w:r w:rsidRPr="006505C0">
        <w:rPr>
          <w:rFonts w:ascii="Calibri" w:eastAsia="Times New Roman" w:hAnsi="Calibri" w:cs="Calibri"/>
          <w:b/>
          <w:bCs/>
          <w:color w:val="000000"/>
          <w:kern w:val="0"/>
          <w:sz w:val="22"/>
          <w:szCs w:val="22"/>
          <w14:ligatures w14:val="none"/>
        </w:rPr>
        <w:t>G</w:t>
      </w:r>
      <w:r w:rsidRPr="006505C0">
        <w:rPr>
          <w:rFonts w:ascii="Calibri" w:eastAsia="Times New Roman" w:hAnsi="Calibri" w:cs="Calibri"/>
          <w:color w:val="000000"/>
          <w:kern w:val="0"/>
          <w:sz w:val="22"/>
          <w:szCs w:val="22"/>
          <w14:ligatures w14:val="none"/>
        </w:rPr>
        <w:t>, K540</w:t>
      </w:r>
      <w:r w:rsidRPr="006505C0">
        <w:rPr>
          <w:rFonts w:ascii="Calibri" w:eastAsia="Times New Roman" w:hAnsi="Calibri" w:cs="Calibri"/>
          <w:b/>
          <w:bCs/>
          <w:color w:val="000000"/>
          <w:kern w:val="0"/>
          <w:sz w:val="22"/>
          <w:szCs w:val="22"/>
          <w14:ligatures w14:val="none"/>
        </w:rPr>
        <w:t>E</w:t>
      </w:r>
      <w:r w:rsidRPr="006505C0">
        <w:rPr>
          <w:rFonts w:ascii="Calibri" w:eastAsia="Times New Roman" w:hAnsi="Calibri" w:cs="Calibri"/>
          <w:color w:val="000000"/>
          <w:kern w:val="0"/>
          <w:sz w:val="22"/>
          <w:szCs w:val="22"/>
          <w14:ligatures w14:val="none"/>
        </w:rPr>
        <w:t> and S436</w:t>
      </w:r>
      <w:r w:rsidRPr="006505C0">
        <w:rPr>
          <w:rFonts w:ascii="Calibri" w:eastAsia="Times New Roman" w:hAnsi="Calibri" w:cs="Calibri"/>
          <w:b/>
          <w:bCs/>
          <w:color w:val="000000"/>
          <w:kern w:val="0"/>
          <w:sz w:val="22"/>
          <w:szCs w:val="22"/>
          <w14:ligatures w14:val="none"/>
        </w:rPr>
        <w:t>A)</w:t>
      </w:r>
      <w:r w:rsidRPr="006505C0">
        <w:rPr>
          <w:rFonts w:ascii="Calibri" w:eastAsia="Times New Roman" w:hAnsi="Calibri" w:cs="Calibri"/>
          <w:color w:val="000000"/>
          <w:kern w:val="0"/>
          <w:sz w:val="22"/>
          <w:szCs w:val="22"/>
          <w14:ligatures w14:val="none"/>
        </w:rPr>
        <w:t> were detected with remarkable differences between 2021 and 2022. A437</w:t>
      </w:r>
      <w:r w:rsidRPr="006505C0">
        <w:rPr>
          <w:rFonts w:ascii="Calibri" w:eastAsia="Times New Roman" w:hAnsi="Calibri" w:cs="Calibri"/>
          <w:b/>
          <w:bCs/>
          <w:color w:val="000000"/>
          <w:kern w:val="0"/>
          <w:sz w:val="22"/>
          <w:szCs w:val="22"/>
          <w14:ligatures w14:val="none"/>
        </w:rPr>
        <w:t>G</w:t>
      </w:r>
      <w:r w:rsidRPr="006505C0">
        <w:rPr>
          <w:rFonts w:ascii="Calibri" w:eastAsia="Times New Roman" w:hAnsi="Calibri" w:cs="Calibri"/>
          <w:color w:val="000000"/>
          <w:kern w:val="0"/>
          <w:sz w:val="22"/>
          <w:szCs w:val="22"/>
          <w14:ligatures w14:val="none"/>
        </w:rPr>
        <w:t> declined from 98.5% to 89.6%, A581</w:t>
      </w:r>
      <w:r w:rsidRPr="006505C0">
        <w:rPr>
          <w:rFonts w:ascii="Calibri" w:eastAsia="Times New Roman" w:hAnsi="Calibri" w:cs="Calibri"/>
          <w:b/>
          <w:bCs/>
          <w:color w:val="000000"/>
          <w:kern w:val="0"/>
          <w:sz w:val="22"/>
          <w:szCs w:val="22"/>
          <w14:ligatures w14:val="none"/>
        </w:rPr>
        <w:t>G</w:t>
      </w:r>
      <w:r w:rsidRPr="006505C0">
        <w:rPr>
          <w:rFonts w:ascii="Calibri" w:eastAsia="Times New Roman" w:hAnsi="Calibri" w:cs="Calibri"/>
          <w:color w:val="000000"/>
          <w:kern w:val="0"/>
          <w:sz w:val="22"/>
          <w:szCs w:val="22"/>
          <w14:ligatures w14:val="none"/>
        </w:rPr>
        <w:t> from 39.8% to 32.5%, K540</w:t>
      </w:r>
      <w:r w:rsidRPr="006505C0">
        <w:rPr>
          <w:rFonts w:ascii="Calibri" w:eastAsia="Times New Roman" w:hAnsi="Calibri" w:cs="Calibri"/>
          <w:b/>
          <w:bCs/>
          <w:color w:val="000000"/>
          <w:kern w:val="0"/>
          <w:sz w:val="22"/>
          <w:szCs w:val="22"/>
          <w14:ligatures w14:val="none"/>
        </w:rPr>
        <w:t>E</w:t>
      </w:r>
      <w:r w:rsidRPr="006505C0">
        <w:rPr>
          <w:rFonts w:ascii="Calibri" w:eastAsia="Times New Roman" w:hAnsi="Calibri" w:cs="Calibri"/>
          <w:color w:val="000000"/>
          <w:kern w:val="0"/>
          <w:sz w:val="22"/>
          <w:szCs w:val="22"/>
          <w14:ligatures w14:val="none"/>
        </w:rPr>
        <w:t> from 92.7% to 89.5%, while S436</w:t>
      </w:r>
      <w:r w:rsidRPr="006505C0">
        <w:rPr>
          <w:rFonts w:ascii="Calibri" w:eastAsia="Times New Roman" w:hAnsi="Calibri" w:cs="Calibri"/>
          <w:b/>
          <w:bCs/>
          <w:color w:val="000000"/>
          <w:kern w:val="0"/>
          <w:sz w:val="22"/>
          <w:szCs w:val="22"/>
          <w14:ligatures w14:val="none"/>
        </w:rPr>
        <w:t>A</w:t>
      </w:r>
      <w:r w:rsidRPr="006505C0">
        <w:rPr>
          <w:rFonts w:ascii="Calibri" w:eastAsia="Times New Roman" w:hAnsi="Calibri" w:cs="Calibri"/>
          <w:color w:val="000000"/>
          <w:kern w:val="0"/>
          <w:sz w:val="22"/>
          <w:szCs w:val="22"/>
          <w14:ligatures w14:val="none"/>
        </w:rPr>
        <w:t> increased from 5.3% in 2021 to 6.5% in 2022. In both years, mutants in </w:t>
      </w:r>
      <w:r w:rsidRPr="006505C0">
        <w:rPr>
          <w:rFonts w:ascii="Calibri" w:eastAsia="Times New Roman" w:hAnsi="Calibri" w:cs="Calibri"/>
          <w:i/>
          <w:iCs/>
          <w:color w:val="000000"/>
          <w:kern w:val="0"/>
          <w:sz w:val="22"/>
          <w:szCs w:val="22"/>
          <w14:ligatures w14:val="none"/>
        </w:rPr>
        <w:t>pfdhfr-ts</w:t>
      </w:r>
      <w:r w:rsidRPr="006505C0">
        <w:rPr>
          <w:rFonts w:ascii="Calibri" w:eastAsia="Times New Roman" w:hAnsi="Calibri" w:cs="Calibri"/>
          <w:color w:val="000000"/>
          <w:kern w:val="0"/>
          <w:sz w:val="22"/>
          <w:szCs w:val="22"/>
          <w14:ligatures w14:val="none"/>
        </w:rPr>
        <w:t> gene (at codons N51</w:t>
      </w:r>
      <w:r w:rsidRPr="006505C0">
        <w:rPr>
          <w:rFonts w:ascii="Calibri" w:eastAsia="Times New Roman" w:hAnsi="Calibri" w:cs="Calibri"/>
          <w:b/>
          <w:bCs/>
          <w:color w:val="000000"/>
          <w:kern w:val="0"/>
          <w:sz w:val="22"/>
          <w:szCs w:val="22"/>
          <w14:ligatures w14:val="none"/>
        </w:rPr>
        <w:t>I</w:t>
      </w:r>
      <w:r w:rsidRPr="006505C0">
        <w:rPr>
          <w:rFonts w:ascii="Calibri" w:eastAsia="Times New Roman" w:hAnsi="Calibri" w:cs="Calibri"/>
          <w:color w:val="000000"/>
          <w:kern w:val="0"/>
          <w:sz w:val="22"/>
          <w:szCs w:val="22"/>
          <w14:ligatures w14:val="none"/>
        </w:rPr>
        <w:t>, C59R, and S108</w:t>
      </w:r>
      <w:r w:rsidRPr="006505C0">
        <w:rPr>
          <w:rFonts w:ascii="Calibri" w:eastAsia="Times New Roman" w:hAnsi="Calibri" w:cs="Calibri"/>
          <w:b/>
          <w:bCs/>
          <w:color w:val="000000"/>
          <w:kern w:val="0"/>
          <w:sz w:val="22"/>
          <w:szCs w:val="22"/>
          <w14:ligatures w14:val="none"/>
        </w:rPr>
        <w:t>N</w:t>
      </w:r>
      <w:r w:rsidRPr="006505C0">
        <w:rPr>
          <w:rFonts w:ascii="Calibri" w:eastAsia="Times New Roman" w:hAnsi="Calibri" w:cs="Calibri"/>
          <w:color w:val="000000"/>
          <w:kern w:val="0"/>
          <w:sz w:val="22"/>
          <w:szCs w:val="22"/>
          <w14:ligatures w14:val="none"/>
        </w:rPr>
        <w:t>) had high prevalence close to or at fixation (100%). The I164</w:t>
      </w:r>
      <w:r w:rsidRPr="006505C0">
        <w:rPr>
          <w:rFonts w:ascii="Calibri" w:eastAsia="Times New Roman" w:hAnsi="Calibri" w:cs="Calibri"/>
          <w:b/>
          <w:bCs/>
          <w:color w:val="000000"/>
          <w:kern w:val="0"/>
          <w:sz w:val="22"/>
          <w:szCs w:val="22"/>
          <w14:ligatures w14:val="none"/>
        </w:rPr>
        <w:t>L</w:t>
      </w:r>
      <w:r w:rsidRPr="006505C0">
        <w:rPr>
          <w:rFonts w:ascii="Calibri" w:eastAsia="Times New Roman" w:hAnsi="Calibri" w:cs="Calibri"/>
          <w:color w:val="000000"/>
          <w:kern w:val="0"/>
          <w:sz w:val="22"/>
          <w:szCs w:val="22"/>
          <w14:ligatures w14:val="none"/>
        </w:rPr>
        <w:t> mutation was absent in 2021 but had  prevalence of 1.9% in 2022. For </w:t>
      </w:r>
      <w:r w:rsidRPr="006505C0">
        <w:rPr>
          <w:rFonts w:ascii="Calibri" w:eastAsia="Times New Roman" w:hAnsi="Calibri" w:cs="Calibri"/>
          <w:i/>
          <w:iCs/>
          <w:color w:val="000000"/>
          <w:kern w:val="0"/>
          <w:sz w:val="22"/>
          <w:szCs w:val="22"/>
          <w14:ligatures w14:val="none"/>
        </w:rPr>
        <w:t>pfmdr1</w:t>
      </w:r>
      <w:r w:rsidRPr="006505C0">
        <w:rPr>
          <w:rFonts w:ascii="Calibri" w:eastAsia="Times New Roman" w:hAnsi="Calibri" w:cs="Calibri"/>
          <w:color w:val="000000"/>
          <w:kern w:val="0"/>
          <w:sz w:val="22"/>
          <w:szCs w:val="22"/>
          <w14:ligatures w14:val="none"/>
        </w:rPr>
        <w:t>, the prevalence of Y184</w:t>
      </w:r>
      <w:r w:rsidRPr="006505C0">
        <w:rPr>
          <w:rFonts w:ascii="Calibri" w:eastAsia="Times New Roman" w:hAnsi="Calibri" w:cs="Calibri"/>
          <w:b/>
          <w:bCs/>
          <w:color w:val="000000"/>
          <w:kern w:val="0"/>
          <w:sz w:val="22"/>
          <w:szCs w:val="22"/>
          <w14:ligatures w14:val="none"/>
        </w:rPr>
        <w:t>F</w:t>
      </w:r>
      <w:r w:rsidRPr="006505C0">
        <w:rPr>
          <w:rFonts w:ascii="Calibri" w:eastAsia="Times New Roman" w:hAnsi="Calibri" w:cs="Calibri"/>
          <w:color w:val="000000"/>
          <w:kern w:val="0"/>
          <w:sz w:val="22"/>
          <w:szCs w:val="22"/>
          <w14:ligatures w14:val="none"/>
        </w:rPr>
        <w:t> increased from 49.7% to 66.7% while D1246</w:t>
      </w:r>
      <w:r w:rsidRPr="006505C0">
        <w:rPr>
          <w:rFonts w:ascii="Calibri" w:eastAsia="Times New Roman" w:hAnsi="Calibri" w:cs="Calibri"/>
          <w:b/>
          <w:bCs/>
          <w:color w:val="000000"/>
          <w:kern w:val="0"/>
          <w:sz w:val="22"/>
          <w:szCs w:val="22"/>
          <w14:ligatures w14:val="none"/>
        </w:rPr>
        <w:t>Y</w:t>
      </w:r>
      <w:r w:rsidRPr="006505C0">
        <w:rPr>
          <w:rFonts w:ascii="Calibri" w:eastAsia="Times New Roman" w:hAnsi="Calibri" w:cs="Calibri"/>
          <w:color w:val="000000"/>
          <w:kern w:val="0"/>
          <w:sz w:val="22"/>
          <w:szCs w:val="22"/>
          <w14:ligatures w14:val="none"/>
        </w:rPr>
        <w:t> decreased from 19.4% in 2021 to 1.9% in 2022. The wild-type N86 was fixed (100% in both years). The results of 2023 samples will be presented later. The findings underscore the persistence of </w:t>
      </w:r>
      <w:r w:rsidRPr="006505C0">
        <w:rPr>
          <w:rFonts w:ascii="Calibri" w:eastAsia="Times New Roman" w:hAnsi="Calibri" w:cs="Calibri"/>
          <w:i/>
          <w:iCs/>
          <w:color w:val="000000"/>
          <w:kern w:val="0"/>
          <w:sz w:val="22"/>
          <w:szCs w:val="22"/>
          <w14:ligatures w14:val="none"/>
        </w:rPr>
        <w:t>pfdhfr-ts</w:t>
      </w:r>
      <w:r w:rsidRPr="006505C0">
        <w:rPr>
          <w:rFonts w:ascii="Calibri" w:eastAsia="Times New Roman" w:hAnsi="Calibri" w:cs="Calibri"/>
          <w:color w:val="000000"/>
          <w:kern w:val="0"/>
          <w:sz w:val="22"/>
          <w:szCs w:val="22"/>
          <w14:ligatures w14:val="none"/>
        </w:rPr>
        <w:t> and</w:t>
      </w:r>
      <w:r w:rsidRPr="006505C0">
        <w:rPr>
          <w:rFonts w:ascii="Calibri" w:eastAsia="Times New Roman" w:hAnsi="Calibri" w:cs="Calibri"/>
          <w:b/>
          <w:bCs/>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pfdhps</w:t>
      </w:r>
      <w:r w:rsidRPr="006505C0">
        <w:rPr>
          <w:rFonts w:ascii="Calibri" w:eastAsia="Times New Roman" w:hAnsi="Calibri" w:cs="Calibri"/>
          <w:color w:val="000000"/>
          <w:kern w:val="0"/>
          <w:sz w:val="22"/>
          <w:szCs w:val="22"/>
          <w14:ligatures w14:val="none"/>
        </w:rPr>
        <w:t> mutations, indicating continued resistance to sulfadoxine-pyrimethamine. The detection of a </w:t>
      </w:r>
      <w:r w:rsidRPr="006505C0">
        <w:rPr>
          <w:rFonts w:ascii="Calibri" w:eastAsia="Times New Roman" w:hAnsi="Calibri" w:cs="Calibri"/>
          <w:i/>
          <w:iCs/>
          <w:color w:val="000000"/>
          <w:kern w:val="0"/>
          <w:sz w:val="22"/>
          <w:szCs w:val="22"/>
          <w14:ligatures w14:val="none"/>
        </w:rPr>
        <w:t>pfk13</w:t>
      </w:r>
      <w:r w:rsidRPr="006505C0">
        <w:rPr>
          <w:rFonts w:ascii="Calibri" w:eastAsia="Times New Roman" w:hAnsi="Calibri" w:cs="Calibri"/>
          <w:color w:val="000000"/>
          <w:kern w:val="0"/>
          <w:sz w:val="22"/>
          <w:szCs w:val="22"/>
          <w14:ligatures w14:val="none"/>
        </w:rPr>
        <w:t> candidate mutation in 2022 raises concerns of spreading ART-R which was confirmed in Kagera region. Intensified MMS is warranted to track the emergence and spread of resistant parasites and support a response to antimalarial resistance in Tanzania.</w:t>
      </w:r>
    </w:p>
    <w:p w14:paraId="77CE00B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25-A-3591-ASTMH</w:t>
      </w:r>
    </w:p>
    <w:p w14:paraId="34FE8AC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Epidemiology and Vector Control</w:t>
      </w:r>
    </w:p>
    <w:p w14:paraId="241FD35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A low cost house improvement technique substantially reduced malaria transmission in an area where Insecticide Treated Nets showed low bioefficacy in Cameroon</w:t>
      </w:r>
    </w:p>
    <w:p w14:paraId="73FB3D3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Currents insecticide-based vector control strategies are struggling to halt malaria transmission.The present pilot study investigated the potential of a low-cost eave screening technique toreduce human exposure to malaria vectors in a forested area of Cameroon.The pre-intervention phase consisted of collecting baseline date on malaria epidemiologyincluding the human malaria prevalence, vector biology and the bio-efficacy of insecticide-treated nets. During the intervention phase, selected houses were improved by screening openeaves with wire insect mesh stapled to wood lathe strips that were attached to the exterior wallusing wood nails. Neighbouring unscreened houses were used as control. In the post-intervention phase, entomological parameters of malaria transmission were assessed again andcompared between improved and non-improved houses. In addition, the cost, communityperceptions and the durability of the intervention were evaluated.The prevalence of malaria in human was 38.85%, while the entomological inoculation rate(EIR) was 65 infected bites per person per year (ib/p/y).</w:t>
      </w:r>
      <w:r w:rsidRPr="006505C0">
        <w:rPr>
          <w:rFonts w:ascii="Calibri" w:eastAsia="Times New Roman" w:hAnsi="Calibri" w:cs="Calibri"/>
          <w:i/>
          <w:iCs/>
          <w:color w:val="000000"/>
          <w:kern w:val="0"/>
          <w:sz w:val="22"/>
          <w:szCs w:val="22"/>
          <w14:ligatures w14:val="none"/>
        </w:rPr>
        <w:t> Anopheles gambiae</w:t>
      </w:r>
      <w:r w:rsidRPr="006505C0">
        <w:rPr>
          <w:rFonts w:ascii="Calibri" w:eastAsia="Times New Roman" w:hAnsi="Calibri" w:cs="Calibri"/>
          <w:color w:val="000000"/>
          <w:kern w:val="0"/>
          <w:sz w:val="22"/>
          <w:szCs w:val="22"/>
          <w14:ligatures w14:val="none"/>
        </w:rPr>
        <w:t> s.l. was the majorvector and was full susceptibility to Pirimiphos-methyl but resistant to bendiocarb andpyrethroids insecticides. The possession and use ITNs were 89.62% and 79%, respectively.Only PBO-based nets were effective against the local</w:t>
      </w:r>
      <w:r w:rsidRPr="006505C0">
        <w:rPr>
          <w:rFonts w:ascii="Calibri" w:eastAsia="Times New Roman" w:hAnsi="Calibri" w:cs="Calibri"/>
          <w:i/>
          <w:iCs/>
          <w:color w:val="000000"/>
          <w:kern w:val="0"/>
          <w:sz w:val="22"/>
          <w:szCs w:val="22"/>
          <w14:ligatures w14:val="none"/>
        </w:rPr>
        <w:t> An. gambiae</w:t>
      </w:r>
      <w:r w:rsidRPr="006505C0">
        <w:rPr>
          <w:rFonts w:ascii="Calibri" w:eastAsia="Times New Roman" w:hAnsi="Calibri" w:cs="Calibri"/>
          <w:color w:val="000000"/>
          <w:kern w:val="0"/>
          <w:sz w:val="22"/>
          <w:szCs w:val="22"/>
          <w14:ligatures w14:val="none"/>
        </w:rPr>
        <w:t> s.l. population. Theintervention led to a 5-fold reduction of the EIR in improved houses (from 62.05 to 10.95ib/p/y) and was highly appreciated by community beneficiaries since it improved theirwellbeing.This pilot study described a low-cost house improvement technique that an integrate with othervector control strategies in malaria endemic areas.</w:t>
      </w:r>
    </w:p>
    <w:p w14:paraId="08676E6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25-A-3592-ASTMH</w:t>
      </w:r>
    </w:p>
    <w:p w14:paraId="0303F53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49E1DEA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Assessing the risk of existing and emerging PfKelch13 and PfCoronin variants conferring artemisinin resistance in Senegal</w:t>
      </w:r>
    </w:p>
    <w:p w14:paraId="7927403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recent independent emergence of artemisinin (ART)-resistant PfKelch13</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(K13) variants in multiple (primarily East) African countries motivates understanding the threat of ART resistance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in West Africa where distinct drug pressures have been used. The absence of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in West Africa provides an opportunity to identify genetic variants that contribute to resistance to mitigate this threat.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emergence is not limited to K13 mutations, as mutations in PfCoronin (CRN), a </w:t>
      </w:r>
      <w:r w:rsidRPr="006505C0">
        <w:rPr>
          <w:rFonts w:ascii="Calibri" w:eastAsia="Times New Roman" w:hAnsi="Calibri" w:cs="Calibri"/>
          <w:i/>
          <w:iCs/>
          <w:color w:val="000000"/>
          <w:kern w:val="0"/>
          <w:sz w:val="22"/>
          <w:szCs w:val="22"/>
          <w14:ligatures w14:val="none"/>
        </w:rPr>
        <w:t>Plasmodium falciparum </w:t>
      </w:r>
      <w:r w:rsidRPr="006505C0">
        <w:rPr>
          <w:rFonts w:ascii="Calibri" w:eastAsia="Times New Roman" w:hAnsi="Calibri" w:cs="Calibri"/>
          <w:color w:val="000000"/>
          <w:kern w:val="0"/>
          <w:sz w:val="22"/>
          <w:szCs w:val="22"/>
          <w14:ligatures w14:val="none"/>
        </w:rPr>
        <w:t>actin-binding protein, confer </w:t>
      </w:r>
      <w:r w:rsidRPr="006505C0">
        <w:rPr>
          <w:rFonts w:ascii="Calibri" w:eastAsia="Times New Roman" w:hAnsi="Calibri" w:cs="Calibri"/>
          <w:i/>
          <w:iCs/>
          <w:color w:val="000000"/>
          <w:kern w:val="0"/>
          <w:sz w:val="22"/>
          <w:szCs w:val="22"/>
          <w14:ligatures w14:val="none"/>
        </w:rPr>
        <w:t>in vitro </w:t>
      </w:r>
      <w:r w:rsidRPr="006505C0">
        <w:rPr>
          <w:rFonts w:ascii="Calibri" w:eastAsia="Times New Roman" w:hAnsi="Calibri" w:cs="Calibri"/>
          <w:color w:val="000000"/>
          <w:kern w:val="0"/>
          <w:sz w:val="22"/>
          <w:szCs w:val="22"/>
          <w14:ligatures w14:val="none"/>
        </w:rPr>
        <w:t>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independent of K13. We hypothesize that other loci (CRN) may contribute to the development of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in West Africa. Parasite genetic background is crucial for development of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The goal of this work is to test whether K13</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and CRN</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variants confer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in parasites isolated from malaria-infected individuals from Senegal. We utilized a CRISPR-Cas9 gene editing strategy to introduce mutations into a culture-adapted </w:t>
      </w:r>
      <w:r w:rsidRPr="006505C0">
        <w:rPr>
          <w:rFonts w:ascii="Calibri" w:eastAsia="Times New Roman" w:hAnsi="Calibri" w:cs="Calibri"/>
          <w:i/>
          <w:iCs/>
          <w:color w:val="000000"/>
          <w:kern w:val="0"/>
          <w:sz w:val="22"/>
          <w:szCs w:val="22"/>
          <w14:ligatures w14:val="none"/>
        </w:rPr>
        <w:t>P. falciparum </w:t>
      </w:r>
      <w:r w:rsidRPr="006505C0">
        <w:rPr>
          <w:rFonts w:ascii="Calibri" w:eastAsia="Times New Roman" w:hAnsi="Calibri" w:cs="Calibri"/>
          <w:color w:val="000000"/>
          <w:kern w:val="0"/>
          <w:sz w:val="22"/>
          <w:szCs w:val="22"/>
          <w14:ligatures w14:val="none"/>
        </w:rPr>
        <w:t>isolate representative of those circulating in Senegal. For K13, we introduced WHO-validated or candidate (*)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mutations I543T, R561H, M579I*, C580Y, and R622I and a K13</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mutation identified in Senegal (C473S). For CRN, we introduced recent mutations including G50R (identified in Senegal), I68G, P76S, and L173F. Successful introduction of each mutation allowed ongoing assessment of these engineered lines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via the Ring stage Survival Assay (RSA). Preliminary results show that introduction of K13 R561H exhibited a high RSA survival rate (</w:t>
      </w:r>
      <w:r w:rsidRPr="006505C0">
        <w:rPr>
          <w:rFonts w:ascii="Calibri" w:eastAsia="Times New Roman" w:hAnsi="Calibri" w:cs="Calibri"/>
          <w:i/>
          <w:iCs/>
          <w:color w:val="000000"/>
          <w:kern w:val="0"/>
          <w:sz w:val="22"/>
          <w:szCs w:val="22"/>
          <w14:ligatures w14:val="none"/>
        </w:rPr>
        <w:t>~</w:t>
      </w:r>
      <w:r w:rsidRPr="006505C0">
        <w:rPr>
          <w:rFonts w:ascii="Calibri" w:eastAsia="Times New Roman" w:hAnsi="Calibri" w:cs="Calibri"/>
          <w:color w:val="000000"/>
          <w:kern w:val="0"/>
          <w:sz w:val="22"/>
          <w:szCs w:val="22"/>
          <w14:ligatures w14:val="none"/>
        </w:rPr>
        <w:t>20%), while the K13 I543T mutation exhibited negligible survival (below 5%), both rates differing significantly from those reported for these mutations in other parasite genetic backgrounds. These lines are also being tested against other antimalarial drugs and the consequences of these mutations on parasite fitness evaluated by competitive growth assays. These data demonstrate that malaria parasites isolated in Senegal are receptive to mutations that confer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This work will provide a greater understanding of the contributions of K13 and CRN mutations to ART</w:t>
      </w:r>
      <w:r w:rsidRPr="006505C0">
        <w:rPr>
          <w:rFonts w:ascii="Calibri" w:eastAsia="Times New Roman" w:hAnsi="Calibri" w:cs="Calibri"/>
          <w:color w:val="000000"/>
          <w:kern w:val="0"/>
          <w:sz w:val="22"/>
          <w:szCs w:val="22"/>
          <w:vertAlign w:val="superscript"/>
          <w14:ligatures w14:val="none"/>
        </w:rPr>
        <w:t>R</w:t>
      </w:r>
      <w:r w:rsidRPr="006505C0">
        <w:rPr>
          <w:rFonts w:ascii="Calibri" w:eastAsia="Times New Roman" w:hAnsi="Calibri" w:cs="Calibri"/>
          <w:color w:val="000000"/>
          <w:kern w:val="0"/>
          <w:sz w:val="22"/>
          <w:szCs w:val="22"/>
          <w14:ligatures w14:val="none"/>
        </w:rPr>
        <w:t> and inform why artemisinin resistance has yet to emerge in Senegal.</w:t>
      </w:r>
    </w:p>
    <w:p w14:paraId="71D7CB3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25-A-3593-ASTMH</w:t>
      </w:r>
    </w:p>
    <w:p w14:paraId="7E9B9DD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33046A5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ASPIRE Trial: Effects of metronidazole plus intermittent preventive treatment of malaria with sulfadoxine-pyrimethamine or dihydroartemisinin-piperaquine on adverse pregnancy outcomes and </w:t>
      </w:r>
      <w:r w:rsidRPr="006505C0">
        <w:rPr>
          <w:rFonts w:ascii="Calibri" w:eastAsia="Times New Roman" w:hAnsi="Calibri" w:cs="Calibri"/>
          <w:color w:val="000000"/>
          <w:kern w:val="0"/>
          <w:sz w:val="22"/>
          <w:szCs w:val="22"/>
          <w14:ligatures w14:val="none"/>
        </w:rPr>
        <w:lastRenderedPageBreak/>
        <w:t>curable sexually transmitted infections in a double-blind randomised, partly placebo-controlled trial in Zambia</w:t>
      </w:r>
    </w:p>
    <w:p w14:paraId="4B6FC4C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We conducted an individually randomised, double-blind, three-arm, partly placebo-controlled trial in Zambia to assess whether adding 2g metronidazole (MTZ) at antenatal care visits 1 and 2 to monthly intermittent preventive treatment (IPTp) with sulfadoxine–pyrimethamine (SP) or with dihydroartemisinin–piperaquine (DP) was more effective at reducing adverse pregnancy outcomes than monthly SP alone. Our primary endpoint was a composite measure of adverse pregnancy outcome (fetal loss, preterm birth, low birthweight, or neonatal death). From December 2019 to March 2022, we enrolled 5,436 pregnant women. Overall, 18.8% (287/1,524) of SP group participants had an adverse pregnancy outcome, compared to 19.4% (292/1,501) in the SP-MTZ group (risk ratio: 1.04, 95% CI 0.90, 1.20, p=0.62), and 18.6% (280/1504) in the DP-MTZ group (risk ratio: 0.99; 95% CI 0.85, 1.14, p=0.76). Individual adverse outcomes did not differ across groups. Prevalence of </w:t>
      </w:r>
      <w:r w:rsidRPr="006505C0">
        <w:rPr>
          <w:rFonts w:ascii="Calibri" w:eastAsia="Times New Roman" w:hAnsi="Calibri" w:cs="Calibri"/>
          <w:i/>
          <w:iCs/>
          <w:color w:val="000000"/>
          <w:kern w:val="0"/>
          <w:sz w:val="22"/>
          <w:szCs w:val="22"/>
          <w14:ligatures w14:val="none"/>
        </w:rPr>
        <w:t>Plasmodium falciparum </w:t>
      </w:r>
      <w:r w:rsidRPr="006505C0">
        <w:rPr>
          <w:rFonts w:ascii="Calibri" w:eastAsia="Times New Roman" w:hAnsi="Calibri" w:cs="Calibri"/>
          <w:color w:val="000000"/>
          <w:kern w:val="0"/>
          <w:sz w:val="22"/>
          <w:szCs w:val="22"/>
          <w14:ligatures w14:val="none"/>
        </w:rPr>
        <w:t>parasitaemia at day 0 and day 28 post-treatment was 45.7% vs 20.5% (p=&lt;0.001) in the SP group, 46.4% vs 19.1% (p=&lt;0.001) in the SP-MTZ group, and 47.1% vs 5.3% (p=&lt;0.001) in the DP-MTZ group. Comparing Day 0 vs Day 28 prevalence of sexually transmitted infections, Day 28 prevalence was significantly lower across nearly all groups. Trichomoniasis was 13.7% vs 10.5% (p=0.014) in the SP group, 13.7% vs 7.6% (p=&lt;0.001) in the SP-MTZ group, and 14.3% vs 8.4% (p=&lt;0.001) in the DP-MTZ group. Bacterial vaginosis was 35.5% vs 29.7% (p=&lt;0.001) in the SP group, 34.6% vs 23.1% (p=&lt;0.001) in the SP-MTZ group, and 33.4% vs 19.2% (p=&lt;0.001) in the DP-MTZ group. Gonorrhoea was 13.1% vs 6.8% (p=&lt;0.001), 12.7% vs 7.4% (p=&lt;0.001), 11.7% vs 6.8% (p=&lt;0.001), in the SP, SP-MTZ and DP-MTZ groups respectively. Chlamydia in the DP-MTZ group was, 5.7% vs 4.4% (p=0.14), but lower in the SP group, 7.1% vs 2.1% (p=&lt;0.001), and the SP-MTZ group was, 6.0% vs 3.0% (p=&lt;0.001). Neither SP-MTZ nor DP-MTZ was superior to SP for protection against adverse pregnancy outcomes. DP-MTZ was superior to SP and SP-MTZ against malaria , whereas SP-containing regimens were better at reducing curable of sexually transmitted infections.</w:t>
      </w:r>
    </w:p>
    <w:p w14:paraId="19DDAD5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25-A-3594-ASTMH</w:t>
      </w:r>
    </w:p>
    <w:p w14:paraId="685087C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Other</w:t>
      </w:r>
    </w:p>
    <w:p w14:paraId="7476941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How can we increase access to medicines? A modeling study of policies aimed at improving antimalarial availability, accessibility, affordability, acceptability, and quality</w:t>
      </w:r>
    </w:p>
    <w:p w14:paraId="041C47A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Essential medicines are an integral part of modern medical treatment, yet an estimated two billion people do not have access to basic products. This lack of access leads to suffering from diseases which could often be easily and affordably treated. While access to care is often discussed as a single concept, medicines access is part of a complex system that is not easily addressed with one policy or intervention. Medicines access is multifaceted, encompassing five main domains: availability, affordability, accessibility, acceptability, and quality. To improve access, consideration should be given to how policies address each domain. Using pediatric antimalarial access in Tanzania as a case study, an agent-based model was used to simulate five policy scenarios, each addressing one of the five domains of access. Scenarios were populated with current health and cost data from the literature. The model estimated a baseline of 7033 (95% CI 6,985 - 7,080) pediatric malaria deaths annually in Tanzania and annual pediatric malaria costs of $246 (95% CI $245 - $247) million. Improving availability, where medicines were always in stock, averted 2% of pediatric malaria deaths and saved $5 million (2%) in costs. Making antimalarials more affordable for the poor averted 1% of deaths and reduced out of pocket costs by 13% overall. Improving accessibility, where more patients had the opportunity to seek care for malaria, saw a 3% reduction in deaths and 2% in costs. Acceptability, or improving adherence to malaria treatment, saw up to 8% decrease in mortality and 7% reduction in costs. Finally, improving the quality of antimalarials was estimated to reduce deaths by 4% and save 3% of costs. These policy scenarios can be used to examine the impact on subpopulations. Preventable deaths and suffering in low- and middle income countries could be relieved by increasing access to medicines that are readily accessible in other parts of the world. However, only focusing on one dimension of access, like supplying more medicines to avoid stockouts, is not enough to meaningfully improve access if those medicines are not also affordable, acceptable to patients, and of good quality.</w:t>
      </w:r>
    </w:p>
    <w:p w14:paraId="4BF5403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25-A-3595-ASTMH</w:t>
      </w:r>
    </w:p>
    <w:p w14:paraId="1AAD251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Water, Sanitation, Hygiene and Environmental Health</w:t>
      </w:r>
    </w:p>
    <w:p w14:paraId="7F74DC8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Modeling Population Vulnerability to Hurricanes in the Era of Climate Change</w:t>
      </w:r>
    </w:p>
    <w:p w14:paraId="413C82C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Background: As climate change emerges as a growing threat to public health, it is essential to understand how its impacts will contribute to widespread harm and disruption. Rapid changes in abiotic factors set the stage for favorable conditions that fuel the development of extreme weather events. It is crucial to improve our forecasting abilities on the effects of these severe storms to develop life-saving preparedness plans for the most vulnerable communities and emergency personnel. Additionally, successful forecast models can provide proactive solutions to strengthen susceptible infrastructure and improve coastal protections(i.e. sandy shores, mangroves). Methods: Using sociodemographic, economic, and household data from the U.S. Census Bureau, we have identified key demographics of the most vulnerable populations residing within 100 miles of the U.S. East and Gulf coasts. We also collected data on the most deadly and costly hurricanes over the last 30 years from the National Oceanic and Atmospheric Administration. Using ArcGIS Pro software, we linked these datasets at spatial resolutions no greater than block level. Data analysis is ongoing, and we anticipate applying weighted regression models to identify the characteristics and locations of high-risk communities. Anticipated Results: By analyzing social demographics of communities near the U.S. East and Gulf Coasts, stratified by the most intense hurricanes since 1992, we aim to develop a robust early warning system. This forecast model will identify the coastal communities most at risk (categorized by anticipated displacement, mortality, and economic loss) from storm surge, flooding, and inundating precipitation brought forth by tropical storms. The model produced from this research is derived from the 20 highest-cost hurricanes, which is not necessarily representative of all tropical storms. Further research should investigate other public health concerns that arise from natural disasters and population displacement, such as the proliferation of infectious diseases that will increase in frequency with climate change.</w:t>
      </w:r>
    </w:p>
    <w:p w14:paraId="4971E96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25-A-3596-ASTMH</w:t>
      </w:r>
    </w:p>
    <w:p w14:paraId="3214F25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Epidemiology</w:t>
      </w:r>
    </w:p>
    <w:p w14:paraId="68A18AC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Prevalence of Plasmodium falciparum gametocytaemia among symptomatic and asymptomatic individuals from selected communities in Kagera region - Northwestern Tanzania.</w:t>
      </w:r>
    </w:p>
    <w:p w14:paraId="1855133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Plasmodium falciparum transmission remains persistent in malaria-endemic regionslike Tanzania, partly due to gametocyte carriers—especially asymptomaticindividuals who are not treated as they present no symptoms. This study assessedthe prevalence of microscopic P. falciparum gametocytaemia in both symptomaticand asymptomatic individuals, and examined the transmission potential of mRDT-negative gametocyte carriers in five villages of Kyerwa district, northwesternTanzania. A cross-sectional community survey was conducted between July andAugust 2023 in Kitoma, Kitwechenkura, Nyakabwera, Rubuga, and Ruko villages.Blood slides from 4,454 individuals were microscopically examined for gametocytes.Among participants, 30.1% (n=1,341) were symptomatic, and 69.9% (n=3,113) wereasymptomatic. The overall gametocyte prevalence was 4.0% (n=178), ranging from0.6% to 8.3% across villages. Prevalence was significantly higher amongsymptomatic individuals (6.8%) compared to asymptomatic ones (2.8%, p&amp;lt;0.002). Ofthe 178 gametocyte carriers, 13.5% (n=24) were mRDT-negative. Notably, 95.8% ofmRDT-negative carriers were asymptomatic, and only 4.2% were symptomatic.Logistic regression indicated that symptomatic mRDT-negative individuals had lowerodds of being identified than asymptomatic carriers (aOR=0.21, 95% CI: 0.05–0.90,p=0.035). This study highlights that while symptomatic individuals had highergametocyte prevalence, a significant number of asymptomatic, RDT-negativeindividuals still carry gametocytes, posing a hidden risk for malaria transmission.These findings support the need for advanced diagnostic methods, such asmolecular tools, and further research into the infectiousness of RDT-negativecarriers to guide malaria control and elimination strategies.</w:t>
      </w:r>
    </w:p>
    <w:p w14:paraId="12CDE2B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25-A-3597-ASTMH</w:t>
      </w:r>
    </w:p>
    <w:p w14:paraId="7F7E7A5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Water, Sanitation, Hygiene and Environmental Health</w:t>
      </w:r>
    </w:p>
    <w:p w14:paraId="3229285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How much are end-users willing to invest in hand hygiene enabling technologies? A purchasing experiment in peri-urban Lusaka, Zambia.</w:t>
      </w:r>
    </w:p>
    <w:p w14:paraId="6FFE44E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Handwashing with soap is critical for preventing respiratory and diarrheal disease. Access to a dedicated handwashing facility (HWF) improves behavior; however, coverage is limited in low-resource settings. Affordability is often cited as a barrier, yet little is known about consumers’ willingness and ability to pay for improved HWFs. This two-phased purchasing experiment aimed to explore whether end-users in peri-urban Lusaka, Zambia were willing to invest in one of three improved HWFs (high-cost premanufactured, low-cost premanufactured, and locally manufactured) and quantify both stated and revealed preferences for purchasing specific HWF designs. In Phase 1, 60 households used two of the three improved HWFs over separate two-week periods (40 households per HWF combination). Households received a 300 Zambian Kwacha (ZMW) (~$10) gift and a random discount voucher (25%, 50%, 75%) before deciding whether to purchase a HWF at a discounted price. Sixty-seven percent (40/60) of households purchased a HWF, with higher discounts leading to increased uptake. The locally manufactured HWF called the Kalingalinga bucket (250 ZMW, ~$10), was preferred over both the high-cost (1000 ZMW, ~$38) and low-cost (100 ZMW, ~$4) premanufactured HWFs. In phase 2, a larger sample of 160 households used the Kalingalinga bucket for two weeks, then received a 50 ZMW gift (~$2) and a randomly assigned discount voucher (20%, 40%, 60%, 80%; 40 households per group), before deciding whether to purchase the HWF. Purchasing followed an inverse relationship with price with 98% (39/40) of households purchasing a HWF at an 80% discount (effective price: 0 ZMW) compared to 30% (12/40) at a 20% discount (effective price: 150 ZMW). Effective price was a negative predictor of purchasing behavior (β = –0.025, SE = 0.004, </w:t>
      </w:r>
      <w:r w:rsidRPr="006505C0">
        <w:rPr>
          <w:rFonts w:ascii="Calibri" w:eastAsia="Times New Roman" w:hAnsi="Calibri" w:cs="Calibri"/>
          <w:i/>
          <w:iCs/>
          <w:color w:val="000000"/>
          <w:kern w:val="0"/>
          <w:sz w:val="22"/>
          <w:szCs w:val="22"/>
          <w14:ligatures w14:val="none"/>
        </w:rPr>
        <w:t>p</w:t>
      </w:r>
      <w:r w:rsidRPr="006505C0">
        <w:rPr>
          <w:rFonts w:ascii="Calibri" w:eastAsia="Times New Roman" w:hAnsi="Calibri" w:cs="Calibri"/>
          <w:color w:val="000000"/>
          <w:kern w:val="0"/>
          <w:sz w:val="22"/>
          <w:szCs w:val="22"/>
          <w14:ligatures w14:val="none"/>
        </w:rPr>
        <w:t> &lt; 0.001), with each 1 ZMW increase reducing the odds of purchase by 2.5%. The model predicted that 50% of households would purchase at 106 ZMW, notably below the average retail price of 250 ZMW. This study offers insights into end-user affordability, emphasizing the need for financial interventions and affordable innovations to achieve universal hand hygiene.</w:t>
      </w:r>
    </w:p>
    <w:p w14:paraId="08A58EC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25-A-3598-ASTMH</w:t>
      </w:r>
    </w:p>
    <w:p w14:paraId="5263721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Helminths – Nematodes – Intestinal Nematodes</w:t>
      </w:r>
    </w:p>
    <w:p w14:paraId="4C1C914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Molecular Surveillance of Helminths in Wild Rodents in Nigeria: Implications for Human Health</w:t>
      </w:r>
    </w:p>
    <w:p w14:paraId="7EFD4D9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Wild rodents are reservoirs for a wide array of helminths, many of which have zoonotic potential and pose serious public health concerns. In Nigeria, previous studies have identified helminths in wild rodent populations; however, these efforts have largely relied on morphological identification. This study presents the first molecular investigation of helminth diversity in rodent species from two villages in Ondo State, Nigeria. Captured animals and recovered helminths were characterized using PCR amplification and Sanger sequencing of the cytochrome b (Cytb) and 18S rRNA genes, respectively. Of the 77 rodents examined, 46 individuals (59.7%) were found to harbour at least one helminth specie. Mixed infections were observed in 15.2% of infected rodents. We identified seven murine species: </w:t>
      </w:r>
      <w:r w:rsidRPr="006505C0">
        <w:rPr>
          <w:rFonts w:ascii="Calibri" w:eastAsia="Times New Roman" w:hAnsi="Calibri" w:cs="Calibri"/>
          <w:i/>
          <w:iCs/>
          <w:color w:val="000000"/>
          <w:kern w:val="0"/>
          <w:sz w:val="22"/>
          <w:szCs w:val="22"/>
          <w14:ligatures w14:val="none"/>
        </w:rPr>
        <w:t>Arvicanthis sp., Rattus sp., Mastomys sp., Praomys sp., Dasymys sp., Lemniscomys sp.,</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Cricetomys sp</w:t>
      </w:r>
      <w:r w:rsidRPr="006505C0">
        <w:rPr>
          <w:rFonts w:ascii="Calibri" w:eastAsia="Times New Roman" w:hAnsi="Calibri" w:cs="Calibri"/>
          <w:color w:val="000000"/>
          <w:kern w:val="0"/>
          <w:sz w:val="22"/>
          <w:szCs w:val="22"/>
          <w14:ligatures w14:val="none"/>
        </w:rPr>
        <w:t>. These hosts were infected with nine distinct helminth taxa. The most prevalent helminth was </w:t>
      </w:r>
      <w:r w:rsidRPr="006505C0">
        <w:rPr>
          <w:rFonts w:ascii="Calibri" w:eastAsia="Times New Roman" w:hAnsi="Calibri" w:cs="Calibri"/>
          <w:i/>
          <w:iCs/>
          <w:color w:val="000000"/>
          <w:kern w:val="0"/>
          <w:sz w:val="22"/>
          <w:szCs w:val="22"/>
          <w14:ligatures w14:val="none"/>
        </w:rPr>
        <w:t>Raillietina sp.</w:t>
      </w:r>
      <w:r w:rsidRPr="006505C0">
        <w:rPr>
          <w:rFonts w:ascii="Calibri" w:eastAsia="Times New Roman" w:hAnsi="Calibri" w:cs="Calibri"/>
          <w:color w:val="000000"/>
          <w:kern w:val="0"/>
          <w:sz w:val="22"/>
          <w:szCs w:val="22"/>
          <w14:ligatures w14:val="none"/>
        </w:rPr>
        <w:t> (41.3%), followed by </w:t>
      </w:r>
      <w:r w:rsidRPr="006505C0">
        <w:rPr>
          <w:rFonts w:ascii="Calibri" w:eastAsia="Times New Roman" w:hAnsi="Calibri" w:cs="Calibri"/>
          <w:i/>
          <w:iCs/>
          <w:color w:val="000000"/>
          <w:kern w:val="0"/>
          <w:sz w:val="22"/>
          <w:szCs w:val="22"/>
          <w14:ligatures w14:val="none"/>
        </w:rPr>
        <w:t>Calodium hepaticum</w:t>
      </w:r>
      <w:r w:rsidRPr="006505C0">
        <w:rPr>
          <w:rFonts w:ascii="Calibri" w:eastAsia="Times New Roman" w:hAnsi="Calibri" w:cs="Calibri"/>
          <w:color w:val="000000"/>
          <w:kern w:val="0"/>
          <w:sz w:val="22"/>
          <w:szCs w:val="22"/>
          <w14:ligatures w14:val="none"/>
        </w:rPr>
        <w:t> (30.4%), </w:t>
      </w:r>
      <w:r w:rsidRPr="006505C0">
        <w:rPr>
          <w:rFonts w:ascii="Calibri" w:eastAsia="Times New Roman" w:hAnsi="Calibri" w:cs="Calibri"/>
          <w:i/>
          <w:iCs/>
          <w:color w:val="000000"/>
          <w:kern w:val="0"/>
          <w:sz w:val="22"/>
          <w:szCs w:val="22"/>
          <w14:ligatures w14:val="none"/>
        </w:rPr>
        <w:t>Hymenolepis sps</w:t>
      </w:r>
      <w:r w:rsidRPr="006505C0">
        <w:rPr>
          <w:rFonts w:ascii="Calibri" w:eastAsia="Times New Roman" w:hAnsi="Calibri" w:cs="Calibri"/>
          <w:color w:val="000000"/>
          <w:kern w:val="0"/>
          <w:sz w:val="22"/>
          <w:szCs w:val="22"/>
          <w14:ligatures w14:val="none"/>
        </w:rPr>
        <w:t>. (6.5%), </w:t>
      </w:r>
      <w:r w:rsidRPr="006505C0">
        <w:rPr>
          <w:rFonts w:ascii="Calibri" w:eastAsia="Times New Roman" w:hAnsi="Calibri" w:cs="Calibri"/>
          <w:i/>
          <w:iCs/>
          <w:color w:val="000000"/>
          <w:kern w:val="0"/>
          <w:sz w:val="22"/>
          <w:szCs w:val="22"/>
          <w14:ligatures w14:val="none"/>
        </w:rPr>
        <w:t>Dicrocoelium sp</w:t>
      </w:r>
      <w:r w:rsidRPr="006505C0">
        <w:rPr>
          <w:rFonts w:ascii="Calibri" w:eastAsia="Times New Roman" w:hAnsi="Calibri" w:cs="Calibri"/>
          <w:color w:val="000000"/>
          <w:kern w:val="0"/>
          <w:sz w:val="22"/>
          <w:szCs w:val="22"/>
          <w14:ligatures w14:val="none"/>
        </w:rPr>
        <w:t>. (4.3%), </w:t>
      </w:r>
      <w:r w:rsidRPr="006505C0">
        <w:rPr>
          <w:rFonts w:ascii="Calibri" w:eastAsia="Times New Roman" w:hAnsi="Calibri" w:cs="Calibri"/>
          <w:i/>
          <w:iCs/>
          <w:color w:val="000000"/>
          <w:kern w:val="0"/>
          <w:sz w:val="22"/>
          <w:szCs w:val="22"/>
          <w14:ligatures w14:val="none"/>
        </w:rPr>
        <w:t>Dilepis sp.</w:t>
      </w:r>
      <w:r w:rsidRPr="006505C0">
        <w:rPr>
          <w:rFonts w:ascii="Calibri" w:eastAsia="Times New Roman" w:hAnsi="Calibri" w:cs="Calibri"/>
          <w:color w:val="000000"/>
          <w:kern w:val="0"/>
          <w:sz w:val="22"/>
          <w:szCs w:val="22"/>
          <w14:ligatures w14:val="none"/>
        </w:rPr>
        <w:t> (6.5%), </w:t>
      </w:r>
      <w:r w:rsidRPr="006505C0">
        <w:rPr>
          <w:rFonts w:ascii="Calibri" w:eastAsia="Times New Roman" w:hAnsi="Calibri" w:cs="Calibri"/>
          <w:i/>
          <w:iCs/>
          <w:color w:val="000000"/>
          <w:kern w:val="0"/>
          <w:sz w:val="22"/>
          <w:szCs w:val="22"/>
          <w14:ligatures w14:val="none"/>
        </w:rPr>
        <w:t>Strongyloidea</w:t>
      </w:r>
      <w:r w:rsidRPr="006505C0">
        <w:rPr>
          <w:rFonts w:ascii="Calibri" w:eastAsia="Times New Roman" w:hAnsi="Calibri" w:cs="Calibri"/>
          <w:color w:val="000000"/>
          <w:kern w:val="0"/>
          <w:sz w:val="22"/>
          <w:szCs w:val="22"/>
          <w14:ligatures w14:val="none"/>
        </w:rPr>
        <w:t> (4.3%), </w:t>
      </w:r>
      <w:r w:rsidRPr="006505C0">
        <w:rPr>
          <w:rFonts w:ascii="Calibri" w:eastAsia="Times New Roman" w:hAnsi="Calibri" w:cs="Calibri"/>
          <w:i/>
          <w:iCs/>
          <w:color w:val="000000"/>
          <w:kern w:val="0"/>
          <w:sz w:val="22"/>
          <w:szCs w:val="22"/>
          <w14:ligatures w14:val="none"/>
        </w:rPr>
        <w:t>Trichuris sp.</w:t>
      </w:r>
      <w:r w:rsidRPr="006505C0">
        <w:rPr>
          <w:rFonts w:ascii="Calibri" w:eastAsia="Times New Roman" w:hAnsi="Calibri" w:cs="Calibri"/>
          <w:color w:val="000000"/>
          <w:kern w:val="0"/>
          <w:sz w:val="22"/>
          <w:szCs w:val="22"/>
          <w14:ligatures w14:val="none"/>
        </w:rPr>
        <w:t> (4.3%), </w:t>
      </w:r>
      <w:r w:rsidRPr="006505C0">
        <w:rPr>
          <w:rFonts w:ascii="Calibri" w:eastAsia="Times New Roman" w:hAnsi="Calibri" w:cs="Calibri"/>
          <w:i/>
          <w:iCs/>
          <w:color w:val="000000"/>
          <w:kern w:val="0"/>
          <w:sz w:val="22"/>
          <w:szCs w:val="22"/>
          <w14:ligatures w14:val="none"/>
        </w:rPr>
        <w:t>Mastophorus sp.</w:t>
      </w:r>
      <w:r w:rsidRPr="006505C0">
        <w:rPr>
          <w:rFonts w:ascii="Calibri" w:eastAsia="Times New Roman" w:hAnsi="Calibri" w:cs="Calibri"/>
          <w:color w:val="000000"/>
          <w:kern w:val="0"/>
          <w:sz w:val="22"/>
          <w:szCs w:val="22"/>
          <w14:ligatures w14:val="none"/>
        </w:rPr>
        <w:t> (2.2%), and unidentified helminths (7.8%). Statistical analysis revealed a significant association between rodent maturity and helminth prevalence (P &lt; 0.05), with juvenile rodents exhibiting a higher risk of infection compared to adults (OR = 4.13, P = 0.01, 95% CI = 1.41-13.1). The distribution of helminth species also varied significantly between the two study locations. Phylogenetic analysis revealed several novel genetic sequences from both rodents and helminths, which clustered in distinct clades yet showed close relationships with known species. This study highlights the role of wild rodents as reservoirs of zoonotic helminths and underscores the importance of molecular surveillance. The findings support the need for monitoring zoonotic infections in human populations to better understand and mitigate the risk of helminth zoonoses in endemic regions.</w:t>
      </w:r>
    </w:p>
    <w:p w14:paraId="5696980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25-A-3599-ASTMH</w:t>
      </w:r>
    </w:p>
    <w:p w14:paraId="6A53669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1C946A9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Comparing sulfadoxine-pyrimethamine plus amodiaquine against other antimalarials for malaria chemoprevention across resistance settings: a systematic review and meta-analysis</w:t>
      </w:r>
    </w:p>
    <w:p w14:paraId="04CA806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 2024, over a billion doses of seasonal malaria chemoprevention (SMC) were administered. However, to date there has been no consensus on the most effective antimalarial for malaria chemoprevention, especially in areas with pre-existing resistance to sulfadoxine-pyrimethamine (SP). Here, we conduct a systematic review comparing the effectiveness of the most commonly used antimalarial for SMC, namely sulfadoxine-pyrimethamine plus amodiaquine (SP+AQ), against other antimalarial drugs in protecting against new infections. We searched MEDLINE, Embase, Global Health, PubMed and WWARN clinical trial databases until 14 March 2025 for studies satisfying the inclusion criteria. Studies were eligible for inclusion if they were peer-reviewed, randomised controlled studies undertaken in Africa, assessing </w:t>
      </w:r>
      <w:r w:rsidRPr="006505C0">
        <w:rPr>
          <w:rFonts w:ascii="Calibri" w:eastAsia="Times New Roman" w:hAnsi="Calibri" w:cs="Calibri"/>
          <w:i/>
          <w:iCs/>
          <w:color w:val="000000"/>
          <w:kern w:val="0"/>
          <w:sz w:val="22"/>
          <w:szCs w:val="22"/>
          <w14:ligatures w14:val="none"/>
        </w:rPr>
        <w:t>Plasmodium falciparum </w:t>
      </w:r>
      <w:r w:rsidRPr="006505C0">
        <w:rPr>
          <w:rFonts w:ascii="Calibri" w:eastAsia="Times New Roman" w:hAnsi="Calibri" w:cs="Calibri"/>
          <w:color w:val="000000"/>
          <w:kern w:val="0"/>
          <w:sz w:val="22"/>
          <w:szCs w:val="22"/>
          <w14:ligatures w14:val="none"/>
        </w:rPr>
        <w:t>malaria, with follow-up to at least 28 days with information on reinfection, as determined by PCR-correction where appropriate (i.e. therapeutic efficacy studies). We assessed bias according to an adapted version of the Cochrane Risk of Bias 2 framework. For all studies, the closest estimate of prevalence of key markers of resistance in the </w:t>
      </w:r>
      <w:r w:rsidRPr="006505C0">
        <w:rPr>
          <w:rFonts w:ascii="Calibri" w:eastAsia="Times New Roman" w:hAnsi="Calibri" w:cs="Calibri"/>
          <w:i/>
          <w:iCs/>
          <w:color w:val="000000"/>
          <w:kern w:val="0"/>
          <w:sz w:val="22"/>
          <w:szCs w:val="22"/>
          <w14:ligatures w14:val="none"/>
        </w:rPr>
        <w:t>dhfr, dhps, mdr1 </w:t>
      </w:r>
      <w:r w:rsidRPr="006505C0">
        <w:rPr>
          <w:rFonts w:ascii="Calibri" w:eastAsia="Times New Roman" w:hAnsi="Calibri" w:cs="Calibri"/>
          <w:color w:val="000000"/>
          <w:kern w:val="0"/>
          <w:sz w:val="22"/>
          <w:szCs w:val="22"/>
          <w14:ligatures w14:val="none"/>
        </w:rPr>
        <w:t>and </w:t>
      </w:r>
      <w:r w:rsidRPr="006505C0">
        <w:rPr>
          <w:rFonts w:ascii="Calibri" w:eastAsia="Times New Roman" w:hAnsi="Calibri" w:cs="Calibri"/>
          <w:i/>
          <w:iCs/>
          <w:color w:val="000000"/>
          <w:kern w:val="0"/>
          <w:sz w:val="22"/>
          <w:szCs w:val="22"/>
          <w14:ligatures w14:val="none"/>
        </w:rPr>
        <w:t>crt</w:t>
      </w:r>
      <w:r w:rsidRPr="006505C0">
        <w:rPr>
          <w:rFonts w:ascii="Calibri" w:eastAsia="Times New Roman" w:hAnsi="Calibri" w:cs="Calibri"/>
          <w:color w:val="000000"/>
          <w:kern w:val="0"/>
          <w:sz w:val="22"/>
          <w:szCs w:val="22"/>
          <w14:ligatures w14:val="none"/>
        </w:rPr>
        <w:t> genes was collated and used to classify estimates according to levels of drug resistance. We conducted fixed- and random-effects meta-analyses of incidence rates, with subgroup analyses of comparator arms, resistance classifications and case definitions. We identified 29 studies presenting unique data, representing 41,858 patients in 34 sites across 12 countries. Of these, 18,074 patients received SP+AQ, with 23,784 receiving another antimalarial or a control. In the random-effects meta-analysis of SP vs SP+AQ, we estimate an incidence rate ratio of 2.13 (95% CI: 1.87-2.42) corresponding to SP+AQ averting an additional 53.1% (95% CI: 46.5 - 58.7%) of clinical cases compared to SP alone. The largest benefit of SP+AQ compared to SP alone was found in areas with moderate to high SP resistance, but low AQ resistance, which is the resistance profile of most of East and Southern Africa today. This review is registered on PROSPERO (CRD42024577149).</w:t>
      </w:r>
    </w:p>
    <w:p w14:paraId="67AD66F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25-A-3600-ASTMH</w:t>
      </w:r>
    </w:p>
    <w:p w14:paraId="02548A6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004EFF8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Implementation of Tafenoquine for the radical cure of vivax malaria in priority municipalities in Brazil in 2024</w:t>
      </w:r>
    </w:p>
    <w:p w14:paraId="71AE34B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Cases of vivax malaria remains a persistent public health challenge in Brazil, primarily due to relapses. Innovations in treatment can support efforts toward its elimination. This study describes the process of implementing tafenoquine as a tool to control </w:t>
      </w:r>
      <w:r w:rsidRPr="006505C0">
        <w:rPr>
          <w:rFonts w:ascii="Calibri" w:eastAsia="Times New Roman" w:hAnsi="Calibri" w:cs="Calibri"/>
          <w:i/>
          <w:iCs/>
          <w:color w:val="000000"/>
          <w:kern w:val="0"/>
          <w:sz w:val="22"/>
          <w:szCs w:val="22"/>
          <w14:ligatures w14:val="none"/>
        </w:rPr>
        <w:t>Plasmodium vivax</w:t>
      </w:r>
      <w:r w:rsidRPr="006505C0">
        <w:rPr>
          <w:rFonts w:ascii="Calibri" w:eastAsia="Times New Roman" w:hAnsi="Calibri" w:cs="Calibri"/>
          <w:color w:val="000000"/>
          <w:kern w:val="0"/>
          <w:sz w:val="22"/>
          <w:szCs w:val="22"/>
          <w14:ligatures w14:val="none"/>
        </w:rPr>
        <w:t> infection in priority municipalities in the Amazon region of Brazil in 2024. Training for the implementation of tafenoquine, including testing G6PD activity levels, was conducted for patients over 16 years of age through both theoretical and practical classes. Priority was given to municipalities and special Indigenous health districts with the highest malaria incidence and vulnerability, between March and December 2024. The training and implementation of tafenoquine took place across six states in the Brazilian Amazon. A total of 1,794 professionals were trained, 1,068 analyzers and 80,550 G6PD test kits were distributed, along with 63,602 tafenoquine tablets (150 mg). During the analysis period, 6,235 G6PD tests were performed. Among these, 4,726 (75.8%) showed normal G6PD enzyme activity levels. A total of 4,016 patients were treated with tafenoquine. Of these, 3,841 (95.6%) were symptomatic for malaria, 3,207 (79.9%) were passively detected, 2,874 (71.6%) were male, 2,253 (56.1%) self-identified as brown, 1,008 (25.1%) had completed high school, and 868 (21.6%) were aged between 31 and 40 years. The municipalities with the highest numbers of treatments were Manaus/AM (787 cases), Porto Velho/RO (716 cases), São Gabriel da Cachoeira/AM (664 cases), Itaituba/PA (396 cases), Jacareacanga/PA (323 cases), and the Yanomami Indigenous Special Health District - DSEI (350 cases). Timely supply of inputs and the difficulty of accessing remote locations were major challenges. The implementation of tafenoquine in Brazil represents an important milestone in the fight against </w:t>
      </w:r>
      <w:r w:rsidRPr="006505C0">
        <w:rPr>
          <w:rFonts w:ascii="Calibri" w:eastAsia="Times New Roman" w:hAnsi="Calibri" w:cs="Calibri"/>
          <w:i/>
          <w:iCs/>
          <w:color w:val="000000"/>
          <w:kern w:val="0"/>
          <w:sz w:val="22"/>
          <w:szCs w:val="22"/>
          <w14:ligatures w14:val="none"/>
        </w:rPr>
        <w:t>P. vivax</w:t>
      </w:r>
      <w:r w:rsidRPr="006505C0">
        <w:rPr>
          <w:rFonts w:ascii="Calibri" w:eastAsia="Times New Roman" w:hAnsi="Calibri" w:cs="Calibri"/>
          <w:color w:val="000000"/>
          <w:kern w:val="0"/>
          <w:sz w:val="22"/>
          <w:szCs w:val="22"/>
          <w14:ligatures w14:val="none"/>
        </w:rPr>
        <w:t xml:space="preserve">. Preliminary results indicate that </w:t>
      </w:r>
      <w:r w:rsidRPr="006505C0">
        <w:rPr>
          <w:rFonts w:ascii="Calibri" w:eastAsia="Times New Roman" w:hAnsi="Calibri" w:cs="Calibri"/>
          <w:color w:val="000000"/>
          <w:kern w:val="0"/>
          <w:sz w:val="22"/>
          <w:szCs w:val="22"/>
          <w14:ligatures w14:val="none"/>
        </w:rPr>
        <w:lastRenderedPageBreak/>
        <w:t>treatment is being carried out adequately and gradually, with high adherence by trained professionals. It is suggested that the use of tafenoquine for the radical cure of vivax malaria be expanded throughout Brazil in a sustained and monitored manner.</w:t>
      </w:r>
    </w:p>
    <w:p w14:paraId="43292A5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25-A-3601-ASTMH</w:t>
      </w:r>
    </w:p>
    <w:p w14:paraId="1D4926F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1A698F4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Expanding evidence of Tick-borne viruses in Virginia using a One Health approach</w:t>
      </w:r>
    </w:p>
    <w:p w14:paraId="5EAA68B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Ticks are expanding both in population-size and geographical range. They are biological vectors for a range of pathogens, including viruses. Powassan virus (family </w:t>
      </w:r>
      <w:r w:rsidRPr="006505C0">
        <w:rPr>
          <w:rFonts w:ascii="Calibri" w:eastAsia="Times New Roman" w:hAnsi="Calibri" w:cs="Calibri"/>
          <w:i/>
          <w:iCs/>
          <w:color w:val="000000"/>
          <w:kern w:val="0"/>
          <w:sz w:val="22"/>
          <w:szCs w:val="22"/>
          <w14:ligatures w14:val="none"/>
        </w:rPr>
        <w:t>Flaviviridae</w:t>
      </w:r>
      <w:r w:rsidRPr="006505C0">
        <w:rPr>
          <w:rFonts w:ascii="Calibri" w:eastAsia="Times New Roman" w:hAnsi="Calibri" w:cs="Calibri"/>
          <w:color w:val="000000"/>
          <w:kern w:val="0"/>
          <w:sz w:val="22"/>
          <w:szCs w:val="22"/>
          <w14:ligatures w14:val="none"/>
        </w:rPr>
        <w:t>), Bourbon virus (family </w:t>
      </w:r>
      <w:r w:rsidRPr="006505C0">
        <w:rPr>
          <w:rFonts w:ascii="Calibri" w:eastAsia="Times New Roman" w:hAnsi="Calibri" w:cs="Calibri"/>
          <w:i/>
          <w:iCs/>
          <w:color w:val="000000"/>
          <w:kern w:val="0"/>
          <w:sz w:val="22"/>
          <w:szCs w:val="22"/>
          <w14:ligatures w14:val="none"/>
        </w:rPr>
        <w:t>Orthomyxoviridae</w:t>
      </w:r>
      <w:r w:rsidRPr="006505C0">
        <w:rPr>
          <w:rFonts w:ascii="Calibri" w:eastAsia="Times New Roman" w:hAnsi="Calibri" w:cs="Calibri"/>
          <w:color w:val="000000"/>
          <w:kern w:val="0"/>
          <w:sz w:val="22"/>
          <w:szCs w:val="22"/>
          <w14:ligatures w14:val="none"/>
        </w:rPr>
        <w:t>), and Heartland virus (family </w:t>
      </w:r>
      <w:r w:rsidRPr="006505C0">
        <w:rPr>
          <w:rFonts w:ascii="Calibri" w:eastAsia="Times New Roman" w:hAnsi="Calibri" w:cs="Calibri"/>
          <w:i/>
          <w:iCs/>
          <w:color w:val="000000"/>
          <w:kern w:val="0"/>
          <w:sz w:val="22"/>
          <w:szCs w:val="22"/>
          <w14:ligatures w14:val="none"/>
        </w:rPr>
        <w:t>Phenuiviridae</w:t>
      </w:r>
      <w:r w:rsidRPr="006505C0">
        <w:rPr>
          <w:rFonts w:ascii="Calibri" w:eastAsia="Times New Roman" w:hAnsi="Calibri" w:cs="Calibri"/>
          <w:color w:val="000000"/>
          <w:kern w:val="0"/>
          <w:sz w:val="22"/>
          <w:szCs w:val="22"/>
          <w14:ligatures w14:val="none"/>
        </w:rPr>
        <w:t>) are serious emerging arboviruses of concern to public health, with potential for fatal illness or neurological sequelae. Bourbon and Heartland virus, transmitted by </w:t>
      </w:r>
      <w:r w:rsidRPr="006505C0">
        <w:rPr>
          <w:rFonts w:ascii="Calibri" w:eastAsia="Times New Roman" w:hAnsi="Calibri" w:cs="Calibri"/>
          <w:i/>
          <w:iCs/>
          <w:color w:val="000000"/>
          <w:kern w:val="0"/>
          <w:sz w:val="22"/>
          <w:szCs w:val="22"/>
          <w14:ligatures w14:val="none"/>
        </w:rPr>
        <w:t>Amblyomma americanum</w:t>
      </w:r>
      <w:r w:rsidRPr="006505C0">
        <w:rPr>
          <w:rFonts w:ascii="Calibri" w:eastAsia="Times New Roman" w:hAnsi="Calibri" w:cs="Calibri"/>
          <w:color w:val="000000"/>
          <w:kern w:val="0"/>
          <w:sz w:val="22"/>
          <w:szCs w:val="22"/>
          <w14:ligatures w14:val="none"/>
        </w:rPr>
        <w:t> (lone-star tick) have only primarily been described in the last 16 years. Powassan virus, vectored by </w:t>
      </w:r>
      <w:r w:rsidRPr="006505C0">
        <w:rPr>
          <w:rFonts w:ascii="Calibri" w:eastAsia="Times New Roman" w:hAnsi="Calibri" w:cs="Calibri"/>
          <w:i/>
          <w:iCs/>
          <w:color w:val="000000"/>
          <w:kern w:val="0"/>
          <w:sz w:val="22"/>
          <w:szCs w:val="22"/>
          <w14:ligatures w14:val="none"/>
        </w:rPr>
        <w:t>Ixodes scapularis</w:t>
      </w:r>
      <w:r w:rsidRPr="006505C0">
        <w:rPr>
          <w:rFonts w:ascii="Calibri" w:eastAsia="Times New Roman" w:hAnsi="Calibri" w:cs="Calibri"/>
          <w:color w:val="000000"/>
          <w:kern w:val="0"/>
          <w:sz w:val="22"/>
          <w:szCs w:val="22"/>
          <w14:ligatures w14:val="none"/>
        </w:rPr>
        <w:t> (black-legged tick), first isolated 1958, is endemic in parts of northeastern USA. Little was known about tick-virus presence in Virginia, with a single clinical case recorded each of Powassan (2009) and Heartland virus (2021). Here we present data on tick species in Southwest Virginia and animal-focused surveillance across western Virginia, demonstrating that all three tick-borne viruses are circulating in the region. Together, the studies uncover insights into the ecology and epidemiology of these viruses, revealing patterns of infection across different vertebrate species and local regions. Seropositivity against Powassan (ranging up to 18%), Bourbon (8%), and Heartland (8%) were noted via virus neutralization assays. Elevated seropositivity against Powassan virus was observed in white-tailed deer and in counties of northwestern Virginia. Molecular evidence of viral infection was detected in environment- and host-collected ticks, including first evidence of Heartland virus in Virginian ticks. By identifying the circulation of tick-borne viruses, we can better predict and mitigate infection risk. Such findings are useful for devising intervention strategies, such as tick-bite prevention, physician/public awareness campaigns, and responding to potential arbovirus exposure.</w:t>
      </w:r>
    </w:p>
    <w:p w14:paraId="4A7F163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25-A-3602-ASTMH</w:t>
      </w:r>
    </w:p>
    <w:p w14:paraId="0884BDA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Measures for Control and Elimination of Neglected Tropical Diseases (NTDs)</w:t>
      </w:r>
    </w:p>
    <w:p w14:paraId="676CC94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Lessons Learned: Implementing Lymphatic Filariasis Mass Drug Administration in Sudan’s Conflict Areas</w:t>
      </w:r>
    </w:p>
    <w:p w14:paraId="537243D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conflict in Sudan began in April 2023, with clashes between the Sudanese Armed Forces (SAF) and the paramilitary Rapid Support Forces (RSF), causing displacement and a humanitarian crisis threatening progress in eliminating onchocerciasis and lymphatic filariasis in the country. The Carter Center evaluated mass drug administration (MDA) feasibility in six LF-endemic states (24 localities) by conducting security and risk assessments, engaging local governments and communities, coordinating with armed groups; mapping target areas with data from the Ministry of Health and non-governmental organizations; prioritizing vulnerable communities, refugees, and internally displaced persons; managing drug supply logistics with various stakeholders; building trust through community engagement; combatting misinformation with education; using culturally appropriate materials in local languages; minimizing conflict by ensuring equal targeting; training local health workers in MDA and peacebuilding skills; training health workers on security protocols ; monitoring MDA progress through regular field visits, community feedback, and reporting systems; training teams to adapt to changing circumstances; and evaluating the campaign’s effectiveness in terms of coverage, drug safety, and logistics. Through these efforts in 2024, Sudan’s LF program delivered MDA in three states to 1,328,137 people in 12 localities (reported treatment coverage range: 75-115%). However, conflict hindered access to the remaining 12 LF-endemic localities. Lessons emphasize security assessments, community engagement, coordination with armed groups, culturally appropriate education, and training health workers in MDA and peacebuilding. Continuous monitoring and adaptability were key to maintaining effectiveness despite conflict and guiding future initiatives in unstable environments.</w:t>
      </w:r>
    </w:p>
    <w:p w14:paraId="61A17EE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25-A-3603-ASTMH</w:t>
      </w:r>
    </w:p>
    <w:p w14:paraId="0B8E17B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Helminths – Nematodes – Intestinal Nematodes</w:t>
      </w:r>
    </w:p>
    <w:p w14:paraId="652FCED8" w14:textId="48F14ACA"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Prevalence and Immune Response Trends in Helminth and Malaria Co-Infections: Insights from Two Ghanaian Communities</w:t>
      </w:r>
    </w:p>
    <w:p w14:paraId="761F23B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remains a major health issue in sub-Saharan Africa, heavily affecting children under five, who account for over two-thirds of malaria deaths. In Ghana, 29.7% of young children are impacted, with 25% of asymptomatic cases in those under 15. Factors like socioeconomic status, anemia, and limited access to insecticide-treated nets increase vulnerability. Co-infections with </w:t>
      </w:r>
      <w:r w:rsidRPr="006505C0">
        <w:rPr>
          <w:rFonts w:ascii="Calibri" w:eastAsia="Times New Roman" w:hAnsi="Calibri" w:cs="Calibri"/>
          <w:i/>
          <w:iCs/>
          <w:color w:val="000000"/>
          <w:kern w:val="0"/>
          <w:sz w:val="22"/>
          <w:szCs w:val="22"/>
          <w14:ligatures w14:val="none"/>
        </w:rPr>
        <w:t>Schistosoma spp</w:t>
      </w:r>
      <w:r w:rsidRPr="006505C0">
        <w:rPr>
          <w:rFonts w:ascii="Calibri" w:eastAsia="Times New Roman" w:hAnsi="Calibri" w:cs="Calibri"/>
          <w:color w:val="000000"/>
          <w:kern w:val="0"/>
          <w:sz w:val="22"/>
          <w:szCs w:val="22"/>
          <w14:ligatures w14:val="none"/>
        </w:rPr>
        <w:t>. and soil-transmitted helminths affect 4.5% of children in Southern Ghana, influencing immune responses. Key cytokines regulate infections: IL-4 controls helminths but weakens malaria defense; IL-6 aids infection control but raises inflammation; IL-8 recruits neutrophils but may cause tissue damage; IL-10 reduces inflammation but may prolong infections. A study involving 47 children aged 2-12 from Asutuare and Tomefa explored helminth-malaria co-infections and immune responses. Blood and stool samples were analyzed using ELISA and molecular techniques to assess cytokine levels and detect infections. Helminth infections (40.4%) were more prevalent than malaria (14.9%; p = 0.0104). In Tomefa, 7 out of 23 children had malaria, and 10 had helminth infections, while Asutuare recorded no malaria cases but had 9 helminth infections. IL-4 levels were significantly higher in Asutuare (p = 0.0290), whereas Tomefa showed elevated IL-8 levels (p = 0.0017). Malaria-positive children in Tomefa had increased IL-4 levels (p = 0.0068), while malaria-negative ones showed a trend toward higher IL-8 (p = 0.0959). Only two children had both infections, with no significant cytokine differences between helminth-infected and uninfected groups. Our study shows that Malaria and helminths have distinct immune effects, stressing the need for tailored, region-specific health interventions to optimize immune protection strategies.</w:t>
      </w:r>
    </w:p>
    <w:p w14:paraId="23AAD96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25-A-3605-ASTMH</w:t>
      </w:r>
    </w:p>
    <w:p w14:paraId="6C6268A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Surveillance and Data Utilization</w:t>
      </w:r>
    </w:p>
    <w:p w14:paraId="1654D52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Stakeholders' engagement in the establishment and implementation of Malaria Molecular Surveillance in Mainland Tanzania: Findings and experience from the country-wide roll-out of the first phase of the project from 2020 to 2024</w:t>
      </w:r>
    </w:p>
    <w:p w14:paraId="4F8161E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effectiveness of malaria elimination depends on a robust surveillance system. Leveraging innovative methods like malaria molecular surveillance (MMS) is crucial for informing the ongoing elimination efforts. Successful deployment and utilization of MMS data depend on strong stakeholder engagement (SE) to bridge the gap between complex research findings and actionable public health strategies. This paper presents a structured approach to SE that was used and support the design and implementation of a project on molecular surveillance of malaria in Tanzania from 2020 to 2024. A structured SE approach was used from inception through completion of the project. Initially, researchers and government’s officials defined high-priority MMS use cases and mapped local and international stakeholders. Thereafter, coordination mechanisms were established, including a Project Advisory Committee (PAC), a Joint Project Implementation Committee (J-PIC), and a technical oversight committee composed of local and international MMS experts. Local researchers were supported by external collaborators and implemented the project under the guidance of the different committees. The PAC was led by the Chief Medical Officer of the Ministry of Health and provided high-level strategic leadership. The J-PIC oversaw operational execution while the technical oversight committee guided the technical and training aspects. Technology transfer was prioritized, with initial sample analysis in USA (2021-2022) before transitioning all laboratory activities to Tanzania (from 2023 onwards). The multifaceted approach, which emphasized SE at different levels, enhanced the effectiveness and supported the successful design and implementation of the project. Thus, continuous and inclusive SE should be a critical part of MMS and other interventions for accelerating progress towards malaria elimination in Tanzania</w:t>
      </w:r>
    </w:p>
    <w:p w14:paraId="3194B72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25-A-3606-ASTMH</w:t>
      </w:r>
    </w:p>
    <w:p w14:paraId="31421DE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Malaria - Parasite Transmission Biology</w:t>
      </w:r>
    </w:p>
    <w:p w14:paraId="50828B4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It’s complicated: Identifying drivers of investment in sexual reproduction in complex </w:t>
      </w:r>
      <w:r w:rsidRPr="006505C0">
        <w:rPr>
          <w:rFonts w:ascii="Calibri" w:eastAsia="Times New Roman" w:hAnsi="Calibri" w:cs="Calibri"/>
          <w:i/>
          <w:iCs/>
          <w:color w:val="000000"/>
          <w:kern w:val="0"/>
          <w:sz w:val="22"/>
          <w:szCs w:val="22"/>
          <w14:ligatures w14:val="none"/>
        </w:rPr>
        <w:t>Plasmodium falciparum </w:t>
      </w:r>
      <w:r w:rsidRPr="006505C0">
        <w:rPr>
          <w:rFonts w:ascii="Calibri" w:eastAsia="Times New Roman" w:hAnsi="Calibri" w:cs="Calibri"/>
          <w:color w:val="000000"/>
          <w:kern w:val="0"/>
          <w:sz w:val="22"/>
          <w:szCs w:val="22"/>
          <w14:ligatures w14:val="none"/>
        </w:rPr>
        <w:t>infections</w:t>
      </w:r>
    </w:p>
    <w:p w14:paraId="3B26D50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Gametocytes are the stage of the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parasite responsible for human-to-mosquito transmission of malaria; however not all parasites in an infection produce gametocytes. The factors that drive parasite investment in sexual reproduction versus continued asexual replication are not well understood. Prior studies have implicated age, immune status, symptoms, antimalarial treatment, parasite density, and season, in gametocytemia. Infection complexity may also play a role through intra-host competition, though the data from mouse models and theoretical studies conflict with epidemiological findings with regards to the positive or negative effect of this association. In this study, we investigated the impact of infection complexity and clone composition on the presence of gametocytes from a given clone. We genotyped both genomic DNA and RNA from blood samples collected from a cohort study in Malawi using amplicon sequencing of a polymorphic region of the 6-cysteine protein P230, which is expressed primarily in mature gametocytes. We then compared the haplotypes present in the DNA and RNA pairs from each infection, to identify parasites at all stages within the infection and those in the gametocyte stage. We hypothesized that in complex infections, clones representing a majority of the overall infection would be most likely to produce gametocytes, while minor clones (being outcompeted for resources) would continue asexual replication. Using a binomial generalized linear mixed effects model we found increased odds (OR = 1.93 [1.04 -3.60]) of identifying gametocytes which corresponded to the dominant clones within the overall infection. Additionally, we found that the total complexity of the overall infection was the only examined variable associated with increased complexity of the gametocyte population. This finding is consistent with the hypothesis that sexual investment occurs in the parasite clone with the competitive advantage in the infection. Understanding the biological mechanisms underlying this association will require further study and may inform the design of transmission-reducing interventions.</w:t>
      </w:r>
    </w:p>
    <w:p w14:paraId="5BC72F0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25-A-3607-ASTMH</w:t>
      </w:r>
    </w:p>
    <w:p w14:paraId="0364164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Kinetoplastida and Other Protozoa - Diagnosis and New Detection Tools (Including Leishmania and Trypanosomes)</w:t>
      </w:r>
    </w:p>
    <w:p w14:paraId="31B8845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Lyophilized colorimetric and fluorometric loop-mediated isothermal amplification (LAMP): A point-of-care test for molecular diagnosis of </w:t>
      </w:r>
      <w:r w:rsidRPr="006505C0">
        <w:rPr>
          <w:rFonts w:ascii="Calibri" w:eastAsia="Times New Roman" w:hAnsi="Calibri" w:cs="Calibri"/>
          <w:b/>
          <w:bCs/>
          <w:i/>
          <w:iCs/>
          <w:color w:val="000000"/>
          <w:kern w:val="0"/>
          <w:sz w:val="22"/>
          <w:szCs w:val="22"/>
          <w14:ligatures w14:val="none"/>
        </w:rPr>
        <w:t>Blastocystis</w:t>
      </w:r>
      <w:r w:rsidRPr="006505C0">
        <w:rPr>
          <w:rFonts w:ascii="Calibri" w:eastAsia="Times New Roman" w:hAnsi="Calibri" w:cs="Calibri"/>
          <w:b/>
          <w:bCs/>
          <w:color w:val="000000"/>
          <w:kern w:val="0"/>
          <w:sz w:val="22"/>
          <w:szCs w:val="22"/>
          <w14:ligatures w14:val="none"/>
        </w:rPr>
        <w:t> species in the clinical setting</w:t>
      </w:r>
    </w:p>
    <w:p w14:paraId="0EBA5E9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i/>
          <w:iCs/>
          <w:color w:val="000000"/>
          <w:kern w:val="0"/>
          <w:sz w:val="22"/>
          <w:szCs w:val="22"/>
          <w14:ligatures w14:val="none"/>
        </w:rPr>
        <w:t>Blastocystis species</w:t>
      </w:r>
      <w:r w:rsidRPr="006505C0">
        <w:rPr>
          <w:rFonts w:ascii="Calibri" w:eastAsia="Times New Roman" w:hAnsi="Calibri" w:cs="Calibri"/>
          <w:color w:val="000000"/>
          <w:kern w:val="0"/>
          <w:sz w:val="22"/>
          <w:szCs w:val="22"/>
          <w14:ligatures w14:val="none"/>
        </w:rPr>
        <w:t> (sp.) is a genetically diverse unicellular protozoan parasite colonizing the intestines of humans and various non-human animals. Current diagnosis of </w:t>
      </w:r>
      <w:r w:rsidRPr="006505C0">
        <w:rPr>
          <w:rFonts w:ascii="Calibri" w:eastAsia="Times New Roman" w:hAnsi="Calibri" w:cs="Calibri"/>
          <w:i/>
          <w:iCs/>
          <w:color w:val="000000"/>
          <w:kern w:val="0"/>
          <w:sz w:val="22"/>
          <w:szCs w:val="22"/>
          <w14:ligatures w14:val="none"/>
        </w:rPr>
        <w:t>Blastocystis </w:t>
      </w:r>
      <w:r w:rsidRPr="006505C0">
        <w:rPr>
          <w:rFonts w:ascii="Calibri" w:eastAsia="Times New Roman" w:hAnsi="Calibri" w:cs="Calibri"/>
          <w:color w:val="000000"/>
          <w:kern w:val="0"/>
          <w:sz w:val="22"/>
          <w:szCs w:val="22"/>
          <w14:ligatures w14:val="none"/>
        </w:rPr>
        <w:t>sp. largely relies on wet mount microscopy of stool specimens. While PCR and RT-PCR methods are available, their use is primarily limited to research. This study aimed to develop rapid and accurate lyophilized fluorometric and colorimetric loop-mediated isothermal amplification (LAMP) assays as a point-of-care test for molecular diagnosis of </w:t>
      </w:r>
      <w:r w:rsidRPr="006505C0">
        <w:rPr>
          <w:rFonts w:ascii="Calibri" w:eastAsia="Times New Roman" w:hAnsi="Calibri" w:cs="Calibri"/>
          <w:i/>
          <w:iCs/>
          <w:color w:val="000000"/>
          <w:kern w:val="0"/>
          <w:sz w:val="22"/>
          <w:szCs w:val="22"/>
          <w14:ligatures w14:val="none"/>
        </w:rPr>
        <w:t>Blastocystis </w:t>
      </w:r>
      <w:r w:rsidRPr="006505C0">
        <w:rPr>
          <w:rFonts w:ascii="Calibri" w:eastAsia="Times New Roman" w:hAnsi="Calibri" w:cs="Calibri"/>
          <w:color w:val="000000"/>
          <w:kern w:val="0"/>
          <w:sz w:val="22"/>
          <w:szCs w:val="22"/>
          <w14:ligatures w14:val="none"/>
        </w:rPr>
        <w:t>sp. A total of 194 stool samples were collected from asymptomatic individuals and patients with gastrointestinal conditions, and their genomic copro-DNA was extracted. Specific primers for LAMP were designed, and extracted fecal DNA samples were comparatively analyzed using RT-PCR, as well as lyophilized fluorometric LAMP and colorimetric LAMP assays for the first time. In comparison to RT-PCR, the LAMP assays enabled rapid (&lt;40 min) and sensitive fluorometric and visual detection of </w:t>
      </w:r>
      <w:r w:rsidRPr="006505C0">
        <w:rPr>
          <w:rFonts w:ascii="Calibri" w:eastAsia="Times New Roman" w:hAnsi="Calibri" w:cs="Calibri"/>
          <w:i/>
          <w:iCs/>
          <w:color w:val="000000"/>
          <w:kern w:val="0"/>
          <w:sz w:val="22"/>
          <w:szCs w:val="22"/>
          <w14:ligatures w14:val="none"/>
        </w:rPr>
        <w:t>Blastocystis </w:t>
      </w:r>
      <w:r w:rsidRPr="006505C0">
        <w:rPr>
          <w:rFonts w:ascii="Calibri" w:eastAsia="Times New Roman" w:hAnsi="Calibri" w:cs="Calibri"/>
          <w:color w:val="000000"/>
          <w:kern w:val="0"/>
          <w:sz w:val="22"/>
          <w:szCs w:val="22"/>
          <w14:ligatures w14:val="none"/>
        </w:rPr>
        <w:t>sp., demonstrating high sensitivity (~92%), selectivity (100%), and accuracy (~95%). These characteristics suggest that the developed LAMP is a speedy and accurate alternative point-of-care molecular diagnostic test for </w:t>
      </w:r>
      <w:r w:rsidRPr="006505C0">
        <w:rPr>
          <w:rFonts w:ascii="Calibri" w:eastAsia="Times New Roman" w:hAnsi="Calibri" w:cs="Calibri"/>
          <w:i/>
          <w:iCs/>
          <w:color w:val="000000"/>
          <w:kern w:val="0"/>
          <w:sz w:val="22"/>
          <w:szCs w:val="22"/>
          <w14:ligatures w14:val="none"/>
        </w:rPr>
        <w:t>Blastocystis</w:t>
      </w:r>
      <w:r w:rsidRPr="006505C0">
        <w:rPr>
          <w:rFonts w:ascii="Calibri" w:eastAsia="Times New Roman" w:hAnsi="Calibri" w:cs="Calibri"/>
          <w:color w:val="000000"/>
          <w:kern w:val="0"/>
          <w:sz w:val="22"/>
          <w:szCs w:val="22"/>
          <w14:ligatures w14:val="none"/>
        </w:rPr>
        <w:t> sp. The results can be detected visually by the naked eye with lyophilized compatibility, making it of potential utility in resource-limited settings, hospitals, and field testing.</w:t>
      </w:r>
    </w:p>
    <w:p w14:paraId="1ECC98C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25-A-3608-ASTMH</w:t>
      </w:r>
    </w:p>
    <w:p w14:paraId="2A0E122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Enteric Infections</w:t>
      </w:r>
    </w:p>
    <w:p w14:paraId="78DAAE9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Comparing existing and novel methods for estimating etiology-specific diarrheal disease incidence using hybrid study data</w:t>
      </w:r>
    </w:p>
    <w:p w14:paraId="7869BE6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Accurate estimates of infectious disease incidence are critical for prioritizing and powering studies of public health interventions, including vaccines. Hybrid studies estimate incidence by enrolling cases in medical facilities, estimating population denominators in the community, and adjusting for healthcare seeking behaviors, which are prone to bias. The Enterics for Global Health (EFGH) Study was conducted to generate updated incidence estimates of </w:t>
      </w:r>
      <w:r w:rsidRPr="006505C0">
        <w:rPr>
          <w:rFonts w:ascii="Calibri" w:eastAsia="Times New Roman" w:hAnsi="Calibri" w:cs="Calibri"/>
          <w:i/>
          <w:iCs/>
          <w:color w:val="000000"/>
          <w:kern w:val="0"/>
          <w:sz w:val="22"/>
          <w:szCs w:val="22"/>
          <w14:ligatures w14:val="none"/>
        </w:rPr>
        <w:t>Shigella</w:t>
      </w:r>
      <w:r w:rsidRPr="006505C0">
        <w:rPr>
          <w:rFonts w:ascii="Calibri" w:eastAsia="Times New Roman" w:hAnsi="Calibri" w:cs="Calibri"/>
          <w:color w:val="000000"/>
          <w:kern w:val="0"/>
          <w:sz w:val="22"/>
          <w:szCs w:val="22"/>
          <w14:ligatures w14:val="none"/>
        </w:rPr>
        <w:t> diarrhea among children in anticipation of future vaccine trials. We simulated hybrid study data based on EFGH to evaluate approaches for healthcare seeking adjustment and variance estimation in hybrid studies and then applied these methods to EFGH. First, we compared bias between true and estimated incidence when adjusting for healthcare seeking using 1) the inverse of the marginal probability of health care seeking, and 2) the inverse of individual-level propensity for healthcare seeking scores from a logistic regression with covariates for disease severity and sociodemographic characteristics. Second, we compared coverage, precision, and computation time of variance estimated with M-estimation, the nonparametric bootstrap, and Monte Carlo simulation. Adjusting for healthcare seeking using the inverse of individual-level propensity for healthcare seeking scores greatly reduced bias compared to the inverse of the marginal probability for healthcare seeking. M-estimation 95% confidence intervals generally had closest to nominal coverage of the truth (90-94%), though bootstrap 95% confidence intervals performed similarly (88-95%), and Monte Carlo 95% simulation intervals had the worst coverage (81-89%). Precision was often highest for Monte Carlo and similar between M-estimation and bootstrap. When applied to EFGH, M-estimation confidence intervals were more precise than bootstrap. Computation time was significantly higher for M-estimation using the </w:t>
      </w:r>
      <w:r w:rsidRPr="006505C0">
        <w:rPr>
          <w:rFonts w:ascii="Calibri" w:eastAsia="Times New Roman" w:hAnsi="Calibri" w:cs="Calibri"/>
          <w:i/>
          <w:iCs/>
          <w:color w:val="000000"/>
          <w:kern w:val="0"/>
          <w:sz w:val="22"/>
          <w:szCs w:val="22"/>
          <w14:ligatures w14:val="none"/>
        </w:rPr>
        <w:t>geex</w:t>
      </w:r>
      <w:r w:rsidRPr="006505C0">
        <w:rPr>
          <w:rFonts w:ascii="Calibri" w:eastAsia="Times New Roman" w:hAnsi="Calibri" w:cs="Calibri"/>
          <w:color w:val="000000"/>
          <w:kern w:val="0"/>
          <w:sz w:val="22"/>
          <w:szCs w:val="22"/>
          <w14:ligatures w14:val="none"/>
        </w:rPr>
        <w:t> R package than bootstrap or Monte Carlo. Our results will be crucial for designing upcoming </w:t>
      </w:r>
      <w:r w:rsidRPr="006505C0">
        <w:rPr>
          <w:rFonts w:ascii="Calibri" w:eastAsia="Times New Roman" w:hAnsi="Calibri" w:cs="Calibri"/>
          <w:i/>
          <w:iCs/>
          <w:color w:val="000000"/>
          <w:kern w:val="0"/>
          <w:sz w:val="22"/>
          <w:szCs w:val="22"/>
          <w14:ligatures w14:val="none"/>
        </w:rPr>
        <w:t>Shigella</w:t>
      </w:r>
      <w:r w:rsidRPr="006505C0">
        <w:rPr>
          <w:rFonts w:ascii="Calibri" w:eastAsia="Times New Roman" w:hAnsi="Calibri" w:cs="Calibri"/>
          <w:color w:val="000000"/>
          <w:kern w:val="0"/>
          <w:sz w:val="22"/>
          <w:szCs w:val="22"/>
          <w14:ligatures w14:val="none"/>
        </w:rPr>
        <w:t> vaccine trials and can be broadly applicable to other hybrid studies of infectious disease.</w:t>
      </w:r>
    </w:p>
    <w:p w14:paraId="0BBB9CD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25-A-3609-ASTMH</w:t>
      </w:r>
    </w:p>
    <w:p w14:paraId="377CA8F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Evolution and Genomic Epidemiology</w:t>
      </w:r>
    </w:p>
    <w:p w14:paraId="446AE2C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Using Phylogenies to Evaluate Dengue Fitness in Thailand</w:t>
      </w:r>
    </w:p>
    <w:p w14:paraId="538B887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Nearly half of the global population is at risk of mosquito-borne dengue virus (DENV) infection. As its prevalence increases, untangling the relationships between DENV genetic diversity, fitness, and epidemiology enhances outbreak prevention and prediction. Yet, quantifying DENV strain fitness and the mutations conveying fitness advantages remains challenging. We repurposed a phylogenetic fitness model for other pathogens—such as SARS-CoV-2 — to model DENV dynamics in Thailand over more than 60 years for all four co-circulating serotypes, detect novel lineage groupings, and link their emergence to key amino acid changes. The model relies on time resolved phylogenies and assumes that more fit strains will rapidly expand according to coalescent theory. As a result, the model is lineage agnostic and creates groupings based on fitness effects. Modeling clinical isolate sequences collected in Thailand from 1965-2014, novel lineage definitions within each of the four serotypes were determined: re-grouping them into 9, 4, 8, and 3 lineages for DENV 1-4 respectively, compared the 5, 6, 4, and 2, respective genotypes currently recognized. In DENV3, these modelled lineages align closely with previously suggested linage-defining-mutations in the envelope protein (E) involved in antigenic variation. We next estimated the fitness of each lineage using a logistic growth model to determine their relative fitness compared to other cocirculating strains. The model predictions aligned closely with observed dynamics for all serotypes except DENV4, which deviated from predictions in the early 2000s. Finally, we identified several lineage defining mutations for each serotype. Our work suggests that some DENV fitness dynamics can be modeled, and that the emergence of new and fitter lineages could be identified in rapid response to an outbreak. Yet, there are aspects of DENV dynamics, particularly DENV4, which are not well modeled by preexisting phylogenetic models. Ongoing research is examining parameters governing the loss of model fit for DENV4 and experimentally determining the mechanism of mutations conveying greater fitness to DENV strains.</w:t>
      </w:r>
    </w:p>
    <w:p w14:paraId="2B00488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25-A-3610-ASTMH</w:t>
      </w:r>
    </w:p>
    <w:p w14:paraId="44EC2FF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Malaria - Antimalarial Resistance and Chemotherapy</w:t>
      </w:r>
    </w:p>
    <w:p w14:paraId="33F8583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Private sector readiness for multiple first-line therapies for malaria: data from three countries</w:t>
      </w:r>
    </w:p>
    <w:p w14:paraId="595E09A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Artemisinin partial resistance and treatment failure is evident in multiple African sites, presenting a grave challenge to malaria control and human health. WHO recommends multiple first-line therapies (MFT) as a resistance containment strategy, to diversify parasite population drug exposure. In countries where a large proportion of the population seeks malaria treatment outside of the public health system, assessing private sector readiness for MFT is essential to guide policy.We analyzed cross-sectional data from the ACTwatch Lite studies in Benin, Cameroon (Centre and Littoral regions), and Nigeria (Abia, Kano and Lagos states). The studies gathered comprehensive private sector market data. We present a novel indicator for MFT readiness, defined as the % of outlets with 2 or more ACT types (e.g. artemether-lumefantrine [AL], DP, ASAQ, etc.) in stock on the day of the survey. A total of 433 (Benin), 1,207 (Cameroon), and 4,186 (Nigeria) retail outlets were surveyed, auditing 13,346, 9,269 and 24,789 antimalarial products. ACT availability ranged from 67.1%-97.5% (Cameroon and Abia, respectively). AL was the most commonly available ACT in all sites. MFT readiness was 31.0% in Benin, 19.3% in Cameroon and 28.2%, 18.2% and 35.7% in Abia, Kano and Lagos. Pharmacies had the highest level of readiness overall, while the Cameroon’s informal sector, Nigeria’s PPMVs and Benin’s for-profit health facilities had the lowest.Strong variability was seen in private sector MFT readiness, with some outlets already supporting ACT diversification, while others continue to only stock AL. To reach a scale necessary to mitigate antimalarial resistance, MFT policy needs consider the private sector in contexts where this constitutes a large part of the case management market, and implement ACT diversification strategies accordingly.</w:t>
      </w:r>
    </w:p>
    <w:p w14:paraId="07A44DC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25-A-3611-ASTMH</w:t>
      </w:r>
    </w:p>
    <w:p w14:paraId="4549123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Measures for Control and Elimination of Neglected Tropical Diseases (NTDs)</w:t>
      </w:r>
    </w:p>
    <w:p w14:paraId="1F4D1EB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Success of and lessons on onchocerciasis elimination through community-directed treatment with ivermectin in Jimma zone, Oromia, Ethiopia</w:t>
      </w:r>
    </w:p>
    <w:p w14:paraId="6CA08F5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Jimma zone in Oromia, Ethiopia, consists of 23 districts endemic for onchocerciasis. Baseline nodule prevalence in the districts ranged from 2% to 48%. The Community-Directed Treatment with Ivermectin (CDTI) program in Jimma started annual mass drug administration (MDA) in 3 districts in 2004 and scaled into all districts in 2015 on a biannual schedule following the program’s shift from control to elimination. Districts received 15-30 rounds with high reported treatment coverage (79-89%). From 2019-2024, all districts passed pre-stop MDA surveys with ≤1% Ov16 prevalence in 500 children aged 5-9 years (100 from each of 5 high-risk villages) per district. From 2019 to 2024, stop-MDA surveys were completed in 20 districts, categorized into 9 operational transmission zones (OTZs). A total of 28,818 dried blood spots (DBS) from children aged 5-9 years of age were collected by multistage cluster-based survey method, ensuring a minimum of 3,000 DBS per OTZ. Samples were then analyzed for the presence of Ov16 antibodies by ELISA. Of these, 57 samples were positive (24 positives in one OTZ, and the remaining positives were distributed across eight OTZs (18 districts). Skin snips were collected for PCR analysis and were found to be negative. For OTZ that passed, river prospection was done to identify blackfly breeding sites and establish collection points for stop-MDA entomological surveys. A total of 75,966 flies were collected by human landing catch method over a collection period of 8-12 months, obtaining a minimum of 6,000 flies per OTZ. Of these, 37,970 have been analyzed to date. So far, 9 districts (6 OTZs) have met the WHO 2016 serologic criteria of &lt;0.1% and entomological criteria of &lt;1/2000 infective fly for transmission interruption, exempting nearly 1.5 million people from biannual MDA. These areas now progress to post-treatment surveillance. MDA continues in 11 districts (2 failed the serological criterion, 6 passed serology but failed the entomological criterion and 3 passed serology with entomology ongoing). The CDTI program has made great progress toward the goal of eliminating transmission of onchocerciasis in Jimma zone.</w:t>
      </w:r>
    </w:p>
    <w:p w14:paraId="66A92C7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25-A-3612-ASTMH</w:t>
      </w:r>
    </w:p>
    <w:p w14:paraId="031CB6B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Malaria - Antimalarial Resistance and Chemotherapy</w:t>
      </w:r>
    </w:p>
    <w:p w14:paraId="7F9A554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Mitochondrial disruption and PfPRELI as a resistance node to serine hydrolase inhibitors in </w:t>
      </w:r>
      <w:r w:rsidRPr="006505C0">
        <w:rPr>
          <w:rFonts w:ascii="Calibri" w:eastAsia="Times New Roman" w:hAnsi="Calibri" w:cs="Calibri"/>
          <w:b/>
          <w:bCs/>
          <w:i/>
          <w:iCs/>
          <w:color w:val="000000"/>
          <w:kern w:val="0"/>
          <w:sz w:val="22"/>
          <w:szCs w:val="22"/>
          <w14:ligatures w14:val="none"/>
        </w:rPr>
        <w:t>P. falciparum</w:t>
      </w:r>
    </w:p>
    <w:p w14:paraId="5EC5A97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emergence and rapid spread of artemisinin partial resistance has compromised the efficacy of first-line artemisinin-based combination therapies against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underscoring the urgent need for new antimalarial treatments with novel modes of action. Salinipostin A (Sal A) and its synthetic analog, compound 22, inhibit parasite serine hydrolases and exhibit potent activity against asexual blood stage parasites, particularly during schizogony. </w:t>
      </w:r>
      <w:r w:rsidRPr="006505C0">
        <w:rPr>
          <w:rFonts w:ascii="Calibri" w:eastAsia="Times New Roman" w:hAnsi="Calibri" w:cs="Calibri"/>
          <w:i/>
          <w:iCs/>
          <w:color w:val="000000"/>
          <w:kern w:val="0"/>
          <w:sz w:val="22"/>
          <w:szCs w:val="22"/>
          <w14:ligatures w14:val="none"/>
        </w:rPr>
        <w:t>In vitro r</w:t>
      </w:r>
      <w:r w:rsidRPr="006505C0">
        <w:rPr>
          <w:rFonts w:ascii="Calibri" w:eastAsia="Times New Roman" w:hAnsi="Calibri" w:cs="Calibri"/>
          <w:color w:val="000000"/>
          <w:kern w:val="0"/>
          <w:sz w:val="22"/>
          <w:szCs w:val="22"/>
          <w14:ligatures w14:val="none"/>
        </w:rPr>
        <w:t>esistance selections with Sal A and compound 22 in a hypermutable Dd2-Polδ line identified mutations in a predicted mitochondrial PRELI domain-containing protein (PfPRELI, PF3D7_1324400). Similar mutations arose under selection with other serine hydrolase inhibitors (sCMZ619, sCMZ625 and sCMZ629), confirming PfPRELI’s central role in mediating resistance, as further supported by cross resistance assays and conditional knockdown experiments. We show that PfPRELI localizes to the mitochondria in asexual blood stages, and its depletion impairs mitochondrial segregation into daughter merozoites during schizogony, leading to parasite death. These findings highlight PRELI’s essential role in mitochondrial inheritance. Additionally, sCMZ625 and sCMZ629 appear to exhibit distinct activation pathways: our data provide evidence that sCMZ625 is hydrolyzed by the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prodrug activation and resistance esterase (PARE) resulting in reduced potency, while sCMZ629 is activated by the host erythrocyte enzyme acylpeptide hydrolase (APEH) leading to enhanced activity. Collectively, these findings identify </w:t>
      </w:r>
      <w:r w:rsidRPr="006505C0">
        <w:rPr>
          <w:rFonts w:ascii="Calibri" w:eastAsia="Times New Roman" w:hAnsi="Calibri" w:cs="Calibri"/>
          <w:i/>
          <w:iCs/>
          <w:color w:val="000000"/>
          <w:kern w:val="0"/>
          <w:sz w:val="22"/>
          <w:szCs w:val="22"/>
          <w14:ligatures w14:val="none"/>
        </w:rPr>
        <w:t>Pf</w:t>
      </w:r>
      <w:r w:rsidRPr="006505C0">
        <w:rPr>
          <w:rFonts w:ascii="Calibri" w:eastAsia="Times New Roman" w:hAnsi="Calibri" w:cs="Calibri"/>
          <w:color w:val="000000"/>
          <w:kern w:val="0"/>
          <w:sz w:val="22"/>
          <w:szCs w:val="22"/>
          <w14:ligatures w14:val="none"/>
        </w:rPr>
        <w:t>PRELI as an essential mitochondrial protein required for asexual blood stage development. They also validate serine hydrolase inhibitors as promising antimalarial candidates with high barriers to resistance and diverse prodrug activation mechanisms, offering innovative strategies to combat multidrug-resistant </w:t>
      </w:r>
      <w:r w:rsidRPr="006505C0">
        <w:rPr>
          <w:rFonts w:ascii="Calibri" w:eastAsia="Times New Roman" w:hAnsi="Calibri" w:cs="Calibri"/>
          <w:i/>
          <w:iCs/>
          <w:color w:val="000000"/>
          <w:kern w:val="0"/>
          <w:sz w:val="22"/>
          <w:szCs w:val="22"/>
          <w14:ligatures w14:val="none"/>
        </w:rPr>
        <w:t>P. falciparum </w:t>
      </w:r>
      <w:r w:rsidRPr="006505C0">
        <w:rPr>
          <w:rFonts w:ascii="Calibri" w:eastAsia="Times New Roman" w:hAnsi="Calibri" w:cs="Calibri"/>
          <w:color w:val="000000"/>
          <w:kern w:val="0"/>
          <w:sz w:val="22"/>
          <w:szCs w:val="22"/>
          <w14:ligatures w14:val="none"/>
        </w:rPr>
        <w:t>infections.</w:t>
      </w:r>
    </w:p>
    <w:p w14:paraId="6002CE3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25-A-3613-ASTMH</w:t>
      </w:r>
    </w:p>
    <w:p w14:paraId="66AEC0B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Immunology</w:t>
      </w:r>
    </w:p>
    <w:p w14:paraId="592516E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Longitudinal characterization of SARS-CoV-2 antibody landscapes</w:t>
      </w:r>
    </w:p>
    <w:p w14:paraId="7EECB2F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immunological effects of repeated SARS-CoV-2 exposures—via infection with antigenically distinct variants and/or vaccination—remain unclear. Existing immune responses may reinforce or blunt responses and be modulated by subsequent exposures. We longitudinally characterized SARS-CoV-2 antibody (Ab) landscapes in a community cohort in Salvador, Brazil, using a pseudo-neutralization assay based on the electro-chemiluminescence Mesoscale Discovery platform. Percent inhibition against 12 variants (five pre-Omicron, seven Omicron) was measured across five serosurveys to construct ab- landscapes at each time point. We estimated volume under the surface (VUS, response magnitude) and landscape slope, with lower slopes indicating more uniform neutralization across variants. We used multivariable models to associate VUS, slope, and individual responses with age, sex, prior exposure (anti-SARS-CoV-2 IgG OD), and vaccination status. From 2020 to 2024, we characterized Ab-landscapes of 192 participants at five time points. VUS rose from 8.2% (95%CI 7.2 - 9.3%, post ancestral) to 76% (95%CI 73 -89%, post BQ.1). Slopes rose from 0.30 to 0.47 until Omicron BA.1's emergence, then declined to B=0.35 by the fifth survey. Multivariable analysis showed vaccine doses and prior Ab levels positively predicted VUS, indicating cumulative exposure effects. Increases in % inhibition for one variant consistently correlated with increases in others, with no negative associations. Initially focused on pre-Omicron variants, inhibition later expanded across the entire landscape, including Omicron, indicating broader and stronger responses. This pattern is inconsistent with the immune imprinting hypothesis, as higher inhibition against specific variants correlated positively with responses to both earlier and emerging variants, suggesting a broadly boosting, cross-reactive immune profile.</w:t>
      </w:r>
    </w:p>
    <w:p w14:paraId="599ADB7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25-A-3615-ASTMH</w:t>
      </w:r>
    </w:p>
    <w:p w14:paraId="24E32CF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Epidemiology</w:t>
      </w:r>
    </w:p>
    <w:p w14:paraId="3A3FEDE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Increasing dengue virus seroprevalence in a cohort of agricultural workers in rural southwest Guatemala</w:t>
      </w:r>
    </w:p>
    <w:p w14:paraId="41973E7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 2024, Guatemala declared a national public health emergency for dengue virus (DENV) in response to a 5-fold increase in cases. As most infections are asymptomatic, it is difficult to estimate the true underlying seroprevalence of infection. Knowing individual- and population-level serostatus is critical for vaccine intervention efforts, as only those who are seropositive should receive the vaccine. Understanding characteristics of the seropositive population will help target disease-prevention interventions. We analyzed serum blood samples from the AGRI cohort, a longitudinal study of agricultural workers in southwest Guatemala, using an IgG-based multiplex bead assay conjugated to DENV1-4/ZIKV EDIII. A decision-tree algorithm classified infection as primary DENV if the mean fluorescence intensity (MFI) for a DENV serotype accounted for &gt;33% of total MFI for all flaviviruses. We calculated annual population-level seroprevalence of primary DENV infection, adjusting for test sensitivity and specificity, and examined associations between seropositivity and demographic, occupational, and socioeconomic factors. Among 696 participants with at least one sample, primary DENV seroprevalence increased from 51% in 2020 to 63% in 2021 and 76% in 2022. There was a significant difference in primary DENV seropositivity among field foremen (92% seropositive, 8% seronegative, p&lt;0.01) vs other job types (approximately 70% seropositivity). No other significant associations were found at p&lt;0.05. We currently have an additional ~7,000 samples collected through 2024 in laboratory analysis and will be incorporating geospatial data for spatial analysis. While specific risk factors remain unclear, our findings highlight increasing DENV seroprevalence in the population, underscoring the need for ongoing surveillance and targeted interventions.</w:t>
      </w:r>
    </w:p>
    <w:p w14:paraId="6243485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25-A-3616-ASTMH</w:t>
      </w:r>
    </w:p>
    <w:p w14:paraId="4A3C3DC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Security/Emerging Infection Preparedness, Surveillance and Response(s)</w:t>
      </w:r>
    </w:p>
    <w:p w14:paraId="0419D56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Barriers and enablers for integration of 7-1-7 global targets for disease outbreak response into health systems in Nigeria, Liberia, and Sierra Leone.</w:t>
      </w:r>
    </w:p>
    <w:p w14:paraId="6E1CA46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7-1-7 is a real-time assessment of a country's ability to detect and respond to infectious disease threats by identifying outbreaks within 7 days, reporting them within 1 day, and effectively responding within 7 days. The earlier 7-1-7 implementation reviews highlighted gaps in coordination, communication, and community engagement. A broader analysis is needed to comprehensively understand the challenges of integrating the 7-1-7 approach across different health systems and political contexts. We examined the barriers and enablers of integrating 7-1-7 into health systems in Nigeria, Liberia, and Sierra Leone, chosen for their varying stages of implementation, political regimes, governance structures and health system models. Using a retrospective implementation research design we collected data through desk review, and virtual key informant interviews with government officials, development partners, private sector and representatives from animal and environmental sectors, totalling 28 participants (8-10 from each country). The 7-1-7 framework is implemented differently across Liberia, Sierra Leone, and Nigeria. In Liberia, it is part of the Integrated Disease Surveillance and Response System; Sierra Leone integrates it into DHIS2 platforms, while Nigeria includes it in systems like the National Rapid Response Teams (NRRTs) and monthly National Surveillance Outbreak Review Meeting (NaSORM). All countries use 7-1-7 data to detect outbreaks like Monkeypox and seek pandemic-related funding. However, significant challenges exist across countries in response components and at the sub-national level of integration. Poor internet connectivity, weak diagnostic systems, lack of funding and the movement of trained health workers hinder a timely response. Enablers include the committed 717 champions, the One Health Technical Working Group (TWG), and the frequent Emergency Preparedness and Response Group Meetings (EPRG). Financial investments in enhancing surveillance, laboratory systems, refresher training at all levels, and better coordination with the animal sector are essential for effective integration.</w:t>
      </w:r>
    </w:p>
    <w:p w14:paraId="5BDC41B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25-A-3617-ASTMH</w:t>
      </w:r>
    </w:p>
    <w:p w14:paraId="2BD2B13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Epidemiology</w:t>
      </w:r>
    </w:p>
    <w:p w14:paraId="4CE5AF1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lastRenderedPageBreak/>
        <w:t>Incidence of acute gastroenteritis and norovirus infections in 1,000 persons 65 to 103 yrs old living in peri-urban areas in Lima, Peru, 2025.</w:t>
      </w:r>
    </w:p>
    <w:p w14:paraId="227A3DC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Peru has 16% of its population composed with persons 60 yrs and older. It is expected that by 2050, 25% of the population will be in this age group. There is no epidemiological data about this population in Peru and many LMICs. Many diseases have higher incidence and/or severity among the elderly. Norovirus causes more severe illnesses in very young, the elderly and immuno-compromised individuals. Among adults 55 and older, norovirus is estimated to cause 81 million illnesses and 78,000 deaths globally each year. However, most studies have been done in developed countries. To evaluate the incidence and burden of acute gastroenteritis (AGE) in general, and norovirus infections in particular, we have assembled a cohort of persons 65 to 103 yrs in peri-urban Lima, Peru. After a house-to-house census done between the end of January 2025 and April 1</w:t>
      </w:r>
      <w:r w:rsidRPr="006505C0">
        <w:rPr>
          <w:rFonts w:ascii="Calibri" w:eastAsia="Times New Roman" w:hAnsi="Calibri" w:cs="Calibri"/>
          <w:color w:val="000000"/>
          <w:kern w:val="0"/>
          <w:sz w:val="22"/>
          <w:szCs w:val="22"/>
          <w:vertAlign w:val="superscript"/>
          <w14:ligatures w14:val="none"/>
        </w:rPr>
        <w:t>st</w:t>
      </w:r>
      <w:r w:rsidRPr="006505C0">
        <w:rPr>
          <w:rFonts w:ascii="Calibri" w:eastAsia="Times New Roman" w:hAnsi="Calibri" w:cs="Calibri"/>
          <w:color w:val="000000"/>
          <w:kern w:val="0"/>
          <w:sz w:val="22"/>
          <w:szCs w:val="22"/>
          <w14:ligatures w14:val="none"/>
        </w:rPr>
        <w:t>, 2025, 1000 participants (healthy, with controlled illnesses, not immune-compromised and able to provide information) have been enrolled and placed at weekly home surveillance by trained field workers after signing an ERB-approved informed consent form. A stool sample is taken within the first 10 days of a new AGE episode (defined as one or more liquid or semiliquid stool and/or one or more vomits in a 24 h period). We are also taking a monthly stool sample from all participants while healthy. Preliminary results suggest that the AGE incidence is about 3.5 episodes per elderly/yr (much higher than 0.6 episodes/person/yr reported from high income countries), and norovirus is present in 4% of them. We will present the clinical characteristics, severity, duration, and health service utilization of norovirus AGE in total and by age, gender and season, among other indicators, and compare them with norovirus-negative AGE. We will also present the attributable fraction of norovirus diarrhea comparing AGE vs age/gender/season stool controls from healthy elderly in the cohort. We expect that this information will be useful to justify a norovirus vaccine trial in elderly population.</w:t>
      </w:r>
    </w:p>
    <w:p w14:paraId="46A1A96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25-A-3618-ASTMH</w:t>
      </w:r>
    </w:p>
    <w:p w14:paraId="42ECBCA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Epidemiology and Vector Control</w:t>
      </w:r>
    </w:p>
    <w:p w14:paraId="0F0DD2D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Effects of Rearing Practices on Fitness and Pyrethroid Resistance Traits in </w:t>
      </w:r>
      <w:r w:rsidRPr="006505C0">
        <w:rPr>
          <w:rFonts w:ascii="Calibri" w:eastAsia="Times New Roman" w:hAnsi="Calibri" w:cs="Calibri"/>
          <w:b/>
          <w:bCs/>
          <w:i/>
          <w:iCs/>
          <w:color w:val="000000"/>
          <w:kern w:val="0"/>
          <w:sz w:val="22"/>
          <w:szCs w:val="22"/>
          <w14:ligatures w14:val="none"/>
        </w:rPr>
        <w:t>Anopheles gambiae s.l. </w:t>
      </w:r>
      <w:r w:rsidRPr="006505C0">
        <w:rPr>
          <w:rFonts w:ascii="Calibri" w:eastAsia="Times New Roman" w:hAnsi="Calibri" w:cs="Calibri"/>
          <w:b/>
          <w:bCs/>
          <w:color w:val="000000"/>
          <w:kern w:val="0"/>
          <w:sz w:val="22"/>
          <w:szCs w:val="22"/>
          <w14:ligatures w14:val="none"/>
        </w:rPr>
        <w:t>Maintained for Testing Pyrethroid-Chlorfenapyr.</w:t>
      </w:r>
    </w:p>
    <w:p w14:paraId="205D83B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Pyrethroid-chlorfenapyr insecticide-treated bed nets (ITNs) are an effective tool against malaria transmission in settings of pyrethroid resistance. Bio-efficacy testing against field-collected malaria vectors provides insight into their setting-specific performance. However, consistency in finding field mosquitoes to sustain testing needs is a challenge. A documented solution is maintaining them as a semi-field colony, through rearing in field water to maintain fitness and resistance characteristics. This sequels to the challenge of consistently finding field water. We evaluated the effects of switching a semi-field colony of </w:t>
      </w:r>
      <w:r w:rsidRPr="006505C0">
        <w:rPr>
          <w:rFonts w:ascii="Calibri" w:eastAsia="Times New Roman" w:hAnsi="Calibri" w:cs="Calibri"/>
          <w:i/>
          <w:iCs/>
          <w:color w:val="000000"/>
          <w:kern w:val="0"/>
          <w:sz w:val="22"/>
          <w:szCs w:val="22"/>
          <w14:ligatures w14:val="none"/>
        </w:rPr>
        <w:t>An. gambiae </w:t>
      </w:r>
      <w:r w:rsidRPr="006505C0">
        <w:rPr>
          <w:rFonts w:ascii="Calibri" w:eastAsia="Times New Roman" w:hAnsi="Calibri" w:cs="Calibri"/>
          <w:color w:val="000000"/>
          <w:kern w:val="0"/>
          <w:sz w:val="22"/>
          <w:szCs w:val="22"/>
          <w14:ligatures w14:val="none"/>
        </w:rPr>
        <w:t>s.l. from field-collected water to dechlorinated tap water on generational fitness and pyrethroid resistance characteristics. At baseline, eggs from the semi-field colony were washed and divided into two treatment arms. Arm A was maintained in water collected from a vegetable farm, and Arm B in dechlorinated tap water. These were under the same controlled insectary conditions and feeding regimes. Pyrethroid resistance characteristics (molecular and phenotypic) and fitness (wing length) were evaluated at every generation and compared across the two arms. At generation 12, there were no significant differences between the arms (OR=1.06, p&gt;0.05) or within the arms (arm A: OR= 1.05 (p&gt;0.05) and 0.9 (p&gt;0.05); arm B: OR = 0.99 (p&gt;0.05) and 0.9 (p&gt;0.05) for phenotypic resistance and molecular mechanisms respectively) across generations for pyrethroid resistance. Wing length measurements are ongoing and will be available for presentation at the conference. The arms will be followed up for 20 generations to identify the ideal resistance selection point while maintaining fitness. This study highlights the viability of maintaining field-collected, pyrethroid-resistant, </w:t>
      </w:r>
      <w:r w:rsidRPr="006505C0">
        <w:rPr>
          <w:rFonts w:ascii="Calibri" w:eastAsia="Times New Roman" w:hAnsi="Calibri" w:cs="Calibri"/>
          <w:i/>
          <w:iCs/>
          <w:color w:val="000000"/>
          <w:kern w:val="0"/>
          <w:sz w:val="22"/>
          <w:szCs w:val="22"/>
          <w14:ligatures w14:val="none"/>
        </w:rPr>
        <w:t>An. gambiae </w:t>
      </w:r>
      <w:r w:rsidRPr="006505C0">
        <w:rPr>
          <w:rFonts w:ascii="Calibri" w:eastAsia="Times New Roman" w:hAnsi="Calibri" w:cs="Calibri"/>
          <w:color w:val="000000"/>
          <w:kern w:val="0"/>
          <w:sz w:val="22"/>
          <w:szCs w:val="22"/>
          <w14:ligatures w14:val="none"/>
        </w:rPr>
        <w:t>s.l. in dechlorinated water while maintaining resistance and fitness for operational research on pyrethroid-chlorfenapyr ITNs.</w:t>
      </w:r>
    </w:p>
    <w:p w14:paraId="3E9259D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25-A-3619-ASTMH</w:t>
      </w:r>
    </w:p>
    <w:p w14:paraId="0F8CA76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Drug Development and Clinical Trials</w:t>
      </w:r>
    </w:p>
    <w:p w14:paraId="21FFEE2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Using Photovoice to Explore Patient Perspectives on a Day 3 Clinical Review to improve safety and adherence to Primaquine treatment for </w:t>
      </w:r>
      <w:r w:rsidRPr="006505C0">
        <w:rPr>
          <w:rFonts w:ascii="Calibri" w:eastAsia="Times New Roman" w:hAnsi="Calibri" w:cs="Calibri"/>
          <w:i/>
          <w:iCs/>
          <w:color w:val="000000"/>
          <w:kern w:val="0"/>
          <w:sz w:val="22"/>
          <w:szCs w:val="22"/>
          <w14:ligatures w14:val="none"/>
        </w:rPr>
        <w:t>Plasmodium vivax </w:t>
      </w:r>
      <w:r w:rsidRPr="006505C0">
        <w:rPr>
          <w:rFonts w:ascii="Calibri" w:eastAsia="Times New Roman" w:hAnsi="Calibri" w:cs="Calibri"/>
          <w:color w:val="000000"/>
          <w:kern w:val="0"/>
          <w:sz w:val="22"/>
          <w:szCs w:val="22"/>
          <w14:ligatures w14:val="none"/>
        </w:rPr>
        <w:t>Malaria in Papua New Guinea</w:t>
      </w:r>
    </w:p>
    <w:p w14:paraId="725FCA5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Ineffective primaquine (PQ) treatment hinders </w:t>
      </w:r>
      <w:r w:rsidRPr="006505C0">
        <w:rPr>
          <w:rFonts w:ascii="Calibri" w:eastAsia="Times New Roman" w:hAnsi="Calibri" w:cs="Calibri"/>
          <w:i/>
          <w:iCs/>
          <w:color w:val="000000"/>
          <w:kern w:val="0"/>
          <w:sz w:val="22"/>
          <w:szCs w:val="22"/>
          <w14:ligatures w14:val="none"/>
        </w:rPr>
        <w:t>Plasmodium vivax</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Pv</w:t>
      </w:r>
      <w:r w:rsidRPr="006505C0">
        <w:rPr>
          <w:rFonts w:ascii="Calibri" w:eastAsia="Times New Roman" w:hAnsi="Calibri" w:cs="Calibri"/>
          <w:color w:val="000000"/>
          <w:kern w:val="0"/>
          <w:sz w:val="22"/>
          <w:szCs w:val="22"/>
          <w14:ligatures w14:val="none"/>
        </w:rPr>
        <w:t>) elimination. Low-dose PQ regimens are widely used but have limited efficacy and effectiveness. Shortened, higher daily-dose regimens can improve effectiveness but may increase the risk of side effects for some individuals. In Papua New Guinea, the SCOPE (Short COurse PrimaquinE for the radical cure of </w:t>
      </w:r>
      <w:r w:rsidRPr="006505C0">
        <w:rPr>
          <w:rFonts w:ascii="Calibri" w:eastAsia="Times New Roman" w:hAnsi="Calibri" w:cs="Calibri"/>
          <w:i/>
          <w:iCs/>
          <w:color w:val="000000"/>
          <w:kern w:val="0"/>
          <w:sz w:val="22"/>
          <w:szCs w:val="22"/>
          <w14:ligatures w14:val="none"/>
        </w:rPr>
        <w:t>Pv</w:t>
      </w:r>
      <w:r w:rsidRPr="006505C0">
        <w:rPr>
          <w:rFonts w:ascii="Calibri" w:eastAsia="Times New Roman" w:hAnsi="Calibri" w:cs="Calibri"/>
          <w:color w:val="000000"/>
          <w:kern w:val="0"/>
          <w:sz w:val="22"/>
          <w:szCs w:val="22"/>
          <w14:ligatures w14:val="none"/>
        </w:rPr>
        <w:t>) study is assessing the feasibility and cost-effectiveness of a revised case management package for </w:t>
      </w:r>
      <w:r w:rsidRPr="006505C0">
        <w:rPr>
          <w:rFonts w:ascii="Calibri" w:eastAsia="Times New Roman" w:hAnsi="Calibri" w:cs="Calibri"/>
          <w:i/>
          <w:iCs/>
          <w:color w:val="000000"/>
          <w:kern w:val="0"/>
          <w:sz w:val="22"/>
          <w:szCs w:val="22"/>
          <w14:ligatures w14:val="none"/>
        </w:rPr>
        <w:t>Pv</w:t>
      </w:r>
      <w:r w:rsidRPr="006505C0">
        <w:rPr>
          <w:rFonts w:ascii="Calibri" w:eastAsia="Times New Roman" w:hAnsi="Calibri" w:cs="Calibri"/>
          <w:color w:val="000000"/>
          <w:kern w:val="0"/>
          <w:sz w:val="22"/>
          <w:szCs w:val="22"/>
          <w14:ligatures w14:val="none"/>
        </w:rPr>
        <w:t> malaria that includes short-course, high-dose PQ following the SD Biosensor quantitative G6PD test, improved patient counselling and a community-based clinical review (CR) on Day 3 of PQ treatment. To explore the acceptability and perceived value of this revised case management package, specifically the Day 3 CR and adherence to PQ, photovoice—a participatory research method that empowers participants through photography—is being employed. Patients diagnosed with </w:t>
      </w:r>
      <w:r w:rsidRPr="006505C0">
        <w:rPr>
          <w:rFonts w:ascii="Calibri" w:eastAsia="Times New Roman" w:hAnsi="Calibri" w:cs="Calibri"/>
          <w:i/>
          <w:iCs/>
          <w:color w:val="000000"/>
          <w:kern w:val="0"/>
          <w:sz w:val="22"/>
          <w:szCs w:val="22"/>
          <w14:ligatures w14:val="none"/>
        </w:rPr>
        <w:t>Pv</w:t>
      </w:r>
      <w:r w:rsidRPr="006505C0">
        <w:rPr>
          <w:rFonts w:ascii="Calibri" w:eastAsia="Times New Roman" w:hAnsi="Calibri" w:cs="Calibri"/>
          <w:color w:val="000000"/>
          <w:kern w:val="0"/>
          <w:sz w:val="22"/>
          <w:szCs w:val="22"/>
          <w14:ligatures w14:val="none"/>
        </w:rPr>
        <w:t> malaria and prescribed PQ in two provinces (Madang and East New Britain) are invited to reflect on their experiences with Day 3 follow-up experiences through images and storytelling. Guided by the SHOWED framework (What do we See? What is really Happening? How does this relate to Our lives? Why does this situation exist? How can we become Empowered? What can we Do?), participants engage in collective interpretation of their photographs, co-creating knowledge around the lived experience of treatment adherence and Day 3 CR. Following co-analysis with participants, a photo exhibition dissemination event will be held to foster dialogue among policymakers, community leaders, health workers, and participants, with the aim of co-designing a Day 3 CR that can be sustainably integrated into community and health system models of care. Introducing new diagnostics and treatment regimens must be grounded in a deep understanding of user acceptability. By amplifying the voices of patients through their own stories and images, this study will surface critical insights into the acceptability, challenges, and value of Day 3 CR—helping to shape more responsive and effective </w:t>
      </w:r>
      <w:r w:rsidRPr="006505C0">
        <w:rPr>
          <w:rFonts w:ascii="Calibri" w:eastAsia="Times New Roman" w:hAnsi="Calibri" w:cs="Calibri"/>
          <w:i/>
          <w:iCs/>
          <w:color w:val="000000"/>
          <w:kern w:val="0"/>
          <w:sz w:val="22"/>
          <w:szCs w:val="22"/>
          <w14:ligatures w14:val="none"/>
        </w:rPr>
        <w:t>Pv </w:t>
      </w:r>
      <w:r w:rsidRPr="006505C0">
        <w:rPr>
          <w:rFonts w:ascii="Calibri" w:eastAsia="Times New Roman" w:hAnsi="Calibri" w:cs="Calibri"/>
          <w:color w:val="000000"/>
          <w:kern w:val="0"/>
          <w:sz w:val="22"/>
          <w:szCs w:val="22"/>
          <w14:ligatures w14:val="none"/>
        </w:rPr>
        <w:t>malaria treatment package.</w:t>
      </w:r>
    </w:p>
    <w:p w14:paraId="5FE2880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25-A-3620-ASTMH</w:t>
      </w:r>
    </w:p>
    <w:p w14:paraId="108A651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Other Bacterial Infections</w:t>
      </w:r>
    </w:p>
    <w:p w14:paraId="2855F62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RISK6 transcriptomic signature: A Novel Approach to Diagnosis and Treatment Monitoring of Extrapulmonary Tuberculosis</w:t>
      </w:r>
    </w:p>
    <w:p w14:paraId="04D22B1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Diagnosing extrapulmonary tuberculosis (EPTB) presents significant challenges due to the diverse clinical presentations and the need for invasive sampling and specialized laboratory procedures. Moreover, existing diagnostic tools are inadequate for monitoring or predicting treatment response. In this context, this study aimed to evaluate the performance of the RISK6 transcriptomic signature, previously investigated solely in pulmonary TB, for EPTB diagnosis and treatment monitoring. The observational study “blooD-basEd DIagnostiCs of pAucibacillary Tuberculosis in BangladEsh (DEDICATE)” enrolled 382 individuals (&gt;11 years old) presumed to have EPTB, and 30 healthy controls, at the clinical facility from March 2022 to 2023. EPTB samples from presumed cases underwent GeneXpert Ultra, and culture for diagnosis of EPTB. Blood samples were obtained from all participants at enrolment (and post-treatment for confirmed cases) to assess the RISK6 signature score via RT-qPCR. RISK6 signature performance was evaluated using the receiver-operating characteristic curve (ROC AUC) and Student’s t-test. Among 382 individuals, 75 were microbiologically confirmed for EPTB and 307 were unconfirmed. Ongoing RISK6 score analysis is available for 16 confirmed cases at baseline (13 with post-treatment), 16 unconfirmed cases, and 10 controls. RISK6 effectively discriminated confirmed cases from controls (AUC of 92%, sensitivity 93%, specificity 80%) and unconfirmed cases (AUC of 84%, sensitivity 93%, specificity 73%). Furthermore, RISK6 scores for confirmed cases decreased significantly (p &lt; 0.001) post-treatment. Our findings suggest the RISK6 signature performance for EPTB meets the biomarker test criteria defined by the target product profile released by WHO. Minimally invasive, this signature can potentially transform EPTB diagnosis by providing an accessible testing option, even for challenging cases lacking sufficient evidence for biopsy. Additionally, the signature’s post-treatment performance indicates a future role in helping clinicians elucidate treatment outcomes.</w:t>
      </w:r>
    </w:p>
    <w:p w14:paraId="0DCBC5C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25-A-3621-ASTMH</w:t>
      </w:r>
    </w:p>
    <w:p w14:paraId="5D704F5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Kinetoplastida and Other Opportunistic and Anaerobic Protozoa - Epidemiology (Including Leishmania and Trypanosomes)</w:t>
      </w:r>
    </w:p>
    <w:p w14:paraId="38A1B9B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i/>
          <w:iCs/>
          <w:color w:val="000000"/>
          <w:kern w:val="0"/>
          <w:sz w:val="22"/>
          <w:szCs w:val="22"/>
          <w14:ligatures w14:val="none"/>
        </w:rPr>
        <w:t>Giardia lamblia </w:t>
      </w:r>
      <w:r w:rsidRPr="006505C0">
        <w:rPr>
          <w:rFonts w:ascii="Calibri" w:eastAsia="Times New Roman" w:hAnsi="Calibri" w:cs="Calibri"/>
          <w:b/>
          <w:bCs/>
          <w:color w:val="000000"/>
          <w:kern w:val="0"/>
          <w:sz w:val="22"/>
          <w:szCs w:val="22"/>
          <w14:ligatures w14:val="none"/>
        </w:rPr>
        <w:t>infections and its impact on children growth in Nicaraguan birth cohort study.</w:t>
      </w:r>
    </w:p>
    <w:p w14:paraId="2F5D8E6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i/>
          <w:iCs/>
          <w:color w:val="000000"/>
          <w:kern w:val="0"/>
          <w:sz w:val="22"/>
          <w:szCs w:val="22"/>
          <w14:ligatures w14:val="none"/>
        </w:rPr>
        <w:t>Giardia lamblia</w:t>
      </w:r>
      <w:r w:rsidRPr="006505C0">
        <w:rPr>
          <w:rFonts w:ascii="Calibri" w:eastAsia="Times New Roman" w:hAnsi="Calibri" w:cs="Calibri"/>
          <w:color w:val="000000"/>
          <w:kern w:val="0"/>
          <w:sz w:val="22"/>
          <w:szCs w:val="22"/>
          <w14:ligatures w14:val="none"/>
        </w:rPr>
        <w:t> is one of the most common parasitic infections globally. In children from low- and middle-income countries (LMICs),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is highly prevalent and has been associated with increased intestinal permeability and linear growth impairment. However, the mechanisms linking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to these outcomes remain poorly understood, and observed geographic differences in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epidemiology emphasize the importance of replicating studies in novel sites. In this study, we used data from the Sapovirus-Associated Gastroenteritis (SAGE) birth cohort in Nicaragua (n=444, 0-3 years of age) to evaluate the natural history of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infections, growth outcomes, and comprehensive intestinal/systemic profiles of inflammation, intestinal damage, and growth-signaling related biomarkers in a sub-cohort of 76 children with monthly surveillance (n=1903) and diarrheal stools (n=402) tested </w:t>
      </w:r>
      <w:r w:rsidRPr="006505C0">
        <w:rPr>
          <w:rFonts w:ascii="Calibri" w:eastAsia="Times New Roman" w:hAnsi="Calibri" w:cs="Calibri"/>
          <w:i/>
          <w:iCs/>
          <w:color w:val="000000"/>
          <w:kern w:val="0"/>
          <w:sz w:val="22"/>
          <w:szCs w:val="22"/>
          <w14:ligatures w14:val="none"/>
        </w:rPr>
        <w:t>Giardia </w:t>
      </w:r>
      <w:r w:rsidRPr="006505C0">
        <w:rPr>
          <w:rFonts w:ascii="Calibri" w:eastAsia="Times New Roman" w:hAnsi="Calibri" w:cs="Calibri"/>
          <w:color w:val="000000"/>
          <w:kern w:val="0"/>
          <w:sz w:val="22"/>
          <w:szCs w:val="22"/>
          <w14:ligatures w14:val="none"/>
        </w:rPr>
        <w:t>by qPCR. Compared with children who had no </w:t>
      </w:r>
      <w:r w:rsidRPr="006505C0">
        <w:rPr>
          <w:rFonts w:ascii="Calibri" w:eastAsia="Times New Roman" w:hAnsi="Calibri" w:cs="Calibri"/>
          <w:i/>
          <w:iCs/>
          <w:color w:val="000000"/>
          <w:kern w:val="0"/>
          <w:sz w:val="22"/>
          <w:szCs w:val="22"/>
          <w14:ligatures w14:val="none"/>
        </w:rPr>
        <w:t>Giardia </w:t>
      </w:r>
      <w:r w:rsidRPr="006505C0">
        <w:rPr>
          <w:rFonts w:ascii="Calibri" w:eastAsia="Times New Roman" w:hAnsi="Calibri" w:cs="Calibri"/>
          <w:color w:val="000000"/>
          <w:kern w:val="0"/>
          <w:sz w:val="22"/>
          <w:szCs w:val="22"/>
          <w14:ligatures w14:val="none"/>
        </w:rPr>
        <w:t>detection (n=32), children with any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detection (n=44) had lower LAZ scores at 2 years of age (−0.69, P=0.035) and at 3 years of age (−0.48, P=0.036), with no differences in WAZ. In fecal biomarker analyses,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was associated with lower median fecal neopterin (220.6 vs 335.4 nmol/L, P=0.038), but not associated with myeloperoxidase or regenerating gene-1β. In addition, in serum systemic biomarkers at age 2, </w:t>
      </w:r>
      <w:r w:rsidRPr="006505C0">
        <w:rPr>
          <w:rFonts w:ascii="Calibri" w:eastAsia="Times New Roman" w:hAnsi="Calibri" w:cs="Calibri"/>
          <w:i/>
          <w:iCs/>
          <w:color w:val="000000"/>
          <w:kern w:val="0"/>
          <w:sz w:val="22"/>
          <w:szCs w:val="22"/>
          <w14:ligatures w14:val="none"/>
        </w:rPr>
        <w:t>Giardia </w:t>
      </w:r>
      <w:r w:rsidRPr="006505C0">
        <w:rPr>
          <w:rFonts w:ascii="Calibri" w:eastAsia="Times New Roman" w:hAnsi="Calibri" w:cs="Calibri"/>
          <w:color w:val="000000"/>
          <w:kern w:val="0"/>
          <w:sz w:val="22"/>
          <w:szCs w:val="22"/>
          <w14:ligatures w14:val="none"/>
        </w:rPr>
        <w:t>associated with higher median Intestinal Fatty Acid Binding Protein (I-FABP) (7075 vs 4573 pg/mL, P=0.002) and Anti-FliC IgA (9.82 vs 8.21 ng/L, P=0.033), and lower median insulin-like Growth Factor (IGF-1) (0.09 [IQR: 0.09, 31.3] vs 203.30 [IQR: 0.09, 433.45] ng/mL, P=0.005). In conclusion,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infection is negatively associated with LAZ, markers of chronic inflammation, and IGF-1 and positively associated with markers of intestinal epithelial disruption. The uncoupling of poor linear growth, epithelial disruption, and reduced growth signaling from intestinal inflammation seen in this study, other cohorts, and experimental models if giardiasis, is a unique characteristic of </w:t>
      </w:r>
      <w:r w:rsidRPr="006505C0">
        <w:rPr>
          <w:rFonts w:ascii="Calibri" w:eastAsia="Times New Roman" w:hAnsi="Calibri" w:cs="Calibri"/>
          <w:i/>
          <w:iCs/>
          <w:color w:val="000000"/>
          <w:kern w:val="0"/>
          <w:sz w:val="22"/>
          <w:szCs w:val="22"/>
          <w14:ligatures w14:val="none"/>
        </w:rPr>
        <w:t>Giardia</w:t>
      </w:r>
      <w:r w:rsidRPr="006505C0">
        <w:rPr>
          <w:rFonts w:ascii="Calibri" w:eastAsia="Times New Roman" w:hAnsi="Calibri" w:cs="Calibri"/>
          <w:color w:val="000000"/>
          <w:kern w:val="0"/>
          <w:sz w:val="22"/>
          <w:szCs w:val="22"/>
          <w14:ligatures w14:val="none"/>
        </w:rPr>
        <w:t> that requires further investigation of its pathophysiology.</w:t>
      </w:r>
    </w:p>
    <w:p w14:paraId="332CA36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25-A-3622-ASTMH</w:t>
      </w:r>
    </w:p>
    <w:p w14:paraId="5284FFF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Helminths – Nematodes – Filariasis (Immunology)</w:t>
      </w:r>
    </w:p>
    <w:p w14:paraId="535D130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Comparison of Real-Time PCR and the Kato-Katz Method for the Diagnosis of Soil-Transmitted Helminthiasis in Equatorial Guinea</w:t>
      </w:r>
    </w:p>
    <w:p w14:paraId="34B0D5E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Soil-transmitted helminthiasis (STH) remains a significant public health concern in Equatorial Guinea, with prevalence estimates varying significantly across regions. Despite deworming campaigns, accurate diagnosis remains challenging, especially in low-intensity infections. This study aims to compare the diagnostics performance of the WHO-recommended Kato-Katz method against real-time polymerase chain reaction (PCR). We collected 329 stool samples from participants in Equatorial Guinea. Each sample was analyzed using the standard Kato-Katz technique, with two slides examined per specimen. The same samples have been preserved for molecular analysis using multiplex real-time PCR targeting species-specific DNA markers for common STH pathogens, scheduled for completion by August 2025. Our analysis will determine concordance between the methods, calculate comparative sensitivity and specificity using a composite reference standard, and evaluate performance particularly in low-intensity infections and mixed-species cases. Preliminary Kato-Katz results will be presented alongside the PCR findings, focusing on their implications for STH surveillance and control program in Equatorial Guinea. This comparison is particularly relevant as the country evaluates its deworming strategy and considers more sensitive diagnostic tools for areas approaching elimination targets.</w:t>
      </w:r>
    </w:p>
    <w:p w14:paraId="7F09F1C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25-A-3624-ASTMH</w:t>
      </w:r>
    </w:p>
    <w:p w14:paraId="3B8C4AD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Genetics, Genomics and Evolution</w:t>
      </w:r>
    </w:p>
    <w:p w14:paraId="1020BA5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Integrative genomic and transcriptomic analysis of </w:t>
      </w:r>
      <w:r w:rsidRPr="006505C0">
        <w:rPr>
          <w:rFonts w:ascii="Calibri" w:eastAsia="Times New Roman" w:hAnsi="Calibri" w:cs="Calibri"/>
          <w:i/>
          <w:iCs/>
          <w:color w:val="000000"/>
          <w:kern w:val="0"/>
          <w:sz w:val="22"/>
          <w:szCs w:val="22"/>
          <w14:ligatures w14:val="none"/>
        </w:rPr>
        <w:t>Plasmodium knowlesi</w:t>
      </w:r>
      <w:r w:rsidRPr="006505C0">
        <w:rPr>
          <w:rFonts w:ascii="Calibri" w:eastAsia="Times New Roman" w:hAnsi="Calibri" w:cs="Calibri"/>
          <w:color w:val="000000"/>
          <w:kern w:val="0"/>
          <w:sz w:val="22"/>
          <w:szCs w:val="22"/>
          <w14:ligatures w14:val="none"/>
        </w:rPr>
        <w:t> to elucidate drivers of severe malaria</w:t>
      </w:r>
    </w:p>
    <w:p w14:paraId="529A062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Zoonotic malaria caused by the monkey parasite </w:t>
      </w:r>
      <w:r w:rsidRPr="006505C0">
        <w:rPr>
          <w:rFonts w:ascii="Calibri" w:eastAsia="Times New Roman" w:hAnsi="Calibri" w:cs="Calibri"/>
          <w:i/>
          <w:iCs/>
          <w:color w:val="000000"/>
          <w:kern w:val="0"/>
          <w:sz w:val="22"/>
          <w:szCs w:val="22"/>
          <w14:ligatures w14:val="none"/>
        </w:rPr>
        <w:t>Plasmodium knowlesi</w:t>
      </w:r>
      <w:r w:rsidRPr="006505C0">
        <w:rPr>
          <w:rFonts w:ascii="Calibri" w:eastAsia="Times New Roman" w:hAnsi="Calibri" w:cs="Calibri"/>
          <w:color w:val="000000"/>
          <w:kern w:val="0"/>
          <w:sz w:val="22"/>
          <w:szCs w:val="22"/>
          <w14:ligatures w14:val="none"/>
        </w:rPr>
        <w:t> poses a growing public health threat across Southeast Asia, particularly in regions nearing elimination of other human malaria species. Notably, </w:t>
      </w:r>
      <w:r w:rsidRPr="006505C0">
        <w:rPr>
          <w:rFonts w:ascii="Calibri" w:eastAsia="Times New Roman" w:hAnsi="Calibri" w:cs="Calibri"/>
          <w:i/>
          <w:iCs/>
          <w:color w:val="000000"/>
          <w:kern w:val="0"/>
          <w:sz w:val="22"/>
          <w:szCs w:val="22"/>
          <w14:ligatures w14:val="none"/>
        </w:rPr>
        <w:t>P. knowlesi</w:t>
      </w:r>
      <w:r w:rsidRPr="006505C0">
        <w:rPr>
          <w:rFonts w:ascii="Calibri" w:eastAsia="Times New Roman" w:hAnsi="Calibri" w:cs="Calibri"/>
          <w:color w:val="000000"/>
          <w:kern w:val="0"/>
          <w:sz w:val="22"/>
          <w:szCs w:val="22"/>
          <w14:ligatures w14:val="none"/>
        </w:rPr>
        <w:t> infections can lead to severe and life-threatening disease even at relatively low parasitemia levels, with severe cases comprising 6.4% of total </w:t>
      </w:r>
      <w:r w:rsidRPr="006505C0">
        <w:rPr>
          <w:rFonts w:ascii="Calibri" w:eastAsia="Times New Roman" w:hAnsi="Calibri" w:cs="Calibri"/>
          <w:i/>
          <w:iCs/>
          <w:color w:val="000000"/>
          <w:kern w:val="0"/>
          <w:sz w:val="22"/>
          <w:szCs w:val="22"/>
          <w14:ligatures w14:val="none"/>
        </w:rPr>
        <w:t>P. knowlesi</w:t>
      </w:r>
      <w:r w:rsidRPr="006505C0">
        <w:rPr>
          <w:rFonts w:ascii="Calibri" w:eastAsia="Times New Roman" w:hAnsi="Calibri" w:cs="Calibri"/>
          <w:color w:val="000000"/>
          <w:kern w:val="0"/>
          <w:sz w:val="22"/>
          <w:szCs w:val="22"/>
          <w14:ligatures w14:val="none"/>
        </w:rPr>
        <w:t> presentations in primary healthcare settings in Sabah, Malaysia. This presentation will highlight findings from the largest and most comprehensive </w:t>
      </w:r>
      <w:r w:rsidRPr="006505C0">
        <w:rPr>
          <w:rFonts w:ascii="Calibri" w:eastAsia="Times New Roman" w:hAnsi="Calibri" w:cs="Calibri"/>
          <w:i/>
          <w:iCs/>
          <w:color w:val="000000"/>
          <w:kern w:val="0"/>
          <w:sz w:val="22"/>
          <w:szCs w:val="22"/>
          <w14:ligatures w14:val="none"/>
        </w:rPr>
        <w:t>P. knowlesi</w:t>
      </w:r>
      <w:r w:rsidRPr="006505C0">
        <w:rPr>
          <w:rFonts w:ascii="Calibri" w:eastAsia="Times New Roman" w:hAnsi="Calibri" w:cs="Calibri"/>
          <w:color w:val="000000"/>
          <w:kern w:val="0"/>
          <w:sz w:val="22"/>
          <w:szCs w:val="22"/>
          <w14:ligatures w14:val="none"/>
        </w:rPr>
        <w:t> datasets assembled to date, comprising over 700 parasite whole genomes, 210 parasite transcriptomes, and 2,300 genotyped human hosts. Leveraging genome-wide association studies (GWAS) and transcriptomic profiling, we explore how host and parasite genetic factors contribute to disease severity. On the parasite side, we identify candidate genomic loci potentially involved in transcriptional regulation and developmental processes. Transcriptomic analyses reveal differential expression in members of the </w:t>
      </w:r>
      <w:r w:rsidRPr="006505C0">
        <w:rPr>
          <w:rFonts w:ascii="Calibri" w:eastAsia="Times New Roman" w:hAnsi="Calibri" w:cs="Calibri"/>
          <w:i/>
          <w:iCs/>
          <w:color w:val="000000"/>
          <w:kern w:val="0"/>
          <w:sz w:val="22"/>
          <w:szCs w:val="22"/>
          <w14:ligatures w14:val="none"/>
        </w:rPr>
        <w:t>SICAvar</w:t>
      </w:r>
      <w:r w:rsidRPr="006505C0">
        <w:rPr>
          <w:rFonts w:ascii="Calibri" w:eastAsia="Times New Roman" w:hAnsi="Calibri" w:cs="Calibri"/>
          <w:color w:val="000000"/>
          <w:kern w:val="0"/>
          <w:sz w:val="22"/>
          <w:szCs w:val="22"/>
          <w14:ligatures w14:val="none"/>
        </w:rPr>
        <w:t> multigene family, suggesting roles in immune evasion, alongside genes implicated in erythrocyte invasion and parasite development. Human GWAS analyses uncover variants associated with inflammation (e.g. </w:t>
      </w:r>
      <w:r w:rsidRPr="006505C0">
        <w:rPr>
          <w:rFonts w:ascii="Calibri" w:eastAsia="Times New Roman" w:hAnsi="Calibri" w:cs="Calibri"/>
          <w:i/>
          <w:iCs/>
          <w:color w:val="000000"/>
          <w:kern w:val="0"/>
          <w:sz w:val="22"/>
          <w:szCs w:val="22"/>
          <w14:ligatures w14:val="none"/>
        </w:rPr>
        <w:t>NLRP3</w:t>
      </w:r>
      <w:r w:rsidRPr="006505C0">
        <w:rPr>
          <w:rFonts w:ascii="Calibri" w:eastAsia="Times New Roman" w:hAnsi="Calibri" w:cs="Calibri"/>
          <w:color w:val="000000"/>
          <w:kern w:val="0"/>
          <w:sz w:val="22"/>
          <w:szCs w:val="22"/>
          <w14:ligatures w14:val="none"/>
        </w:rPr>
        <w:t>), endothelial function, and host-parasite interactions, several consistent with findings in other malaria species. Together, these integrated datasets provide unprecedented insights into the complex interplay between host and parasite genetics in </w:t>
      </w:r>
      <w:r w:rsidRPr="006505C0">
        <w:rPr>
          <w:rFonts w:ascii="Calibri" w:eastAsia="Times New Roman" w:hAnsi="Calibri" w:cs="Calibri"/>
          <w:i/>
          <w:iCs/>
          <w:color w:val="000000"/>
          <w:kern w:val="0"/>
          <w:sz w:val="22"/>
          <w:szCs w:val="22"/>
          <w14:ligatures w14:val="none"/>
        </w:rPr>
        <w:t>P. knowlesi</w:t>
      </w:r>
      <w:r w:rsidRPr="006505C0">
        <w:rPr>
          <w:rFonts w:ascii="Calibri" w:eastAsia="Times New Roman" w:hAnsi="Calibri" w:cs="Calibri"/>
          <w:color w:val="000000"/>
          <w:kern w:val="0"/>
          <w:sz w:val="22"/>
          <w:szCs w:val="22"/>
          <w14:ligatures w14:val="none"/>
        </w:rPr>
        <w:t> pathogenesis. The findings offer promising avenues for targeted interventions and highlight the value of large-scale, multi-omic approaches in understanding severe zoonotic malaria.</w:t>
      </w:r>
    </w:p>
    <w:p w14:paraId="79EA0E5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25-A-3625-ASTMH</w:t>
      </w:r>
    </w:p>
    <w:p w14:paraId="2335A84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Pathogenesis</w:t>
      </w:r>
    </w:p>
    <w:p w14:paraId="5C848E5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Immune-disabling </w:t>
      </w:r>
      <w:r w:rsidRPr="006505C0">
        <w:rPr>
          <w:rFonts w:ascii="Calibri" w:eastAsia="Times New Roman" w:hAnsi="Calibri" w:cs="Calibri"/>
          <w:i/>
          <w:iCs/>
          <w:color w:val="000000"/>
          <w:kern w:val="0"/>
          <w:sz w:val="22"/>
          <w:szCs w:val="22"/>
          <w14:ligatures w14:val="none"/>
        </w:rPr>
        <w:t>Plasmodium falciparum </w:t>
      </w:r>
      <w:r w:rsidRPr="006505C0">
        <w:rPr>
          <w:rFonts w:ascii="Calibri" w:eastAsia="Times New Roman" w:hAnsi="Calibri" w:cs="Calibri"/>
          <w:color w:val="000000"/>
          <w:kern w:val="0"/>
          <w:sz w:val="22"/>
          <w:szCs w:val="22"/>
          <w14:ligatures w14:val="none"/>
        </w:rPr>
        <w:t>variant surface antigens are differentially expressed in severe malaria among Malian children</w:t>
      </w:r>
    </w:p>
    <w:p w14:paraId="6456944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Severe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infections including cerebral malaria (CM) and severe malarial anemia (SMA) kill hundreds of thousands of children in Sub-Saharan Africa annually. The malaria parasite exports variant surface antigens to the infected erythrocyte’s surface, including the highly diverse RIFIN proteins, encoded by the </w:t>
      </w:r>
      <w:r w:rsidRPr="006505C0">
        <w:rPr>
          <w:rFonts w:ascii="Calibri" w:eastAsia="Times New Roman" w:hAnsi="Calibri" w:cs="Calibri"/>
          <w:i/>
          <w:iCs/>
          <w:color w:val="000000"/>
          <w:kern w:val="0"/>
          <w:sz w:val="22"/>
          <w:szCs w:val="22"/>
          <w14:ligatures w14:val="none"/>
        </w:rPr>
        <w:t>rif </w:t>
      </w:r>
      <w:r w:rsidRPr="006505C0">
        <w:rPr>
          <w:rFonts w:ascii="Calibri" w:eastAsia="Times New Roman" w:hAnsi="Calibri" w:cs="Calibri"/>
          <w:color w:val="000000"/>
          <w:kern w:val="0"/>
          <w:sz w:val="22"/>
          <w:szCs w:val="22"/>
          <w14:ligatures w14:val="none"/>
        </w:rPr>
        <w:t>multi-gene family. Certain RIFIN subgroups bind the human immune inhibitory receptors LILRB1 and KIR2, potentially disabling host immune responses. Others are unusually conserved across parasite strains, suggesting evolutionary constraint. </w:t>
      </w:r>
      <w:r w:rsidRPr="006505C0">
        <w:rPr>
          <w:rFonts w:ascii="Calibri" w:eastAsia="Times New Roman" w:hAnsi="Calibri" w:cs="Calibri"/>
          <w:i/>
          <w:iCs/>
          <w:color w:val="000000"/>
          <w:kern w:val="0"/>
          <w:sz w:val="22"/>
          <w:szCs w:val="22"/>
          <w14:ligatures w14:val="none"/>
        </w:rPr>
        <w:t>rif</w:t>
      </w:r>
      <w:r w:rsidRPr="006505C0">
        <w:rPr>
          <w:rFonts w:ascii="Calibri" w:eastAsia="Times New Roman" w:hAnsi="Calibri" w:cs="Calibri"/>
          <w:color w:val="000000"/>
          <w:kern w:val="0"/>
          <w:sz w:val="22"/>
          <w:szCs w:val="22"/>
          <w14:ligatures w14:val="none"/>
        </w:rPr>
        <w:t> gene expression in clinical infections remains unexplored. We hypothesized that parasites causing severe malaria express immune-disabling and strain-transcendent </w:t>
      </w:r>
      <w:r w:rsidRPr="006505C0">
        <w:rPr>
          <w:rFonts w:ascii="Calibri" w:eastAsia="Times New Roman" w:hAnsi="Calibri" w:cs="Calibri"/>
          <w:i/>
          <w:iCs/>
          <w:color w:val="000000"/>
          <w:kern w:val="0"/>
          <w:sz w:val="22"/>
          <w:szCs w:val="22"/>
          <w14:ligatures w14:val="none"/>
        </w:rPr>
        <w:t>rifs</w:t>
      </w:r>
      <w:r w:rsidRPr="006505C0">
        <w:rPr>
          <w:rFonts w:ascii="Calibri" w:eastAsia="Times New Roman" w:hAnsi="Calibri" w:cs="Calibri"/>
          <w:color w:val="000000"/>
          <w:kern w:val="0"/>
          <w:sz w:val="22"/>
          <w:szCs w:val="22"/>
          <w14:ligatures w14:val="none"/>
        </w:rPr>
        <w:t> more abundantly than those causing uncomplicated malaria (UM). Using RNA-sequencing and </w:t>
      </w:r>
      <w:r w:rsidRPr="006505C0">
        <w:rPr>
          <w:rFonts w:ascii="Calibri" w:eastAsia="Times New Roman" w:hAnsi="Calibri" w:cs="Calibri"/>
          <w:i/>
          <w:iCs/>
          <w:color w:val="000000"/>
          <w:kern w:val="0"/>
          <w:sz w:val="22"/>
          <w:szCs w:val="22"/>
          <w14:ligatures w14:val="none"/>
        </w:rPr>
        <w:t>de novo</w:t>
      </w:r>
      <w:r w:rsidRPr="006505C0">
        <w:rPr>
          <w:rFonts w:ascii="Calibri" w:eastAsia="Times New Roman" w:hAnsi="Calibri" w:cs="Calibri"/>
          <w:color w:val="000000"/>
          <w:kern w:val="0"/>
          <w:sz w:val="22"/>
          <w:szCs w:val="22"/>
          <w14:ligatures w14:val="none"/>
        </w:rPr>
        <w:t> transcriptome assembly, we profiled </w:t>
      </w:r>
      <w:r w:rsidRPr="006505C0">
        <w:rPr>
          <w:rFonts w:ascii="Calibri" w:eastAsia="Times New Roman" w:hAnsi="Calibri" w:cs="Calibri"/>
          <w:i/>
          <w:iCs/>
          <w:color w:val="000000"/>
          <w:kern w:val="0"/>
          <w:sz w:val="22"/>
          <w:szCs w:val="22"/>
          <w14:ligatures w14:val="none"/>
        </w:rPr>
        <w:t>rif</w:t>
      </w:r>
      <w:r w:rsidRPr="006505C0">
        <w:rPr>
          <w:rFonts w:ascii="Calibri" w:eastAsia="Times New Roman" w:hAnsi="Calibri" w:cs="Calibri"/>
          <w:color w:val="000000"/>
          <w:kern w:val="0"/>
          <w:sz w:val="22"/>
          <w:szCs w:val="22"/>
          <w14:ligatures w14:val="none"/>
        </w:rPr>
        <w:t> expression in </w:t>
      </w:r>
      <w:r w:rsidRPr="006505C0">
        <w:rPr>
          <w:rFonts w:ascii="Calibri" w:eastAsia="Times New Roman" w:hAnsi="Calibri" w:cs="Calibri"/>
          <w:i/>
          <w:iCs/>
          <w:color w:val="000000"/>
          <w:kern w:val="0"/>
          <w:sz w:val="22"/>
          <w:szCs w:val="22"/>
          <w14:ligatures w14:val="none"/>
        </w:rPr>
        <w:t>ex vivo</w:t>
      </w:r>
      <w:r w:rsidRPr="006505C0">
        <w:rPr>
          <w:rFonts w:ascii="Calibri" w:eastAsia="Times New Roman" w:hAnsi="Calibri" w:cs="Calibri"/>
          <w:color w:val="000000"/>
          <w:kern w:val="0"/>
          <w:sz w:val="22"/>
          <w:szCs w:val="22"/>
          <w14:ligatures w14:val="none"/>
        </w:rPr>
        <w:t> blood samples from Malian children 0-5 years old with acute malaria (CM, n=24; SMA, n=38; UM, n=56). Transcripts were annotated via BLAST and the abundance (transcripts per million) of </w:t>
      </w:r>
      <w:r w:rsidRPr="006505C0">
        <w:rPr>
          <w:rFonts w:ascii="Calibri" w:eastAsia="Times New Roman" w:hAnsi="Calibri" w:cs="Calibri"/>
          <w:i/>
          <w:iCs/>
          <w:color w:val="000000"/>
          <w:kern w:val="0"/>
          <w:sz w:val="22"/>
          <w:szCs w:val="22"/>
          <w14:ligatures w14:val="none"/>
        </w:rPr>
        <w:t>rif </w:t>
      </w:r>
      <w:r w:rsidRPr="006505C0">
        <w:rPr>
          <w:rFonts w:ascii="Calibri" w:eastAsia="Times New Roman" w:hAnsi="Calibri" w:cs="Calibri"/>
          <w:color w:val="000000"/>
          <w:kern w:val="0"/>
          <w:sz w:val="22"/>
          <w:szCs w:val="22"/>
          <w14:ligatures w14:val="none"/>
        </w:rPr>
        <w:t>subgroups was compared using linear regression. We also used Corset to identify clusters of </w:t>
      </w:r>
      <w:r w:rsidRPr="006505C0">
        <w:rPr>
          <w:rFonts w:ascii="Calibri" w:eastAsia="Times New Roman" w:hAnsi="Calibri" w:cs="Calibri"/>
          <w:i/>
          <w:iCs/>
          <w:color w:val="000000"/>
          <w:kern w:val="0"/>
          <w:sz w:val="22"/>
          <w:szCs w:val="22"/>
          <w14:ligatures w14:val="none"/>
        </w:rPr>
        <w:t>rif </w:t>
      </w:r>
      <w:r w:rsidRPr="006505C0">
        <w:rPr>
          <w:rFonts w:ascii="Calibri" w:eastAsia="Times New Roman" w:hAnsi="Calibri" w:cs="Calibri"/>
          <w:color w:val="000000"/>
          <w:kern w:val="0"/>
          <w:sz w:val="22"/>
          <w:szCs w:val="22"/>
          <w14:ligatures w14:val="none"/>
        </w:rPr>
        <w:t>transcripts and tested for differential expression using edgeR. All statistics were adjusted for parasitemia. Protein structures of selected transcripts were modeled with AlphaFold2. RIFINs predicted to bind LILRB1 were significantly more highly expressed in CM vs. UM (p=0.01). KIR2-binders were significantly upregulated in CM (p=0.01) and SMA (p=0.04) vs. UM. Twelve </w:t>
      </w:r>
      <w:r w:rsidRPr="006505C0">
        <w:rPr>
          <w:rFonts w:ascii="Calibri" w:eastAsia="Times New Roman" w:hAnsi="Calibri" w:cs="Calibri"/>
          <w:i/>
          <w:iCs/>
          <w:color w:val="000000"/>
          <w:kern w:val="0"/>
          <w:sz w:val="22"/>
          <w:szCs w:val="22"/>
          <w14:ligatures w14:val="none"/>
        </w:rPr>
        <w:t>rif</w:t>
      </w:r>
      <w:r w:rsidRPr="006505C0">
        <w:rPr>
          <w:rFonts w:ascii="Calibri" w:eastAsia="Times New Roman" w:hAnsi="Calibri" w:cs="Calibri"/>
          <w:color w:val="000000"/>
          <w:kern w:val="0"/>
          <w:sz w:val="22"/>
          <w:szCs w:val="22"/>
          <w14:ligatures w14:val="none"/>
        </w:rPr>
        <w:t> clusters were differentially expressed in CM (FDR &lt; 0.1) including three LILRB1-binding clusters, one KIR2-binding cluster, and one strain-transcendent cluster. 3D modeling of the most differentially expressed </w:t>
      </w:r>
      <w:r w:rsidRPr="006505C0">
        <w:rPr>
          <w:rFonts w:ascii="Calibri" w:eastAsia="Times New Roman" w:hAnsi="Calibri" w:cs="Calibri"/>
          <w:i/>
          <w:iCs/>
          <w:color w:val="000000"/>
          <w:kern w:val="0"/>
          <w:sz w:val="22"/>
          <w:szCs w:val="22"/>
          <w14:ligatures w14:val="none"/>
        </w:rPr>
        <w:t>rif </w:t>
      </w:r>
      <w:r w:rsidRPr="006505C0">
        <w:rPr>
          <w:rFonts w:ascii="Calibri" w:eastAsia="Times New Roman" w:hAnsi="Calibri" w:cs="Calibri"/>
          <w:color w:val="000000"/>
          <w:kern w:val="0"/>
          <w:sz w:val="22"/>
          <w:szCs w:val="22"/>
          <w14:ligatures w14:val="none"/>
        </w:rPr>
        <w:t>cluster (unknown function) revealed high structural similarity (average molecular distance 1.06 Å) and predicted binding to LILRB1 (pDockQ &gt; 0.23). This provides the first evidence that immune-targeting RIFIN subsets and conserved RIFINs are associated with severe malaria pathogenesis, highlighting the need for further translational studies of these antigens.</w:t>
      </w:r>
    </w:p>
    <w:p w14:paraId="688413E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25-A-3626-ASTMH</w:t>
      </w:r>
    </w:p>
    <w:p w14:paraId="2DFB8AA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Epidemiology</w:t>
      </w:r>
    </w:p>
    <w:p w14:paraId="2602584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An Analytical Approach to Influenza Surveillance Data Management in Ghana: Trends, Predictive Modeling, and Insights for Public Health Interventions</w:t>
      </w:r>
    </w:p>
    <w:p w14:paraId="43012CB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Influenza continues to pose a serious public health threat in Ghana, necessitating a modernized and data-driven surveillance approach. This study adopts a comprehensive analytical framework that integrates statistical and programming tools—SPSS, R, Python, and SQL—to clean, process, and analyze influenza surveillance data. Emphasis is placed on identifying patterns in seasonal outbreaks, assessing demographic and regional variability, and understanding underlying epidemiological trends. Predictive modeling techniques, including logistic regression and time-series forecasting, are employed to estimate the likelihood and timing of future outbreaks. These predictive models inform timely public health interventions and guide strategic resource distribution. Key findings are distilled into actionable reports for stakeholders such as the Ghana Health Service, WHO, and local surveillance teams, facilitating evidence-based decision-making and enhancing real-time response efforts. The study also evaluates the existing surveillance infrastructure and proposes improvements to data collection, real-time reporting, and monitoring processes. Recommendations include the adoption of standardized digital reporting tools, streamlined data pipelines, and capacity-building initiatives for public health personnel. The integration of advanced analytics into routine surveillance strengthens Ghana’s ability to anticipate and respond to seasonal influenza. By aligning with Ghana’s national health priorities and global health standards, this research contributes to more proactive, accurate, and sustainable influenza management. It establishes a foundation for adaptive surveillance systems that can be extended to other infectious diseases, reinforcing the country’s preparedness and resilience against future public health threats.</w:t>
      </w:r>
    </w:p>
    <w:p w14:paraId="1F1DB75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25-A-3627-ASTMH</w:t>
      </w:r>
    </w:p>
    <w:p w14:paraId="52100B7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Enteric Infections</w:t>
      </w:r>
    </w:p>
    <w:p w14:paraId="4C94427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Evaluation of a method for detecting enterotoxigenic </w:t>
      </w:r>
      <w:r w:rsidRPr="006505C0">
        <w:rPr>
          <w:rFonts w:ascii="Calibri" w:eastAsia="Times New Roman" w:hAnsi="Calibri" w:cs="Calibri"/>
          <w:i/>
          <w:iCs/>
          <w:color w:val="000000"/>
          <w:kern w:val="0"/>
          <w:sz w:val="22"/>
          <w:szCs w:val="22"/>
          <w14:ligatures w14:val="none"/>
        </w:rPr>
        <w:t>Escherichia coli</w:t>
      </w:r>
      <w:r w:rsidRPr="006505C0">
        <w:rPr>
          <w:rFonts w:ascii="Calibri" w:eastAsia="Times New Roman" w:hAnsi="Calibri" w:cs="Calibri"/>
          <w:color w:val="000000"/>
          <w:kern w:val="0"/>
          <w:sz w:val="22"/>
          <w:szCs w:val="22"/>
          <w14:ligatures w14:val="none"/>
        </w:rPr>
        <w:t> (ETEC) using Chelex-100 in stool samples collected on filter paper</w:t>
      </w:r>
    </w:p>
    <w:p w14:paraId="6EC6F3E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Diarrheal disease is one of the leading causes of death in children under five years of age. One of the pathogens involved in this disease especially in middle and low income countries is Enterotoxigenic </w:t>
      </w:r>
      <w:r w:rsidRPr="006505C0">
        <w:rPr>
          <w:rFonts w:ascii="Calibri" w:eastAsia="Times New Roman" w:hAnsi="Calibri" w:cs="Calibri"/>
          <w:i/>
          <w:iCs/>
          <w:color w:val="000000"/>
          <w:kern w:val="0"/>
          <w:sz w:val="22"/>
          <w:szCs w:val="22"/>
          <w14:ligatures w14:val="none"/>
        </w:rPr>
        <w:t>Escherichia coli</w:t>
      </w:r>
      <w:r w:rsidRPr="006505C0">
        <w:rPr>
          <w:rFonts w:ascii="Calibri" w:eastAsia="Times New Roman" w:hAnsi="Calibri" w:cs="Calibri"/>
          <w:color w:val="000000"/>
          <w:kern w:val="0"/>
          <w:sz w:val="22"/>
          <w:szCs w:val="22"/>
          <w14:ligatures w14:val="none"/>
        </w:rPr>
        <w:t>. In Peru, ETEC has a reported average prevalence of 5.3 and 6.9% in diarrheal samples. Studies involving the use of fecal samples for diagnosis, have presented difficulties in collection, transport and storage; an alternative proposed to overcome these problems is the use of filter paper, which allows the storage of samples at room temperature and takes up less space. Likewise, there are a large number of DNA extraction methods, many of which are based on kits that are not economically adjusted to the needs of places where diarrheal disease is prevalent. Chelex-100, often used to extract DNA from blood samples on filter paper, could be a good option due to being a faster method and its cost-effectiveness. Thus, this study seeked to jointly evaluate the use of stool samples collected on filter paper and their DNA extraction using Chelex - 100 to detect Enterotoxigenic </w:t>
      </w:r>
      <w:r w:rsidRPr="006505C0">
        <w:rPr>
          <w:rFonts w:ascii="Calibri" w:eastAsia="Times New Roman" w:hAnsi="Calibri" w:cs="Calibri"/>
          <w:i/>
          <w:iCs/>
          <w:color w:val="000000"/>
          <w:kern w:val="0"/>
          <w:sz w:val="22"/>
          <w:szCs w:val="22"/>
          <w14:ligatures w14:val="none"/>
        </w:rPr>
        <w:t>Escherichia coli</w:t>
      </w:r>
      <w:r w:rsidRPr="006505C0">
        <w:rPr>
          <w:rFonts w:ascii="Calibri" w:eastAsia="Times New Roman" w:hAnsi="Calibri" w:cs="Calibri"/>
          <w:color w:val="000000"/>
          <w:kern w:val="0"/>
          <w:sz w:val="22"/>
          <w:szCs w:val="22"/>
          <w14:ligatures w14:val="none"/>
        </w:rPr>
        <w:t> (ETEC) by conventional multiplex Polymerase Chain Reaction (PCR). A validation assay was made including: A) detection limit of the proposed method (5.8x10</w:t>
      </w:r>
      <w:r w:rsidRPr="006505C0">
        <w:rPr>
          <w:rFonts w:ascii="Calibri" w:eastAsia="Times New Roman" w:hAnsi="Calibri" w:cs="Calibri"/>
          <w:color w:val="000000"/>
          <w:kern w:val="0"/>
          <w:sz w:val="22"/>
          <w:szCs w:val="22"/>
          <w:vertAlign w:val="superscript"/>
          <w14:ligatures w14:val="none"/>
        </w:rPr>
        <w:t>4</w:t>
      </w:r>
      <w:r w:rsidRPr="006505C0">
        <w:rPr>
          <w:rFonts w:ascii="Calibri" w:eastAsia="Times New Roman" w:hAnsi="Calibri" w:cs="Calibri"/>
          <w:color w:val="000000"/>
          <w:kern w:val="0"/>
          <w:sz w:val="22"/>
          <w:szCs w:val="22"/>
          <w14:ligatures w14:val="none"/>
        </w:rPr>
        <w:t> CFU/g), B) an interference assay to determine analytical specificity to detect ETEC (100%) and the analysis of the primers used C) a precision test (95%) and D) accuracy when compared to the extraction with a Qiagen kit from fresh samples (100%). Finally, a comparison of methods was made using 171 children’s stool samples. Chelex-100 was used on samples collected on filter paper and Qiagen’s QIAamp Fast DNA Stool Mini Kit was used on the same samples but fresh and the comparison showed moderate to strong agreement (k=0.794).</w:t>
      </w:r>
    </w:p>
    <w:p w14:paraId="6188880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25-A-3629-ASTMH</w:t>
      </w:r>
    </w:p>
    <w:p w14:paraId="4DD6CED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Water, Sanitation, Hygiene and Environmental Health</w:t>
      </w:r>
    </w:p>
    <w:p w14:paraId="44CA736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effect of two community-based interventions on sanitation and hygiene outcomes in rural Malawi: a controlled before-and-after (CBA) trial</w:t>
      </w:r>
    </w:p>
    <w:p w14:paraId="25B96FE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Unlocking the health and development impacts of sanitation and hygiene interventions requires changing individual behaviours. There are limited robust evaluations comparing different </w:t>
      </w:r>
      <w:r w:rsidRPr="006505C0">
        <w:rPr>
          <w:rFonts w:ascii="Calibri" w:eastAsia="Times New Roman" w:hAnsi="Calibri" w:cs="Calibri"/>
          <w:color w:val="000000"/>
          <w:kern w:val="0"/>
          <w:sz w:val="22"/>
          <w:szCs w:val="22"/>
          <w14:ligatures w14:val="none"/>
        </w:rPr>
        <w:lastRenderedPageBreak/>
        <w:t>implementation models of district-wide sanitation and hygiene behaviour change approaches using existing community structures. In this controlled before-and-after trial (clinicaltrials.gov (NCT05808218)), we assessed the effectiveness of a district-level Community-led Total Sanitation (CLTS) intervention with and without locally managed Care Groups (CG) on sanitation and hygiene behaviours in Chiradzulu District, Malawi. Sanitation and hygiene outcomes were surveyed in a total of 1,400 households at baseline (June 2023) and endline (May 2024). Hygiene behaviours were directly observed in a subset of 300 households at each data collection round. Both interventions were associated with improvements in private sanitation coverage (CLTS group adjusted odds ratio [aOR] 3.11 (95% CI: 2.06—4.70) and CLTS+CG group aOR 2.16 (1.34—3.48), but neither resulted in improvements that met current SDG targets. We found evidence of increased handwashing facility coverage in the CLTS+CG group compared to the control group (aOR 2.62, CI: 1.19 – 5.75). However, we found no evidence of differences in reported individual sanitation use among households in with either intervention. Neither intervention was associated with differences in observed handwashing with soap at key junctures. However, both interventions were associated with increases in hand rinsing (i.e., handwashing with water only) compared to the control group and compared to no handwashing (CLTS adjusted relative risk ratio [aRR] 1.76 (1.10—2.83) and CLTS+CG group aRR 2.80 (1.81—4.33). The CLTS+CG intervention was associated with a slight increase in hand rinsing compared to the CLTS group (aRR 1.65 (1.01—2.69). Given their role and reach, CGs may be underutilised in current rural sanitation and hygiene programmes. Hygiene promotion integrated into sanitation programming is associated with increases in hand hygiene action at appropriate moments, but more emphasis is needed on the use of soap.</w:t>
      </w:r>
    </w:p>
    <w:p w14:paraId="56071A6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25-A-3630-ASTMH</w:t>
      </w:r>
    </w:p>
    <w:p w14:paraId="698CDCA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Schistosomiasis and Other Trematodes – Diagnostics and Treatment</w:t>
      </w:r>
    </w:p>
    <w:p w14:paraId="5BFAAAF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Community-Led Schistosomiasis Diagnostics : The Foldscope and Microfluidic Slides in Rural Nigeria</w:t>
      </w:r>
    </w:p>
    <w:p w14:paraId="3A7DC8E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Schistosomiasis remains a major public health challenge in Nigeria, where limited access to diagnostics and treatment contributes to high disease burden. Female genital schistosomiasis (FGS), a severe form of urogenital infection, increases the risk of bladder cancer, cervical cancer, and infertility. In endemic regions such as Ogun State, long distances to clinics, limited awareness among healthcare workers, and social stigma often delay diagnosis. Microscopy, the gold standard for diagnosis, requires trained personnel, electricity, and expensive equipment — creating barriers in low-resource settings. This study evaluates the Foldscope—a low-cost, origami-based paper microscope—and a microfluidic slide to concentrate parasitic eggs in urine as tools for community-led diagnosis of Schistosoma haematobium. Previous studies called for evaluation of the use of the Foldscope by untrained technicians, and emphasized the need for field studies to validate microfluidic sample preparation. We worked with community health extension workers (CHEWS) in Ogun State, Nigeria, training users in sample preparation and Foldscope use. The study assesses diagnostic accuracy, feasibility, and acceptability in a highly endemic area through mixed methods. Emphasizing electricity-free sample prep and field-readiness, the project targets the Oyan River Dam region. Preliminary findings indicate promising diagnostic accuracy (80%) by untrained users (in Houston, in a controlled lab setting) and strong community enthusiasm for the Foldscope due to its portability and simplicity. This initiative proposes an innovative approach to overcoming logistical and socio-economic barriers in neglected tropical disease control. By enabling local diagnosis through low-cost, field-ready tools, our work supports scalable strategies for schistosomiasis screening and strengthens community capacity in alignment with SDGs 3, 6, 9, and 12.</w:t>
      </w:r>
    </w:p>
    <w:p w14:paraId="06922E5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25-A-3631-ASTMH</w:t>
      </w:r>
    </w:p>
    <w:p w14:paraId="3107F42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Global Health - Maternal, Newborn and Child Health and Nutrition</w:t>
      </w:r>
    </w:p>
    <w:p w14:paraId="192E596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Pathways to optimize a pediatric telemedicine and medication delivery service: A multi-level qualitative study in Haiti</w:t>
      </w:r>
    </w:p>
    <w:p w14:paraId="2227B69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While telemedicine has become an established component of healthcare delivery globally, challenges to scaling emerging initiatives persist across multiple levels. Over the past five years, our team has developed a pediatric telemedicine and medication delivery service (TMDS) in Haiti that integrates clinical guidance with rapid access to medications. Building on successful proof-of-concept studies, we are now well positioned to characterize both general challenges to telemedicine scale-up and those unique to the TMDS model. In this study, we conducted focus group discussions and administered written questionaries to TMDS staff, including physicians, nurses, and medication delivery drivers. Using framework matrix analysis we identified key challenges and opportunities associated with the TMDS model. Areas for improvement related to obtaining quality information from virtual exams, the reliability of technology and communication infrastructure, conditions necessary for effective in-person exams, the limited scope of the TMDS workflow and clinical resources, and risks to long-term sustainability. These insights informed the development of targeted action items categorized into three domains: conceptual, physical and mission-oriented. The findings will guide our internal scale-up strategy and may offer guidance for similar telemedicine initiatives.</w:t>
      </w:r>
    </w:p>
    <w:p w14:paraId="68942B8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25-A-3632-ASTMH</w:t>
      </w:r>
    </w:p>
    <w:p w14:paraId="175692C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6F492FE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Arbovirus prevalence in mosquitoes across different land use habitats in The Gambia</w:t>
      </w:r>
    </w:p>
    <w:p w14:paraId="65C0CFA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Arboviral outbreaks are a persistent threat in West Africa, including neighboring Senegal, but The Gambia lacks robust surveillance systems for these vector-borne pathogens, and little is known about non-Anopheline mosquito species here. Historical evidence of arbovirus in The Gambia includes a yellow fever outbreak (1978-79), Rift Valley fever seroprevalence in cattle (2002), Zika virus antibodies (2007-2012), a confirmed chikungunya case (2023), and Crimean-Congo hemorrhagic fever seroprevalence in livestock (2023). To assess arbovirus circulation and mosquito species diversity, we sampled mosquitoes across three regions (Fajara, Walikunda, and Basse) in three land-use settings: sylvatic, agricultural, and human habitation, during both rainy and dry seasons. A total of 36,855 mosquitoes representing 55 species and 12 genera were collected and pooled by species, habitat type, and date. Pools were screened using virus isolation on Vero-76 cell lines. Nine pools showed cytopathic effect (CPE), and virus was harvested. Of these, two were identified as Sindbis virus—one comprising </w:t>
      </w:r>
      <w:r w:rsidRPr="006505C0">
        <w:rPr>
          <w:rFonts w:ascii="Calibri" w:eastAsia="Times New Roman" w:hAnsi="Calibri" w:cs="Calibri"/>
          <w:i/>
          <w:iCs/>
          <w:color w:val="000000"/>
          <w:kern w:val="0"/>
          <w:sz w:val="22"/>
          <w:szCs w:val="22"/>
          <w14:ligatures w14:val="none"/>
        </w:rPr>
        <w:t>Culex neavei</w:t>
      </w:r>
      <w:r w:rsidRPr="006505C0">
        <w:rPr>
          <w:rFonts w:ascii="Calibri" w:eastAsia="Times New Roman" w:hAnsi="Calibri" w:cs="Calibri"/>
          <w:color w:val="000000"/>
          <w:kern w:val="0"/>
          <w:sz w:val="22"/>
          <w:szCs w:val="22"/>
          <w14:ligatures w14:val="none"/>
        </w:rPr>
        <w:t> and one </w:t>
      </w:r>
      <w:r w:rsidRPr="006505C0">
        <w:rPr>
          <w:rFonts w:ascii="Calibri" w:eastAsia="Times New Roman" w:hAnsi="Calibri" w:cs="Calibri"/>
          <w:i/>
          <w:iCs/>
          <w:color w:val="000000"/>
          <w:kern w:val="0"/>
          <w:sz w:val="22"/>
          <w:szCs w:val="22"/>
          <w14:ligatures w14:val="none"/>
        </w:rPr>
        <w:t>Mansonia uniformis</w:t>
      </w:r>
      <w:r w:rsidRPr="006505C0">
        <w:rPr>
          <w:rFonts w:ascii="Calibri" w:eastAsia="Times New Roman" w:hAnsi="Calibri" w:cs="Calibri"/>
          <w:color w:val="000000"/>
          <w:kern w:val="0"/>
          <w:sz w:val="22"/>
          <w:szCs w:val="22"/>
          <w14:ligatures w14:val="none"/>
        </w:rPr>
        <w:t>, both from sylvatic Walikunda. We also detected Ngari virus in two pools—</w:t>
      </w:r>
      <w:r w:rsidRPr="006505C0">
        <w:rPr>
          <w:rFonts w:ascii="Calibri" w:eastAsia="Times New Roman" w:hAnsi="Calibri" w:cs="Calibri"/>
          <w:i/>
          <w:iCs/>
          <w:color w:val="000000"/>
          <w:kern w:val="0"/>
          <w:sz w:val="22"/>
          <w:szCs w:val="22"/>
          <w14:ligatures w14:val="none"/>
        </w:rPr>
        <w:t>Anopheles gambiae s.l.</w:t>
      </w:r>
      <w:r w:rsidRPr="006505C0">
        <w:rPr>
          <w:rFonts w:ascii="Calibri" w:eastAsia="Times New Roman" w:hAnsi="Calibri" w:cs="Calibri"/>
          <w:color w:val="000000"/>
          <w:kern w:val="0"/>
          <w:sz w:val="22"/>
          <w:szCs w:val="22"/>
          <w14:ligatures w14:val="none"/>
        </w:rPr>
        <w:t> from human habitat and </w:t>
      </w:r>
      <w:r w:rsidRPr="006505C0">
        <w:rPr>
          <w:rFonts w:ascii="Calibri" w:eastAsia="Times New Roman" w:hAnsi="Calibri" w:cs="Calibri"/>
          <w:i/>
          <w:iCs/>
          <w:color w:val="000000"/>
          <w:kern w:val="0"/>
          <w:sz w:val="22"/>
          <w:szCs w:val="22"/>
          <w14:ligatures w14:val="none"/>
        </w:rPr>
        <w:t>Mansonia uniformis</w:t>
      </w:r>
      <w:r w:rsidRPr="006505C0">
        <w:rPr>
          <w:rFonts w:ascii="Calibri" w:eastAsia="Times New Roman" w:hAnsi="Calibri" w:cs="Calibri"/>
          <w:color w:val="000000"/>
          <w:kern w:val="0"/>
          <w:sz w:val="22"/>
          <w:szCs w:val="22"/>
          <w14:ligatures w14:val="none"/>
        </w:rPr>
        <w:t> from sylvatic Walikunda. Five further isolates are pending identification, including those from </w:t>
      </w:r>
      <w:r w:rsidRPr="006505C0">
        <w:rPr>
          <w:rFonts w:ascii="Calibri" w:eastAsia="Times New Roman" w:hAnsi="Calibri" w:cs="Calibri"/>
          <w:i/>
          <w:iCs/>
          <w:color w:val="000000"/>
          <w:kern w:val="0"/>
          <w:sz w:val="22"/>
          <w:szCs w:val="22"/>
          <w14:ligatures w14:val="none"/>
        </w:rPr>
        <w:t>Culex antennatus, Coquillettidia metallica, Lutzia trigipes, Anopheles gambiae, </w:t>
      </w:r>
      <w:r w:rsidRPr="006505C0">
        <w:rPr>
          <w:rFonts w:ascii="Calibri" w:eastAsia="Times New Roman" w:hAnsi="Calibri" w:cs="Calibri"/>
          <w:color w:val="000000"/>
          <w:kern w:val="0"/>
          <w:sz w:val="22"/>
          <w:szCs w:val="22"/>
          <w14:ligatures w14:val="none"/>
        </w:rPr>
        <w:t>and</w:t>
      </w:r>
      <w:r w:rsidRPr="006505C0">
        <w:rPr>
          <w:rFonts w:ascii="Calibri" w:eastAsia="Times New Roman" w:hAnsi="Calibri" w:cs="Calibri"/>
          <w:i/>
          <w:iCs/>
          <w:color w:val="000000"/>
          <w:kern w:val="0"/>
          <w:sz w:val="22"/>
          <w:szCs w:val="22"/>
          <w14:ligatures w14:val="none"/>
        </w:rPr>
        <w:t> M. uniformis</w:t>
      </w:r>
      <w:r w:rsidRPr="006505C0">
        <w:rPr>
          <w:rFonts w:ascii="Calibri" w:eastAsia="Times New Roman" w:hAnsi="Calibri" w:cs="Calibri"/>
          <w:color w:val="000000"/>
          <w:kern w:val="0"/>
          <w:sz w:val="22"/>
          <w:szCs w:val="22"/>
          <w14:ligatures w14:val="none"/>
        </w:rPr>
        <w:t>. Detection of Ngari virus, a reassortant Bunyavirus causing viral hemorrhagic fever with high human fatality, underscores its health threat. Sindbis virus, though underdiagnosed, causes febrile arthritis and has triggered outbreaks in Africa and Europe. Their isolation from sylvatic and human habitats suggests active circulation and zoonotic potential. These findings provide vital baseline data and highlight the need for enhanced arbovirus surveillance, vector control, and integrated public health preparedness in The Gambia.</w:t>
      </w:r>
    </w:p>
    <w:p w14:paraId="30EAD57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25-A-3633-ASTMH</w:t>
      </w:r>
    </w:p>
    <w:p w14:paraId="3C0C1EF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Ectoparasite-Borne Disease - Babesiosis and Lyme Disease</w:t>
      </w:r>
    </w:p>
    <w:p w14:paraId="380D5A7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Species distribution models for </w:t>
      </w:r>
      <w:r w:rsidRPr="006505C0">
        <w:rPr>
          <w:rFonts w:ascii="Calibri" w:eastAsia="Times New Roman" w:hAnsi="Calibri" w:cs="Calibri"/>
          <w:i/>
          <w:iCs/>
          <w:color w:val="000000"/>
          <w:kern w:val="0"/>
          <w:sz w:val="22"/>
          <w:szCs w:val="22"/>
          <w14:ligatures w14:val="none"/>
        </w:rPr>
        <w:t>Ixodes ricinus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Dermacentor reticulatus</w:t>
      </w:r>
      <w:r w:rsidRPr="006505C0">
        <w:rPr>
          <w:rFonts w:ascii="Calibri" w:eastAsia="Times New Roman" w:hAnsi="Calibri" w:cs="Calibri"/>
          <w:color w:val="000000"/>
          <w:kern w:val="0"/>
          <w:sz w:val="22"/>
          <w:szCs w:val="22"/>
          <w14:ligatures w14:val="none"/>
        </w:rPr>
        <w:t> in the Republic of Georgia</w:t>
      </w:r>
    </w:p>
    <w:p w14:paraId="7354C53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Modeling the potential geographic distribution of tick species is an essential public health activity. Within the Republic of Georgia, </w:t>
      </w:r>
      <w:r w:rsidRPr="006505C0">
        <w:rPr>
          <w:rFonts w:ascii="Calibri" w:eastAsia="Times New Roman" w:hAnsi="Calibri" w:cs="Calibri"/>
          <w:i/>
          <w:iCs/>
          <w:color w:val="000000"/>
          <w:kern w:val="0"/>
          <w:sz w:val="22"/>
          <w:szCs w:val="22"/>
          <w14:ligatures w14:val="none"/>
        </w:rPr>
        <w:t>Ixodes ricinus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Dermacentor reticulatus </w:t>
      </w:r>
      <w:r w:rsidRPr="006505C0">
        <w:rPr>
          <w:rFonts w:ascii="Calibri" w:eastAsia="Times New Roman" w:hAnsi="Calibri" w:cs="Calibri"/>
          <w:color w:val="000000"/>
          <w:kern w:val="0"/>
          <w:sz w:val="22"/>
          <w:szCs w:val="22"/>
          <w14:ligatures w14:val="none"/>
        </w:rPr>
        <w:t>are of epidemiological significance for their role in transmitting human and animal pathogens; </w:t>
      </w:r>
      <w:r w:rsidRPr="006505C0">
        <w:rPr>
          <w:rFonts w:ascii="Calibri" w:eastAsia="Times New Roman" w:hAnsi="Calibri" w:cs="Calibri"/>
          <w:i/>
          <w:iCs/>
          <w:color w:val="000000"/>
          <w:kern w:val="0"/>
          <w:sz w:val="22"/>
          <w:szCs w:val="22"/>
          <w14:ligatures w14:val="none"/>
        </w:rPr>
        <w:t>I</w:t>
      </w:r>
      <w:r w:rsidRPr="006505C0">
        <w:rPr>
          <w:rFonts w:ascii="Calibri" w:eastAsia="Times New Roman" w:hAnsi="Calibri" w:cs="Calibri"/>
          <w:color w:val="000000"/>
          <w:kern w:val="0"/>
          <w:sz w:val="22"/>
          <w:szCs w:val="22"/>
          <w14:ligatures w14:val="none"/>
        </w:rPr>
        <w:t>.</w:t>
      </w:r>
      <w:r w:rsidRPr="006505C0">
        <w:rPr>
          <w:rFonts w:ascii="Calibri" w:eastAsia="Times New Roman" w:hAnsi="Calibri" w:cs="Calibri"/>
          <w:i/>
          <w:iCs/>
          <w:color w:val="000000"/>
          <w:kern w:val="0"/>
          <w:sz w:val="22"/>
          <w:szCs w:val="22"/>
          <w14:ligatures w14:val="none"/>
        </w:rPr>
        <w:t> ricinus</w:t>
      </w:r>
      <w:r w:rsidRPr="006505C0">
        <w:rPr>
          <w:rFonts w:ascii="Calibri" w:eastAsia="Times New Roman" w:hAnsi="Calibri" w:cs="Calibri"/>
          <w:color w:val="000000"/>
          <w:kern w:val="0"/>
          <w:sz w:val="22"/>
          <w:szCs w:val="22"/>
          <w14:ligatures w14:val="none"/>
        </w:rPr>
        <w:t> is recognized as an important vector of Lyme borreliosis spirochetes, while </w:t>
      </w:r>
      <w:r w:rsidRPr="006505C0">
        <w:rPr>
          <w:rFonts w:ascii="Calibri" w:eastAsia="Times New Roman" w:hAnsi="Calibri" w:cs="Calibri"/>
          <w:i/>
          <w:iCs/>
          <w:color w:val="000000"/>
          <w:kern w:val="0"/>
          <w:sz w:val="22"/>
          <w:szCs w:val="22"/>
          <w14:ligatures w14:val="none"/>
        </w:rPr>
        <w:t>D. reticulatus </w:t>
      </w:r>
      <w:r w:rsidRPr="006505C0">
        <w:rPr>
          <w:rFonts w:ascii="Calibri" w:eastAsia="Times New Roman" w:hAnsi="Calibri" w:cs="Calibri"/>
          <w:color w:val="000000"/>
          <w:kern w:val="0"/>
          <w:sz w:val="22"/>
          <w:szCs w:val="22"/>
          <w14:ligatures w14:val="none"/>
        </w:rPr>
        <w:t>vectors </w:t>
      </w:r>
      <w:r w:rsidRPr="006505C0">
        <w:rPr>
          <w:rFonts w:ascii="Calibri" w:eastAsia="Times New Roman" w:hAnsi="Calibri" w:cs="Calibri"/>
          <w:i/>
          <w:iCs/>
          <w:color w:val="000000"/>
          <w:kern w:val="0"/>
          <w:sz w:val="22"/>
          <w:szCs w:val="22"/>
          <w14:ligatures w14:val="none"/>
        </w:rPr>
        <w:t>Babesia canis</w:t>
      </w:r>
      <w:r w:rsidRPr="006505C0">
        <w:rPr>
          <w:rFonts w:ascii="Calibri" w:eastAsia="Times New Roman" w:hAnsi="Calibri" w:cs="Calibri"/>
          <w:color w:val="000000"/>
          <w:kern w:val="0"/>
          <w:sz w:val="22"/>
          <w:szCs w:val="22"/>
          <w14:ligatures w14:val="none"/>
        </w:rPr>
        <w:t xml:space="preserve"> (the causative agent of canine babesiosis) and several Rickettsiae species. Modeling the distribution of these ticks can inform vector-borne disease control by providing an empirical estimate of where surveillance efforts are warranted. To this end, we employed a dataset of tick collections from across the Republic of Georgia, including collections from October 2013 until August of 2023. We used this tick collection data </w:t>
      </w:r>
      <w:r w:rsidRPr="006505C0">
        <w:rPr>
          <w:rFonts w:ascii="Calibri" w:eastAsia="Times New Roman" w:hAnsi="Calibri" w:cs="Calibri"/>
          <w:color w:val="000000"/>
          <w:kern w:val="0"/>
          <w:sz w:val="22"/>
          <w:szCs w:val="22"/>
          <w14:ligatures w14:val="none"/>
        </w:rPr>
        <w:lastRenderedPageBreak/>
        <w:t>and several publicly available environmental covariates including basic climatic parameters (from WorldClim2), soil types (from SoilGRIDS) and vegetation data (from MODIS) to develop species distribution models using a boosted regression framework. Our results identify distinct areas of habitat suitable across the country, with notable differences for each species, including a stronger signal of </w:t>
      </w:r>
      <w:r w:rsidRPr="006505C0">
        <w:rPr>
          <w:rFonts w:ascii="Calibri" w:eastAsia="Times New Roman" w:hAnsi="Calibri" w:cs="Calibri"/>
          <w:i/>
          <w:iCs/>
          <w:color w:val="000000"/>
          <w:kern w:val="0"/>
          <w:sz w:val="22"/>
          <w:szCs w:val="22"/>
          <w14:ligatures w14:val="none"/>
        </w:rPr>
        <w:t>I. ricinus</w:t>
      </w:r>
      <w:r w:rsidRPr="006505C0">
        <w:rPr>
          <w:rFonts w:ascii="Calibri" w:eastAsia="Times New Roman" w:hAnsi="Calibri" w:cs="Calibri"/>
          <w:color w:val="000000"/>
          <w:kern w:val="0"/>
          <w:sz w:val="22"/>
          <w:szCs w:val="22"/>
          <w14:ligatures w14:val="none"/>
        </w:rPr>
        <w:t> presence suitability across the country, and a comparatively much lower suitable area projected for </w:t>
      </w:r>
      <w:r w:rsidRPr="006505C0">
        <w:rPr>
          <w:rFonts w:ascii="Calibri" w:eastAsia="Times New Roman" w:hAnsi="Calibri" w:cs="Calibri"/>
          <w:i/>
          <w:iCs/>
          <w:color w:val="000000"/>
          <w:kern w:val="0"/>
          <w:sz w:val="22"/>
          <w:szCs w:val="22"/>
          <w14:ligatures w14:val="none"/>
        </w:rPr>
        <w:t>D. reticulatus</w:t>
      </w:r>
      <w:r w:rsidRPr="006505C0">
        <w:rPr>
          <w:rFonts w:ascii="Calibri" w:eastAsia="Times New Roman" w:hAnsi="Calibri" w:cs="Calibri"/>
          <w:color w:val="000000"/>
          <w:kern w:val="0"/>
          <w:sz w:val="22"/>
          <w:szCs w:val="22"/>
          <w14:ligatures w14:val="none"/>
        </w:rPr>
        <w:t>.</w:t>
      </w:r>
      <w:r w:rsidRPr="006505C0">
        <w:rPr>
          <w:rFonts w:ascii="Calibri" w:eastAsia="Times New Roman" w:hAnsi="Calibri" w:cs="Calibri"/>
          <w:i/>
          <w:iCs/>
          <w:color w:val="000000"/>
          <w:kern w:val="0"/>
          <w:sz w:val="22"/>
          <w:szCs w:val="22"/>
          <w14:ligatures w14:val="none"/>
        </w:rPr>
        <w:t> </w:t>
      </w:r>
      <w:r w:rsidRPr="006505C0">
        <w:rPr>
          <w:rFonts w:ascii="Calibri" w:eastAsia="Times New Roman" w:hAnsi="Calibri" w:cs="Calibri"/>
          <w:color w:val="000000"/>
          <w:kern w:val="0"/>
          <w:sz w:val="22"/>
          <w:szCs w:val="22"/>
          <w14:ligatures w14:val="none"/>
        </w:rPr>
        <w:t>These findings can inform vector-borne disease programming within the country.</w:t>
      </w:r>
    </w:p>
    <w:p w14:paraId="161FF44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25-A-3635-ASTMH</w:t>
      </w:r>
    </w:p>
    <w:p w14:paraId="62EC15E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Vaccines and Immunotherapeutics</w:t>
      </w:r>
    </w:p>
    <w:p w14:paraId="1610EFE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Safety and efficacy of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malaria transmission-blocking monoclonal antibody TB31F in adults and children in Mali: a phase 1/2 trial randomised, placebo-controlled, double-blind, dose escalation, age de-escalation clinical trial</w:t>
      </w:r>
    </w:p>
    <w:p w14:paraId="22D102A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elimination requires disruption of the highly efficient transmission of </w:t>
      </w:r>
      <w:r w:rsidRPr="006505C0">
        <w:rPr>
          <w:rFonts w:ascii="Calibri" w:eastAsia="Times New Roman" w:hAnsi="Calibri" w:cs="Calibri"/>
          <w:i/>
          <w:iCs/>
          <w:color w:val="000000"/>
          <w:kern w:val="0"/>
          <w:sz w:val="22"/>
          <w:szCs w:val="22"/>
          <w14:ligatures w14:val="none"/>
        </w:rPr>
        <w:t>Plasmodium </w:t>
      </w:r>
      <w:r w:rsidRPr="006505C0">
        <w:rPr>
          <w:rFonts w:ascii="Calibri" w:eastAsia="Times New Roman" w:hAnsi="Calibri" w:cs="Calibri"/>
          <w:color w:val="000000"/>
          <w:kern w:val="0"/>
          <w:sz w:val="22"/>
          <w:szCs w:val="22"/>
          <w14:ligatures w14:val="none"/>
        </w:rPr>
        <w:t>parasites. TB31F is a humanised monoclonal antibody that blocks transmission by binding gamete surface protein Pfs48/45, thereby inhibiting fertilisation and subsequent parasite development in mosquitoes. We are conducting a clinical trial consisting of a safety cohort followed by an efficacy cohort in malaria-exposed adults and children. The safety cohort, that included 75 healthy participants randomised in 2:1 to receive a subcutaneous dose of TB31F (10 mg, 100 mg, or 200 mg) or placebo, is now complete. The efficacy cohort comprises asymptomatic gametocyte carriers (≥16/μL). To date, 28 of 90 planned participants have been enrolled and randomised 1:1:1 to receive a single administration of 40 mg or 100 mg TB31F, or placebo. Participants are followed until day 84 post-administration to allow robust antibody half-life and efficacy estimation. TB31F serum titres are quantified by ELISA. Transmission-reducing activity is assessed in the efficacy cohort by direct skin feeding (DSF), direct membrane feeding (DMFA), and standard membrane feeding (SMFA) with cultured gametocytes. In interim analysis, TB31F was safe and well tolerated, with no serious or grade 3 adverse events. Before administration, 23 participants (82%) were infectious to mosquitoes by skin feeding, with a median mosquito infection rate of 6% (IQR 2.1-14.1). Median reduction in mosquito infection rate, assessed by DSF, was 100% (IQR 100-100) on day 5 following 100 mg TB31F. Among participants infectious by DMFA before receiving the study product (n=22), the median percentage reduction in mosquito infection rate at day 5 was 100% (IQR 100-100; n=8) in the 40 mg group and 100% (100-100; n=7) in the 100 mg group. In serum replacement DMFA, transmission of gametocytes remained unaltered until day 5. SMFA analyses are currently ongoing. These interim findings suggest that TB31F is well tolerated and can completely block transmission of naturally circulating </w:t>
      </w:r>
      <w:r w:rsidRPr="006505C0">
        <w:rPr>
          <w:rFonts w:ascii="Calibri" w:eastAsia="Times New Roman" w:hAnsi="Calibri" w:cs="Calibri"/>
          <w:i/>
          <w:iCs/>
          <w:color w:val="000000"/>
          <w:kern w:val="0"/>
          <w:sz w:val="22"/>
          <w:szCs w:val="22"/>
          <w14:ligatures w14:val="none"/>
        </w:rPr>
        <w:t>P. falciparum</w:t>
      </w:r>
      <w:r w:rsidRPr="006505C0">
        <w:rPr>
          <w:rFonts w:ascii="Calibri" w:eastAsia="Times New Roman" w:hAnsi="Calibri" w:cs="Calibri"/>
          <w:color w:val="000000"/>
          <w:kern w:val="0"/>
          <w:sz w:val="22"/>
          <w:szCs w:val="22"/>
          <w14:ligatures w14:val="none"/>
        </w:rPr>
        <w:t> isolates from humans to mosquitoes.</w:t>
      </w:r>
    </w:p>
    <w:p w14:paraId="475EC8C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25-A-3636-ASTMH</w:t>
      </w:r>
    </w:p>
    <w:p w14:paraId="1A4988E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Pathogenesis</w:t>
      </w:r>
    </w:p>
    <w:p w14:paraId="121512F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Novel spatial omics and data-driven tools to study host-parasite interactions in the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infected liver</w:t>
      </w:r>
    </w:p>
    <w:p w14:paraId="4D85E89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transmission includes obligate transition of the parasite between the mosquito and the vertebrate host. Upon infecting its vertebrate host, the malaria parasite initially invades the liver where it undergoes massive replication, whilst remaining clinically silent. The coordination of host responses across the complex liver tissue during malaria infection remains largely unexplored. We have optimized spatial transcriptomics for analyses of liver tissue, and more recently, for liver tissues from mice infected with </w:t>
      </w:r>
      <w:r w:rsidRPr="006505C0">
        <w:rPr>
          <w:rFonts w:ascii="Calibri" w:eastAsia="Times New Roman" w:hAnsi="Calibri" w:cs="Calibri"/>
          <w:i/>
          <w:iCs/>
          <w:color w:val="000000"/>
          <w:kern w:val="0"/>
          <w:sz w:val="22"/>
          <w:szCs w:val="22"/>
          <w14:ligatures w14:val="none"/>
        </w:rPr>
        <w:t>Plasmodium berghei</w:t>
      </w:r>
      <w:r w:rsidRPr="006505C0">
        <w:rPr>
          <w:rFonts w:ascii="Calibri" w:eastAsia="Times New Roman" w:hAnsi="Calibri" w:cs="Calibri"/>
          <w:color w:val="000000"/>
          <w:kern w:val="0"/>
          <w:sz w:val="22"/>
          <w:szCs w:val="22"/>
          <w14:ligatures w14:val="none"/>
        </w:rPr>
        <w:t>. Our data reveals significant changes in spatial gene expression in the malaria-infected tissues, including changes related to lipid metabolism in parasite neighborhoods during late infection, distinct inflammation programs between lobular zones and the formation of immune cell aggregates, particularly during early infection.In our current efforts to study the coordination of the immune response against </w:t>
      </w:r>
      <w:r w:rsidRPr="006505C0">
        <w:rPr>
          <w:rFonts w:ascii="Calibri" w:eastAsia="Times New Roman" w:hAnsi="Calibri" w:cs="Calibri"/>
          <w:i/>
          <w:iCs/>
          <w:color w:val="000000"/>
          <w:kern w:val="0"/>
          <w:sz w:val="22"/>
          <w:szCs w:val="22"/>
          <w14:ligatures w14:val="none"/>
        </w:rPr>
        <w:t>Plasmodium </w:t>
      </w:r>
      <w:r w:rsidRPr="006505C0">
        <w:rPr>
          <w:rFonts w:ascii="Calibri" w:eastAsia="Times New Roman" w:hAnsi="Calibri" w:cs="Calibri"/>
          <w:color w:val="000000"/>
          <w:kern w:val="0"/>
          <w:sz w:val="22"/>
          <w:szCs w:val="22"/>
          <w14:ligatures w14:val="none"/>
        </w:rPr>
        <w:t>in the liver, we are establishing additional tools, including an </w:t>
      </w:r>
      <w:r w:rsidRPr="006505C0">
        <w:rPr>
          <w:rFonts w:ascii="Calibri" w:eastAsia="Times New Roman" w:hAnsi="Calibri" w:cs="Calibri"/>
          <w:i/>
          <w:iCs/>
          <w:color w:val="000000"/>
          <w:kern w:val="0"/>
          <w:sz w:val="22"/>
          <w:szCs w:val="22"/>
          <w14:ligatures w14:val="none"/>
        </w:rPr>
        <w:t>ex vivo </w:t>
      </w:r>
      <w:r w:rsidRPr="006505C0">
        <w:rPr>
          <w:rFonts w:ascii="Calibri" w:eastAsia="Times New Roman" w:hAnsi="Calibri" w:cs="Calibri"/>
          <w:color w:val="000000"/>
          <w:kern w:val="0"/>
          <w:sz w:val="22"/>
          <w:szCs w:val="22"/>
          <w14:ligatures w14:val="none"/>
        </w:rPr>
        <w:t xml:space="preserve">liver infection model and a data-driven computational resource, with the ambition to uncover genes and pathways without being restricted by a biased lens. The resource contains over 80,000 </w:t>
      </w:r>
      <w:r w:rsidRPr="006505C0">
        <w:rPr>
          <w:rFonts w:ascii="Calibri" w:eastAsia="Times New Roman" w:hAnsi="Calibri" w:cs="Calibri"/>
          <w:color w:val="000000"/>
          <w:kern w:val="0"/>
          <w:sz w:val="22"/>
          <w:szCs w:val="22"/>
          <w14:ligatures w14:val="none"/>
        </w:rPr>
        <w:lastRenderedPageBreak/>
        <w:t>interactions between 19,105 genes in a single network. These are not biased in favour of well-studied genes, and encompass connections that have not previously been described. The genes are organised into a single network, where the structure is represented by “modules” of genes that are co-regulated in similar contexts. We aim to provide novel, highly informative strategies for investigating host-parasite interactions in tissues in order to provide insights regarding </w:t>
      </w:r>
      <w:r w:rsidRPr="006505C0">
        <w:rPr>
          <w:rFonts w:ascii="Calibri" w:eastAsia="Times New Roman" w:hAnsi="Calibri" w:cs="Calibri"/>
          <w:i/>
          <w:iCs/>
          <w:color w:val="000000"/>
          <w:kern w:val="0"/>
          <w:sz w:val="22"/>
          <w:szCs w:val="22"/>
          <w14:ligatures w14:val="none"/>
        </w:rPr>
        <w:t>in vivo</w:t>
      </w:r>
      <w:r w:rsidRPr="006505C0">
        <w:rPr>
          <w:rFonts w:ascii="Calibri" w:eastAsia="Times New Roman" w:hAnsi="Calibri" w:cs="Calibri"/>
          <w:color w:val="000000"/>
          <w:kern w:val="0"/>
          <w:sz w:val="22"/>
          <w:szCs w:val="22"/>
          <w14:ligatures w14:val="none"/>
        </w:rPr>
        <w:t> study design linked to infection and offer useful tools for the discovery and validation of </w:t>
      </w:r>
      <w:r w:rsidRPr="006505C0">
        <w:rPr>
          <w:rFonts w:ascii="Calibri" w:eastAsia="Times New Roman" w:hAnsi="Calibri" w:cs="Calibri"/>
          <w:i/>
          <w:iCs/>
          <w:color w:val="000000"/>
          <w:kern w:val="0"/>
          <w:sz w:val="22"/>
          <w:szCs w:val="22"/>
          <w14:ligatures w14:val="none"/>
        </w:rPr>
        <w:t>de novo</w:t>
      </w:r>
      <w:r w:rsidRPr="006505C0">
        <w:rPr>
          <w:rFonts w:ascii="Calibri" w:eastAsia="Times New Roman" w:hAnsi="Calibri" w:cs="Calibri"/>
          <w:color w:val="000000"/>
          <w:kern w:val="0"/>
          <w:sz w:val="22"/>
          <w:szCs w:val="22"/>
          <w14:ligatures w14:val="none"/>
        </w:rPr>
        <w:t> intervention strategies aimed at malaria liver stage infection, but which can be translated to study any parasite infected tissue.</w:t>
      </w:r>
    </w:p>
    <w:p w14:paraId="2538FF0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25-A-3638-ASTMH</w:t>
      </w:r>
    </w:p>
    <w:p w14:paraId="169BF03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Clinical Tropical Medicine</w:t>
      </w:r>
    </w:p>
    <w:p w14:paraId="775BCE9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Immune Dysregulation and Neutrophil Responses in Erythema Nodosum Leprosum: Insights into the Pathogenesis of Type 2 Leprosy Reaction</w:t>
      </w:r>
    </w:p>
    <w:p w14:paraId="18124C4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Abstract:</w:t>
      </w:r>
      <w:r w:rsidRPr="006505C0">
        <w:rPr>
          <w:rFonts w:ascii="Calibri" w:eastAsia="Times New Roman" w:hAnsi="Calibri" w:cs="Calibri"/>
          <w:color w:val="000000"/>
          <w:kern w:val="0"/>
          <w:sz w:val="22"/>
          <w:szCs w:val="22"/>
          <w14:ligatures w14:val="none"/>
        </w:rPr>
        <w:br/>
        <w:t>Erythema nodosum leprosum (ENL), or Type 2 leprosy reaction (T2R), is a painful inflammatory complication that affects up to 50% of borderline lepromatous (BL) and lepromatous leprosy (LL) patients. ENL is a leading cause of persistent nerve damage and disability, complicating clinical management. Neutrophils are central to the immunopathology of ENL, but their activation dynamics remain poorly characterized. This study explores the phenotypic and functional characteristics of normal-density neutrophils (NDNs) and low-density neutrophils (LDNs) in LL and ENL patients. A cohort of 23 ENL patients and 20 age- and treatment-matched LL controls was recruited. Peripheral blood-derived NDNs and LDNs were isolated and analyzed by flow cytometry for CD66b, CD15, CD14, CD11b, and CD62L expression. Reactive oxygen species (ROS) were measured using the Dihydrorhodamine (DHR) assay. Neutrophil extracellular trap (NET) formation was evaluated by staining for PI, citrullinated histone H3, and MPO. Proteomic profiling was performed using LC-MS/MS, followed by pathway analysis via MetaboAnalyst and STRING. Among ENL patients, 47.8% were treatment-naïve and 60.8% presented with severe reactions. Compared to LL controls, ENL patients had significantly higher absolute neutrophil counts (median: 9.230 vs. 4.114; p=0.0001***) and increased LDN frequencies (median: 20.59% vs. 12.04%; p=0.024*). CD62L expression was reduced in both NDNs and LDNs in ENL, suggesting a more activated phenotype. While ROS production remained comparable, NETs formation was significantly higher in ENL patients both at baseline and after incubation with autologous plasma, implying the presence of endogenous NET-inducing factors. Proteomics revealed enrichment of pathways involved in NETosis, necroptosis, and systemic lupus erythematosus (SLE). In conclusion, ENL is marked by neutrophil hyperactivation, elevated LDN levels, and enhanced NET formation. These features, together with proteomic evidence of pro-inflammatory pathway enrichment, underscore a key role for neutrophil dysregulation in ENL pathogenesis and tissue damage.</w:t>
      </w:r>
    </w:p>
    <w:p w14:paraId="11061C2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25-A-3639-ASTMH</w:t>
      </w:r>
    </w:p>
    <w:p w14:paraId="32722F5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Epidemiology and Vector Control</w:t>
      </w:r>
    </w:p>
    <w:p w14:paraId="618F51D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Temporal and spatial distribution of malaria vectors and parasites across different landscapes from three ecozones in Burkina Faso across the rainy and dry seasons (PIVOTAL ICEMR)</w:t>
      </w:r>
    </w:p>
    <w:p w14:paraId="5244274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Malaria remains a significant public health challenge in Burkina Faso despite many overlapping control interventions deployed over two decades. To lay the foundation for understanding malaria transmission intensity and patterns, our Burkina Faso ICEMR (PIVOTAL) sampled malaria vectors from arid Sahelian to humid Sudanian climates across three ecozones and contrasting landscapes including gold mines, urban, rural and approximating lake or river sites. The goal is to analyze the temporal and geographic vector species and malaria parasite species diversity and their role in malaria transmission between seasons, ecozones, and landscapes. We performed both indoor and outdoor collections every two-months across four sites in each of the three ecozones, and within each site, four different ecological landscapes (clusters) were represented. A total of 240 concessions were sampled. Mosquito collection methods included prokopacks aspirators, CDC light traps and DN-Mini traps in/around human dwelling during two </w:t>
      </w:r>
      <w:r w:rsidRPr="006505C0">
        <w:rPr>
          <w:rFonts w:ascii="Calibri" w:eastAsia="Times New Roman" w:hAnsi="Calibri" w:cs="Calibri"/>
          <w:color w:val="000000"/>
          <w:kern w:val="0"/>
          <w:sz w:val="22"/>
          <w:szCs w:val="22"/>
          <w14:ligatures w14:val="none"/>
        </w:rPr>
        <w:lastRenderedPageBreak/>
        <w:t>consecutive days at each site. Sampling from Sept 2024, Nov 2024, and Jan 2025 yielded 17,192 mosquitoes comprising 8,811, 4,855, and 3,526 in each sampling period, respectively. The number of mosquitoes collected was similar by proportions 33.3%, 31.8% and 34.3%, respectively in the Sudan, Sudan-Sahelian and Sahelian ecozones. Sixteen (16) species were morphologically identified, with </w:t>
      </w:r>
      <w:r w:rsidRPr="006505C0">
        <w:rPr>
          <w:rFonts w:ascii="Calibri" w:eastAsia="Times New Roman" w:hAnsi="Calibri" w:cs="Calibri"/>
          <w:i/>
          <w:iCs/>
          <w:color w:val="000000"/>
          <w:kern w:val="0"/>
          <w:sz w:val="22"/>
          <w:szCs w:val="22"/>
          <w14:ligatures w14:val="none"/>
        </w:rPr>
        <w:t>Culex quinquefasciatus</w:t>
      </w:r>
      <w:r w:rsidRPr="006505C0">
        <w:rPr>
          <w:rFonts w:ascii="Calibri" w:eastAsia="Times New Roman" w:hAnsi="Calibri" w:cs="Calibri"/>
          <w:color w:val="000000"/>
          <w:kern w:val="0"/>
          <w:sz w:val="22"/>
          <w:szCs w:val="22"/>
          <w14:ligatures w14:val="none"/>
        </w:rPr>
        <w:t> (66.7%), </w:t>
      </w:r>
      <w:r w:rsidRPr="006505C0">
        <w:rPr>
          <w:rFonts w:ascii="Calibri" w:eastAsia="Times New Roman" w:hAnsi="Calibri" w:cs="Calibri"/>
          <w:i/>
          <w:iCs/>
          <w:color w:val="000000"/>
          <w:kern w:val="0"/>
          <w:sz w:val="22"/>
          <w:szCs w:val="22"/>
          <w14:ligatures w14:val="none"/>
        </w:rPr>
        <w:t>Anopheles gambiae</w:t>
      </w:r>
      <w:r w:rsidRPr="006505C0">
        <w:rPr>
          <w:rFonts w:ascii="Calibri" w:eastAsia="Times New Roman" w:hAnsi="Calibri" w:cs="Calibri"/>
          <w:color w:val="000000"/>
          <w:kern w:val="0"/>
          <w:sz w:val="22"/>
          <w:szCs w:val="22"/>
          <w14:ligatures w14:val="none"/>
        </w:rPr>
        <w:t> s.l. (28.8%), </w:t>
      </w:r>
      <w:r w:rsidRPr="006505C0">
        <w:rPr>
          <w:rFonts w:ascii="Calibri" w:eastAsia="Times New Roman" w:hAnsi="Calibri" w:cs="Calibri"/>
          <w:i/>
          <w:iCs/>
          <w:color w:val="000000"/>
          <w:kern w:val="0"/>
          <w:sz w:val="22"/>
          <w:szCs w:val="22"/>
          <w14:ligatures w14:val="none"/>
        </w:rPr>
        <w:t>Aedes aegypti</w:t>
      </w:r>
      <w:r w:rsidRPr="006505C0">
        <w:rPr>
          <w:rFonts w:ascii="Calibri" w:eastAsia="Times New Roman" w:hAnsi="Calibri" w:cs="Calibri"/>
          <w:color w:val="000000"/>
          <w:kern w:val="0"/>
          <w:sz w:val="22"/>
          <w:szCs w:val="22"/>
          <w14:ligatures w14:val="none"/>
        </w:rPr>
        <w:t> (1.4%) being the most prevalent. The other anopheline species were found in low proportion less than 1% and included </w:t>
      </w:r>
      <w:r w:rsidRPr="006505C0">
        <w:rPr>
          <w:rFonts w:ascii="Calibri" w:eastAsia="Times New Roman" w:hAnsi="Calibri" w:cs="Calibri"/>
          <w:i/>
          <w:iCs/>
          <w:color w:val="000000"/>
          <w:kern w:val="0"/>
          <w:sz w:val="22"/>
          <w:szCs w:val="22"/>
          <w14:ligatures w14:val="none"/>
        </w:rPr>
        <w:t>An. funestus</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An. nili</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An. rufipes</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An. coustani</w:t>
      </w:r>
      <w:r w:rsidRPr="006505C0">
        <w:rPr>
          <w:rFonts w:ascii="Calibri" w:eastAsia="Times New Roman" w:hAnsi="Calibri" w:cs="Calibri"/>
          <w:color w:val="000000"/>
          <w:kern w:val="0"/>
          <w:sz w:val="22"/>
          <w:szCs w:val="22"/>
          <w14:ligatures w14:val="none"/>
        </w:rPr>
        <w:t>, </w:t>
      </w:r>
      <w:r w:rsidRPr="006505C0">
        <w:rPr>
          <w:rFonts w:ascii="Calibri" w:eastAsia="Times New Roman" w:hAnsi="Calibri" w:cs="Calibri"/>
          <w:i/>
          <w:iCs/>
          <w:color w:val="000000"/>
          <w:kern w:val="0"/>
          <w:sz w:val="22"/>
          <w:szCs w:val="22"/>
          <w14:ligatures w14:val="none"/>
        </w:rPr>
        <w:t>An. pharoensis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An. flavicosta</w:t>
      </w:r>
      <w:r w:rsidRPr="006505C0">
        <w:rPr>
          <w:rFonts w:ascii="Calibri" w:eastAsia="Times New Roman" w:hAnsi="Calibri" w:cs="Calibri"/>
          <w:color w:val="000000"/>
          <w:kern w:val="0"/>
          <w:sz w:val="22"/>
          <w:szCs w:val="22"/>
          <w14:ligatures w14:val="none"/>
        </w:rPr>
        <w:t>. The molecular analyses on 2,000 blood feed </w:t>
      </w:r>
      <w:r w:rsidRPr="006505C0">
        <w:rPr>
          <w:rFonts w:ascii="Calibri" w:eastAsia="Times New Roman" w:hAnsi="Calibri" w:cs="Calibri"/>
          <w:i/>
          <w:iCs/>
          <w:color w:val="000000"/>
          <w:kern w:val="0"/>
          <w:sz w:val="22"/>
          <w:szCs w:val="22"/>
          <w14:ligatures w14:val="none"/>
        </w:rPr>
        <w:t>Anopheles gambiae</w:t>
      </w:r>
      <w:r w:rsidRPr="006505C0">
        <w:rPr>
          <w:rFonts w:ascii="Calibri" w:eastAsia="Times New Roman" w:hAnsi="Calibri" w:cs="Calibri"/>
          <w:color w:val="000000"/>
          <w:kern w:val="0"/>
          <w:sz w:val="22"/>
          <w:szCs w:val="22"/>
          <w14:ligatures w14:val="none"/>
        </w:rPr>
        <w:t> s.l are ongoing with the goal being to reveal the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infection status of all vectors and the genetic and genomic characteristics of both </w:t>
      </w:r>
      <w:r w:rsidRPr="006505C0">
        <w:rPr>
          <w:rFonts w:ascii="Calibri" w:eastAsia="Times New Roman" w:hAnsi="Calibri" w:cs="Calibri"/>
          <w:i/>
          <w:iCs/>
          <w:color w:val="000000"/>
          <w:kern w:val="0"/>
          <w:sz w:val="22"/>
          <w:szCs w:val="22"/>
          <w14:ligatures w14:val="none"/>
        </w:rPr>
        <w:t>Plasmodium</w:t>
      </w:r>
      <w:r w:rsidRPr="006505C0">
        <w:rPr>
          <w:rFonts w:ascii="Calibri" w:eastAsia="Times New Roman" w:hAnsi="Calibri" w:cs="Calibri"/>
          <w:color w:val="000000"/>
          <w:kern w:val="0"/>
          <w:sz w:val="22"/>
          <w:szCs w:val="22"/>
          <w14:ligatures w14:val="none"/>
        </w:rPr>
        <w:t> parasite and </w:t>
      </w:r>
      <w:r w:rsidRPr="006505C0">
        <w:rPr>
          <w:rFonts w:ascii="Calibri" w:eastAsia="Times New Roman" w:hAnsi="Calibri" w:cs="Calibri"/>
          <w:i/>
          <w:iCs/>
          <w:color w:val="000000"/>
          <w:kern w:val="0"/>
          <w:sz w:val="22"/>
          <w:szCs w:val="22"/>
          <w14:ligatures w14:val="none"/>
        </w:rPr>
        <w:t>Anopheles</w:t>
      </w:r>
      <w:r w:rsidRPr="006505C0">
        <w:rPr>
          <w:rFonts w:ascii="Calibri" w:eastAsia="Times New Roman" w:hAnsi="Calibri" w:cs="Calibri"/>
          <w:color w:val="000000"/>
          <w:kern w:val="0"/>
          <w:sz w:val="22"/>
          <w:szCs w:val="22"/>
          <w14:ligatures w14:val="none"/>
        </w:rPr>
        <w:t> mosquitos. The expected outcomes will support the epidemiological traits of malaria transmission that can orient the national malaria program for decision making crucial for the roadmap of malaria elimination toward 2030.</w:t>
      </w:r>
    </w:p>
    <w:p w14:paraId="1BA4D8F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25-A-3640-ASTMH</w:t>
      </w:r>
    </w:p>
    <w:p w14:paraId="1E25533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18F5BDF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Beyond Technical Expertise: Building Effective Malaria Trainers in Equatorial Guinea Through a Multi-Stage Approach (TOT) in Equatorial Guinea</w:t>
      </w:r>
    </w:p>
    <w:p w14:paraId="2684AE6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National Malaria Control Program of Equatorial Guinea and the Bioko Island Malaria Elimination Project are leading an initiative to train district-level trainers to improve malaria case management services. Typically, the selection criteria for health workers to become trainers are based on technical skills and omit teaching abilities or technological competencies. A pilot Training of Trainers (TOT) in August 2024 aimed to address this gap. Twenty lab technicians from Malabo, Baney, and Luba districts participated in a 5-day course focused on pedagogical strategies, planning logistics, public speaking, and computer skills needed to successfully implement a malaria diagnostic refresher training. Results revealed a disconnect between technical knowledge and teaching ability: while the theory post-test assessment showed overall improvement, only 40% of participants scored above 80%. More concerning, 65% of participants scored below 65% in components of the practical teaching assessments. Challenges included limited computer literacy, insufficient practice time for developing teaching skills, and some gaps in core technical knowledge. Participant feedback emphasized the value of computer training but noted that five days was inadequate to develop comprehensive teaching abilities. These findings highlight that effective trainers require a broader skill set beyond technical expertise. This pilot has led to a redesigned multi-stage approach: once selected based on technical competencies, healthcare workers will receive dedicated computer training, attend an expanded TOT with more opportunities to practice teaching skills, and will co-facilitate district trainings with experienced mentors before being certified as trainers. This new approach recognizes that creating effective trainers requires developing pedagogical abilities and technological literacy alongside reinforcing technical knowledge.</w:t>
      </w:r>
    </w:p>
    <w:p w14:paraId="4B2375D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25-A-3641-ASTMH</w:t>
      </w:r>
    </w:p>
    <w:p w14:paraId="2A6BA8F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Epidemiology</w:t>
      </w:r>
    </w:p>
    <w:p w14:paraId="7F3D137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Respiratory Syncytial Virus (RSV) infection in children in Southern Mozambique: Burden of disease, associated mortality, and risk factors.</w:t>
      </w:r>
    </w:p>
    <w:p w14:paraId="6520CE5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Background and Aims: </w:t>
      </w:r>
      <w:r w:rsidRPr="006505C0">
        <w:rPr>
          <w:rFonts w:ascii="Calibri" w:eastAsia="Times New Roman" w:hAnsi="Calibri" w:cs="Calibri"/>
          <w:color w:val="000000"/>
          <w:kern w:val="0"/>
          <w:sz w:val="22"/>
          <w:szCs w:val="22"/>
          <w14:ligatures w14:val="none"/>
        </w:rPr>
        <w:t>Respiratory syncytial virus (RSV) is a leading cause of children under-5 morbidity and mortality. Most (&gt; 90%) of RSV-attributable deaths occur in low- and middle-income countries. We aimed to determine the prevalence and the incidence of RSV severe pneumonia, associated mortality and risk factors among Mozambican children. </w:t>
      </w:r>
      <w:r w:rsidRPr="006505C0">
        <w:rPr>
          <w:rFonts w:ascii="Calibri" w:eastAsia="Times New Roman" w:hAnsi="Calibri" w:cs="Calibri"/>
          <w:b/>
          <w:bCs/>
          <w:color w:val="000000"/>
          <w:kern w:val="0"/>
          <w:sz w:val="22"/>
          <w:szCs w:val="22"/>
          <w14:ligatures w14:val="none"/>
        </w:rPr>
        <w:t>Methods: </w:t>
      </w:r>
      <w:r w:rsidRPr="006505C0">
        <w:rPr>
          <w:rFonts w:ascii="Calibri" w:eastAsia="Times New Roman" w:hAnsi="Calibri" w:cs="Calibri"/>
          <w:color w:val="000000"/>
          <w:kern w:val="0"/>
          <w:sz w:val="22"/>
          <w:szCs w:val="22"/>
          <w14:ligatures w14:val="none"/>
        </w:rPr>
        <w:t xml:space="preserve">A health facility-based prospective observational study was conducted in children aged 0-60 months hospitalized with WHO-defined clinical severe pneumonia at the Manhiça District Hospital (MDH), in Southern Mozambique. Malaria and pneumonia are major causes of infant mortality in the area. HIV prevalence in pregnant women attending ANC is high (21%). Clinical/demographic data was collected through standardized questionnaires. A nasopharyngeal aspirate (NPA)/swab (NP) was collected from all children at </w:t>
      </w:r>
      <w:r w:rsidRPr="006505C0">
        <w:rPr>
          <w:rFonts w:ascii="Calibri" w:eastAsia="Times New Roman" w:hAnsi="Calibri" w:cs="Calibri"/>
          <w:color w:val="000000"/>
          <w:kern w:val="0"/>
          <w:sz w:val="22"/>
          <w:szCs w:val="22"/>
          <w14:ligatures w14:val="none"/>
        </w:rPr>
        <w:lastRenderedPageBreak/>
        <w:t>enrolment. Respiratory samples were analyzed for RSV, and other respiratory pathogens, detection by molecular methods (TaqMan Array). </w:t>
      </w:r>
      <w:r w:rsidRPr="006505C0">
        <w:rPr>
          <w:rFonts w:ascii="Calibri" w:eastAsia="Times New Roman" w:hAnsi="Calibri" w:cs="Calibri"/>
          <w:b/>
          <w:bCs/>
          <w:color w:val="000000"/>
          <w:kern w:val="0"/>
          <w:sz w:val="22"/>
          <w:szCs w:val="22"/>
          <w14:ligatures w14:val="none"/>
        </w:rPr>
        <w:t>Results: </w:t>
      </w:r>
      <w:r w:rsidRPr="006505C0">
        <w:rPr>
          <w:rFonts w:ascii="Calibri" w:eastAsia="Times New Roman" w:hAnsi="Calibri" w:cs="Calibri"/>
          <w:color w:val="000000"/>
          <w:kern w:val="0"/>
          <w:sz w:val="22"/>
          <w:szCs w:val="22"/>
          <w14:ligatures w14:val="none"/>
        </w:rPr>
        <w:t>From October 2019 to September 2022, a total of 302 children admitted with clinical severe pneumonia were recruited. At enrolment, median (min-max) age was 7 (0-57) months, and HIV prevalence 12.8% (26/202). In-hospital mortality was 2.7% (7/259). The prevalence of RSV-associated severe pneumonia was 26.2% (79/302). Prevalence of other viruses included Rhinovirus 34% (102/300), Adenovirus 8.6% (26/302), human Metapneumovirus 4.6% (14/302), Influenza virus A 2.3% (7/302) and SARS-CoV-2 2.3% (7/302). Primers and probes specific for RSV-A and RSV-B using RT nested PCR are being tested. Analyses of RSV incidence, mortality and associated risk factors are currently ongoing and will be presented at ASTMH 2025 meeting. </w:t>
      </w:r>
      <w:r w:rsidRPr="006505C0">
        <w:rPr>
          <w:rFonts w:ascii="Calibri" w:eastAsia="Times New Roman" w:hAnsi="Calibri" w:cs="Calibri"/>
          <w:b/>
          <w:bCs/>
          <w:color w:val="000000"/>
          <w:kern w:val="0"/>
          <w:sz w:val="22"/>
          <w:szCs w:val="22"/>
          <w14:ligatures w14:val="none"/>
        </w:rPr>
        <w:t>Conclusion: </w:t>
      </w:r>
      <w:r w:rsidRPr="006505C0">
        <w:rPr>
          <w:rFonts w:ascii="Calibri" w:eastAsia="Times New Roman" w:hAnsi="Calibri" w:cs="Calibri"/>
          <w:color w:val="000000"/>
          <w:kern w:val="0"/>
          <w:sz w:val="22"/>
          <w:szCs w:val="22"/>
          <w14:ligatures w14:val="none"/>
        </w:rPr>
        <w:t>RSV is associated with a substantial disease burden among children with pneumonia in rural Mozambique. An effective RSV maternal vaccine and/or monoclonal antibody could have a substantial effect on disease burden in children, particularly in developing settings.</w:t>
      </w:r>
    </w:p>
    <w:p w14:paraId="3698C13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25-A-3642-ASTMH</w:t>
      </w:r>
    </w:p>
    <w:p w14:paraId="1D3A0EA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Surveillance and Data Utilization</w:t>
      </w:r>
    </w:p>
    <w:p w14:paraId="5750560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Mapping the capacity and readiness of health facilities for conducting malaria molecular surveillance in Mainland Tanzania</w:t>
      </w:r>
    </w:p>
    <w:p w14:paraId="40007FE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molecular surveillance (MMS) is an emerging strategy which is crucial for supporting and strengthening malaria surveillance and other interventions for malaria control and elimination. To effectively deploy and implement MMS, robust platforms such as a network of health facilities (HFs) must be established for high quality data and sample collection. This study assessed the readiness and capacity of HFs to conduct MMS and support malaria elimination in Mainland Tanzania through improved surveillance. A cross-sectional survey was conducted in purposively selected HFs from 26 regions during the country-wide MMS rollout from 2021 to 2023.Data collection utilized structured questionnaires with indicators for assessing HF readiness and their capacity for sample and data collection focusing on clinical and laboratory data. Interviews were done with key health personnel from the HFs together with observations done by experts using a checklist. Overall, 92.4% (159/172) of the selected HFs were successfully assessed: 91.8% (146/159) were dispensaries, and 8.2% (13/159) health centers. Of these, 98.7%, (157/159) were government-owned while 1.3% (2/159) were owned by Non government organisations. The mean number of staff capable of performing malaria tests was 4 (range: 1-12; SD: 4.9). Diagnosis was mainly done by nurses (31.8%), clinicians (26.4%), laboratory technologists (19.7%), medical attendants (16.4%), and community health workers (5.7%). Malaria diagnosis was mostly conducted in consultation rooms (50.9%), laboratories (49.7%), antenatal clinics (35.2%), and other areas (5.4%). All HFs used rapid diagnostic tests obtained from the National Malaria Control Programme for malaria diagnosis except 2 facilities (1.3%) which were buying RDTs from private distributors ). Only 31.5% of the HFs had microscopes; and 14.5% used both RDTs and microscopy for malaria diagnosis. Majority (90%) reported prior staff training in malaria diagnosis. All HFs had essential tools; 95% had stopwatches, and 85% had standard operating procedures . Overall, HFs had a 95.1% readiness score (95% CI: 93.6-97.3), reflecting strong MMS capacity.</w:t>
      </w:r>
    </w:p>
    <w:p w14:paraId="6E38112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25-A-3643-ASTMH</w:t>
      </w:r>
    </w:p>
    <w:p w14:paraId="77F689C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Epidemiology</w:t>
      </w:r>
    </w:p>
    <w:p w14:paraId="4811D497"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Quantitative classification of primary versus secondary dengue infections using IgG and IgM antibody dynamics</w:t>
      </w:r>
    </w:p>
    <w:p w14:paraId="6F15919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Dengue continues to cause severe illness and mortality worldwide. Although infected individuals often present with similar symptoms at healthcare facilities, a proportion will progress to severe disease. Early identification of individuals at risk of deterioration is therefore crucial for improved case management and mortality reduction. Secondary infection has been consistently identified as a key risk factor for severe disease, and early serological identification of secondary infections can help guide clinical practice. Although broad differences in IgM and IgG antibody patterns following primary and secondary </w:t>
      </w:r>
      <w:r w:rsidRPr="006505C0">
        <w:rPr>
          <w:rFonts w:ascii="Calibri" w:eastAsia="Times New Roman" w:hAnsi="Calibri" w:cs="Calibri"/>
          <w:color w:val="000000"/>
          <w:kern w:val="0"/>
          <w:sz w:val="22"/>
          <w:szCs w:val="22"/>
          <w14:ligatures w14:val="none"/>
        </w:rPr>
        <w:lastRenderedPageBreak/>
        <w:t>infection are recognised, clear quantitative guidelines to define these infection states, particularly as a function of time since infection, remain lacking. Here, we apply mathematical models to IgM and IgG antibody measurements from blood samples collected during longitudinal cohort studies in Kamphaeng Phet, Thailand, where prior annual bleeds allow identification of individuals who were seronegative before infection. We employ supervised regression models to categorise individuals into primary and secondary infection groups. We then apply our classification accuracy to data from 1,701 individuals with PCR-confirmed infections who presented at a children’s hospital in Bangkok, Thailand, between 1998 and 2023. Our framework provides quantitative guidance on utilising IgG and IgM titre readings to identify those experiencing secondary dengue virus infections.</w:t>
      </w:r>
    </w:p>
    <w:p w14:paraId="297EA3B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25-A-3645-ASTMH</w:t>
      </w:r>
    </w:p>
    <w:p w14:paraId="7A5CAD3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Kinetoplastida and Other Protozoa - Treatment, Drug Delivery, Drug Repurposing and Drug Discovery (Including Leishmania and Trypanosomes)</w:t>
      </w:r>
    </w:p>
    <w:p w14:paraId="506E77E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Evaluating the Longitudinal Efficacy of Albendazole Treatment for Hookworm Infection in Rural Ghana The Role of Sanitation and Re-Infection Patterns</w:t>
      </w:r>
    </w:p>
    <w:p w14:paraId="38FB30F0"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Hookworm infection is a major public health issue in tropical regions, particularly in low-resourced rural areas. While mass drug administration (MDA) with Albendazole is a primary treatment strategy, its effectiveness can be affected by host factors, environmental conditions, and re-infection patterns. This study examines the long-term effectiveness of Albendazole treatment in rural communities in the Kintampo North District, focusing on infection histories and environmental factors like sanitation. A 24-month longitudinal study was conducted with 424 participants from nine rural communities in the Kintampo North District, Ghana. Hookworm infection was assessed at baseline, 9, and 24 months, with Albendazole treatment administered to infected participants. Post-treatment status was evaluated 14 days after treatment. The outcome was defined as the ratio of effective treatments to total Albendazole treatments. A binomial generalized linear model (GLM) was used to analyze treatment efficacy.Eighty-seven (20.52%) participants were hookworm-infected at least once during the pre-treatment assessments. They comprised of 39 males and 48 females aged 6-80 years. Hookworm infection occurred in 84% (baseline), 47% (nine months) and 21% (24 months). Overall, infection was recorded once in 53 participants, twice in 23 and thrice in 11. Albendazole treatment was administered once to 49 participants, twice to 25 and thrice to 7. The effectiveness of treatment was higher in males (OR: 6.87, [95% CI: 2.15, 25.50]) but decreased with use of Pit Latrines (OR: 0.21, [95% CI: 0.05, 0.84]) and multiple hookworm infections (OR: 0.41, [95% CI: 0.20, 0.78]). This study shows a significant reduction in hookworm prevalence over 24 months after Albendazole treatment, though re-infections were common. Treatment was more effective in males and less effective in individuals using pit latrines. The findings highlight the need to combine deworming programs with improved sanitation and behavioral health strategies to better control hookworm in endemic communities.</w:t>
      </w:r>
    </w:p>
    <w:p w14:paraId="1791345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25-A-3646-ASTMH</w:t>
      </w:r>
    </w:p>
    <w:p w14:paraId="3892B11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Antimalarial Resistance and Chemotherapy</w:t>
      </w:r>
    </w:p>
    <w:p w14:paraId="6E9FDED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Can a two-month period of ProCCM improve prompt treatment seeking for malaria? Results of a clinical trial in Sierra Leone, 2024</w:t>
      </w:r>
    </w:p>
    <w:p w14:paraId="0635067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Prompt care-seeking for febrile illness is crucial for reducing malaria deaths. Proactive community case management (ProCCM) can extend the integrated community case management (iCCM) model with home visits. We conducted a three-arm randomized controlled trial in Pujehun District, Sierra Leone, to assess whether a short-duration (two-month) ProCCM intervention could improve and sustain prompt care-seeking (within same or next day after symptom onset with a CHW or health facility) in children under five compared to iCCM. Forty-five clusters (primary health units) were randomized (1:1:1) to: (1) ProCCM with stock support and social and behavior change communication (SBCC) delivered for a short period (two months during the main transmission season); (2) iCCM with stock support and SBCC; or (3) routine iCCM. The primary outcome was assessed using a cross-sectional HH survey conducted two </w:t>
      </w:r>
      <w:r w:rsidRPr="006505C0">
        <w:rPr>
          <w:rFonts w:ascii="Calibri" w:eastAsia="Times New Roman" w:hAnsi="Calibri" w:cs="Calibri"/>
          <w:color w:val="000000"/>
          <w:kern w:val="0"/>
          <w:sz w:val="22"/>
          <w:szCs w:val="22"/>
          <w14:ligatures w14:val="none"/>
        </w:rPr>
        <w:lastRenderedPageBreak/>
        <w:t>weeks post-intervention, with a second survey planned for three months later to assess sustained impact. In each cluster up to 70 households with eligible children were selected for screening and households with children with recent fever were included. Differences in the primary outcome were analyzed using mixed-effects logistic regression. A total of 391 eligible children with febrile episodes were included in the final analysis. Prompt care seeking was highest in the ProCCM arm (75%), compared to 55% in Arm 2, and 63% in Arm 3 (Arm 1 vs. Arm 3: odds ratio [OR] 1.84, 95% confidence interval [CI] 0.94 - 3.62; Arm 2 vs. Arm 3: OR 0.70, 95% CI 0.37 - 1.31). When Arms 2 and 3 were pooled, 59% sought care promptly and the OR for Arm 1 vs. pooled controls was 2.24 (95% CI 1.23 - 4.10). In HHs farther than the median distance to the nearest health facility, ProCCM had a larger effect (OR 3.87, 95% CI 1.52-9.83) than across all households. Bed net use and distance to health facilities were balanced across arms, while Arm 1 had higher favorable perceptions of CHWs. A two-month ProCCM intervention significantly improved prompt care-seeking, especially in the most remote areas. However, due to the termination of USAID funding, sustained impact could not be assessed.</w:t>
      </w:r>
    </w:p>
    <w:p w14:paraId="3B46092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25-A-3647-ASTMH</w:t>
      </w:r>
    </w:p>
    <w:p w14:paraId="08D9012C"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Schistosomiasis and Other Trematodes – Epidemiology and Control</w:t>
      </w:r>
    </w:p>
    <w:p w14:paraId="080EA1B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Prevalence and Seasonal Variation of Snails and Human Schistosomiasis Infections in the Atwima Mponua District, Ghana</w:t>
      </w:r>
    </w:p>
    <w:p w14:paraId="345ED42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Schistosomiasis remains a significant neglected tropical disease and a persistent public health concern in many parts of Ghana. Freshwater snails, particularly species of </w:t>
      </w:r>
      <w:r w:rsidRPr="006505C0">
        <w:rPr>
          <w:rFonts w:ascii="Calibri" w:eastAsia="Times New Roman" w:hAnsi="Calibri" w:cs="Calibri"/>
          <w:i/>
          <w:iCs/>
          <w:color w:val="000000"/>
          <w:kern w:val="0"/>
          <w:sz w:val="22"/>
          <w:szCs w:val="22"/>
          <w14:ligatures w14:val="none"/>
        </w:rPr>
        <w:t>Bulinus</w:t>
      </w:r>
      <w:r w:rsidRPr="006505C0">
        <w:rPr>
          <w:rFonts w:ascii="Calibri" w:eastAsia="Times New Roman" w:hAnsi="Calibri" w:cs="Calibri"/>
          <w:color w:val="000000"/>
          <w:kern w:val="0"/>
          <w:sz w:val="22"/>
          <w:szCs w:val="22"/>
          <w14:ligatures w14:val="none"/>
        </w:rPr>
        <w:t> and </w:t>
      </w:r>
      <w:r w:rsidRPr="006505C0">
        <w:rPr>
          <w:rFonts w:ascii="Calibri" w:eastAsia="Times New Roman" w:hAnsi="Calibri" w:cs="Calibri"/>
          <w:i/>
          <w:iCs/>
          <w:color w:val="000000"/>
          <w:kern w:val="0"/>
          <w:sz w:val="22"/>
          <w:szCs w:val="22"/>
          <w14:ligatures w14:val="none"/>
        </w:rPr>
        <w:t>Biomphalaria</w:t>
      </w:r>
      <w:r w:rsidRPr="006505C0">
        <w:rPr>
          <w:rFonts w:ascii="Calibri" w:eastAsia="Times New Roman" w:hAnsi="Calibri" w:cs="Calibri"/>
          <w:color w:val="000000"/>
          <w:kern w:val="0"/>
          <w:sz w:val="22"/>
          <w:szCs w:val="22"/>
          <w14:ligatures w14:val="none"/>
        </w:rPr>
        <w:t>, act as intermediate hosts for the disease-causing trematodes. This study aimed to investigate the spatial and seasonal abundance of these snails, as well as the prevalence of schistosomiasis among individuals in the Atwima Mponua District of Ghana. Snail samples were collected from ten (10) freshwater sites and identified based on morphological characteristics. Cercariae-infected snails were detected through microscopic examination. Additionally, a cross-sectional study involving 421 participants was conducted. Stool and urine samples were analysed for </w:t>
      </w:r>
      <w:r w:rsidRPr="006505C0">
        <w:rPr>
          <w:rFonts w:ascii="Calibri" w:eastAsia="Times New Roman" w:hAnsi="Calibri" w:cs="Calibri"/>
          <w:i/>
          <w:iCs/>
          <w:color w:val="000000"/>
          <w:kern w:val="0"/>
          <w:sz w:val="22"/>
          <w:szCs w:val="22"/>
          <w14:ligatures w14:val="none"/>
        </w:rPr>
        <w:t>Schistosoma</w:t>
      </w:r>
      <w:r w:rsidRPr="006505C0">
        <w:rPr>
          <w:rFonts w:ascii="Calibri" w:eastAsia="Times New Roman" w:hAnsi="Calibri" w:cs="Calibri"/>
          <w:color w:val="000000"/>
          <w:kern w:val="0"/>
          <w:sz w:val="22"/>
          <w:szCs w:val="22"/>
          <w14:ligatures w14:val="none"/>
        </w:rPr>
        <w:t> eggs using the Kato-Katz and sedimentation methods, respectively. Demographic data and information on risk factors were gathered using structured questionnaires. A total of 3,147 snails were collected, with </w:t>
      </w:r>
      <w:r w:rsidRPr="006505C0">
        <w:rPr>
          <w:rFonts w:ascii="Calibri" w:eastAsia="Times New Roman" w:hAnsi="Calibri" w:cs="Calibri"/>
          <w:i/>
          <w:iCs/>
          <w:color w:val="000000"/>
          <w:kern w:val="0"/>
          <w:sz w:val="22"/>
          <w:szCs w:val="22"/>
          <w14:ligatures w14:val="none"/>
        </w:rPr>
        <w:t>Bulinus</w:t>
      </w:r>
      <w:r w:rsidRPr="006505C0">
        <w:rPr>
          <w:rFonts w:ascii="Calibri" w:eastAsia="Times New Roman" w:hAnsi="Calibri" w:cs="Calibri"/>
          <w:color w:val="000000"/>
          <w:kern w:val="0"/>
          <w:sz w:val="22"/>
          <w:szCs w:val="22"/>
          <w14:ligatures w14:val="none"/>
        </w:rPr>
        <w:t> species accounting for 71.3% (2,245) and </w:t>
      </w:r>
      <w:r w:rsidRPr="006505C0">
        <w:rPr>
          <w:rFonts w:ascii="Calibri" w:eastAsia="Times New Roman" w:hAnsi="Calibri" w:cs="Calibri"/>
          <w:i/>
          <w:iCs/>
          <w:color w:val="000000"/>
          <w:kern w:val="0"/>
          <w:sz w:val="22"/>
          <w:szCs w:val="22"/>
          <w14:ligatures w14:val="none"/>
        </w:rPr>
        <w:t>Biomphalaria</w:t>
      </w:r>
      <w:r w:rsidRPr="006505C0">
        <w:rPr>
          <w:rFonts w:ascii="Calibri" w:eastAsia="Times New Roman" w:hAnsi="Calibri" w:cs="Calibri"/>
          <w:color w:val="000000"/>
          <w:kern w:val="0"/>
          <w:sz w:val="22"/>
          <w:szCs w:val="22"/>
          <w14:ligatures w14:val="none"/>
        </w:rPr>
        <w:t> species 28.7% (902). Snail abundance was higher during the wet season (61.0%, 1,921), with </w:t>
      </w:r>
      <w:r w:rsidRPr="006505C0">
        <w:rPr>
          <w:rFonts w:ascii="Calibri" w:eastAsia="Times New Roman" w:hAnsi="Calibri" w:cs="Calibri"/>
          <w:i/>
          <w:iCs/>
          <w:color w:val="000000"/>
          <w:kern w:val="0"/>
          <w:sz w:val="22"/>
          <w:szCs w:val="22"/>
          <w14:ligatures w14:val="none"/>
        </w:rPr>
        <w:t>Bulinus</w:t>
      </w:r>
      <w:r w:rsidRPr="006505C0">
        <w:rPr>
          <w:rFonts w:ascii="Calibri" w:eastAsia="Times New Roman" w:hAnsi="Calibri" w:cs="Calibri"/>
          <w:color w:val="000000"/>
          <w:kern w:val="0"/>
          <w:sz w:val="22"/>
          <w:szCs w:val="22"/>
          <w14:ligatures w14:val="none"/>
        </w:rPr>
        <w:t> species dominating in both seasons. The rate of cercarial positivity was higher in </w:t>
      </w:r>
      <w:r w:rsidRPr="006505C0">
        <w:rPr>
          <w:rFonts w:ascii="Calibri" w:eastAsia="Times New Roman" w:hAnsi="Calibri" w:cs="Calibri"/>
          <w:i/>
          <w:iCs/>
          <w:color w:val="000000"/>
          <w:kern w:val="0"/>
          <w:sz w:val="22"/>
          <w:szCs w:val="22"/>
          <w14:ligatures w14:val="none"/>
        </w:rPr>
        <w:t>Bulinus</w:t>
      </w:r>
      <w:r w:rsidRPr="006505C0">
        <w:rPr>
          <w:rFonts w:ascii="Calibri" w:eastAsia="Times New Roman" w:hAnsi="Calibri" w:cs="Calibri"/>
          <w:color w:val="000000"/>
          <w:kern w:val="0"/>
          <w:sz w:val="22"/>
          <w:szCs w:val="22"/>
          <w14:ligatures w14:val="none"/>
        </w:rPr>
        <w:t> (17.41%, 262) compared to </w:t>
      </w:r>
      <w:r w:rsidRPr="006505C0">
        <w:rPr>
          <w:rFonts w:ascii="Calibri" w:eastAsia="Times New Roman" w:hAnsi="Calibri" w:cs="Calibri"/>
          <w:i/>
          <w:iCs/>
          <w:color w:val="000000"/>
          <w:kern w:val="0"/>
          <w:sz w:val="22"/>
          <w:szCs w:val="22"/>
          <w14:ligatures w14:val="none"/>
        </w:rPr>
        <w:t>Biomphalaria</w:t>
      </w:r>
      <w:r w:rsidRPr="006505C0">
        <w:rPr>
          <w:rFonts w:ascii="Calibri" w:eastAsia="Times New Roman" w:hAnsi="Calibri" w:cs="Calibri"/>
          <w:color w:val="000000"/>
          <w:kern w:val="0"/>
          <w:sz w:val="22"/>
          <w:szCs w:val="22"/>
          <w14:ligatures w14:val="none"/>
        </w:rPr>
        <w:t> (6.49%, 50), resulting in an overall cercarial infection prevalence of 9.91% (312). The overall prevalence of human schistosomiasis was 30.4%. Urinary schistosomiasis had a significantly higher prevalence (42.1%) than intestinal schistosomiasis (17.5%) (χ² = 18.54, </w:t>
      </w:r>
      <w:r w:rsidRPr="006505C0">
        <w:rPr>
          <w:rFonts w:ascii="Calibri" w:eastAsia="Times New Roman" w:hAnsi="Calibri" w:cs="Calibri"/>
          <w:i/>
          <w:iCs/>
          <w:color w:val="000000"/>
          <w:kern w:val="0"/>
          <w:sz w:val="22"/>
          <w:szCs w:val="22"/>
          <w14:ligatures w14:val="none"/>
        </w:rPr>
        <w:t>p</w:t>
      </w:r>
      <w:r w:rsidRPr="006505C0">
        <w:rPr>
          <w:rFonts w:ascii="Calibri" w:eastAsia="Times New Roman" w:hAnsi="Calibri" w:cs="Calibri"/>
          <w:color w:val="000000"/>
          <w:kern w:val="0"/>
          <w:sz w:val="22"/>
          <w:szCs w:val="22"/>
          <w14:ligatures w14:val="none"/>
        </w:rPr>
        <w:t> = 0.00001). Higher prevalence rates were observed among individuals with no formal education (44.4%), farmers (43.2%), children aged 10–19 years (36.0%), and males (32.3%). Regression analysis revealed that children aged ≤19 years and individuals without formal education had significantly higher odds of infection—5.25 (95% CI: 1.60–17.50, </w:t>
      </w:r>
      <w:r w:rsidRPr="006505C0">
        <w:rPr>
          <w:rFonts w:ascii="Calibri" w:eastAsia="Times New Roman" w:hAnsi="Calibri" w:cs="Calibri"/>
          <w:i/>
          <w:iCs/>
          <w:color w:val="000000"/>
          <w:kern w:val="0"/>
          <w:sz w:val="22"/>
          <w:szCs w:val="22"/>
          <w14:ligatures w14:val="none"/>
        </w:rPr>
        <w:t>p</w:t>
      </w:r>
      <w:r w:rsidRPr="006505C0">
        <w:rPr>
          <w:rFonts w:ascii="Calibri" w:eastAsia="Times New Roman" w:hAnsi="Calibri" w:cs="Calibri"/>
          <w:color w:val="000000"/>
          <w:kern w:val="0"/>
          <w:sz w:val="22"/>
          <w:szCs w:val="22"/>
          <w14:ligatures w14:val="none"/>
        </w:rPr>
        <w:t> = 0.006) and 10.0 (95% CI: 3.50–29.00, </w:t>
      </w:r>
      <w:r w:rsidRPr="006505C0">
        <w:rPr>
          <w:rFonts w:ascii="Calibri" w:eastAsia="Times New Roman" w:hAnsi="Calibri" w:cs="Calibri"/>
          <w:i/>
          <w:iCs/>
          <w:color w:val="000000"/>
          <w:kern w:val="0"/>
          <w:sz w:val="22"/>
          <w:szCs w:val="22"/>
          <w14:ligatures w14:val="none"/>
        </w:rPr>
        <w:t>p</w:t>
      </w:r>
      <w:r w:rsidRPr="006505C0">
        <w:rPr>
          <w:rFonts w:ascii="Calibri" w:eastAsia="Times New Roman" w:hAnsi="Calibri" w:cs="Calibri"/>
          <w:color w:val="000000"/>
          <w:kern w:val="0"/>
          <w:sz w:val="22"/>
          <w:szCs w:val="22"/>
          <w14:ligatures w14:val="none"/>
        </w:rPr>
        <w:t> &lt; 0.001), respectively. To reduce the burden of schistosomiasis, regular screening and treatment programs are recommended, particularly targeting children and other high-risk groups in endemic areas.</w:t>
      </w:r>
    </w:p>
    <w:p w14:paraId="34FEB55D"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25-A-3648-ASTMH</w:t>
      </w:r>
    </w:p>
    <w:p w14:paraId="2A8083A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1F4799D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Time from asymptomatic malaria infection to onset of symptoms in retrospective PCR analysis of samples collected among children over 63 days: Evidence from two randomised placebo-controlled trials of malaria chemoprevention in Zambia and Cameroon</w:t>
      </w:r>
    </w:p>
    <w:p w14:paraId="18E50CAB"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 xml:space="preserve">Malaria remains a major cause of morbidity and mortality in children under five in sub-Saharan Africa. Perennial malaria chemoprevention (PMC) with sulfadoxine-pyrimethamine (SP) is recommended by the WHO in areas with year-round transmission to reduce this burden by clearing asymptomatic infections and preventing new ones. However, new malaria infections may still occur due to SP resistance, waning </w:t>
      </w:r>
      <w:r w:rsidRPr="006505C0">
        <w:rPr>
          <w:rFonts w:ascii="Calibri" w:eastAsia="Times New Roman" w:hAnsi="Calibri" w:cs="Calibri"/>
          <w:color w:val="000000"/>
          <w:kern w:val="0"/>
          <w:sz w:val="22"/>
          <w:szCs w:val="22"/>
          <w14:ligatures w14:val="none"/>
        </w:rPr>
        <w:lastRenderedPageBreak/>
        <w:t>drug levels, or transmission intensity. Understanding how long SP suppresses symptoms onset, and whether this is influenced by drug exposure or resistance, is critical for optimising dosing and preserving drug efficacy. This analysis draws on data from two randomised trials in Cameroon and Zambia assessing parasite clearance and protection from infection in children aged 3-5 years who received SP, SP plus amodiaquine (SP+AQ), or artesunate (AS). We will quantify the median number of days between first PCR-positive detection to onset of symptoms using longitudinal qPCR and symptom tracking over 63 days of follow-up after drug exposure. Sulfadoxine blood levels at malaria diagnosis will be assessed using HPLC-DAD, and parasite genotyping will determine the presence of dhps 431 and 540 mutations in Cameroon and Zambia, respectively. We will report the time from asymptomatic malaria infection to onset of symptoms in pooled estimates for SP in both countries, and SP+AQ in Cameroon with country-specific sensitivity analyses. AS recipients will have cleared infections from the peripheral blood prior to day 0 and will start the follow-up period without asymptomatic malaria. Hence, any subsequent progression to asymptomatic or symptomatic malaria during follow-up will reflect the natural course of infection without chemoprevention. We will also report SP blood concentrations at symptom onset and explore associations between blood-drug levels and longer or shorter asymptomatic periods, and whether resistant genotypes are linked to faster disease progression. Our study combines molecular, clinical, and pharmacologic data to enhance understanding of chemoprevention effectiveness and to support future policy on SP-based strategies.</w:t>
      </w:r>
    </w:p>
    <w:p w14:paraId="2623CDD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25-A-3649-ASTMH</w:t>
      </w:r>
    </w:p>
    <w:p w14:paraId="469D9E0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27C37CD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Positive Contribution of Efficient Logistics Coordination on the Reduction of Malaria Incidence Rates: Assessment of Mass Distribution Campaigns of Insecticide-Treated Nets in Madagascar</w:t>
      </w:r>
    </w:p>
    <w:p w14:paraId="1198C38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Mass distribution campaigns of insecticide-treated nets (ITNs) are a key component of Madagascar’s National Strategic Plan (NSP) for malaria control. The coordination of logistics operations is critical in these campaigns due to Madagascar’s challenging geography, including remote areas, climate change, extreme weather, limited roads, and difficult access to distribution sites. During the 2024 ITN mass campaign, robust logistics management ensured the timely delivery of ITNs to distribution points, overcoming these constraints and significantly contributing to malaria reduction. Civil society organizations (CSOs) played a key role in last-mile delivery by mobilizing all available transport resources at the district level, such as carrying by hand, canoes, tractors and carts to reach even the most remote distribution sites. The 2021 and 2024 campaigns delivered 13,703,550 and 14,667,700 ITNs, respectively. Once at the district level, ITNs were transported to sites by logistics teams working with CSO, and final distribution was managed by the Ministry of Public Health with community health worker support. Distribution rates improved from 95.8% in 2021 to 99.8% in 2024, reflecting efficient logistics. Post-campaign malaria incidence rates were analyzed for one year after each campaign. Incidence rates decreased from 81.9% in 2021 to 57.7% in 2022, then rose to 95.1% in 2023 and 109.0% in 2024. However, confirmed cases steadily declined from week 1 to week 12 of 2025, with weekly cases dropping from 34,323 to 29,423 compared with 52,382 to 914,332 in 2024. The results demonstrate the positive impact of logistics on malaria transmission reduction. Efficient ITN distribution, despite challenges in remote areas, likely contributed to the decline in malaria rates. Key lessons include that improving the upstream authentication process, optimizing ITN procurement and delivery, and engaging communities in last-mile transport are critical for future campaign success. A comprehensive approach, including net bio-efficacy evaluation and monitoring ITN use beyond the first year, is essential for sustainable malaria control in Madagascar.</w:t>
      </w:r>
    </w:p>
    <w:p w14:paraId="2C911AA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25-A-3650-ASTMH</w:t>
      </w:r>
    </w:p>
    <w:p w14:paraId="55B977D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Epidemiology</w:t>
      </w:r>
    </w:p>
    <w:p w14:paraId="4737BC9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Spatiotemporal multivariate models to assess malaria interventions and trends in Burkina Faso from 2014 to the present</w:t>
      </w:r>
    </w:p>
    <w:p w14:paraId="404AB0E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Approximately 70% of the world’s malaria burden is concentrated in just 11 countries - 10 in sub-Saharan Africa including Burkina Faso (BF). A range of interventions have been implemented to reduce the malaria burden, including artemisinin-based combination therapies (ACTs), seasonal malaria chemoprevention (SMC), malaria vaccination (RTS,S/AS01 and R21 Matrix/M), and a suite of vector control strategies (LLINs). These interventions are adapted to the local heterogeneity of malaria transmission dynamics and are designed to incorporate mechanisms for periodic rotation and iterative enhancement. This study conducted by the Burkina Faso PIVOTAL ICEMR assesses the evolution and impact of individual and overlapping interventions on malaria indicators. A multivariate model was used with national databases, detailing the implementation history of malaria control interventions from 2014 to the present, including SMC (cycles/year), ACTs (regimen in each district/year), LLINs (type of chemistry), and malaria vaccination as function of annual malaria incidence at the health district level. Spatial and temporal dynamics were explored to assess the association between malaria incidence and relevant covariates. We further delineate the sources of funding for each of the interventions, and discuss the contributions specifically of the President’s Malaria Initiative and the impact that funding cuts may have on control measures. From 2014 to 2023, the incidence of malaria ranged from 463 per 1000 person-years (1000py) to 447.4 per 1000py, with a minimum of 447.4 per 1000py in 2023 and a peak of 607 per 1000py in 2017. SMC implementation was associated with a reduction in the incidence of uncomplicated malaria cases in children under five from 2017 to 2023. The malaria vaccine implementation started in 2024 in BF and has not yet had an impact on incidence when comparing the health districts where it was implemented to those where it was not. Data will be presented on the spatial and temporal distribution and impact of combined interventions on malaria morbidity and mortality, along with the role of funding sources on supporting these interventions.</w:t>
      </w:r>
    </w:p>
    <w:p w14:paraId="0C70F1F9"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25-A-3651-ASTMH</w:t>
      </w:r>
    </w:p>
    <w:p w14:paraId="63FF9A7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Mosquitoes - Epidemiology and Vector Control</w:t>
      </w:r>
    </w:p>
    <w:p w14:paraId="5FD50212"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b/>
          <w:bCs/>
          <w:color w:val="000000"/>
          <w:kern w:val="0"/>
          <w:sz w:val="22"/>
          <w:szCs w:val="22"/>
          <w14:ligatures w14:val="none"/>
        </w:rPr>
        <w:t>Malaria transmission measured by direct skin feeding in children, endpoint for a transmission blocking vaccine in Bancoumana and Samako, Mali</w:t>
      </w:r>
    </w:p>
    <w:p w14:paraId="09BD53A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 vaccine to interrupt malaria transmission (VIMT) would be a valuable tool for local elimination or eradication of this disease. But recently progress has been made in malaria vaccines for young children with the R21 vaccine now approved in several sub-Saharan African countries. However, there is still a need for additional control measures to supplement this vaccine roll out and expand protection to all vulnerable individuals. Transmission blocking vaccines (TBV) that reduce the number of infected mosquitoes are among the measures that have shown very promising results and plans are underway to test the Pfs230D1 TBV in combination with R21 in Mali. TBV are highly unique in that they are what is known as ‘altruistic’ vaccines where they do not protect the vaccinated individual but rather protect others in the community. The uniqueness of TBVs requires specialized tests to accurately measure their effectiveness, one of the best tests is the DSF which is closer to the natural situation. Here we investigate the performance of DSF under a formal standard operating procedure to assess DSF infection rates by age in two neighboring communities in Mali. From August 2024 to January 2025, we recruited two cohorts of 200 children aged 5-18 years old in Bancoumana and Samako. During each monthly visit each participant completed twice monthly visits for Bancoumana participants and once monthly visits for Samako. In total 3468 DSF were conducted, in which 452 positive mosquitoes were recorded, with a mean infection rate of 1.33%. 2341 DSF were performed in Bacoumana with 259 positives mosquitoes, with a mean infection rate of 0.98%. 1127 DSF were performed in Samako with 193 positives mosquitoes, with a mean infection rate of 2.04%. We will discuss mosquito feeding parameters such as: mosquito feeding rate, survival rate, infection rate by group age and feed positivity rates by site. These parameters will allow us to acquire information about assay validation for future TBV trials.</w:t>
      </w:r>
    </w:p>
    <w:p w14:paraId="3F3E920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25-A-3652-ASTMH</w:t>
      </w:r>
    </w:p>
    <w:p w14:paraId="5E74A2A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Arthropods/Entomology - Other</w:t>
      </w:r>
    </w:p>
    <w:p w14:paraId="3B91D76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Entomological impact assessment of mass drug administration against onchocerciasis in Benin</w:t>
      </w:r>
    </w:p>
    <w:p w14:paraId="6500B33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Entomological parameters are key indicators to support the decision of stopping mass drug administration (MDA) with ivermectine against onchocerciasis in endemic areas. Following over a decade of treatment, Benin has assessed the impact of ivermectine treatment in all transmission zones. Adults females of black flies were collected on 27 breeding sites across the country divided in three transmission zones using human landing catch (HLC). The simulium collection was carried out in 2022 and span over four months during the rainy season for four days a week. The black flies were identified, and a subset of the monthly collection was randomly selected and dissected in the field to assess the physiological age during the last week of each month. Adults simulium were pool screened using O-150 PCR protocol to estimate the infectivity rate. A total of 182,309 </w:t>
      </w:r>
      <w:r w:rsidRPr="006505C0">
        <w:rPr>
          <w:rFonts w:ascii="Calibri" w:eastAsia="Times New Roman" w:hAnsi="Calibri" w:cs="Calibri"/>
          <w:i/>
          <w:iCs/>
          <w:color w:val="000000"/>
          <w:kern w:val="0"/>
          <w:sz w:val="22"/>
          <w:szCs w:val="22"/>
          <w14:ligatures w14:val="none"/>
        </w:rPr>
        <w:t>Simulium damnosum s.l.</w:t>
      </w:r>
      <w:r w:rsidRPr="006505C0">
        <w:rPr>
          <w:rFonts w:ascii="Calibri" w:eastAsia="Times New Roman" w:hAnsi="Calibri" w:cs="Calibri"/>
          <w:color w:val="000000"/>
          <w:kern w:val="0"/>
          <w:sz w:val="22"/>
          <w:szCs w:val="22"/>
          <w14:ligatures w14:val="none"/>
        </w:rPr>
        <w:t> were captured on all breeding sites of which 4,842 were dissected. On all sites included in this study, average daily biting rate was 104 bites/person/day with two-fold increase in the afternoon. The parous rate was 61.75% ± 1.37% in average indicating an ongoing transmission of onchocerciasis on all sites. A total of 1,834 simulium pools were screened and 144 pools were positive. The infectivity rate was 0.13% ± 0.08% in the northern areas, while in the central transmission zone the infectivity rate dropped to 0.05% ± 0.03% and increased to 0.09% ± 0.02% in the south areas. These results indicate not only that there is an ongoing transmission in all areas but importantly, with a biting rate three-fold higher than the tolerable threshold, the blackflies collectors are exposed to greater risk than the average community member. The study also shows evidence of significant progress made by the country to reduce onchocerciasis transmission.</w:t>
      </w:r>
    </w:p>
    <w:p w14:paraId="66E79B3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25-A-3653-ASTMH</w:t>
      </w:r>
    </w:p>
    <w:p w14:paraId="5E3B930E"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Viruses - Field and ecological studies of viruses, including surveillance and spillover risk and emergence</w:t>
      </w:r>
    </w:p>
    <w:p w14:paraId="2E8571C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Seroprevalence of viral hemorrhagic fevers in ecologically distinct regions of Guinea between 2022-2024</w:t>
      </w:r>
    </w:p>
    <w:p w14:paraId="5069C1A5"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Guinea, particularly Forested Guinea, has experienced outbreaks of Viral hemorrhagic fevers (VHF) such as Ebola, Marburg, and Lassa. Increased surveillance and understanding of risk factors for these pathogens are necessary to mitigate transmission. We conducted a two-year behavioral risk and serological community survey in two ecologically distinct prefectures: Guéckédou in Forested Guinea, and Dalaba in Middle Guinea. We surveyed 475 asymptomatic individuals aged 6 and older in Guéckédou, and 478 in Dalaba. Participants completed a socio-demographic survey and provided fingerpick blood on filter paper; samples were assayed by multiplex MAGPIX for five high-consequence viral pathogens. Median participant age was 28.4 years and 46.1% (n=439) were female. In Guéckédou, 2.1% (n=10) of participants were seropositive for Crimean-Congo hemorrhagic fever (CCHF), 6.1% (n=29) for Ebola, 0% (n=0) for Marburg, 14.5% (n=69) for Lassa, and 5.3% (n=25) for Rift Valley fever (RVF). In Dalaba, 2.5% (n=12) of the participants were seropositive for CCHF, 2.7% (n=13) for Ebola, 0.2% (n=1) for Marburg, 1.3% (n=6) for Lassa, and 3.8% (n=18) for RVF. Higher seroprevalence of Ebola and Lassa (p&lt;0.05) was observed in Guéckédou than Dalaba. Participants in Guéckédou reported higher rates of potential risk activities including exposure to animals at work (18.9% vs 1.3%), activity in the bush (60.6% vs 0.8%), rodent handling (4.6% vs 0%), and perceived availability of wildlife meat within the community (82.7% vs 6.3%) as compared to Dalaba (p&lt;0.001 for all). All four of these activities are associated with an increased seroprevalence of Lassa (p&lt;0.05). The higher rates of Ebola and Lassa seropositivity and potential risk behaviors in Guéckédou aligns with evidence of previous outbreaks in this prefecture. However, the observation of varying seroprevalence of other VHF across both prefectures was unexpected and highlights the need for increased surveillance for diseases like CCHF and RVF in Guinea, as well as sensitive and culturally appropriate community engagement to reduce spillover risks.</w:t>
      </w:r>
    </w:p>
    <w:p w14:paraId="0436AA31"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25-A-3654-ASTMH</w:t>
      </w:r>
    </w:p>
    <w:p w14:paraId="402BC5B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Malaria - Prevention</w:t>
      </w:r>
    </w:p>
    <w:p w14:paraId="6A4C9B86"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Seasonal Malaria Chemoprevention (SMC) as an Opportunity to Boost Malaria Vaccination Coverage in the Integrated Health Service (IHS) Project Area in Burkina Faso</w:t>
      </w:r>
    </w:p>
    <w:p w14:paraId="17F75DAA"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lastRenderedPageBreak/>
        <w:t>The World Health Organization (WHO) recommended the use of a malaria vaccine in children in regions with moderate to high transmission of </w:t>
      </w:r>
      <w:r w:rsidRPr="006505C0">
        <w:rPr>
          <w:rFonts w:ascii="Calibri" w:eastAsia="Times New Roman" w:hAnsi="Calibri" w:cs="Calibri"/>
          <w:i/>
          <w:iCs/>
          <w:color w:val="000000"/>
          <w:kern w:val="0"/>
          <w:sz w:val="22"/>
          <w:szCs w:val="22"/>
          <w14:ligatures w14:val="none"/>
        </w:rPr>
        <w:t>Plasmodium falciparum</w:t>
      </w:r>
      <w:r w:rsidRPr="006505C0">
        <w:rPr>
          <w:rFonts w:ascii="Calibri" w:eastAsia="Times New Roman" w:hAnsi="Calibri" w:cs="Calibri"/>
          <w:color w:val="000000"/>
          <w:kern w:val="0"/>
          <w:sz w:val="22"/>
          <w:szCs w:val="22"/>
          <w14:ligatures w14:val="none"/>
        </w:rPr>
        <w:t> malaria. Since February 5, 2024, Burkina Faso has introduced the RTS,S malaria vaccine into its expanded program on immunization for children aged 5 to 23 months in 27 health districts, including 18 districts in the Integrated Health Services (IHS) project area. Four months after the vaccine’s introduction, coverage was 89%, 73%, and 53%, respectively, for RTS,S1, RTS,S2, and RTS,S3. While coverage is encouraging, it remains below the national target of 91%, 87%, and 84%, respectively, for RTS,S1, RTS,S2, and RTS,S3. Seasonal malaria chemoprevention (SMC), implemented during high transmission, was leveraged as an opportunity to catch up children who had missed RTS,S doses. This integration aims to increase the immunization coverage of children targeted for malaria vaccination at the SMC, while pooling costs. The same community distributors (CDs) were responsible for administering the Sulfadoxine-Pyrimethamine + Amodiaquine (SP+AQ) and tracking down children who had missed RTS, S doses, at no extra cost. This integration involved updating SMC tools (tick sheet, CDs training module, data summary sheet) and training supervisors and CDs on identifying and referring children who had missed RTS,S doses. The mechanism consists of checking each child's record and referring all those who had missed their RTS,S doses to the health centre. The number of children who missed RTS, S doses referred by the CDs was 5,538, 4,546, 4,350, and 4,158 for SMC cycle 1, 2, 3, and 4, respectively. Vaccination coverage in the IHS area at the end of the campaign was 92%, 83%, and 73% for RTS,S1, RTS,S2, and RTS,S3. This is an increase on the pre-campaign situation, which was 89%, 73%, and 53% for RTS,S1, RTS,S2, and RTS,S3, respectively. Integrating RTS,S vaccination into SMC activities may improve the coverage rate in RTS,S. The main difficulty is the lack of a formal tracking mechanism for children who had missed the RTS,S doses and were referred and vaccinated.</w:t>
      </w:r>
    </w:p>
    <w:p w14:paraId="07D11183"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25-A-3655-ASTMH</w:t>
      </w:r>
    </w:p>
    <w:p w14:paraId="7A997E64"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Bacteriology - Trachoma</w:t>
      </w:r>
    </w:p>
    <w:p w14:paraId="6D92BE2F"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Cluster randomised controlled trial of double-dose azithromycin mass drug administration, facial cleanliness and fly control measures for trachoma control in Oromia, Ethiopia: The Stronger SAFE trial primary results</w:t>
      </w:r>
    </w:p>
    <w:p w14:paraId="3196F4A8" w14:textId="77777777" w:rsidR="006505C0" w:rsidRPr="006505C0" w:rsidRDefault="006505C0" w:rsidP="006505C0">
      <w:pPr>
        <w:spacing w:before="100" w:beforeAutospacing="1" w:after="100" w:afterAutospacing="1" w:line="200" w:lineRule="atLeast"/>
        <w:rPr>
          <w:rFonts w:ascii="Calibri" w:eastAsia="Times New Roman" w:hAnsi="Calibri" w:cs="Calibri"/>
          <w:color w:val="000000"/>
          <w:kern w:val="0"/>
          <w:sz w:val="22"/>
          <w:szCs w:val="22"/>
          <w14:ligatures w14:val="none"/>
        </w:rPr>
      </w:pPr>
      <w:r w:rsidRPr="006505C0">
        <w:rPr>
          <w:rFonts w:ascii="Calibri" w:eastAsia="Times New Roman" w:hAnsi="Calibri" w:cs="Calibri"/>
          <w:color w:val="000000"/>
          <w:kern w:val="0"/>
          <w:sz w:val="22"/>
          <w:szCs w:val="22"/>
          <w14:ligatures w14:val="none"/>
        </w:rPr>
        <w:t>The WHO recommends the SAFE strategy for trachoma elimination: </w:t>
      </w:r>
      <w:r w:rsidRPr="006505C0">
        <w:rPr>
          <w:rFonts w:ascii="Calibri" w:eastAsia="Times New Roman" w:hAnsi="Calibri" w:cs="Calibri"/>
          <w:color w:val="000000"/>
          <w:kern w:val="0"/>
          <w:sz w:val="22"/>
          <w:szCs w:val="22"/>
          <w:u w:val="single"/>
          <w14:ligatures w14:val="none"/>
        </w:rPr>
        <w:t>S</w:t>
      </w:r>
      <w:r w:rsidRPr="006505C0">
        <w:rPr>
          <w:rFonts w:ascii="Calibri" w:eastAsia="Times New Roman" w:hAnsi="Calibri" w:cs="Calibri"/>
          <w:color w:val="000000"/>
          <w:kern w:val="0"/>
          <w:sz w:val="22"/>
          <w:szCs w:val="22"/>
          <w14:ligatures w14:val="none"/>
        </w:rPr>
        <w:t>urgery, </w:t>
      </w:r>
      <w:r w:rsidRPr="006505C0">
        <w:rPr>
          <w:rFonts w:ascii="Calibri" w:eastAsia="Times New Roman" w:hAnsi="Calibri" w:cs="Calibri"/>
          <w:color w:val="000000"/>
          <w:kern w:val="0"/>
          <w:sz w:val="22"/>
          <w:szCs w:val="22"/>
          <w:u w:val="single"/>
          <w14:ligatures w14:val="none"/>
        </w:rPr>
        <w:t>A</w:t>
      </w:r>
      <w:r w:rsidRPr="006505C0">
        <w:rPr>
          <w:rFonts w:ascii="Calibri" w:eastAsia="Times New Roman" w:hAnsi="Calibri" w:cs="Calibri"/>
          <w:color w:val="000000"/>
          <w:kern w:val="0"/>
          <w:sz w:val="22"/>
          <w:szCs w:val="22"/>
          <w14:ligatures w14:val="none"/>
        </w:rPr>
        <w:t>ntibiotics, </w:t>
      </w:r>
      <w:r w:rsidRPr="006505C0">
        <w:rPr>
          <w:rFonts w:ascii="Calibri" w:eastAsia="Times New Roman" w:hAnsi="Calibri" w:cs="Calibri"/>
          <w:color w:val="000000"/>
          <w:kern w:val="0"/>
          <w:sz w:val="22"/>
          <w:szCs w:val="22"/>
          <w:u w:val="single"/>
          <w14:ligatures w14:val="none"/>
        </w:rPr>
        <w:t>F</w:t>
      </w:r>
      <w:r w:rsidRPr="006505C0">
        <w:rPr>
          <w:rFonts w:ascii="Calibri" w:eastAsia="Times New Roman" w:hAnsi="Calibri" w:cs="Calibri"/>
          <w:color w:val="000000"/>
          <w:kern w:val="0"/>
          <w:sz w:val="22"/>
          <w:szCs w:val="22"/>
          <w14:ligatures w14:val="none"/>
        </w:rPr>
        <w:t>acial cleanliness and </w:t>
      </w:r>
      <w:r w:rsidRPr="006505C0">
        <w:rPr>
          <w:rFonts w:ascii="Calibri" w:eastAsia="Times New Roman" w:hAnsi="Calibri" w:cs="Calibri"/>
          <w:color w:val="000000"/>
          <w:kern w:val="0"/>
          <w:sz w:val="22"/>
          <w:szCs w:val="22"/>
          <w:u w:val="single"/>
          <w14:ligatures w14:val="none"/>
        </w:rPr>
        <w:t>E</w:t>
      </w:r>
      <w:r w:rsidRPr="006505C0">
        <w:rPr>
          <w:rFonts w:ascii="Calibri" w:eastAsia="Times New Roman" w:hAnsi="Calibri" w:cs="Calibri"/>
          <w:color w:val="000000"/>
          <w:kern w:val="0"/>
          <w:sz w:val="22"/>
          <w:szCs w:val="22"/>
          <w14:ligatures w14:val="none"/>
        </w:rPr>
        <w:t>nvironmental improvement. Multiple rounds of SAFE have been insufficient to eliminate trachoma in Ethiopia, where over 50% of the global trachoma burden remains. Stronger SAFE evaluates the impact of a novel ‘enhanced’ package of interventions to accelerate trachoma elimination. Stronger SAFE is an open-label cluster-randomised controlled trial implemented in Oromia, Ethiopia. 68 clusters were randomized (1:1:1:1) to Standard A/Standard F&amp;E (SAFE), Standard A/Enhanced F&amp;E, Enhanced A/Standard F&amp;E or Enhanced A/Enhanced F&amp;E (</w:t>
      </w:r>
      <w:r w:rsidRPr="006505C0">
        <w:rPr>
          <w:rFonts w:ascii="Calibri" w:eastAsia="Times New Roman" w:hAnsi="Calibri" w:cs="Calibri"/>
          <w:b/>
          <w:bCs/>
          <w:color w:val="000000"/>
          <w:kern w:val="0"/>
          <w:sz w:val="22"/>
          <w:szCs w:val="22"/>
          <w14:ligatures w14:val="none"/>
        </w:rPr>
        <w:t>Stronger SAFE</w:t>
      </w:r>
      <w:r w:rsidRPr="006505C0">
        <w:rPr>
          <w:rFonts w:ascii="Calibri" w:eastAsia="Times New Roman" w:hAnsi="Calibri" w:cs="Calibri"/>
          <w:color w:val="000000"/>
          <w:kern w:val="0"/>
          <w:sz w:val="22"/>
          <w:szCs w:val="22"/>
          <w14:ligatures w14:val="none"/>
        </w:rPr>
        <w:t>). Enhanced A is 2 height-based doses of oral azithromycin (20mg/kg) given as single doses 2 weeks apart as Mass Drug Administration, annually. Enhanced F&amp;E is fly control measures (InsectShield® permethrin-treated headwear &amp; odour-baited traps) and a household-level face-washing hygiene behaviour change intervention. Interventions were implemented over 3 years (2021-2024). The primary outcome was the prevalence of ocular Ct by qPCR in children aged 1-9 years at 36 months. The baseline population was 13,235. 4,419 children aged 1-9 years were surveyed at baseline [2110 (47.7%) female; 2309 (52.3%) male; 1095 in the control arm and 1203 in the Stronger SAFE arm]. Intervention coverage was high [MDA: 74-93%; fly control: 95%; face washing: 81-91%]. The endline cluster-adjusted prevalence of ocular Ct was 2.7% in the control arm vs 2.2% in the Stronger SAFE arm. The adjusted risk difference was -0.02% (-2.73%-2.68%, p=0.986). There was no difference in Ct prevalence, load or clinical trachoma prevalence between any trial arms. Addition of enhanced A, F&amp;E to current SAFE control measures had no additional effect on reducing the prevalence of ocular Ct in this setting and is therefore unlikely to have a greater impact on transmission interruption or accelerate trachoma elimination beyond high coverage standard SAFE. Interventions were well-tolerated. This is the first trial to evaluate these strategies and has implications for planned Ethiopian programmatic plans.</w:t>
      </w:r>
    </w:p>
    <w:p w14:paraId="1B001FC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25-A-3656-ASTMH</w:t>
      </w:r>
    </w:p>
    <w:p w14:paraId="6ED0047C"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Respiratory Infections</w:t>
      </w:r>
    </w:p>
    <w:p w14:paraId="3D48F82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Tomographic pulmonary sequelae observed in patients with a history of COVID-19 from two urban-marginal settings on the northern coast of Peru</w:t>
      </w:r>
    </w:p>
    <w:p w14:paraId="33654B7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 observational, ambidirectional open cohort study was conducted in urban and rural communities of Tumbes, Peru, to evaluate short-term pulmonary sequelae among individuals with a history of COVID-19. A total of 313 participants were enrolled, of whom 281 (89.77%) had a history of COVID-19 exposure and 32 (10.23%) did not. We performed clinical evaluations and spirometry at baseline, 6, and 12 months, and conducted chest CT scans at baseline. 87.87% of participants had problems seen in the chest CT scans, such as bronchiectasis in 61.09%, subpleural bands in 45.19%, and ground-glass opacities in 37.47%. Sociodemographic determinants associated with increased pulmonary abnormalities were age (P&lt;0.001), access to the public water network (P=0.027), and the number of household inhabitants (P&lt;0.031). Spirometric abnormalities were classified on participants as mild in 16.5%, moderate in 4.29%, and severe in 0.99%. Individuals with a history of asthma had a 4.67-fold higher risk (CI 1.09-19.91; p=0.038) of pulmonary sequelae, while those with previous tuberculosis had a 9.52-fold higher risk (CI 1.60-56.46; p=0.013). No significant differences between exposed and unexposed groups were found in tomographic patterns or spirometric alterations. This study highlights the high prevalence of pulmonary sequelae in individuals with a history of COVID-19 and underscores the need for medical follow-up in vulnerable populations.</w:t>
      </w:r>
    </w:p>
    <w:p w14:paraId="500DA0EC"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25-A-3659-ASTMH</w:t>
      </w:r>
    </w:p>
    <w:p w14:paraId="35E36583"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6FBA1C04" w14:textId="6BCF0198"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Rift Valley Fever Seroprevalence in Ugandan Livestock Increased by 4% Over Three Years: Insights from Longitudinal Surveillance</w:t>
      </w:r>
    </w:p>
    <w:p w14:paraId="51D1C5F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Rift Valley Fever (RVF) is a high-impact zoonosis with serious public health and economic consequences. In Uganda, RVF outbreaks have been sporadically reported since the first detection, with 156 confirmed human cases over the past nine years. Most of these have occurred within the Uganda cattle corridor, an area also showing notable RVF seroprevalence in livestock. We conducted a longitudinal study among livestock to understand temporal trends and key transmission drivers of seroprevalence. Livestock (cattle, sheep, and goat) herds were sampled across 28 districts, targeting herds in high-risk areas, including districts near water bodies, international borders, and within the cattle corridor. Sampling was carried out in 2017 (n=3,181) and 2020 (n=4,096). Risk factors were assessed using structured questionnaires. Sera were tested for RVFV-specific IgG antibodies using the CDC in-house ELISA at the Uganda Virus Research Institute (UVRI), Entebbe. Environmental context was analyzed at the coordinates of each herd sampled. Overall RVF seroprevalence increased by 3.6% from 2017 (6.9%) to 2020 (10.4%). Cattle consistently exhibited the highest seroprevalence (10.7% in 2017 and 13.4% in 2020). Species-adjusted seroprevalence was associated age, sex, breed, and grazing practices. Controlling for individual animal characteristics associated with RVF seropositivity, variables with the strongest associations with RVF seropositivity included increase in agricultural land (OR: 2.22; 95% CI: 1.66-2.97) and anomalous precipitation (OR: 1.4; 95% CI:1.24-1.58) during the years preceding sampling of each herd. Spatial mapping revealed the highest seroprevalence in southwestern Uganda, aligning with over 80% of reported human cases and intensive crop-livestock interactions. Our findings show that RVF transmission in Uganda is intensifying, particularly in regions with expanding crop-livestock systems. These findings underscore the need for integrated One Health surveillance and targeted interventions to mitigate the disease's public health and economic impacts.</w:t>
      </w:r>
    </w:p>
    <w:p w14:paraId="77A40F4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25-A-3660-ASTMH</w:t>
      </w:r>
    </w:p>
    <w:p w14:paraId="6BEA4D3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Transmission Biology</w:t>
      </w:r>
    </w:p>
    <w:p w14:paraId="16A102BC"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good, the BATV, and the ugly: first report of BATV vector competence in </w:t>
      </w:r>
      <w:r w:rsidRPr="00AF28B8">
        <w:rPr>
          <w:rFonts w:ascii="Calibri" w:hAnsi="Calibri" w:cs="Calibri"/>
          <w:b/>
          <w:bCs/>
          <w:i/>
          <w:iCs/>
          <w:color w:val="000000"/>
          <w:sz w:val="22"/>
          <w:szCs w:val="22"/>
        </w:rPr>
        <w:t>Culex quinquefasciatus </w:t>
      </w:r>
      <w:r w:rsidRPr="00AF28B8">
        <w:rPr>
          <w:rFonts w:ascii="Calibri" w:hAnsi="Calibri" w:cs="Calibri"/>
          <w:b/>
          <w:bCs/>
          <w:color w:val="000000"/>
          <w:sz w:val="22"/>
          <w:szCs w:val="22"/>
        </w:rPr>
        <w:t>from the Southern United States</w:t>
      </w:r>
    </w:p>
    <w:p w14:paraId="39F2B25A"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Arthropod-borne viruses are a rising One Health concern, causing significant morbidity, mortality, and economic loss globally. Batai virus is an emerging arbovirus with wide geographic, host, and climactic ranges. BATV infects primarily avian species but can also cause disease in ruminants and humans. The current H5N1 avian influenza outbreak in dairy cows has demonstrated the importance of understanding the overlap in avian and other vertebrate species to inform public health and agricultural biosecurity. Louisiana is at particular risk for overlaps in natural and agricultural systems as the Mississippi Flyway passes through the state. Here we assess the vector competence of Louisiana mosquitoes</w:t>
      </w:r>
      <w:r w:rsidRPr="00AF28B8">
        <w:rPr>
          <w:rFonts w:ascii="Calibri" w:hAnsi="Calibri" w:cs="Calibri"/>
          <w:i/>
          <w:iCs/>
          <w:color w:val="000000"/>
          <w:sz w:val="22"/>
          <w:szCs w:val="22"/>
        </w:rPr>
        <w:t> </w:t>
      </w:r>
      <w:r w:rsidRPr="00AF28B8">
        <w:rPr>
          <w:rFonts w:ascii="Calibri" w:hAnsi="Calibri" w:cs="Calibri"/>
          <w:color w:val="000000"/>
          <w:sz w:val="22"/>
          <w:szCs w:val="22"/>
        </w:rPr>
        <w:t>for BATV. Following oral exposure with a BATV-infected bloodmeal,</w:t>
      </w:r>
      <w:r w:rsidRPr="00AF28B8">
        <w:rPr>
          <w:rFonts w:ascii="Calibri" w:hAnsi="Calibri" w:cs="Calibri"/>
          <w:i/>
          <w:iCs/>
          <w:color w:val="000000"/>
          <w:sz w:val="22"/>
          <w:szCs w:val="22"/>
        </w:rPr>
        <w:t> Cx. Quinquefasciatus</w:t>
      </w:r>
      <w:r w:rsidRPr="00AF28B8">
        <w:rPr>
          <w:rFonts w:ascii="Calibri" w:hAnsi="Calibri" w:cs="Calibri"/>
          <w:color w:val="000000"/>
          <w:sz w:val="22"/>
          <w:szCs w:val="22"/>
        </w:rPr>
        <w:t> had infection and dissemination rates of 22% and 11.1%, respectively at 7 days post-exposure (dpe) and 15.8% and 5.3%, respectively at 21 dpe. Results indicate a moderate vector competence of regional Louisiana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for BATV. This study presents the first known report of vector competence of BATV in US mosquitoes and establishes the non-zero risk of emergence of BATV in the southern US.</w:t>
      </w:r>
    </w:p>
    <w:p w14:paraId="2EB0E82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25-A-3661-ASTMH</w:t>
      </w:r>
    </w:p>
    <w:p w14:paraId="53C82379"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4005AEF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of molecular markers of antimalarial drug resistance in asymptomatic and symptomatic community members with subpatent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infections in Mainland Tanzania</w:t>
      </w:r>
    </w:p>
    <w:p w14:paraId="35167461"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Antimalarial resistance is one of the major biological threats which threatens malaria control and elimination efforts, necessitating implementation of innovative interventions including enhanced surveillance such as the use of genomic methods. Due to limited technology, most of the surveillance efforts focus on detectable infections, overlooking subpatent infections that contribute to transmission. Thus, this study analyzed RDT-negative samples from the 2021 - 2023 surveys to assess the prevalence of drug resistance markers among individuals with subpatent infections in Mainland Tanzania. It utilized DNA extracted using Tween-Chelex 100, from 7986 samples (including 3418 samples from individuals with and 4568 from those without symptoms of malaria). Subpatent infections were detected using qPCR and sequencing was done on qPCR-positive samples using molecular inversion probes (MIP). Of the samples analysed by qPCR, 997(12.5%) had subpatent infections and 463(46.44%) were sequenced using MIP. Of these 261(56.37%) were successfully sequenced and 41(15.71%) had minimum coverage required for MIP analysis. Mutations which were detected included </w:t>
      </w:r>
      <w:r w:rsidRPr="00AF28B8">
        <w:rPr>
          <w:rFonts w:ascii="Calibri" w:hAnsi="Calibri" w:cs="Calibri"/>
          <w:i/>
          <w:iCs/>
          <w:color w:val="000000"/>
          <w:sz w:val="22"/>
          <w:szCs w:val="22"/>
        </w:rPr>
        <w:t>Pfk13</w:t>
      </w:r>
      <w:r w:rsidRPr="00AF28B8">
        <w:rPr>
          <w:rFonts w:ascii="Calibri" w:hAnsi="Calibri" w:cs="Calibri"/>
          <w:color w:val="000000"/>
          <w:sz w:val="22"/>
          <w:szCs w:val="22"/>
        </w:rPr>
        <w:t> 561H (in 1/32 samples, 3.1%), </w:t>
      </w:r>
      <w:r w:rsidRPr="00AF28B8">
        <w:rPr>
          <w:rFonts w:ascii="Calibri" w:hAnsi="Calibri" w:cs="Calibri"/>
          <w:i/>
          <w:iCs/>
          <w:color w:val="000000"/>
          <w:sz w:val="22"/>
          <w:szCs w:val="22"/>
        </w:rPr>
        <w:t>Pfdhps</w:t>
      </w:r>
      <w:r w:rsidRPr="00AF28B8">
        <w:rPr>
          <w:rFonts w:ascii="Calibri" w:hAnsi="Calibri" w:cs="Calibri"/>
          <w:color w:val="000000"/>
          <w:sz w:val="22"/>
          <w:szCs w:val="22"/>
        </w:rPr>
        <w:t> 581G (2/29, 6.9%), </w:t>
      </w:r>
      <w:r w:rsidRPr="00AF28B8">
        <w:rPr>
          <w:rFonts w:ascii="Calibri" w:hAnsi="Calibri" w:cs="Calibri"/>
          <w:i/>
          <w:iCs/>
          <w:color w:val="000000"/>
          <w:sz w:val="22"/>
          <w:szCs w:val="22"/>
        </w:rPr>
        <w:t>Pfdhps</w:t>
      </w:r>
      <w:r w:rsidRPr="00AF28B8">
        <w:rPr>
          <w:rFonts w:ascii="Calibri" w:hAnsi="Calibri" w:cs="Calibri"/>
          <w:color w:val="000000"/>
          <w:sz w:val="22"/>
          <w:szCs w:val="22"/>
        </w:rPr>
        <w:t> 540E (31/33, 93.9%), </w:t>
      </w:r>
      <w:r w:rsidRPr="00AF28B8">
        <w:rPr>
          <w:rFonts w:ascii="Calibri" w:hAnsi="Calibri" w:cs="Calibri"/>
          <w:i/>
          <w:iCs/>
          <w:color w:val="000000"/>
          <w:sz w:val="22"/>
          <w:szCs w:val="22"/>
        </w:rPr>
        <w:t>Pfdhps</w:t>
      </w:r>
      <w:r w:rsidRPr="00AF28B8">
        <w:rPr>
          <w:rFonts w:ascii="Calibri" w:hAnsi="Calibri" w:cs="Calibri"/>
          <w:color w:val="000000"/>
          <w:sz w:val="22"/>
          <w:szCs w:val="22"/>
        </w:rPr>
        <w:t> 437G (26/28, 92.9%), </w:t>
      </w:r>
      <w:r w:rsidRPr="00AF28B8">
        <w:rPr>
          <w:rFonts w:ascii="Calibri" w:hAnsi="Calibri" w:cs="Calibri"/>
          <w:i/>
          <w:iCs/>
          <w:color w:val="000000"/>
          <w:sz w:val="22"/>
          <w:szCs w:val="22"/>
        </w:rPr>
        <w:t>Pfdhfr</w:t>
      </w:r>
      <w:r w:rsidRPr="00AF28B8">
        <w:rPr>
          <w:rFonts w:ascii="Calibri" w:hAnsi="Calibri" w:cs="Calibri"/>
          <w:color w:val="000000"/>
          <w:sz w:val="22"/>
          <w:szCs w:val="22"/>
        </w:rPr>
        <w:t> 164L (1/21, 4.8%), </w:t>
      </w:r>
      <w:r w:rsidRPr="00AF28B8">
        <w:rPr>
          <w:rFonts w:ascii="Calibri" w:hAnsi="Calibri" w:cs="Calibri"/>
          <w:i/>
          <w:iCs/>
          <w:color w:val="000000"/>
          <w:sz w:val="22"/>
          <w:szCs w:val="22"/>
        </w:rPr>
        <w:t>Pfdhfr</w:t>
      </w:r>
      <w:r w:rsidRPr="00AF28B8">
        <w:rPr>
          <w:rFonts w:ascii="Calibri" w:hAnsi="Calibri" w:cs="Calibri"/>
          <w:color w:val="000000"/>
          <w:sz w:val="22"/>
          <w:szCs w:val="22"/>
        </w:rPr>
        <w:t> 108N (26/26, 100.0%), </w:t>
      </w:r>
      <w:r w:rsidRPr="00AF28B8">
        <w:rPr>
          <w:rFonts w:ascii="Calibri" w:hAnsi="Calibri" w:cs="Calibri"/>
          <w:i/>
          <w:iCs/>
          <w:color w:val="000000"/>
          <w:sz w:val="22"/>
          <w:szCs w:val="22"/>
        </w:rPr>
        <w:t>Pfdhfr</w:t>
      </w:r>
      <w:r w:rsidRPr="00AF28B8">
        <w:rPr>
          <w:rFonts w:ascii="Calibri" w:hAnsi="Calibri" w:cs="Calibri"/>
          <w:color w:val="000000"/>
          <w:sz w:val="22"/>
          <w:szCs w:val="22"/>
        </w:rPr>
        <w:t> 51I (29/30, 96.7%), </w:t>
      </w:r>
      <w:r w:rsidRPr="00AF28B8">
        <w:rPr>
          <w:rFonts w:ascii="Calibri" w:hAnsi="Calibri" w:cs="Calibri"/>
          <w:i/>
          <w:iCs/>
          <w:color w:val="000000"/>
          <w:sz w:val="22"/>
          <w:szCs w:val="22"/>
        </w:rPr>
        <w:t>Pfdhf</w:t>
      </w:r>
      <w:r w:rsidRPr="00AF28B8">
        <w:rPr>
          <w:rFonts w:ascii="Calibri" w:hAnsi="Calibri" w:cs="Calibri"/>
          <w:color w:val="000000"/>
          <w:sz w:val="22"/>
          <w:szCs w:val="22"/>
        </w:rPr>
        <w:t>r 59R (27/30, 90.0%), </w:t>
      </w:r>
      <w:r w:rsidRPr="00AF28B8">
        <w:rPr>
          <w:rFonts w:ascii="Calibri" w:hAnsi="Calibri" w:cs="Calibri"/>
          <w:i/>
          <w:iCs/>
          <w:color w:val="000000"/>
          <w:sz w:val="22"/>
          <w:szCs w:val="22"/>
        </w:rPr>
        <w:t>Pfcrt</w:t>
      </w:r>
      <w:r w:rsidRPr="00AF28B8">
        <w:rPr>
          <w:rFonts w:ascii="Calibri" w:hAnsi="Calibri" w:cs="Calibri"/>
          <w:color w:val="000000"/>
          <w:sz w:val="22"/>
          <w:szCs w:val="22"/>
        </w:rPr>
        <w:t> 371I (4/20, 20.0%), </w:t>
      </w:r>
      <w:r w:rsidRPr="00AF28B8">
        <w:rPr>
          <w:rFonts w:ascii="Calibri" w:hAnsi="Calibri" w:cs="Calibri"/>
          <w:i/>
          <w:iCs/>
          <w:color w:val="000000"/>
          <w:sz w:val="22"/>
          <w:szCs w:val="22"/>
        </w:rPr>
        <w:t>Pfcrt</w:t>
      </w:r>
      <w:r w:rsidRPr="00AF28B8">
        <w:rPr>
          <w:rFonts w:ascii="Calibri" w:hAnsi="Calibri" w:cs="Calibri"/>
          <w:color w:val="000000"/>
          <w:sz w:val="22"/>
          <w:szCs w:val="22"/>
        </w:rPr>
        <w:t> 74I (1/21, 4.8%), </w:t>
      </w:r>
      <w:r w:rsidRPr="00AF28B8">
        <w:rPr>
          <w:rFonts w:ascii="Calibri" w:hAnsi="Calibri" w:cs="Calibri"/>
          <w:i/>
          <w:iCs/>
          <w:color w:val="000000"/>
          <w:sz w:val="22"/>
          <w:szCs w:val="22"/>
        </w:rPr>
        <w:t>Pfcrt</w:t>
      </w:r>
      <w:r w:rsidRPr="00AF28B8">
        <w:rPr>
          <w:rFonts w:ascii="Calibri" w:hAnsi="Calibri" w:cs="Calibri"/>
          <w:color w:val="000000"/>
          <w:sz w:val="22"/>
          <w:szCs w:val="22"/>
        </w:rPr>
        <w:t> 75E (1/21, 4.8%), </w:t>
      </w:r>
      <w:r w:rsidRPr="00AF28B8">
        <w:rPr>
          <w:rFonts w:ascii="Calibri" w:hAnsi="Calibri" w:cs="Calibri"/>
          <w:i/>
          <w:iCs/>
          <w:color w:val="000000"/>
          <w:sz w:val="22"/>
          <w:szCs w:val="22"/>
        </w:rPr>
        <w:t>Pfcrt </w:t>
      </w:r>
      <w:r w:rsidRPr="00AF28B8">
        <w:rPr>
          <w:rFonts w:ascii="Calibri" w:hAnsi="Calibri" w:cs="Calibri"/>
          <w:color w:val="000000"/>
          <w:sz w:val="22"/>
          <w:szCs w:val="22"/>
        </w:rPr>
        <w:t>76T (1/21, 4.8%) and </w:t>
      </w:r>
      <w:r w:rsidRPr="00AF28B8">
        <w:rPr>
          <w:rFonts w:ascii="Calibri" w:hAnsi="Calibri" w:cs="Calibri"/>
          <w:i/>
          <w:iCs/>
          <w:color w:val="000000"/>
          <w:sz w:val="22"/>
          <w:szCs w:val="22"/>
        </w:rPr>
        <w:t>Pfmdr1</w:t>
      </w:r>
      <w:r w:rsidRPr="00AF28B8">
        <w:rPr>
          <w:rFonts w:ascii="Calibri" w:hAnsi="Calibri" w:cs="Calibri"/>
          <w:color w:val="000000"/>
          <w:sz w:val="22"/>
          <w:szCs w:val="22"/>
        </w:rPr>
        <w:t> 184F (12/27, 44.4%). Quintuple (</w:t>
      </w:r>
      <w:r w:rsidRPr="00AF28B8">
        <w:rPr>
          <w:rFonts w:ascii="Calibri" w:hAnsi="Calibri" w:cs="Calibri"/>
          <w:i/>
          <w:iCs/>
          <w:color w:val="000000"/>
          <w:sz w:val="22"/>
          <w:szCs w:val="22"/>
        </w:rPr>
        <w:t>Pfdhr</w:t>
      </w:r>
      <w:r w:rsidRPr="00AF28B8">
        <w:rPr>
          <w:rFonts w:ascii="Calibri" w:hAnsi="Calibri" w:cs="Calibri"/>
          <w:color w:val="000000"/>
          <w:sz w:val="22"/>
          <w:szCs w:val="22"/>
        </w:rPr>
        <w:t> 51I, 59R and 108N + </w:t>
      </w:r>
      <w:r w:rsidRPr="00AF28B8">
        <w:rPr>
          <w:rFonts w:ascii="Calibri" w:hAnsi="Calibri" w:cs="Calibri"/>
          <w:i/>
          <w:iCs/>
          <w:color w:val="000000"/>
          <w:sz w:val="22"/>
          <w:szCs w:val="22"/>
        </w:rPr>
        <w:t>Pfdhps</w:t>
      </w:r>
      <w:r w:rsidRPr="00AF28B8">
        <w:rPr>
          <w:rFonts w:ascii="Calibri" w:hAnsi="Calibri" w:cs="Calibri"/>
          <w:color w:val="000000"/>
          <w:sz w:val="22"/>
          <w:szCs w:val="22"/>
        </w:rPr>
        <w:t> 437G and 540E) and sextuple (with addition of Pfdhps 581G) mutations were 78.3% and 4.4%, respectively. This study showed a high prevalence of SNPs and haplotypes associated with sulfadoxine-pyrimethamine resistance, while a mutation in Kelch 13 gene (561H) associated with artemisinin partial resistance had a low prevalence and was found only in Kagera region. Continuous monitoring and interventions targeting both patent and subpatent infections are necessary to prevent transmitting and perpetuating antimalarial-resistant markers, especially in low-malaria transmission areas.</w:t>
      </w:r>
    </w:p>
    <w:p w14:paraId="397B729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25-A-3662-ASTMH</w:t>
      </w:r>
    </w:p>
    <w:p w14:paraId="4FE91F3E"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3D60736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Influence of Land Cover on Risk of Human Exposure to Tick-Associated Disease in Belize</w:t>
      </w:r>
    </w:p>
    <w:p w14:paraId="3838F7A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Ticks are recognized as important vectors of disease worldwide, presenting a substantial global health threat. In Belize, Central America, tick-borne diseases are under-characterized but there is known risk due to the country’s unique biodiversity, complex ecosystems, and presence of tick species capable of transmitting human pathogens. While previous studies in Belize have identified </w:t>
      </w:r>
      <w:r w:rsidRPr="00AF28B8">
        <w:rPr>
          <w:rFonts w:ascii="Calibri" w:hAnsi="Calibri" w:cs="Calibri"/>
          <w:i/>
          <w:iCs/>
          <w:color w:val="000000"/>
          <w:sz w:val="22"/>
          <w:szCs w:val="22"/>
        </w:rPr>
        <w:t>Ehrlichia, Borrelia, </w:t>
      </w:r>
      <w:r w:rsidRPr="00AF28B8">
        <w:rPr>
          <w:rFonts w:ascii="Calibri" w:hAnsi="Calibri" w:cs="Calibri"/>
          <w:color w:val="000000"/>
          <w:sz w:val="22"/>
          <w:szCs w:val="22"/>
        </w:rPr>
        <w:t>and various strains of </w:t>
      </w:r>
      <w:r w:rsidRPr="00AF28B8">
        <w:rPr>
          <w:rFonts w:ascii="Calibri" w:hAnsi="Calibri" w:cs="Calibri"/>
          <w:i/>
          <w:iCs/>
          <w:color w:val="000000"/>
          <w:sz w:val="22"/>
          <w:szCs w:val="22"/>
        </w:rPr>
        <w:t>Rickettsia </w:t>
      </w:r>
      <w:r w:rsidRPr="00AF28B8">
        <w:rPr>
          <w:rFonts w:ascii="Calibri" w:hAnsi="Calibri" w:cs="Calibri"/>
          <w:color w:val="000000"/>
          <w:sz w:val="22"/>
          <w:szCs w:val="22"/>
        </w:rPr>
        <w:t xml:space="preserve">in tick populations, the influence of environmental changes, and ecological dynamics between ticks and hosts is yet to be rigorously determined. To address this knowledge gap, we </w:t>
      </w:r>
      <w:r w:rsidRPr="00AF28B8">
        <w:rPr>
          <w:rFonts w:ascii="Calibri" w:hAnsi="Calibri" w:cs="Calibri"/>
          <w:color w:val="000000"/>
          <w:sz w:val="22"/>
          <w:szCs w:val="22"/>
        </w:rPr>
        <w:lastRenderedPageBreak/>
        <w:t>conducted two rounds of field surveys in three villages representing unique land cover categories: protected forests, fragmented forests, and open pasture. Tick sampling was implemented in transects using both standard dragging method and CO₂-baited traps. Environmental variables of climate condition, vegetation characteristics, and host abundance were recorded. Morphological examination was used to identify tick species abundance. A cross-sectional Knowledge, Attitude, and Practices (KAP) survey was also implemented in each village to assess community awareness and behavior practices related to ticks and tick-associated diseases. Here, we present findings related to tick vector abundance by land cover category in relation to KAP responses. Overall, our findings are intended to enhance the knowledge base describing associations between environmental change, human behavior, and potential exposure to tick vector species to support disease mitigation strategies in Belize.</w:t>
      </w:r>
    </w:p>
    <w:p w14:paraId="7C80F649"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25-A-3663-ASTMH</w:t>
      </w:r>
    </w:p>
    <w:p w14:paraId="7A75590F"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2E68F1C"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Entomological insights on scaling up dual active ingredient insecticide treated net in area with high pyrethroid resistance in Tanzania</w:t>
      </w:r>
    </w:p>
    <w:p w14:paraId="620CE5F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control efforts rely heavily on Insecticide treated bed net (ITNs). However, widespread insecticide resistance across multiple chemical classes stalled recent progress. New vector control tools with different modes of action are required to combat the issue of resistance. This study aimed to evaluate the efficacy of active ingredients (AIs) Olyset Plus, Interceptor G2, Royal Guard ITNs, compared to a pyrethroid (Interceptor) in experimental hut, ambient chamber and modified tunnel. A total of thirty nets per treatment were withdrawn from Misungwi-Tanzania community during a cluster randomized control trial at 12, 24, 30 and 36 months. To assess suitability of assays at small scale, 20 female </w:t>
      </w:r>
      <w:r w:rsidRPr="00AF28B8">
        <w:rPr>
          <w:rFonts w:ascii="Calibri" w:hAnsi="Calibri" w:cs="Calibri"/>
          <w:i/>
          <w:iCs/>
          <w:color w:val="000000"/>
          <w:sz w:val="22"/>
          <w:szCs w:val="22"/>
        </w:rPr>
        <w:t>Anopheles</w:t>
      </w:r>
      <w:r w:rsidRPr="00AF28B8">
        <w:rPr>
          <w:rFonts w:ascii="Calibri" w:hAnsi="Calibri" w:cs="Calibri"/>
          <w:color w:val="000000"/>
          <w:sz w:val="22"/>
          <w:szCs w:val="22"/>
        </w:rPr>
        <w:t> mosquitoes were released in experimental hut (EHT) and ambient chamber simultaneously and 50 female </w:t>
      </w:r>
      <w:r w:rsidRPr="00AF28B8">
        <w:rPr>
          <w:rFonts w:ascii="Calibri" w:hAnsi="Calibri" w:cs="Calibri"/>
          <w:i/>
          <w:iCs/>
          <w:color w:val="000000"/>
          <w:sz w:val="22"/>
          <w:szCs w:val="22"/>
        </w:rPr>
        <w:t>Anopheles</w:t>
      </w:r>
      <w:r w:rsidRPr="00AF28B8">
        <w:rPr>
          <w:rFonts w:ascii="Calibri" w:hAnsi="Calibri" w:cs="Calibri"/>
          <w:color w:val="000000"/>
          <w:sz w:val="22"/>
          <w:szCs w:val="22"/>
        </w:rPr>
        <w:t> were released in modified tunnel. The efficacy of chlorfenapyr nets were assessed side by side with Olyset Plus net. A Latin square design was used to rotate net type and sleepers between huts and ambient chamber. The following morning mosquitoes were collected, and mortality monitored up to 72 hours. At 12 months, Interceptor G2 ITNs induced significant superior 72-hour mortality compared to standard (43% vs 13%, p-value &gt;0.001); 24-hour mortality was also higher with Royal Guard ITNs compared to Interceptor nets (21% vs 13%, p=0.043), and marginally higher also with Olyset Plus (19% vs 13%, p=0.045) against </w:t>
      </w:r>
      <w:r w:rsidRPr="00AF28B8">
        <w:rPr>
          <w:rFonts w:ascii="Calibri" w:hAnsi="Calibri" w:cs="Calibri"/>
          <w:i/>
          <w:iCs/>
          <w:color w:val="000000"/>
          <w:sz w:val="22"/>
          <w:szCs w:val="22"/>
        </w:rPr>
        <w:t>An.gambiae</w:t>
      </w:r>
      <w:r w:rsidRPr="00AF28B8">
        <w:rPr>
          <w:rFonts w:ascii="Calibri" w:hAnsi="Calibri" w:cs="Calibri"/>
          <w:color w:val="000000"/>
          <w:sz w:val="22"/>
          <w:szCs w:val="22"/>
        </w:rPr>
        <w:t> s.l and </w:t>
      </w:r>
      <w:r w:rsidRPr="00AF28B8">
        <w:rPr>
          <w:rFonts w:ascii="Calibri" w:hAnsi="Calibri" w:cs="Calibri"/>
          <w:i/>
          <w:iCs/>
          <w:color w:val="000000"/>
          <w:sz w:val="22"/>
          <w:szCs w:val="22"/>
        </w:rPr>
        <w:t>An.funestus</w:t>
      </w:r>
      <w:r w:rsidRPr="00AF28B8">
        <w:rPr>
          <w:rFonts w:ascii="Calibri" w:hAnsi="Calibri" w:cs="Calibri"/>
          <w:color w:val="000000"/>
          <w:sz w:val="22"/>
          <w:szCs w:val="22"/>
        </w:rPr>
        <w:t> complex in EHT. When these nets were assessed in modified tunnel test side by side, Olyset Plus versus Olyset plus induced higher mortality compared to Interceptor G2 versus Interceptor G2 (OR 3.07, P&lt;0.0001). When 12 months Olyset Plus was installed with 12 months Interceptor G2, mortality was reduced (OR 1.56, p&lt;0.0001). Ambient chamber was 1.7 more likely to cause mortality than experimental hut (OR 1.66, p&lt;0.0001). Chlorfenapyr and PBO ITNs performed better than standard Interceptor nets in both assays.</w:t>
      </w:r>
    </w:p>
    <w:p w14:paraId="23DFD2F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25-A-3664-ASTMH</w:t>
      </w:r>
    </w:p>
    <w:p w14:paraId="5CACECC0"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7103633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Access to improved Latrines as a Predictor of Trachomatous Follicular (TF) Prevalence among 1-9 years old Children in Yobe state, Northeastern Nigeria</w:t>
      </w:r>
    </w:p>
    <w:p w14:paraId="2A02B45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Trachoma is a public health problem and a leading cause of blindness worldwide. The world Health Organization (WHO) recommends Surgery, Antibiotics, Facial cleanliness and Environmental improvement (SAFE) strategy to accelerate its elimination. This study was conducted to examine the role of water, sanitation and hygiene as a predictor of trachomatous follicular (TF) prevalence among 1-9 years old children in Yobe state. Data for this study was extracted from Tropical Trachoma Data as shared by the Federal Ministry of Health. A total of 31,641 households were enumerated across 1,196 clusters at an average of 26 clusters per survey in 46 surveys from 2017 to 2025. These surveys comprised baseline, impact and surveillance surveys for trachoma in households where children aged 1-9 years old were found. Of the 31, 641 households that were enumerated, 25, 386 (80%) reported being within 30 minutes of drinking water source, 11, 475 (36%) of the households reported having access to </w:t>
      </w:r>
      <w:r w:rsidRPr="00AF28B8">
        <w:rPr>
          <w:rFonts w:ascii="Calibri" w:hAnsi="Calibri" w:cs="Calibri"/>
          <w:color w:val="000000"/>
          <w:sz w:val="22"/>
          <w:szCs w:val="22"/>
        </w:rPr>
        <w:lastRenderedPageBreak/>
        <w:t>improved latrines in their households while 5,254 (7%) of the children aged 1-9 years old from the 73,905 screened had TF. Conversely, 23,585 (75%) of the households interviewed reported having access to improved drinking water. Access to improved drinking water and availability of improved drinking water within 30 minutes walking distance were not significantly different at 5% level of significance and had no relationship with TF prevalence in the study areas. However, the survey found a strong negative and statistically significant (t= -2.6222, P= 0.0120) relationship between access to improved latrines and TF prevalence among children 1-9 years old in the study area. Access to improved latrine in this study accounted for 13.5% (R</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0.1352) of the TF prevalence among children 1-9 years old. These findings demonstrate that inadequate access to improved latrines is a more significant predictor of TF prevalence than access to improved drinking water or proximity to water sources and underscores the urgent need to enhance access to improved sanitation facilities within communities in Yobe State.</w:t>
      </w:r>
    </w:p>
    <w:p w14:paraId="44CD224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25-A-3665-ASTMH</w:t>
      </w:r>
    </w:p>
    <w:p w14:paraId="0CA8F23C"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4861A59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of a Commercial Zika Virus IgM ELISA Capable of Accurately Differentiating Zika from Dengue and Other Flaviviruses</w:t>
      </w:r>
    </w:p>
    <w:p w14:paraId="651B4C41"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Zika virus (ZIKV) emerged as a global health threat during the 2015-2016 epidemic, when it was associated with neurological complications such as microcephaly and Guillain-Barré syndrome. Accurate detection of recent infections remains critical, especially in pregnancy, where timely diagnosis can guide clinical care and monitoring. However, serologic testing is confounded by cross-reactive antibodies from prior exposure to related flaviviruses including dengue virus (DENV) and West Nile virus (WNV). A 2024 study (Emperador </w:t>
      </w:r>
      <w:r w:rsidRPr="00AF28B8">
        <w:rPr>
          <w:rFonts w:ascii="Calibri" w:hAnsi="Calibri" w:cs="Calibri"/>
          <w:i/>
          <w:iCs/>
          <w:color w:val="000000"/>
          <w:sz w:val="22"/>
          <w:szCs w:val="22"/>
        </w:rPr>
        <w:t>et al.,</w:t>
      </w:r>
      <w:r w:rsidRPr="00AF28B8">
        <w:rPr>
          <w:rFonts w:ascii="Calibri" w:hAnsi="Calibri" w:cs="Calibri"/>
          <w:color w:val="000000"/>
          <w:sz w:val="22"/>
          <w:szCs w:val="22"/>
        </w:rPr>
        <w:t> Viruses) highlighted the ongoing challenge of balancing sensitivity and specificity in IgM assays. Recent serosurveys show continued ZIKV circulation in endemic regions, reinforcing the need for highly specific diagnostics. We have developed a ZIKV IgM antibody capture ELISA, in which anti-human IgM is immobilized to capture serum IgM antibodies, followed by incubation with HRP-conjugated ZIKV and Cross-reactive flavivirus antigens in separate wells. Optical densities (OD) were measured for each antigen and the ZIKV-to-Cross-reactive OD ratio was calculated. Samples exceeding a pre-defined threshold were classified as presumptive ZIKV positives. The assay turnaround time is slightly over 2 hours. Evaluation of 186 serum samples showed 98% (50/51) sensitivity in RT-PCR confirmed ZIKV cases and 98% (2/108) overall specificity across DENV (1/40; 98%), WNV (0/10; 100%), CHIKV (1/10; 90%), and healthy controls (0/48; 100%). Sensitivity was 7% (2/27) in early acute-phase infections (&lt;7 days post-onset), consistent with the known kinetics of the IgM response. The ZIKV to cross-reactive OD ratio yielded an AUC of 0.98 indicating the accuracy of differentiation of ZIKV-positive sera from sera representing other flavivirus infections. These findings support the utility of this ZIKV IgM capture ELISA as a rapid, reliable, and specific tool for identifying recent ZIKV infection, including in pregnancy where timely diagnosis may help mitigate the risk of adverse fetal outcomes. The assay is also well suited for outbreak response and serosurveillance in flavivirus-endemic regions.</w:t>
      </w:r>
    </w:p>
    <w:p w14:paraId="634939B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25-A-3666-ASTMH</w:t>
      </w:r>
    </w:p>
    <w:p w14:paraId="0B392FF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2BF155C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Environmental Determinants of Malaria Transmission in the Ecozones of Burkina Faso: Preliminary Findings from an Ongoing PIVOTAL ICEMR Study</w:t>
      </w:r>
    </w:p>
    <w:p w14:paraId="64742DE5"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transmission is shaped by complex interactions between biological, environmental, and human factors. Among these, environmental variables including the presence of larval habitats, land use patterns, vegetation cover, and local climate play a critical role in determining the spatial distribution and abundance of mosquito vectors. This ongoing study, conducted within the framework of the Burkina Faso International Centers of Excellence for Malaria Research (PIVOTAL ICEMR), aims to assess the influence of environmental factors on vector distribution and malaria transmission dynamics across three ecozones in Burkina Faso: Sahelian, Sudan-Sahelian, and Sudanian. To date, longitudinal entomological data have been collected from multiple field sites and have undergone detailed spatial </w:t>
      </w:r>
      <w:r w:rsidRPr="00AF28B8">
        <w:rPr>
          <w:rFonts w:ascii="Calibri" w:hAnsi="Calibri" w:cs="Calibri"/>
          <w:color w:val="000000"/>
          <w:sz w:val="22"/>
          <w:szCs w:val="22"/>
        </w:rPr>
        <w:lastRenderedPageBreak/>
        <w:t>mapping. These data are being integrated with climatic variables (e.g. precipitation and temperature) obtained from the National Meteorological Agency, as well as landscape characteristics derived from Sentinal-2 satellite mission data (e.g. vegetation indices and land cover). The goal of this study is to analyze the relationships between environmental and landscape variables and the spatial distribution of anopheline vectors, and ultimately to understand their role in shaping malaria transmission dynamics across diverse ecological settings. Preliminary findings suggest that landscape features and climatic conditions may significantly influence vector presence and distribution. Ongoing analyses aim to refine these observations and inform targeted, context-specific malaria control strategies.</w:t>
      </w:r>
    </w:p>
    <w:p w14:paraId="5811A765"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25-A-3668-ASTMH</w:t>
      </w:r>
    </w:p>
    <w:p w14:paraId="384FBB89"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65DA5B8C"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multivalent nucleoside-modified mRNA vaccine against West Nile virus</w:t>
      </w:r>
    </w:p>
    <w:p w14:paraId="04F6EF77"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Flaviviruses are positive single-stranded vector-borne RNA viruses that can cause from mild febrile illness to severe life-threatening diseases, including encephalitis, congenital abnormalities, hepatitis, hemorrhagic, and shock syndrome. During the last decades, the geographic displacement of flaviviruses and their vectors has resulted in several epidemics and a substantially increased risk of infection for billions of people worldwide. One of these flaviviruses, West Nile virus (WNV), has become endemic in the US, causing more than 60,000 human cases since its introduction in 1999. More importantly, a small percentage of individuals, which include infants, the elderly, and immunodeficient individuals, are at risk of developing a potentially fatal encephalitis syndrome after a WNV infection. In the last year, almost all US states (49) reported neuroinvasive disease cases and 49 deaths, making the need for an effective vaccine against WNV a priority. Our lab initially demonstrated that a low-dose mRNA-LNP vaccine against a related Flavivirus, Zika, can elicit a robust neutralizing antibody response in mice and macaques. The present study aims to apply our successful mRNA platform to target WNV. To achieve this goal, we have constructed a multivalent vaccine candidate encoding the pre-membrane, envelope (prM-E), and non-structural protein 1 (NS1) viral immunogens. We showed that immunization with this modified WNV mRNA-LNP vaccine resulted in statistically higher survival rates after a WNV challenge when compared to the naïve Balb/c mice (100% vs. 20% survival, respectively). Remarkably, the immunized animals also exhibited lower or undetectable WNV viremia and a delayed WNV viral RNA peak in the brain in comparison to the control group. Our prM/E/NS1-mRNA-LNP vaccine protects mice against morbidity and mortality by inducing high total IgG and neutralizing antibody responses. Thus, our vaccine is a promising WNV vaccine candidate.</w:t>
      </w:r>
    </w:p>
    <w:p w14:paraId="104D676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25-A-3670-ASTMH</w:t>
      </w:r>
    </w:p>
    <w:p w14:paraId="04846C41"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6739B5E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​Modeling the Epidemiological Impact of Gene Drive Mosquito Releases on Community Immunity and Malaria Resurgence</w:t>
      </w:r>
    </w:p>
    <w:p w14:paraId="2C054DC5"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Gene drive mosquitoes represent a promising intervention for malaria control by reducing vector populations or impairing their transmission capabilities. While initial deployments may significantly decrease malaria incidence, they could inadvertently lead to diminished community immunity, particularly among younger cohorts with limited exposure to the parasite. Additionally, the emergence of resistant alleles may enable mosquitoes to bypass genetic modifications, potentially resulting in the resurgence of competent vectors.​ Utilizing the MGDrivE 3 modeling framework, this study simulates the long-term epidemiological impacts of gene drive mosquito releases. The model assesses how reduced exposure affects immunity levels across different age groups and evaluates the potential for malaria resurgence due to the spread of resistant alleles. Our simulations indicate that while gene drive interventions can substantially lower malaria transmission initially, the consequent reduction in natural immunity may increase susceptibility over time, especially among children. The development and propagation of resistance alleles further exacerbate this risk, potentially leading to a rebound in malaria cases.​ To mitigate these challenges, the study explores integrated strategies combining genetic </w:t>
      </w:r>
      <w:r w:rsidRPr="00AF28B8">
        <w:rPr>
          <w:rFonts w:ascii="Calibri" w:hAnsi="Calibri" w:cs="Calibri"/>
          <w:color w:val="000000"/>
          <w:sz w:val="22"/>
          <w:szCs w:val="22"/>
        </w:rPr>
        <w:lastRenderedPageBreak/>
        <w:t>interventions with traditional control measures, such as insecticide-treated nets (ITNs), indoor residual spraying (IRS), and vaccination programs. The findings underscore the necessity for continuous monitoring of gene drive implementations and the development of contingency plans to address potential resistance and immunity-related issues.</w:t>
      </w:r>
    </w:p>
    <w:p w14:paraId="62853E07"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25-A-3671-ASTMH</w:t>
      </w:r>
    </w:p>
    <w:p w14:paraId="2CA98CF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7F922503"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Comparing CRISPR gene-editing methods in P. falciparum laboratory strains and Ugandan field isolates </w:t>
      </w:r>
    </w:p>
    <w:p w14:paraId="24A2EE42"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Crispr-Cas9 technology offers a valuable means of studying the biology of malaria parasites, yet obtaining successfully edited parasites is challenging. The standard method to edit parasites is electroporation of synchronized ring-stage parasites in the presence of plasmids encoding gRNA and a homologous template. An alternative method electroporates uninfected RBCS to preload the cells with plasmids, followed by invasion of RBCs by fresh merozoites. Merozoites can be obtained by purification with a magnet, concentration using a Percoll gradient, or growing parasites for 44 hours after thawing a glycerol stock. Using laboratory strains and Ugandan field isolates (culture adapted isolates from patients presenting with uncomplicated malaria at Ugandan clinics), we tested the ring and preloaded RBC transfection methods. For preloaded RBC transfections, we tested each of the three approaches to obtain merozoites. For Dd2, a fast-growing lab strain, transfections were successful for 11/23 (47.8%) ring transfections and 10/28 (35.7%) preloaded RBC transfections. For NF54, a slower-growing lab strain, transfections were successful for 1/10 (10%) ring transfections and 2/20 (10%) preloaded RBC transfections. For field isolates, transfections were successful for 1/23 (4.3%) ring transfections and 2/20 (10%) preloaded RBC transfections. Considering merozoite isolation approaches 2/3 (67%) Dd2 transfections were successful after magnet purification, 2/10 (20%) after Percoll gradient concentration, and 6/15 (40%) after thawing glycerol stocks. For NF54, 2/3 (67%) preloaded RBC transfections were successful after magnet purification compared to 0/14 (0%) after a Percoll gradient and 0/3 (0%) after thawing glycerol stocks. For field isolates, 2/4 (50%) preloaded RBC transfections were successful after thawing glycerol stocks, compared to 0/16 (0%) after a Percoll gradient. Our preliminary data suggest that optimal merozoite isolation approaches may be strain-dependent, and considering workloads, preloaded RBC transfection may be more practical than ring transfection.</w:t>
      </w:r>
    </w:p>
    <w:p w14:paraId="199B31B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25-A-3672-ASTMH</w:t>
      </w:r>
    </w:p>
    <w:p w14:paraId="71CF2E3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342CF40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characterization of Salmonella enterica serovar Kentucky strains isolated from sewage water in Karachi, Pakistan</w:t>
      </w:r>
    </w:p>
    <w:p w14:paraId="3B9AC115"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Non-typhoidal </w:t>
      </w:r>
      <w:r w:rsidRPr="00AF28B8">
        <w:rPr>
          <w:rFonts w:ascii="Calibri" w:hAnsi="Calibri" w:cs="Calibri"/>
          <w:i/>
          <w:iCs/>
          <w:color w:val="000000"/>
          <w:sz w:val="22"/>
          <w:szCs w:val="22"/>
        </w:rPr>
        <w:t>Salmonella</w:t>
      </w:r>
      <w:r w:rsidRPr="00AF28B8">
        <w:rPr>
          <w:rFonts w:ascii="Calibri" w:hAnsi="Calibri" w:cs="Calibri"/>
          <w:color w:val="000000"/>
          <w:sz w:val="22"/>
          <w:szCs w:val="22"/>
        </w:rPr>
        <w:t> (NTS) are primarily zoonotic pathogens that cause millions of acute gastroenteritis cases and are responsible for significant mortality worldwide. </w:t>
      </w:r>
      <w:r w:rsidRPr="00AF28B8">
        <w:rPr>
          <w:rFonts w:ascii="Calibri" w:hAnsi="Calibri" w:cs="Calibri"/>
          <w:i/>
          <w:iCs/>
          <w:color w:val="000000"/>
          <w:sz w:val="22"/>
          <w:szCs w:val="22"/>
        </w:rPr>
        <w:t>Salmonella enterica</w:t>
      </w:r>
      <w:r w:rsidRPr="00AF28B8">
        <w:rPr>
          <w:rFonts w:ascii="Calibri" w:hAnsi="Calibri" w:cs="Calibri"/>
          <w:color w:val="000000"/>
          <w:sz w:val="22"/>
          <w:szCs w:val="22"/>
        </w:rPr>
        <w:t> serovar Kentucky mainly infects animals such as poultry and cattle but also an emerging human pathogen. The most concerning lineage, </w:t>
      </w:r>
      <w:r w:rsidRPr="00AF28B8">
        <w:rPr>
          <w:rFonts w:ascii="Calibri" w:hAnsi="Calibri" w:cs="Calibri"/>
          <w:i/>
          <w:iCs/>
          <w:color w:val="000000"/>
          <w:sz w:val="22"/>
          <w:szCs w:val="22"/>
        </w:rPr>
        <w:t>S.</w:t>
      </w:r>
      <w:r w:rsidRPr="00AF28B8">
        <w:rPr>
          <w:rFonts w:ascii="Calibri" w:hAnsi="Calibri" w:cs="Calibri"/>
          <w:color w:val="000000"/>
          <w:sz w:val="22"/>
          <w:szCs w:val="22"/>
        </w:rPr>
        <w:t> Kentucky ST198 has spread globally and exhibits resistance to fluoroquinolones and extended-spectrum β-lactams. In this study, we have performed whole genome sequencing (WGS) of </w:t>
      </w:r>
      <w:r w:rsidRPr="00AF28B8">
        <w:rPr>
          <w:rFonts w:ascii="Calibri" w:hAnsi="Calibri" w:cs="Calibri"/>
          <w:i/>
          <w:iCs/>
          <w:color w:val="000000"/>
          <w:sz w:val="22"/>
          <w:szCs w:val="22"/>
        </w:rPr>
        <w:t>S</w:t>
      </w:r>
      <w:r w:rsidRPr="00AF28B8">
        <w:rPr>
          <w:rFonts w:ascii="Calibri" w:hAnsi="Calibri" w:cs="Calibri"/>
          <w:color w:val="000000"/>
          <w:sz w:val="22"/>
          <w:szCs w:val="22"/>
        </w:rPr>
        <w:t>. Kentucky strains isolated from sewage samples collected from Karachi, Pakistan. Sewage samples were enriched in selenite-F broth followed by </w:t>
      </w:r>
      <w:r w:rsidRPr="00AF28B8">
        <w:rPr>
          <w:rFonts w:ascii="Calibri" w:hAnsi="Calibri" w:cs="Calibri"/>
          <w:i/>
          <w:iCs/>
          <w:color w:val="000000"/>
          <w:sz w:val="22"/>
          <w:szCs w:val="22"/>
        </w:rPr>
        <w:t>S.</w:t>
      </w:r>
      <w:r w:rsidRPr="00AF28B8">
        <w:rPr>
          <w:rFonts w:ascii="Calibri" w:hAnsi="Calibri" w:cs="Calibri"/>
          <w:color w:val="000000"/>
          <w:sz w:val="22"/>
          <w:szCs w:val="22"/>
        </w:rPr>
        <w:t> Kentucky colonies isolation on XLD agar plates. Genomic DNA was extracted and subjected to sequencing using Illumina MiSeq platform. Raw reads were filtered to remove low-quality bases and adapter sequences. Subsequently, reads were assembled to get near complete draft genomes, variant calling, and SNP analysis to identify genetic variations. Further analysis was conducted to identify antimicrobial resistance (AMR) and virulence genes and to determine the phylogenetic relationship of these strains. Antimicrobial resistance analysis showed that our </w:t>
      </w:r>
      <w:r w:rsidRPr="00AF28B8">
        <w:rPr>
          <w:rFonts w:ascii="Calibri" w:hAnsi="Calibri" w:cs="Calibri"/>
          <w:i/>
          <w:iCs/>
          <w:color w:val="000000"/>
          <w:sz w:val="22"/>
          <w:szCs w:val="22"/>
        </w:rPr>
        <w:t>S</w:t>
      </w:r>
      <w:r w:rsidRPr="00AF28B8">
        <w:rPr>
          <w:rFonts w:ascii="Calibri" w:hAnsi="Calibri" w:cs="Calibri"/>
          <w:color w:val="000000"/>
          <w:sz w:val="22"/>
          <w:szCs w:val="22"/>
        </w:rPr>
        <w:t>. Kentucky strains showed presence of resistance to multiple classes of antibiotics such as penicillins, 3</w:t>
      </w:r>
      <w:r w:rsidRPr="00AF28B8">
        <w:rPr>
          <w:rFonts w:ascii="Calibri" w:hAnsi="Calibri" w:cs="Calibri"/>
          <w:color w:val="000000"/>
          <w:sz w:val="22"/>
          <w:szCs w:val="22"/>
          <w:vertAlign w:val="superscript"/>
        </w:rPr>
        <w:t>rd</w:t>
      </w:r>
      <w:r w:rsidRPr="00AF28B8">
        <w:rPr>
          <w:rFonts w:ascii="Calibri" w:hAnsi="Calibri" w:cs="Calibri"/>
          <w:color w:val="000000"/>
          <w:sz w:val="22"/>
          <w:szCs w:val="22"/>
        </w:rPr>
        <w:t> generation cephalosporins, aminoglycosides, sulfamethoxazole and trimethoprim. Multi-locus sequence typing (MLST) identified </w:t>
      </w:r>
      <w:r w:rsidRPr="00AF28B8">
        <w:rPr>
          <w:rFonts w:ascii="Calibri" w:hAnsi="Calibri" w:cs="Calibri"/>
          <w:i/>
          <w:iCs/>
          <w:color w:val="000000"/>
          <w:sz w:val="22"/>
          <w:szCs w:val="22"/>
        </w:rPr>
        <w:t>S</w:t>
      </w:r>
      <w:r w:rsidRPr="00AF28B8">
        <w:rPr>
          <w:rFonts w:ascii="Calibri" w:hAnsi="Calibri" w:cs="Calibri"/>
          <w:color w:val="000000"/>
          <w:sz w:val="22"/>
          <w:szCs w:val="22"/>
        </w:rPr>
        <w:t>. Kentucky strains as ST198. The </w:t>
      </w:r>
      <w:r w:rsidRPr="00AF28B8">
        <w:rPr>
          <w:rFonts w:ascii="Calibri" w:hAnsi="Calibri" w:cs="Calibri"/>
          <w:i/>
          <w:iCs/>
          <w:color w:val="000000"/>
          <w:sz w:val="22"/>
          <w:szCs w:val="22"/>
        </w:rPr>
        <w:t>S</w:t>
      </w:r>
      <w:r w:rsidRPr="00AF28B8">
        <w:rPr>
          <w:rFonts w:ascii="Calibri" w:hAnsi="Calibri" w:cs="Calibri"/>
          <w:color w:val="000000"/>
          <w:sz w:val="22"/>
          <w:szCs w:val="22"/>
        </w:rPr>
        <w:t xml:space="preserve">. Kentucky strains were also found to carry the IncFII(S) replicon and genes associated virulence, cellular invasion, fimbriae </w:t>
      </w:r>
      <w:r w:rsidRPr="00AF28B8">
        <w:rPr>
          <w:rFonts w:ascii="Calibri" w:hAnsi="Calibri" w:cs="Calibri"/>
          <w:color w:val="000000"/>
          <w:sz w:val="22"/>
          <w:szCs w:val="22"/>
        </w:rPr>
        <w:lastRenderedPageBreak/>
        <w:t>adherence, and stress adaptation, highlighting their pathogenic potential to humans and animals. The phylogenetic similarities with global clinical strains underscore the potential zoonotic risk and public health implications. Our findings emphasize the need for expanded genomic surveillance of this emerging </w:t>
      </w:r>
      <w:r w:rsidRPr="00AF28B8">
        <w:rPr>
          <w:rFonts w:ascii="Calibri" w:hAnsi="Calibri" w:cs="Calibri"/>
          <w:i/>
          <w:iCs/>
          <w:color w:val="000000"/>
          <w:sz w:val="22"/>
          <w:szCs w:val="22"/>
        </w:rPr>
        <w:t>Salmonella</w:t>
      </w:r>
      <w:r w:rsidRPr="00AF28B8">
        <w:rPr>
          <w:rFonts w:ascii="Calibri" w:hAnsi="Calibri" w:cs="Calibri"/>
          <w:color w:val="000000"/>
          <w:sz w:val="22"/>
          <w:szCs w:val="22"/>
        </w:rPr>
        <w:t> serovar to mitigate public health risks.</w:t>
      </w:r>
    </w:p>
    <w:p w14:paraId="3AEE04DE"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25-A-3673-ASTMH</w:t>
      </w:r>
    </w:p>
    <w:p w14:paraId="583D8201"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4AB1338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Madagascar's Innovation in Seasonal Community and School-Based Intermittent Preventative Treatment of Malaria in School-Aged Children</w:t>
      </w:r>
    </w:p>
    <w:p w14:paraId="0B12DA1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line with Madagascar National Malaria Control Program’s 2023-2027 National Strategic Plan the country has implemented its first innovative seasonal community and school-based intermittent preventative treatment of malaria in school-aged children campaign, targeting children aged 5-14 years. WHO guidelines allow operational flexibility in target group identification. Based on malaria positivity rates of 30.8% (2021) and 30.1% (2023) in children 5-14 years old, the Ministry of Public Health prioritized school-aged children, a group with no previous prevention strategy. Following the recommended four-cycle approach, the campaign introduced two innovative delivery strategies: school-based distribution, and home visits with directly observed treatment. Coverage increased notably, from 198,596 children (74.16%) in Cycle 1 to 249,943 (93.33%) in Cycle 4. The increasing coverage across cycles reflects inclusion of previously ineligible children and improved community acceptance. Seventy-six minor adverse events were reported among 211,263 children (0.04%), and were managed through community engagement, such as offering sweetened water or fruits during intake. Key challenges included supply chain and tool distribution issues in insecure and remote areas. From June to December 2023, malaria test positivity in the five target districts decreased from 66% to 45%, representing a 21% reduction. A reduction in incidence was also observed three months after the end of the campaign (March, April, May 2024) with rates of 37.7%, 32.9%, and 32.8%, compared to 39.7%, 44.4%, and 39.8% during the same period in 2023. Extending seasonal chemoprevention beyond age 6 yielded measurable and effective results. The campaign aims to reduce malaria positivity by 75% and lower childhood mortality to approximately 1 per 1,000, in alignment with WHO targets.</w:t>
      </w:r>
    </w:p>
    <w:p w14:paraId="6D44D36E"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25-A-3674-ASTMH</w:t>
      </w:r>
    </w:p>
    <w:p w14:paraId="04701C93"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5C04DF62"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Contrasting dynamics of PfEMP1 immune responses in children and adults in holoendemic and mesoendemic malaria transmission settings in Zambia and Mali</w:t>
      </w:r>
    </w:p>
    <w:p w14:paraId="41FAA45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Antimalarial immunity acquired in endemic settings is likely partially due to antibodies directed against parasite variant surface antigens embedded on the surface of infected erythrocytes. One such target is the family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erythrocyte membrane protein-1 (PfEMP1) antigens that mediate parasite sequestration to host receptors. We have previously shown in a seasonal transmission setting in central Mali that PfEMP1 immune responses are acquired in children over the course of the malaria transmission season, with subsequent declines in immune responses during the dry season. We examined PfEMP1 immune responses in a perennial malaria transmission setting, hypothesizing that PfEMP1 responses would be long-lived in children and adults. The Zambian study site was holoendemic Nchelenge District, Luapula Province (parasite prevalence 50%). We probed a protein microarray featuring 25 PfEMP1 fragments from 14 PfEMP1s from the 3D7 </w:t>
      </w:r>
      <w:r w:rsidRPr="00AF28B8">
        <w:rPr>
          <w:rFonts w:ascii="Calibri" w:hAnsi="Calibri" w:cs="Calibri"/>
          <w:i/>
          <w:iCs/>
          <w:color w:val="000000"/>
          <w:sz w:val="22"/>
          <w:szCs w:val="22"/>
        </w:rPr>
        <w:t>Pf </w:t>
      </w:r>
      <w:r w:rsidRPr="00AF28B8">
        <w:rPr>
          <w:rFonts w:ascii="Calibri" w:hAnsi="Calibri" w:cs="Calibri"/>
          <w:color w:val="000000"/>
          <w:sz w:val="22"/>
          <w:szCs w:val="22"/>
        </w:rPr>
        <w:t>reference genome with sera from children (&lt;5 years old) and adults (</w:t>
      </w:r>
      <w:r w:rsidRPr="00AF28B8">
        <w:rPr>
          <w:rFonts w:ascii="Calibri" w:hAnsi="Calibri" w:cs="Calibri"/>
          <w:color w:val="000000"/>
          <w:sz w:val="22"/>
          <w:szCs w:val="22"/>
          <w:u w:val="single"/>
        </w:rPr>
        <w:t>&gt;</w:t>
      </w:r>
      <w:r w:rsidRPr="00AF28B8">
        <w:rPr>
          <w:rFonts w:ascii="Calibri" w:hAnsi="Calibri" w:cs="Calibri"/>
          <w:color w:val="000000"/>
          <w:sz w:val="22"/>
          <w:szCs w:val="22"/>
        </w:rPr>
        <w:t xml:space="preserve"> 20 years old) from Nchelenge District. Assayed samples included those from the end of the rainy season and from the end of the following dry season, four months later. Our results demonstrated a range of serologic responses to PfEMP1 fragments at both time periods, with a striking lack of decline in serologic responses at the end of the dry season for both children (P &gt;0.05 for 24/25 comparisons) and adults (P&gt;0.05 for 25/25 comparisons). This effect was most consistent in PfEMP1 fragments from the acidic terminal segment, an intracellular, conserved portion of the PfEMP1. In contrast, PfEMP1 serologic responses declined for children, but not adults, in a seasonal </w:t>
      </w:r>
      <w:r w:rsidRPr="00AF28B8">
        <w:rPr>
          <w:rFonts w:ascii="Calibri" w:hAnsi="Calibri" w:cs="Calibri"/>
          <w:color w:val="000000"/>
          <w:sz w:val="22"/>
          <w:szCs w:val="22"/>
        </w:rPr>
        <w:lastRenderedPageBreak/>
        <w:t>transmission setting in Mali. These results suggest the potential of more persistent acquired immunity to clinical infection in perennial settings with the need for further serologic investigation.</w:t>
      </w:r>
    </w:p>
    <w:p w14:paraId="477F937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25-A-3675-ASTMH</w:t>
      </w:r>
    </w:p>
    <w:p w14:paraId="044931B9"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0705327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Metagenomics For Surveillance Of Rodent-Borne Viruses In Uganda</w:t>
      </w:r>
    </w:p>
    <w:p w14:paraId="6D6ECCA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With increasing anthropogenic landscape change, the boundaries between people and wildlife are rapidly dissolving, elevating the risk of novel pathogen emergence. In these landscapes, rodents harbor a vast and largely unexplored world of viral pathogens, where several are known to spill over into humans and livestock. Rapid deforestation and landscape transformation makes Uganda an ideal setting to investigate how environmental change shapes rodent virus communities. It is necessary to know what viruses are present, if they have zoonotic potential and what factors affect their distribution. In this preliminary study, we used metaviromics for surveillance of rodent pathogens to offer valuable insights to inform public health interventions. Humane live trapping was conducted during the dry season (July/ August 2022) to capture and collect samples from small mammals. Rodents were examined for helminth infection and fecal samples collected for metagenomic analysis. A subset of individual 38 </w:t>
      </w:r>
      <w:r w:rsidRPr="00AF28B8">
        <w:rPr>
          <w:rFonts w:ascii="Calibri" w:hAnsi="Calibri" w:cs="Calibri"/>
          <w:i/>
          <w:iCs/>
          <w:color w:val="000000"/>
          <w:sz w:val="22"/>
          <w:szCs w:val="22"/>
        </w:rPr>
        <w:t>Mastomys erythroleucus </w:t>
      </w:r>
      <w:r w:rsidRPr="00AF28B8">
        <w:rPr>
          <w:rFonts w:ascii="Calibri" w:hAnsi="Calibri" w:cs="Calibri"/>
          <w:color w:val="000000"/>
          <w:sz w:val="22"/>
          <w:szCs w:val="22"/>
        </w:rPr>
        <w:t>(ME) and 26 </w:t>
      </w:r>
      <w:r w:rsidRPr="00AF28B8">
        <w:rPr>
          <w:rFonts w:ascii="Calibri" w:hAnsi="Calibri" w:cs="Calibri"/>
          <w:i/>
          <w:iCs/>
          <w:color w:val="000000"/>
          <w:sz w:val="22"/>
          <w:szCs w:val="22"/>
        </w:rPr>
        <w:t>Lemniscomys striatus </w:t>
      </w:r>
      <w:r w:rsidRPr="00AF28B8">
        <w:rPr>
          <w:rFonts w:ascii="Calibri" w:hAnsi="Calibri" w:cs="Calibri"/>
          <w:color w:val="000000"/>
          <w:sz w:val="22"/>
          <w:szCs w:val="22"/>
        </w:rPr>
        <w:t>(LS) were selected from 6 villages (island and mainland), to represent different helminth infection statuses and pooled in sets of 4 for RNA sequencing. In 17 pools (9 ME and 6 LS), over 6,000 contigs were recovered from libraries sequenced to an average of 7,836,326 reads after quality control. We identified 122 viral species representing 30 unique viral families, 9 of which were vertebrate viruses. The virome was richer in ME but LS had a broader taxonomic range. </w:t>
      </w:r>
      <w:r w:rsidRPr="00AF28B8">
        <w:rPr>
          <w:rFonts w:ascii="Calibri" w:hAnsi="Calibri" w:cs="Calibri"/>
          <w:i/>
          <w:iCs/>
          <w:color w:val="000000"/>
          <w:sz w:val="22"/>
          <w:szCs w:val="22"/>
        </w:rPr>
        <w:t>Picornaviridae </w:t>
      </w:r>
      <w:r w:rsidRPr="00AF28B8">
        <w:rPr>
          <w:rFonts w:ascii="Calibri" w:hAnsi="Calibri" w:cs="Calibri"/>
          <w:color w:val="000000"/>
          <w:sz w:val="22"/>
          <w:szCs w:val="22"/>
        </w:rPr>
        <w:t>(68.94%), dominated by </w:t>
      </w:r>
      <w:r w:rsidRPr="00AF28B8">
        <w:rPr>
          <w:rFonts w:ascii="Calibri" w:hAnsi="Calibri" w:cs="Calibri"/>
          <w:i/>
          <w:iCs/>
          <w:color w:val="000000"/>
          <w:sz w:val="22"/>
          <w:szCs w:val="22"/>
        </w:rPr>
        <w:t>Kobuviruses</w:t>
      </w:r>
      <w:r w:rsidRPr="00AF28B8">
        <w:rPr>
          <w:rFonts w:ascii="Calibri" w:hAnsi="Calibri" w:cs="Calibri"/>
          <w:color w:val="000000"/>
          <w:sz w:val="22"/>
          <w:szCs w:val="22"/>
        </w:rPr>
        <w:t>, was the most common viral family across all sites and hosts, followed distantly by </w:t>
      </w:r>
      <w:r w:rsidRPr="00AF28B8">
        <w:rPr>
          <w:rFonts w:ascii="Calibri" w:hAnsi="Calibri" w:cs="Calibri"/>
          <w:i/>
          <w:iCs/>
          <w:color w:val="000000"/>
          <w:sz w:val="22"/>
          <w:szCs w:val="22"/>
        </w:rPr>
        <w:t>Phenuviridae</w:t>
      </w:r>
      <w:r w:rsidRPr="00AF28B8">
        <w:rPr>
          <w:rFonts w:ascii="Calibri" w:hAnsi="Calibri" w:cs="Calibri"/>
          <w:color w:val="000000"/>
          <w:sz w:val="22"/>
          <w:szCs w:val="22"/>
        </w:rPr>
        <w:t> (9.85%). Our initial analysis found no association between helminths and viral communities in this dataset. Analysis is ongoing for DNA viruses and other pathogens. These preliminary findings highlight the immense viral diversity harbored by rodents and underscore the importance of metaviromic surveillance to anticipate and mitigate emerging infectious disease threats.</w:t>
      </w:r>
    </w:p>
    <w:p w14:paraId="4EAE54C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25-A-3676-ASTMH</w:t>
      </w:r>
    </w:p>
    <w:p w14:paraId="10F700A1"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6EDFEC03"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the Functional Roles of </w:t>
      </w:r>
      <w:r w:rsidRPr="00AF28B8">
        <w:rPr>
          <w:rFonts w:ascii="Calibri" w:hAnsi="Calibri" w:cs="Calibri"/>
          <w:i/>
          <w:iCs/>
          <w:color w:val="000000"/>
          <w:sz w:val="22"/>
          <w:szCs w:val="22"/>
        </w:rPr>
        <w:t>pfkelch13</w:t>
      </w:r>
      <w:r w:rsidRPr="00AF28B8">
        <w:rPr>
          <w:rFonts w:ascii="Calibri" w:hAnsi="Calibri" w:cs="Calibri"/>
          <w:color w:val="000000"/>
          <w:sz w:val="22"/>
          <w:szCs w:val="22"/>
        </w:rPr>
        <w:t> Mutations and </w:t>
      </w:r>
      <w:r w:rsidRPr="00AF28B8">
        <w:rPr>
          <w:rFonts w:ascii="Calibri" w:hAnsi="Calibri" w:cs="Calibri"/>
          <w:i/>
          <w:iCs/>
          <w:color w:val="000000"/>
          <w:sz w:val="22"/>
          <w:szCs w:val="22"/>
        </w:rPr>
        <w:t>Pfhrp2/3</w:t>
      </w:r>
      <w:r w:rsidRPr="00AF28B8">
        <w:rPr>
          <w:rFonts w:ascii="Calibri" w:hAnsi="Calibri" w:cs="Calibri"/>
          <w:color w:val="000000"/>
          <w:sz w:val="22"/>
          <w:szCs w:val="22"/>
        </w:rPr>
        <w:t> Deletions on </w:t>
      </w:r>
      <w:r w:rsidRPr="00AF28B8">
        <w:rPr>
          <w:rFonts w:ascii="Calibri" w:hAnsi="Calibri" w:cs="Calibri"/>
          <w:i/>
          <w:iCs/>
          <w:color w:val="000000"/>
          <w:sz w:val="22"/>
          <w:szCs w:val="22"/>
        </w:rPr>
        <w:t>P. falciparum</w:t>
      </w:r>
      <w:r w:rsidRPr="00AF28B8">
        <w:rPr>
          <w:rFonts w:ascii="Calibri" w:hAnsi="Calibri" w:cs="Calibri"/>
          <w:color w:val="000000"/>
          <w:sz w:val="22"/>
          <w:szCs w:val="22"/>
        </w:rPr>
        <w:t> Partial Artemisinin Resistance in Ethiopia</w:t>
      </w:r>
    </w:p>
    <w:p w14:paraId="1F6E32E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control in Ethiopia was severely challenged by a surge of more than 7.3 million cases in 2024. The causes of this resurgence are not yet defined but coincide with the emergence and expansion of artemisinin partial resistance (ART-R)-associated mutations in the </w:t>
      </w:r>
      <w:r w:rsidRPr="00AF28B8">
        <w:rPr>
          <w:rFonts w:ascii="Calibri" w:hAnsi="Calibri" w:cs="Calibri"/>
          <w:i/>
          <w:iCs/>
          <w:color w:val="000000"/>
          <w:sz w:val="22"/>
          <w:szCs w:val="22"/>
        </w:rPr>
        <w:t>pfkelch13</w:t>
      </w:r>
      <w:r w:rsidRPr="00AF28B8">
        <w:rPr>
          <w:rFonts w:ascii="Calibri" w:hAnsi="Calibri" w:cs="Calibri"/>
          <w:color w:val="000000"/>
          <w:sz w:val="22"/>
          <w:szCs w:val="22"/>
        </w:rPr>
        <w:t> (</w:t>
      </w:r>
      <w:r w:rsidRPr="00AF28B8">
        <w:rPr>
          <w:rFonts w:ascii="Calibri" w:hAnsi="Calibri" w:cs="Calibri"/>
          <w:i/>
          <w:iCs/>
          <w:color w:val="000000"/>
          <w:sz w:val="22"/>
          <w:szCs w:val="22"/>
        </w:rPr>
        <w:t>pfk13</w:t>
      </w:r>
      <w:r w:rsidRPr="00AF28B8">
        <w:rPr>
          <w:rFonts w:ascii="Calibri" w:hAnsi="Calibri" w:cs="Calibri"/>
          <w:color w:val="000000"/>
          <w:sz w:val="22"/>
          <w:szCs w:val="22"/>
        </w:rPr>
        <w:t>) gene alongside “diagnostic resistance” deletion of the histidine-rich protein 2 and 3 (</w:t>
      </w:r>
      <w:r w:rsidRPr="00AF28B8">
        <w:rPr>
          <w:rFonts w:ascii="Calibri" w:hAnsi="Calibri" w:cs="Calibri"/>
          <w:i/>
          <w:iCs/>
          <w:color w:val="000000"/>
          <w:sz w:val="22"/>
          <w:szCs w:val="22"/>
        </w:rPr>
        <w:t>pfhrp2/3</w:t>
      </w:r>
      <w:r w:rsidRPr="00AF28B8">
        <w:rPr>
          <w:rFonts w:ascii="Calibri" w:hAnsi="Calibri" w:cs="Calibri"/>
          <w:color w:val="000000"/>
          <w:sz w:val="22"/>
          <w:szCs w:val="22"/>
        </w:rPr>
        <w:t>) genes. These mutations together threaten frontline test-and-treat strategies and highlight the urgent need to characterize </w:t>
      </w:r>
      <w:r w:rsidRPr="00AF28B8">
        <w:rPr>
          <w:rFonts w:ascii="Calibri" w:hAnsi="Calibri" w:cs="Calibri"/>
          <w:i/>
          <w:iCs/>
          <w:color w:val="000000"/>
          <w:sz w:val="22"/>
          <w:szCs w:val="22"/>
        </w:rPr>
        <w:t>in vitro</w:t>
      </w:r>
      <w:r w:rsidRPr="00AF28B8">
        <w:rPr>
          <w:rFonts w:ascii="Calibri" w:hAnsi="Calibri" w:cs="Calibri"/>
          <w:color w:val="000000"/>
          <w:sz w:val="22"/>
          <w:szCs w:val="22"/>
        </w:rPr>
        <w:t> drug susceptibilities of </w:t>
      </w:r>
      <w:r w:rsidRPr="00AF28B8">
        <w:rPr>
          <w:rFonts w:ascii="Calibri" w:hAnsi="Calibri" w:cs="Calibri"/>
          <w:i/>
          <w:iCs/>
          <w:color w:val="000000"/>
          <w:sz w:val="22"/>
          <w:szCs w:val="22"/>
        </w:rPr>
        <w:t>P. falciparum</w:t>
      </w:r>
      <w:r w:rsidRPr="00AF28B8">
        <w:rPr>
          <w:rFonts w:ascii="Calibri" w:hAnsi="Calibri" w:cs="Calibri"/>
          <w:color w:val="000000"/>
          <w:sz w:val="22"/>
          <w:szCs w:val="22"/>
        </w:rPr>
        <w:t> isolates from Ethiopian patients to inform targeted intervention strategies. Causative roles of circulating </w:t>
      </w:r>
      <w:r w:rsidRPr="00AF28B8">
        <w:rPr>
          <w:rFonts w:ascii="Calibri" w:hAnsi="Calibri" w:cs="Calibri"/>
          <w:i/>
          <w:iCs/>
          <w:color w:val="000000"/>
          <w:sz w:val="22"/>
          <w:szCs w:val="22"/>
        </w:rPr>
        <w:t>pfk13</w:t>
      </w:r>
      <w:r w:rsidRPr="00AF28B8">
        <w:rPr>
          <w:rFonts w:ascii="Calibri" w:hAnsi="Calibri" w:cs="Calibri"/>
          <w:color w:val="000000"/>
          <w:sz w:val="22"/>
          <w:szCs w:val="22"/>
        </w:rPr>
        <w:t> mutations in an Ethiopian parasite genetic context also remain unknown. Our objective is to combine genotypic and </w:t>
      </w:r>
      <w:r w:rsidRPr="00AF28B8">
        <w:rPr>
          <w:rFonts w:ascii="Calibri" w:hAnsi="Calibri" w:cs="Calibri"/>
          <w:i/>
          <w:iCs/>
          <w:color w:val="000000"/>
          <w:sz w:val="22"/>
          <w:szCs w:val="22"/>
        </w:rPr>
        <w:t>in vitro</w:t>
      </w:r>
      <w:r w:rsidRPr="00AF28B8">
        <w:rPr>
          <w:rFonts w:ascii="Calibri" w:hAnsi="Calibri" w:cs="Calibri"/>
          <w:color w:val="000000"/>
          <w:sz w:val="22"/>
          <w:szCs w:val="22"/>
        </w:rPr>
        <w:t> phenotypic profiling of recent </w:t>
      </w:r>
      <w:r w:rsidRPr="00AF28B8">
        <w:rPr>
          <w:rFonts w:ascii="Calibri" w:hAnsi="Calibri" w:cs="Calibri"/>
          <w:i/>
          <w:iCs/>
          <w:color w:val="000000"/>
          <w:sz w:val="22"/>
          <w:szCs w:val="22"/>
        </w:rPr>
        <w:t>P. falciparum </w:t>
      </w:r>
      <w:r w:rsidRPr="00AF28B8">
        <w:rPr>
          <w:rFonts w:ascii="Calibri" w:hAnsi="Calibri" w:cs="Calibri"/>
          <w:color w:val="000000"/>
          <w:sz w:val="22"/>
          <w:szCs w:val="22"/>
        </w:rPr>
        <w:t>isolates across Ethiopia and to evaluate the functional roles of circulating </w:t>
      </w:r>
      <w:r w:rsidRPr="00AF28B8">
        <w:rPr>
          <w:rFonts w:ascii="Calibri" w:hAnsi="Calibri" w:cs="Calibri"/>
          <w:i/>
          <w:iCs/>
          <w:color w:val="000000"/>
          <w:sz w:val="22"/>
          <w:szCs w:val="22"/>
        </w:rPr>
        <w:t>pfk13</w:t>
      </w:r>
      <w:r w:rsidRPr="00AF28B8">
        <w:rPr>
          <w:rFonts w:ascii="Calibri" w:hAnsi="Calibri" w:cs="Calibri"/>
          <w:color w:val="000000"/>
          <w:sz w:val="22"/>
          <w:szCs w:val="22"/>
        </w:rPr>
        <w:t> mutations in the presence of </w:t>
      </w:r>
      <w:r w:rsidRPr="00AF28B8">
        <w:rPr>
          <w:rFonts w:ascii="Calibri" w:hAnsi="Calibri" w:cs="Calibri"/>
          <w:i/>
          <w:iCs/>
          <w:color w:val="000000"/>
          <w:sz w:val="22"/>
          <w:szCs w:val="22"/>
        </w:rPr>
        <w:t>pfhrp2/3</w:t>
      </w:r>
      <w:r w:rsidRPr="00AF28B8">
        <w:rPr>
          <w:rFonts w:ascii="Calibri" w:hAnsi="Calibri" w:cs="Calibri"/>
          <w:color w:val="000000"/>
          <w:sz w:val="22"/>
          <w:szCs w:val="22"/>
        </w:rPr>
        <w:t> deletions in these Ethiopian genetic backgrounds. We lab-adapted seventeen </w:t>
      </w:r>
      <w:r w:rsidRPr="00AF28B8">
        <w:rPr>
          <w:rFonts w:ascii="Calibri" w:hAnsi="Calibri" w:cs="Calibri"/>
          <w:i/>
          <w:iCs/>
          <w:color w:val="000000"/>
          <w:sz w:val="22"/>
          <w:szCs w:val="22"/>
        </w:rPr>
        <w:t>P. falciparum</w:t>
      </w:r>
      <w:r w:rsidRPr="00AF28B8">
        <w:rPr>
          <w:rFonts w:ascii="Calibri" w:hAnsi="Calibri" w:cs="Calibri"/>
          <w:color w:val="000000"/>
          <w:sz w:val="22"/>
          <w:szCs w:val="22"/>
        </w:rPr>
        <w:t> isolates from patients in northern (Tigray), central (Oromia), and southwestern (SNNPR) regions in 2024, including those with distinct Kelch13 substitutions confirmed by amplicon-based deep sequencing: P574L in SNNPR, P441L in Oromia and R622I in Tigray, alongside deletions in </w:t>
      </w:r>
      <w:r w:rsidRPr="00AF28B8">
        <w:rPr>
          <w:rFonts w:ascii="Calibri" w:hAnsi="Calibri" w:cs="Calibri"/>
          <w:i/>
          <w:iCs/>
          <w:color w:val="000000"/>
          <w:sz w:val="22"/>
          <w:szCs w:val="22"/>
        </w:rPr>
        <w:t>pfhrp2</w:t>
      </w:r>
      <w:r w:rsidRPr="00AF28B8">
        <w:rPr>
          <w:rFonts w:ascii="Calibri" w:hAnsi="Calibri" w:cs="Calibri"/>
          <w:color w:val="000000"/>
          <w:sz w:val="22"/>
          <w:szCs w:val="22"/>
        </w:rPr>
        <w:t>/3, and other drug-resistance markers from these parasite isolates. We will present artemisinin </w:t>
      </w:r>
      <w:r w:rsidRPr="00AF28B8">
        <w:rPr>
          <w:rFonts w:ascii="Calibri" w:hAnsi="Calibri" w:cs="Calibri"/>
          <w:i/>
          <w:iCs/>
          <w:color w:val="000000"/>
          <w:sz w:val="22"/>
          <w:szCs w:val="22"/>
        </w:rPr>
        <w:t>in vitro</w:t>
      </w:r>
      <w:r w:rsidRPr="00AF28B8">
        <w:rPr>
          <w:rFonts w:ascii="Calibri" w:hAnsi="Calibri" w:cs="Calibri"/>
          <w:color w:val="000000"/>
          <w:sz w:val="22"/>
          <w:szCs w:val="22"/>
        </w:rPr>
        <w:t> susceptibilities, assessed by extended ring stage survival assays and their association with </w:t>
      </w:r>
      <w:r w:rsidRPr="00AF28B8">
        <w:rPr>
          <w:rFonts w:ascii="Calibri" w:hAnsi="Calibri" w:cs="Calibri"/>
          <w:i/>
          <w:iCs/>
          <w:color w:val="000000"/>
          <w:sz w:val="22"/>
          <w:szCs w:val="22"/>
        </w:rPr>
        <w:t>pfk13</w:t>
      </w:r>
      <w:r w:rsidRPr="00AF28B8">
        <w:rPr>
          <w:rFonts w:ascii="Calibri" w:hAnsi="Calibri" w:cs="Calibri"/>
          <w:color w:val="000000"/>
          <w:sz w:val="22"/>
          <w:szCs w:val="22"/>
        </w:rPr>
        <w:t> mutations, as well as lumefantrine susceptibility, both of which are components of Ethiopia’s frontline artemisinin combination therapy, along with responses to other antimalarial drugs. Utilizing CRISPR-Cas9 gene editing of these </w:t>
      </w:r>
      <w:r w:rsidRPr="00AF28B8">
        <w:rPr>
          <w:rFonts w:ascii="Calibri" w:hAnsi="Calibri" w:cs="Calibri"/>
          <w:i/>
          <w:iCs/>
          <w:color w:val="000000"/>
          <w:sz w:val="22"/>
          <w:szCs w:val="22"/>
        </w:rPr>
        <w:t>pfk13</w:t>
      </w:r>
      <w:r w:rsidRPr="00AF28B8">
        <w:rPr>
          <w:rFonts w:ascii="Calibri" w:hAnsi="Calibri" w:cs="Calibri"/>
          <w:color w:val="000000"/>
          <w:sz w:val="22"/>
          <w:szCs w:val="22"/>
        </w:rPr>
        <w:t xml:space="preserve"> mutations in the Ethiopian genetic </w:t>
      </w:r>
      <w:r w:rsidRPr="00AF28B8">
        <w:rPr>
          <w:rFonts w:ascii="Calibri" w:hAnsi="Calibri" w:cs="Calibri"/>
          <w:color w:val="000000"/>
          <w:sz w:val="22"/>
          <w:szCs w:val="22"/>
        </w:rPr>
        <w:lastRenderedPageBreak/>
        <w:t>backgrounds followed by phenotypic analysis, we will compare and contrast their ART-R phenotypes/roles. Comprehensive genotyping and phenotyping surveillance in Ethiopia offers a unique opportunity to characterize the key features of emerging ART-R and provides critical information to guide urgently needed intervention strategies.</w:t>
      </w:r>
    </w:p>
    <w:p w14:paraId="61A31BC9"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25-A-3677-ASTMH</w:t>
      </w:r>
    </w:p>
    <w:p w14:paraId="496DC86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13AD33B1"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i/>
          <w:iCs/>
          <w:color w:val="000000"/>
          <w:sz w:val="22"/>
          <w:szCs w:val="22"/>
        </w:rPr>
        <w:t>Plasmodium falciparum</w:t>
      </w:r>
      <w:r w:rsidRPr="00AF28B8">
        <w:rPr>
          <w:rFonts w:ascii="Calibri" w:hAnsi="Calibri" w:cs="Calibri"/>
          <w:b/>
          <w:bCs/>
          <w:color w:val="000000"/>
          <w:sz w:val="22"/>
          <w:szCs w:val="22"/>
        </w:rPr>
        <w:t> prevalence and clinical utility of a high-sensitivity rapid diagnostic test in the 1sttrimester of pregnancy in DR Congo</w:t>
      </w:r>
    </w:p>
    <w:p w14:paraId="76A4C9D7"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infections during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of pregnancy are common and associated with poor pregnancy outcomes. Current guidelines to mitigate fetal effects of malaria in pregnancy are implemented in the second trimester, and there are no consistent guidelines to prevent the effects of malaria during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These negative effects of early pregnancy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 on pregnancy outcome could be mitigated by effective treatment following enhanced detection of parasites, though the burden and detectability of parasites in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are not well understood. We performed parasite detection by high-sensitivity rapid diagnostic test (HS-RDT) and by real-time PCR in women in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as a part of a clinical trial in DR Congo. In rural clinics near Kinshasa, women were enrolled if they had ultrasound-confirmed singleton pregnancies in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were HIV-uninfected, and had not received recent antimalarials; enrollment sites were in semi-rural sites near Kinshasa. Women were randomized to either usual care or to screening with the HS-RDT (Abbott NxTek Eliminate) followed by treatment with AL if positive. Participants were followed through delivery. From dried blood spots collected at the time of HS-RDT testing, we performed parasite detection and density estimation using a highly-sensitive qPCR assay, to allow for estimation of prevalence of parasites by each method, the density distribution, and the clinical sensitivity overall and by density of the HS-RDT in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To date, we have tested 420 women with the HS-RDT, and the overall prevalence by HS-RDT is 55.2% (n=232). qPCR testing of DBS collected at the time of HS-RDT testing and analyses of the clinical sensitivity of the HS-RDT in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are ongoing. These data highlight the high burden of parasites in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as well as the utility of a point-of-care option to detect them in antenatal clinics.</w:t>
      </w:r>
    </w:p>
    <w:p w14:paraId="2AE03451"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25-A-3678-ASTMH</w:t>
      </w:r>
    </w:p>
    <w:p w14:paraId="7643E0F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251A3FE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Case Definition Variability on Effect Estimates in Malaria Trials: Preliminary Findings of a Systematic Review and Network Meta-analysis</w:t>
      </w:r>
    </w:p>
    <w:p w14:paraId="7B11F7D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prevention and treatment interventional trials require a clear definition of malaria as exposure and outcome. While clinical case definitions carry high sensitivity, in research this may include non-malarial disease and lead to mis-estimation of interventions’ efficacy. We hypothesize that researchers define clinical malaria differently across and within different types of interventional trials. In a preliminary search, we identified trials (n=17) cited in select Cochrane reviews of chemotherapeutics for uncomplicated P. falciparum malaria. We also performed a hand search of highly cited articles (n=19) on various prevention and treatment trials. We extracted data on the case definitions of malaria both as exposure and outcome (diagnostic assay used, threshold parasitemia, and how fever or other symptoms were measured and defined), and other study features such as year, location, transmission intensity, sample size, and estimates of effect. We compared the relative frequencies of case definition criteria within and across different study types. Case definitions varied considerably. Comparable numbers of studies defined clinical malaria solely by parasitemia, objective fever plus parasitemia, history of fever (within various time ranges) plus parasitemia, or other reported symptoms plus parasitemia. Thresholds for defining fever varied even when the same measurement device was used. Population-scale interventions more commonly allowed more distant recall of reported fever. Most definitions relied on microscopy (over RDT or PCR). Threshold parasitemia varied, even within areas of similar endemicity. </w:t>
      </w:r>
      <w:r w:rsidRPr="00AF28B8">
        <w:rPr>
          <w:rFonts w:ascii="Calibri" w:hAnsi="Calibri" w:cs="Calibri"/>
          <w:color w:val="000000"/>
          <w:sz w:val="22"/>
          <w:szCs w:val="22"/>
        </w:rPr>
        <w:lastRenderedPageBreak/>
        <w:t>Preventative intervention trials were more likely not to specify a threshold parasitemia. Case definitions of clinical malaria varied appreciably between studies, even those evaluating similar interventions and in similarly endemic regions. Nonetheless, developing a dictionary of case definitions may allow examination of how different definitions modify effect sizes in different interventions and contexts, and ultimately what case definition properties are most appropriate for which interventions.</w:t>
      </w:r>
    </w:p>
    <w:p w14:paraId="7B5E40DB"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25-A-3679-ASTMH</w:t>
      </w:r>
    </w:p>
    <w:p w14:paraId="69EB09AB"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78DEC58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Surveillance of Malaria Reveals Emergence and Rise of the k13 P441L Candidate Marker and Other Resistance Markers in North-Eastern Namibia</w:t>
      </w:r>
    </w:p>
    <w:p w14:paraId="154DA9A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malaria control efforts—indoor residual spraying, long-lasting insecticide-treated nets, rapid diagnostic tests, and artemisinin-based combination therapy—transmission persists in northern Namibia, especially in the Zambezi region, a low-transmission setting that has experienced seasonal outbreaks and an upsurge in cases in the last decade. Understanding the drivers of sustained transmission is critical, especially in the absence of therapeutic efficacy studies to evaluate the effectiveness of artemether-lumefantrine, the current first-line treatment. This study aimed to characterize malaria infections from 2017 - 2023 by assessing antimalarial drug resistance markers, complexity of infection (COI), and parasite connectivity over time in Zambezi. Dried blood spots were collected through reactive case detection in 2017, 2021, 2022, and 2023. A total of 452 samples were genotyped using Illumina-based targeted amplicon deep sequencing. The prevalence of the k13 markers associated with antimalarial resistance (partial and validated) increased. P441L, candidate marker of artemisinin partial resistance increased from 5% in 2017 to 46% in 2023, while validated markers k13 P574L, C469Y, and C580Y were found at low prevalence (&lt;5%). Other uncharacterized k13 variants also increased over time. Notably, the pfmdr1 N86 mutation, associated with lower lumefantrine susceptibility, was present in 100% of samples, while pfcrt mutations associated with chloroquine resistance remained below 10%. Despite the discontinuation of sulphadoxine-pyrimethamine in Namibia, the prevalence of the pfdhps/pfdhfr quintuple mutant remained high. A retrospective analysis of COI, along with infection genetic relatedness and connectivity, was conducted to identify associations with temporal changes in incidence. These findings highlight the utility of genomic surveillance in informing malaria control and elimination strategies. The rise of artemisinin partial resistance markers underscores the urgent need for further research to assess clinical implications and adapt treatment and intervention policies accordingly.</w:t>
      </w:r>
    </w:p>
    <w:p w14:paraId="5F72808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25-A-3680-ASTMH</w:t>
      </w:r>
    </w:p>
    <w:p w14:paraId="46BA77F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7A9A0BC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Genetic diversity and drug resistance markers across five regions of Cameroon, mirror drug selection pressure in parasite populations</w:t>
      </w:r>
    </w:p>
    <w:p w14:paraId="02C306E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extensive malaria control efforts, the increasing genetic diversity of </w:t>
      </w:r>
      <w:r w:rsidRPr="00AF28B8">
        <w:rPr>
          <w:rFonts w:ascii="Calibri" w:hAnsi="Calibri" w:cs="Calibri"/>
          <w:i/>
          <w:iCs/>
          <w:color w:val="000000"/>
          <w:sz w:val="22"/>
          <w:szCs w:val="22"/>
        </w:rPr>
        <w:t>P. falciparum</w:t>
      </w:r>
      <w:r w:rsidRPr="00AF28B8">
        <w:rPr>
          <w:rFonts w:ascii="Calibri" w:hAnsi="Calibri" w:cs="Calibri"/>
          <w:color w:val="000000"/>
          <w:sz w:val="22"/>
          <w:szCs w:val="22"/>
        </w:rPr>
        <w:t> and the rapid emergence of drug resistance markers pose serious threats to elimination strategies. The lack of comprehensive genetic surveillance limits the ability to predict resistance trends, which are important to design appropriate drug resistance countermeasures. This study evaluated diversity and geo-ecological distribution of variants of drug resistance genes in </w:t>
      </w:r>
      <w:r w:rsidRPr="00AF28B8">
        <w:rPr>
          <w:rFonts w:ascii="Calibri" w:hAnsi="Calibri" w:cs="Calibri"/>
          <w:i/>
          <w:iCs/>
          <w:color w:val="000000"/>
          <w:sz w:val="22"/>
          <w:szCs w:val="22"/>
        </w:rPr>
        <w:t>P. falciparum</w:t>
      </w:r>
      <w:r w:rsidRPr="00AF28B8">
        <w:rPr>
          <w:rFonts w:ascii="Calibri" w:hAnsi="Calibri" w:cs="Calibri"/>
          <w:color w:val="000000"/>
          <w:sz w:val="22"/>
          <w:szCs w:val="22"/>
        </w:rPr>
        <w:t> in Cameroon. Positive </w:t>
      </w:r>
      <w:r w:rsidRPr="00AF28B8">
        <w:rPr>
          <w:rFonts w:ascii="Calibri" w:hAnsi="Calibri" w:cs="Calibri"/>
          <w:i/>
          <w:iCs/>
          <w:color w:val="000000"/>
          <w:sz w:val="22"/>
          <w:szCs w:val="22"/>
        </w:rPr>
        <w:t>P. falciparum</w:t>
      </w:r>
      <w:r w:rsidRPr="00AF28B8">
        <w:rPr>
          <w:rFonts w:ascii="Calibri" w:hAnsi="Calibri" w:cs="Calibri"/>
          <w:color w:val="000000"/>
          <w:sz w:val="22"/>
          <w:szCs w:val="22"/>
        </w:rPr>
        <w:t> patients attending hospitals in the Far North (Maroua), East (Bertoua), West (Dschang), North West (Bamenda), and Center (Yaoundé) regions of Cameroon were enrolled. Leftover dried blood-spots were prepared using Whatman-3MM filter paper. DNA was extracted using the Chelex-100-method and mutations in </w:t>
      </w:r>
      <w:r w:rsidRPr="00AF28B8">
        <w:rPr>
          <w:rFonts w:ascii="Calibri" w:hAnsi="Calibri" w:cs="Calibri"/>
          <w:i/>
          <w:iCs/>
          <w:color w:val="000000"/>
          <w:sz w:val="22"/>
          <w:szCs w:val="22"/>
        </w:rPr>
        <w:t>Pfdhps</w:t>
      </w:r>
      <w:r w:rsidRPr="00AF28B8">
        <w:rPr>
          <w:rFonts w:ascii="Calibri" w:hAnsi="Calibri" w:cs="Calibri"/>
          <w:color w:val="000000"/>
          <w:sz w:val="22"/>
          <w:szCs w:val="22"/>
        </w:rPr>
        <w:t> codons A437G and A581G, </w:t>
      </w:r>
      <w:r w:rsidRPr="00AF28B8">
        <w:rPr>
          <w:rFonts w:ascii="Calibri" w:hAnsi="Calibri" w:cs="Calibri"/>
          <w:i/>
          <w:iCs/>
          <w:color w:val="000000"/>
          <w:sz w:val="22"/>
          <w:szCs w:val="22"/>
        </w:rPr>
        <w:t>Pfmdr1</w:t>
      </w:r>
      <w:r w:rsidRPr="00AF28B8">
        <w:rPr>
          <w:rFonts w:ascii="Calibri" w:hAnsi="Calibri" w:cs="Calibri"/>
          <w:color w:val="000000"/>
          <w:sz w:val="22"/>
          <w:szCs w:val="22"/>
        </w:rPr>
        <w:t> N86Y, and </w:t>
      </w:r>
      <w:r w:rsidRPr="00AF28B8">
        <w:rPr>
          <w:rFonts w:ascii="Calibri" w:hAnsi="Calibri" w:cs="Calibri"/>
          <w:i/>
          <w:iCs/>
          <w:color w:val="000000"/>
          <w:sz w:val="22"/>
          <w:szCs w:val="22"/>
        </w:rPr>
        <w:t>Pfcrt</w:t>
      </w:r>
      <w:r w:rsidRPr="00AF28B8">
        <w:rPr>
          <w:rFonts w:ascii="Calibri" w:hAnsi="Calibri" w:cs="Calibri"/>
          <w:color w:val="000000"/>
          <w:sz w:val="22"/>
          <w:szCs w:val="22"/>
        </w:rPr>
        <w:t> K76T detected using PCR-RFLP. The allelic diversity of the </w:t>
      </w:r>
      <w:r w:rsidRPr="00AF28B8">
        <w:rPr>
          <w:rFonts w:ascii="Calibri" w:hAnsi="Calibri" w:cs="Calibri"/>
          <w:i/>
          <w:iCs/>
          <w:color w:val="000000"/>
          <w:sz w:val="22"/>
          <w:szCs w:val="22"/>
        </w:rPr>
        <w:t>MSP2</w:t>
      </w:r>
      <w:r w:rsidRPr="00AF28B8">
        <w:rPr>
          <w:rFonts w:ascii="Calibri" w:hAnsi="Calibri" w:cs="Calibri"/>
          <w:color w:val="000000"/>
          <w:sz w:val="22"/>
          <w:szCs w:val="22"/>
        </w:rPr>
        <w:t> gene was also analyzed. The mean heterozygosity among 317 infections recorded were 0.68(Bertoua), 0.76(Maroua), and 0.54(Dschang) while the multiplicity of infection was 1.76 in Maroua, 1.60 in Bertoua, and 1.54 in Dschang. Monoclonal infections were mostly seen in Dschang. Selection of the </w:t>
      </w:r>
      <w:r w:rsidRPr="00AF28B8">
        <w:rPr>
          <w:rFonts w:ascii="Calibri" w:hAnsi="Calibri" w:cs="Calibri"/>
          <w:i/>
          <w:iCs/>
          <w:color w:val="000000"/>
          <w:sz w:val="22"/>
          <w:szCs w:val="22"/>
        </w:rPr>
        <w:t>Pfdhps</w:t>
      </w:r>
      <w:r w:rsidRPr="00AF28B8">
        <w:rPr>
          <w:rFonts w:ascii="Calibri" w:hAnsi="Calibri" w:cs="Calibri"/>
          <w:color w:val="000000"/>
          <w:sz w:val="22"/>
          <w:szCs w:val="22"/>
        </w:rPr>
        <w:t xml:space="preserve"> 437G was varied: Yaoundé (68.0%); </w:t>
      </w:r>
      <w:r w:rsidRPr="00AF28B8">
        <w:rPr>
          <w:rFonts w:ascii="Calibri" w:hAnsi="Calibri" w:cs="Calibri"/>
          <w:color w:val="000000"/>
          <w:sz w:val="22"/>
          <w:szCs w:val="22"/>
        </w:rPr>
        <w:lastRenderedPageBreak/>
        <w:t>Bertoua (80.0%), Maroua (92.4%), Dschang (96.7%) and Bamenda (100.0%); and </w:t>
      </w:r>
      <w:r w:rsidRPr="00AF28B8">
        <w:rPr>
          <w:rFonts w:ascii="Calibri" w:hAnsi="Calibri" w:cs="Calibri"/>
          <w:i/>
          <w:iCs/>
          <w:color w:val="000000"/>
          <w:sz w:val="22"/>
          <w:szCs w:val="22"/>
        </w:rPr>
        <w:t>Pfdhps </w:t>
      </w:r>
      <w:r w:rsidRPr="00AF28B8">
        <w:rPr>
          <w:rFonts w:ascii="Calibri" w:hAnsi="Calibri" w:cs="Calibri"/>
          <w:color w:val="000000"/>
          <w:sz w:val="22"/>
          <w:szCs w:val="22"/>
        </w:rPr>
        <w:t>581G was highest in Maroua (27.6%) and lowest in Yaoundé (3.3%) with significant differences observed between regions (p &lt; 0.05). </w:t>
      </w:r>
      <w:r w:rsidRPr="00AF28B8">
        <w:rPr>
          <w:rFonts w:ascii="Calibri" w:hAnsi="Calibri" w:cs="Calibri"/>
          <w:i/>
          <w:iCs/>
          <w:color w:val="000000"/>
          <w:sz w:val="22"/>
          <w:szCs w:val="22"/>
        </w:rPr>
        <w:t>Pfmdr1-</w:t>
      </w:r>
      <w:r w:rsidRPr="00AF28B8">
        <w:rPr>
          <w:rFonts w:ascii="Calibri" w:hAnsi="Calibri" w:cs="Calibri"/>
          <w:color w:val="000000"/>
          <w:sz w:val="22"/>
          <w:szCs w:val="22"/>
        </w:rPr>
        <w:t>86Y alleles were below 3% in Dschang, Yaounde and Bertoua but up to 13% in Maroua where the highest frequency of </w:t>
      </w:r>
      <w:r w:rsidRPr="00AF28B8">
        <w:rPr>
          <w:rFonts w:ascii="Calibri" w:hAnsi="Calibri" w:cs="Calibri"/>
          <w:i/>
          <w:iCs/>
          <w:color w:val="000000"/>
          <w:sz w:val="22"/>
          <w:szCs w:val="22"/>
        </w:rPr>
        <w:t>Pfcrt-</w:t>
      </w:r>
      <w:r w:rsidRPr="00AF28B8">
        <w:rPr>
          <w:rFonts w:ascii="Calibri" w:hAnsi="Calibri" w:cs="Calibri"/>
          <w:color w:val="000000"/>
          <w:sz w:val="22"/>
          <w:szCs w:val="22"/>
        </w:rPr>
        <w:t>76T allele (34.1%) was recorded. Significantly high genetic variation in </w:t>
      </w:r>
      <w:r w:rsidRPr="00AF28B8">
        <w:rPr>
          <w:rFonts w:ascii="Calibri" w:hAnsi="Calibri" w:cs="Calibri"/>
          <w:i/>
          <w:iCs/>
          <w:color w:val="000000"/>
          <w:sz w:val="22"/>
          <w:szCs w:val="22"/>
        </w:rPr>
        <w:t>P. falciparum</w:t>
      </w:r>
      <w:r w:rsidRPr="00AF28B8">
        <w:rPr>
          <w:rFonts w:ascii="Calibri" w:hAnsi="Calibri" w:cs="Calibri"/>
          <w:color w:val="000000"/>
          <w:sz w:val="22"/>
          <w:szCs w:val="22"/>
        </w:rPr>
        <w:t> drug resistance markers exist across five regions of Cameroon. The preferential selection for the wild-type N86 in southern part compared to the northern aligns with the observation that drug pressure from SMC programs or from biased dispensation of artemether-lumefantrine in case management drive drives evolutionary changes in parasite populations warranting continuous molecular surveillance to guide malaria treatment policies and control in Cameroon.</w:t>
      </w:r>
    </w:p>
    <w:p w14:paraId="0EED4A9A"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25-A-3681-ASTMH</w:t>
      </w:r>
    </w:p>
    <w:p w14:paraId="4053B8A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Immunology, Pathology, Cellular and Molecular Biology</w:t>
      </w:r>
    </w:p>
    <w:p w14:paraId="66DF02A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Effects of </w:t>
      </w:r>
      <w:r w:rsidRPr="00AF28B8">
        <w:rPr>
          <w:rFonts w:ascii="Calibri" w:hAnsi="Calibri" w:cs="Calibri"/>
          <w:i/>
          <w:iCs/>
          <w:color w:val="000000"/>
          <w:sz w:val="22"/>
          <w:szCs w:val="22"/>
        </w:rPr>
        <w:t>Schistosoma mansoni </w:t>
      </w:r>
      <w:r w:rsidRPr="00AF28B8">
        <w:rPr>
          <w:rFonts w:ascii="Calibri" w:hAnsi="Calibri" w:cs="Calibri"/>
          <w:color w:val="000000"/>
          <w:sz w:val="22"/>
          <w:szCs w:val="22"/>
        </w:rPr>
        <w:t>and Other Gastrointestinal Infections on the Immune Response to Oral Poliovirus Vaccine in Tanzania</w:t>
      </w:r>
    </w:p>
    <w:p w14:paraId="1475BEC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Oral polio vaccine (OPV) is critical to global polio elimination because it induces intestinal immunity that controls poliovirus replication, shedding, and onward transmission. Reduced effectiveness of OPV, observed in low-income settings, may be partially attributed to concurrent enteric infections that interfere with vaccine response. Schistosoma mansoni is an enteropathogen that affects ~34% of the population in Tanzania. During infection, immunogenic parasite eggs migrate through host gut mucosa. The impact of S. mansoni infection on OPV immunogenicity is not known. We hypothesized that infants with S. mansoni and other gastrointestinal infections vs infants without would have higher nonresponse rates (peak titer &lt;1:16) and shorter duration of stool neutralizing antibody responses to OPV. From November 2023 to 2024, infants from Mwanza, Tanzania were enrolled upon completing the four-dose OPV series and followed for 6 months. Stool and serum were collected to quantify neutralizing antibody titers to poliovirus types 1, 2, and 3 (PV1, PV2, PV3) and IgA. Stool was examined by Kato-Katz technique for helminths, and serum schistosome circulating anodic antigen (CAA) was quantified. Stool will be tested by multiplex quantitative PCR for 22 pathogens (Biofire, Biomerieux) and environmental enteropathy markers alpha-1 antitrypsin, myeloperoxidase, and neopterin will be quantified. In total, 103 infants were enrolled with a mean age of 17+/- 5 weeks, of whom 14 (13.6%) were schistosome CAA positive. At enrollment, overall response rate to PV3 was higher (79%) than to PV1 (36%, p&lt;0.001).  Infants with schistosome infection at enrollment had higher neutralizing PV3 antibody titers than those without (1:167 [1:102-1024] versus 1:54 [1:5.4-338], p=0.039), but had greater reductions at 1 and 3 months (3-month log2 fold-change of 4.8, vs 2.4 in those without schistosome infection, p=0.035). Response to PV3, at any time during follow-up, was observed in 14 of 14 with schistosome infection and 67 of 87 infants without (p=0.066). We will complete follow-up in May, provide a revision to this abstract and present final results at ASTMH 2025.</w:t>
      </w:r>
    </w:p>
    <w:p w14:paraId="0424804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25-A-3682-ASTMH</w:t>
      </w:r>
    </w:p>
    <w:p w14:paraId="075B0A0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4A9C724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Country scale assessment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resistance to artemisinin and partner drugs in Mali</w:t>
      </w:r>
    </w:p>
    <w:p w14:paraId="6ED8EF6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Introduction</w:t>
      </w:r>
      <w:r w:rsidRPr="00AF28B8">
        <w:rPr>
          <w:rFonts w:ascii="Calibri" w:hAnsi="Calibri" w:cs="Calibri"/>
          <w:color w:val="000000"/>
          <w:sz w:val="22"/>
          <w:szCs w:val="22"/>
        </w:rPr>
        <w:t>: Conducting ACT surveillance on few pilot sites is not informative enought on the emergence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resistance on country scale. The availability of recent malaria stratification data allowed us to identify several additional sites in high, moderate, low, and very low malaria transmission profiles in Mali. We propose to undertake a comprehensive assessment of artemisinin and partner drug resistance in Mali on 13 health districts.</w:t>
      </w:r>
      <w:r w:rsidRPr="00AF28B8">
        <w:rPr>
          <w:rFonts w:ascii="Calibri" w:hAnsi="Calibri" w:cs="Calibri"/>
          <w:b/>
          <w:bCs/>
          <w:color w:val="000000"/>
          <w:sz w:val="22"/>
          <w:szCs w:val="22"/>
        </w:rPr>
        <w:t>Methodology</w:t>
      </w:r>
      <w:r w:rsidRPr="00AF28B8">
        <w:rPr>
          <w:rFonts w:ascii="Calibri" w:hAnsi="Calibri" w:cs="Calibri"/>
          <w:color w:val="000000"/>
          <w:sz w:val="22"/>
          <w:szCs w:val="22"/>
        </w:rPr>
        <w:t xml:space="preserve">: We conducted a prospective, cross-sectional study. From September 2023 to January 2024, patients presenting with malaria clinical symptoms were included after a positive HRP2-based RDT. Dried blood spots were collected for genomics study. In total 5000 positive malaria samples were collected. DNA was extracted using chelex protocol, we optimized a protocol to generate amplicons in Multiplex for molecular markers of drug resistance, and the library was sequenced using Oxford Nanopore Technology (ONT) </w:t>
      </w:r>
      <w:r w:rsidRPr="00AF28B8">
        <w:rPr>
          <w:rFonts w:ascii="Calibri" w:hAnsi="Calibri" w:cs="Calibri"/>
          <w:color w:val="000000"/>
          <w:sz w:val="22"/>
          <w:szCs w:val="22"/>
        </w:rPr>
        <w:lastRenderedPageBreak/>
        <w:t>MinION Mk1c</w:t>
      </w:r>
      <w:r w:rsidRPr="00AF28B8">
        <w:rPr>
          <w:rFonts w:ascii="Calibri" w:hAnsi="Calibri" w:cs="Calibri"/>
          <w:color w:val="000000"/>
          <w:sz w:val="22"/>
          <w:szCs w:val="22"/>
          <w:vertAlign w:val="superscript"/>
        </w:rPr>
        <w:t>™</w:t>
      </w:r>
      <w:r w:rsidRPr="00AF28B8">
        <w:rPr>
          <w:rFonts w:ascii="Calibri" w:hAnsi="Calibri" w:cs="Calibri"/>
          <w:color w:val="000000"/>
          <w:sz w:val="22"/>
          <w:szCs w:val="22"/>
        </w:rPr>
        <w:t>The diversity of Pfk13, was analysed, and previously described mutations were searched. Markers of resistance to partner drugs such as pfcrt, pfmdr1, pfdhps, and pfdhfr were also analysed. </w:t>
      </w:r>
      <w:r w:rsidRPr="00AF28B8">
        <w:rPr>
          <w:rFonts w:ascii="Calibri" w:hAnsi="Calibri" w:cs="Calibri"/>
          <w:b/>
          <w:bCs/>
          <w:color w:val="000000"/>
          <w:sz w:val="22"/>
          <w:szCs w:val="22"/>
        </w:rPr>
        <w:t>Results</w:t>
      </w:r>
      <w:r w:rsidRPr="00AF28B8">
        <w:rPr>
          <w:rFonts w:ascii="Calibri" w:hAnsi="Calibri" w:cs="Calibri"/>
          <w:color w:val="000000"/>
          <w:sz w:val="22"/>
          <w:szCs w:val="22"/>
        </w:rPr>
        <w:t> On 843 samples successfully sequenced from the 13 districts, Pfcrt 76T was at least 20% for most districts, while Pfmdr N86 was more than 85 %.Pfdhfr, and Pfdhps quadruple mutant </w:t>
      </w:r>
      <w:r w:rsidRPr="00AF28B8">
        <w:rPr>
          <w:rFonts w:ascii="Calibri" w:hAnsi="Calibri" w:cs="Calibri"/>
          <w:b/>
          <w:bCs/>
          <w:color w:val="000000"/>
          <w:sz w:val="22"/>
          <w:szCs w:val="22"/>
        </w:rPr>
        <w:t>IRNI-SGKAA</w:t>
      </w:r>
      <w:r w:rsidRPr="00AF28B8">
        <w:rPr>
          <w:rFonts w:ascii="Calibri" w:hAnsi="Calibri" w:cs="Calibri"/>
          <w:color w:val="000000"/>
          <w:sz w:val="22"/>
          <w:szCs w:val="22"/>
        </w:rPr>
        <w:t> was the most prevalent haplotype but the absence of Pfdhps 540 mutation is comforting the SP usage for malaria prevention in pregnancy.In Mali, only 3 districts had missense mutations for K13 gene. However, noresistant haplotype was observed.Prevalence  Pfrct mutation K76T has not shown big changes since ACTs introduction, while the lumefantrine pressure seems to select the Pfmdr1 N86.</w:t>
      </w:r>
      <w:r w:rsidRPr="00AF28B8">
        <w:rPr>
          <w:rFonts w:ascii="Calibri" w:hAnsi="Calibri" w:cs="Calibri"/>
          <w:b/>
          <w:bCs/>
          <w:color w:val="000000"/>
          <w:sz w:val="22"/>
          <w:szCs w:val="22"/>
        </w:rPr>
        <w:t>No validated K13 mutant was found in Mali after over 10 years of ACT implementation</w:t>
      </w:r>
      <w:r w:rsidRPr="00AF28B8">
        <w:rPr>
          <w:rFonts w:ascii="Calibri" w:hAnsi="Calibri" w:cs="Calibri"/>
          <w:color w:val="000000"/>
          <w:sz w:val="22"/>
          <w:szCs w:val="22"/>
        </w:rPr>
        <w:t>MMS is a useful and efficient tool to inform quickly malaria treatment policies at large scale</w:t>
      </w:r>
    </w:p>
    <w:p w14:paraId="1365F614"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25-A-3684-ASTMH</w:t>
      </w:r>
    </w:p>
    <w:p w14:paraId="499E09D9"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4EECA698"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Risk assessment for clinical malaria occurrence among Seasonal malaria chemoprevention (SMC) eligible children with respect to their nutritional status: A prospective cohort study in Sirakorola, Mali</w:t>
      </w:r>
    </w:p>
    <w:p w14:paraId="67BFEA1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Seasonal malaria chemoprevention (SMC) with sulfadoxine-pyrimethamine plus amodiaquine effectively reduces malaria-related morbidity and mortality among eligible children in areas with intense seasonal transmission. However, clinical malaria still occurs in some children despite SMC. Undernutrition is another common disease in malaria endemic area, and it has been associated with drugs’ metabolite and susceptibility to malaria infection. This study assessed whether nutritional status at the start of transmission season affects SMC effectiveness against clinical malaria in Sirakorola, Mali. Before the SMC campaign in 2024, a cohort of 425 children, screened for </w:t>
      </w:r>
      <w:r w:rsidRPr="00AF28B8">
        <w:rPr>
          <w:rFonts w:ascii="Calibri" w:hAnsi="Calibri" w:cs="Calibri"/>
          <w:i/>
          <w:iCs/>
          <w:color w:val="000000"/>
          <w:sz w:val="22"/>
          <w:szCs w:val="22"/>
        </w:rPr>
        <w:t>P. falciparum </w:t>
      </w:r>
      <w:r w:rsidRPr="00AF28B8">
        <w:rPr>
          <w:rFonts w:ascii="Calibri" w:hAnsi="Calibri" w:cs="Calibri"/>
          <w:color w:val="000000"/>
          <w:sz w:val="22"/>
          <w:szCs w:val="22"/>
        </w:rPr>
        <w:t>infection, anemia and undernutrition (z-scores, WHO growth standards), were enrolled for a follow-up through November. At baseline 244 (56.4%) participants had a z-score ≥ -2 (normal), while 181 (42.6%) had z-score &lt; -2 (malnourished). Before each SMC round, coverage, </w:t>
      </w:r>
      <w:r w:rsidRPr="00AF28B8">
        <w:rPr>
          <w:rFonts w:ascii="Calibri" w:hAnsi="Calibri" w:cs="Calibri"/>
          <w:i/>
          <w:iCs/>
          <w:color w:val="000000"/>
          <w:sz w:val="22"/>
          <w:szCs w:val="22"/>
        </w:rPr>
        <w:t>P. f </w:t>
      </w:r>
      <w:r w:rsidRPr="00AF28B8">
        <w:rPr>
          <w:rFonts w:ascii="Calibri" w:hAnsi="Calibri" w:cs="Calibri"/>
          <w:color w:val="000000"/>
          <w:sz w:val="22"/>
          <w:szCs w:val="22"/>
        </w:rPr>
        <w:t>infection, anemia and nutritional status were measured while incidence of clinical malaria was assessed through passive case detection at the local community health center. To determine the effect of nutritional status on the risk of clinical malaria, a multivariate Cox proportional hazards model was used, α = 0.05 (p&lt;0.05). At enrolment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 prevalence was significantly higher in malnourished children (9.1%) compared to normal (2.5%), p=0.01. The monthly SMC coverage was approximately similar within the two subgroups (normal and malnourished). Among asymptomatic infected children, parasite density was higher in malnourished (GM: 20.0 vs. 16.7). Using a Cox proportional hazards model, undernutrition was associated with a significantly higher risk of clinical malaria (HR: 2.2; 95% CI: 1.2-4.1; p = 0.009). With similar coverage and related drugs effects for SMC, undernourished children treated form SMC are more affected with clinical malaria and present with high parasite load. An integrated program with SMC delivery and malnutrition case detection and management could be an alternative for the areas where SMC is implemented for better outcomes.</w:t>
      </w:r>
    </w:p>
    <w:p w14:paraId="48852CA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25-A-3685-ASTMH</w:t>
      </w:r>
    </w:p>
    <w:p w14:paraId="380F05DE"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3360F183"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First Field Evaluation of Novel LDH- and HRP2-based Rapid Diagnostic Tests for Plasmodium vivax and Plasmodium falciparum Malaria in sites with hrp2/3 deletion</w:t>
      </w:r>
    </w:p>
    <w:p w14:paraId="291DFC9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Rapid diagnostic tests (RDTs) detecting P. falciparum by HRP2 and LDH, and detecting P. vivax are needed in places where both parasite species are endemic and where P. falciparum hrp2/3 deletions are frequent. We evaluated four different RDTs among clinical patients in Ethiopia: 1) BIOCREDIT Ag Pf (cHL) with a line combining HRP2 and LDH for P. falciparum, 2) BIOCREDIT Ag Pf/Pv (cHL/L) with one line combining HRP2 and LDH for P. falciparum and one with LDH for P. vivax, 3) Bioline Malaria Ag Pf/Pf/Pv with separate lines for HRP2 and LDH for P. falciparum, and LDH for P. vivax, and 4) First Response with an HRP2 line for P. falciparum and an LDH line for P. vivax. qPCR and expert microscopy were conducted </w:t>
      </w:r>
      <w:r w:rsidRPr="00AF28B8">
        <w:rPr>
          <w:rFonts w:ascii="Calibri" w:hAnsi="Calibri" w:cs="Calibri"/>
          <w:color w:val="000000"/>
          <w:sz w:val="22"/>
          <w:szCs w:val="22"/>
        </w:rPr>
        <w:lastRenderedPageBreak/>
        <w:t>as reference tests. Among 708 patients, 46.0% were positive by qPCR (77 P. falciparum mono-infections, 198 P. vivax mono-infections, and 51 mixed infections). Strong agreement was observed between results of the different RDTs, with no significant differences in sensitivity. At densities &gt;20 parasites/µL by qPCR, all RDTs reached sensitivities &gt;96% for P. falciparum, compared to 63.3% by health center microscopy. For P. vivax, RDTs reached a sensitivity of &gt;92.6%, compared to 72.7% by health center microscopy. Specificity for all RDTs vs. qPCR was &gt;99%. RDTs were more sensitive than expert microscopy; across both species and all RDTs, 45/46 samples positive by RDT but negative by expert microscopy were confirmed positive by qPCR. Only two P. falciparum infections carried hrp2 and hrp3 deletions, both were detected by all LDH-based RDTs. In conclusion, novel RDTs improve sensitivity and specificity of malaria diagnosis. Sensitivity of the BIOCREDIT RDTs with combined HRP2/LDH lines does not differ from the Bioline RDT with separate lines. The use of RDTs rather than routine microscopy conducted at health centers is recommended for improved patient management.</w:t>
      </w:r>
    </w:p>
    <w:p w14:paraId="7E700A1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25-A-3686-ASTMH</w:t>
      </w:r>
    </w:p>
    <w:p w14:paraId="2B3F0685"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2BE9D5C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Synchronized Trachoma Surgery and Mass Drug Administration in Mobile and Migratory Populations in Moroto and Nabilatuk districts of Uganda</w:t>
      </w:r>
    </w:p>
    <w:p w14:paraId="44BB6612"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Uganda has made remarkable progress toward trachoma elimination through the Surgery, Antibiotics, Facial Cleanliness, and Environmental Improvement (SAFE) strategy, with 59 of 61 previously endemic districts stopping mass drug administration (MDA). However, Moroto and Nabilatuk districts continue to experience persistent and recrudescent active trachoma, with a high burden particularly among mobile and migratory populations (MMPs). MMPs face challenges in accessing water, sanitation, and hygiene (WASH) services and healthcare due to their remote locations, cross-border movements and pastoral livelihoods. Traditionally, Trachomatous Trichiasis (TT) case finding and MDA have been implemented as stand-alone activities at different times of the year, even within the same district. This approach is particularly challenging for MMPs, as their constant movement results in trachoma interventions reaching entirely different communities each time. In June 2024, the Ugandan Ministry of Health implemented synchronized MDA, trachoma case finding and surgery campaigns to improve case TT case finding among the MMPs. This was conducted through joint planning, social mobilization, implementation and review of the activity with district authorities and Neglected Tropical Disease (NTD) partners. In Moroto district, 2,837 MMPs across 15 kraals were screened for TT, identifying 17 cases. Of these, three had surgery, one had epilation, and 13 declined both interventions. In Nabilatuk district, 1,233 MMPs across 12 kraals were screened. There were 6 TT cases, three had surgery and three declined. 3,239 and 802 individuals received MDA in Moroto and Nabilatuk districts respectively. The findings demonstrate that integrating MDA with TT case finding improves case detection among MMPs. However, the high surgery refusal rates (82% in Moroto and 50% in Nabilatuk) underscore the need to explore extended TT screening periods, targeted counselling among MMPs, and further research into barriers to surgical acceptance. These strategies could enhance intervention effectiveness and accelerate trachoma elimination among MMPs.</w:t>
      </w:r>
    </w:p>
    <w:p w14:paraId="6447A98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25-A-3688-ASTMH</w:t>
      </w:r>
    </w:p>
    <w:p w14:paraId="2C3EF2C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05F4EDF4"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Association between Alcohol and Tobacco Use and BMI in Women aged 18-49 in India, IPUMS-DHS</w:t>
      </w:r>
    </w:p>
    <w:p w14:paraId="20595075"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India ranks in the top three nations globally facing a double burden of overweight/obese and underweight individuals. There is limited study on substance use, which remains a taboo topic for women. Using the Integrated Public Use Microdata Series Demographic and Health Surveys (IPUMS-DHS), this cross-sectional study examines the association between substance use and BMI in adult women in India. The study cohort includes 510,791 non-pregnant women aged 18-49 in India surveyed in 2015. Substance use was defined as use of tobacco, alcohol, or both. BMI was categorized as thinness, moderately thin, normal, overweight, or obese. Descriptive statistics and multivariate multinomial </w:t>
      </w:r>
      <w:r w:rsidRPr="00AF28B8">
        <w:rPr>
          <w:rFonts w:ascii="Calibri" w:hAnsi="Calibri" w:cs="Calibri"/>
          <w:color w:val="000000"/>
          <w:sz w:val="22"/>
          <w:szCs w:val="22"/>
        </w:rPr>
        <w:lastRenderedPageBreak/>
        <w:t>logistic regressions were conducted, adjusted for sociodemographic, socioeconomic, and geographic factors. Tobacco use was associated with thinness (8.9%) and moderate thinness (13.2%) (p&lt;.0001). Combined alcohol and tobacco use showed similar trends (thinness: 8.7%; moderate thinness: 14%). Women using tobacco alone or with alcohol had higher odds of thinness compared to normal BMI (Tobacco Alone: OR 1.16, CI 1.12-1.20; Both: OR 1.09, CI 1.03-1.15). In South India, alcohol use increased the odds of thinness (OR 1.19, CI 1.00-1.42) and overweight (OR 1.17, CI 1.02-1.35). All other regional findings trend with the total cohort with tobacco usage. Substance use may affect underweight status in adult women in India with regional variation on alcohol vs. tobacco. These patterns warrant further study for development of targeted public health interventions and policy change.</w:t>
      </w:r>
    </w:p>
    <w:p w14:paraId="1D704F6E"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25-A-3690-ASTMH</w:t>
      </w:r>
    </w:p>
    <w:p w14:paraId="78A3E7E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43048AE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Unveiling the burden and determinants of birth-related perineal injuries in rural Bangladesh: findings from CHAMPS surveillance</w:t>
      </w:r>
    </w:p>
    <w:p w14:paraId="205238E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Perineal injuries during childbirth are significant yet underreported causes of maternal morbidity and long-term disability in low-resource settings. While global estimates suggest an 80-90% prevalence of varying degrees of perineal injury during vaginal birth, regional disparities and underreporting obscure the true burden in low- and middle-income countries. This study leverages population-based surveillance data to quantify the burden, identify modifiable risk factors, and characterize associated complications of perineal injuries in rural Bangladesh. We analyzed data from the Child Health and Mortality Prevention Surveillance (CHAMPS) demographic and pregnancy surveillance systems in Baliakandi, Bangladesh, over two years (2022-2023). Perineal injuries (tears and episiotomies) and associated complications were self-reported by mothers at 1 and 42 days postpartum using standardized questionnaires. We employed descriptive and multivariate logistic regression to estimate proportions and identify socioeconomic and obstetric risk factors for perineal injuries. Among 11,729 deliveries from 11,596 unique mothers, injuries were reported in 14% (n=1,666) of deliveries (tears: 78%, episiotomies: 19%, unspecified: 3%). Most deliveries (79%) occurred in hospitals. Reported postpartum complications included hemorrhage (15%), symptoms of obstetric fistulas (4%), and infection (3%). Labor induction (adjusted odds ratio [aOR]: 4.5; 95% confidence interval [CI]: 3.8-5.4; p&lt;0.01) was strongly associated with injury, likely reflecting unmonitored and unskilled use of uterotonics. Other significant risk factors included obstructed labor (aOR: 1.4; 95% CI: 1.1-1.8; p=0.01), while hospital delivery was protective (aOR: 0.6; 95% CI: 0.5-0.7; p&lt;0.01). This study provides a population-based estimate of the burden of birth-related perineal injuries in rural Bangladesh. Urgent, targeted policies promoting facility-based deliveries and skilled supervision during labor induction are crucial to reducing these preventable injuries in rural Bangladesh and similar low-resource settings globally.</w:t>
      </w:r>
    </w:p>
    <w:p w14:paraId="0D5DE677"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25-A-3692-ASTMH</w:t>
      </w:r>
    </w:p>
    <w:p w14:paraId="665F0FF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67F43B10"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Strengthening Epidemic Intelligence Through Mortality Surveillance: Lessons from Uganda’s 2025 Ebola Outbreak Response</w:t>
      </w:r>
    </w:p>
    <w:p w14:paraId="1F8AC7D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On January 30, 2025, Uganda confirmed an outbreak of Sudan Ebola Virus Disease (SVD), with the index case identified posthumously through mortality surveillance. This case marked a turning point in Uganda’s surveillance strategy, emphasizing the importance of real-time tracking of non-trauma deaths to detect silent transmission chains. Furthermore, on February 27th, 2025, a new case of Ebola was registered from postmortem samples obtained on February 25th, 2025. We implemented mortality surveillance (MS) across high-risk districts, targeting all non-trauma deaths in both community and health facility settings. Data collected included demographic information, location, cause of death, and laboratory confirmation of SVD. We used chi-square tests and one-way ANOVA to determine associations between mortality trends and geographical or facility-level variables. Between January </w:t>
      </w:r>
      <w:r w:rsidRPr="00AF28B8">
        <w:rPr>
          <w:rFonts w:ascii="Calibri" w:hAnsi="Calibri" w:cs="Calibri"/>
          <w:color w:val="000000"/>
          <w:sz w:val="22"/>
          <w:szCs w:val="22"/>
        </w:rPr>
        <w:lastRenderedPageBreak/>
        <w:t>through March 2025, a total of 1,048 non-trauma deaths were reported through active mortality surveillance (MS). Of these, 726 (69.3%) were from health facilities and 322 (30.7%) were from community settings. Notably, only 14% of community deaths were reported within 24 hours, compared to 89% of facility deaths (χ² = 158.7, p&lt;0.001), highlighting a significant reporting gap. Additionally, two confirmed Ebola cases were identified, which revealed the main chains of transmission. There was a significant difference in the mean turnaround time for Ebola test results across districts (F (4, 120) =6.41, p=0.0002), with rural areas facing longer delays. Additionally, detection rates were higher in districts with a functional mortuary infrastructure and trained morticians (p&lt;0.05). Active mortality surveillance during the 2025 Ebola outbreak enabled early detection of otherwise missed cases, improved response time, and identified hotspots for targeted intervention. Findings underscore the need for community sensitization, mortuary infrastructure, and trained health workers. Integrating mortality surveillance into routine systems is vital for epidemic preparedness, response, and strengthening national vital statistics and public health planning.</w:t>
      </w:r>
    </w:p>
    <w:p w14:paraId="2A20E2E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25-A-3693-ASTMH</w:t>
      </w:r>
    </w:p>
    <w:p w14:paraId="4AACF44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682360F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Co-Creation of Community-Driven Strategies to Enhance Uptake of the Four-Dose Malaria Vaccine in Kongo Central, DRC: A Participatory Approach Informed by KAP Survey Findings</w:t>
      </w:r>
    </w:p>
    <w:p w14:paraId="304CC20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 part of the malaria vaccine introduction in the Democratic Republic of Congo, a Knowledge, Attitudes, and Practices (KAP) survey in Kongo Central conducted prior to the malaria vaccine introduction, identified major barriers to vaccine uptake, including low awareness, mistrust, and communication gaps. In response, a participatory engagement process was developed through a co-creation process to identify and activate trusted community-based actors outside the formal health system and partnership. This approach was implemented through a series of sub-provincial workshops organized by the Provincial Health Division with technical support from PATH. A five-step methodology guided the process: (1) stakeholder mapping of community influencers; (2) participatory analysis of behavioral and structural barriers to uptake; (3) prioritization of actors based on relevance and reach; (4) co-creation design of context-specific communication activities; and (5) formal commitment through signed engagement agreements. This process will now be monitored to measure progress made and adjust to a regular basis. Workshops brought together over 100 representatives from schools, faith groups, local media, women’s and youth associations, and traditional leadership. Participants co-developed communication and mobilization strategies tailored to local dynamics, addressing the complexity of the four-dose vaccination schedule. Proposed actions included school-based parent engagement, radio broadcasts, community dialogues, and integration of vaccine messages into religious and cultural events. Coordination frameworks were established to monitor and align implementation with provincial health objectives. This process successfully leveraged community structures to overcome social barriers to malaria vaccine uptake and fostered shared ownership of health promotion goals. Its structured, evidence-informed design offers a scalable model for strengthening demand generation in complex, resource-limited settings.</w:t>
      </w:r>
    </w:p>
    <w:p w14:paraId="0BBC1A2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25-A-3694-ASTMH</w:t>
      </w:r>
    </w:p>
    <w:p w14:paraId="4A44FA7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53490044"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Anemia and COVID-19 among Pregnant Women at first contact clinic visit in rural and urban Kenya: Antennal, Intrapartum and Postnatal Care COVID-19 Surveillance (ANCOV) Study, 2020-2022</w:t>
      </w:r>
    </w:p>
    <w:p w14:paraId="329C1F8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Anemia and COVID-19 during pregnancy can impair oxygen delivery to the mother and fetus. We examined anemia prevalence, risk factors, and its interaction with COVID-19 among singleton pregnant women at first clinic contact for antenatal clinic (ANC) services in rural and urban Kenya. We used data from the ANCOV study, a longitudinal surveillance mandated to monitor pregnancy outcomes and COVID-19 among pregnant women in two Health and Demographic Surveillance Systems sites: rural Karemo (Siaya) and urban Manyatta (Kisumu) in Western Kenya. Singleton pregnancies were detected </w:t>
      </w:r>
      <w:r w:rsidRPr="00AF28B8">
        <w:rPr>
          <w:rFonts w:ascii="Calibri" w:hAnsi="Calibri" w:cs="Calibri"/>
          <w:color w:val="000000"/>
          <w:sz w:val="22"/>
          <w:szCs w:val="22"/>
        </w:rPr>
        <w:lastRenderedPageBreak/>
        <w:t>by obstetric scanner with portable ultrasound as women received standard antenatal care. Anemia was defined as hemoglobin (Hb) &lt;11 g/dL, and further classified as mild (Hb 9-10), moderate (Hb 7-8), or severe (Hb &lt;7)) and SARS-CoV-2 detection was by RT-PCR. We used multivariable model, adjusting for age and residency to identify factors associated with anemia at first ANC contact. Between August 11, 2020 and October 07, 2022, ANCOV recorded 5,757 ANC visits from women with singleton pregnancies; 1,265 (22.0%) rural and 4,483 (78.0%) urban. The median participant age was 25.8 [IQR: 22.5-30.1] years. The prevalence of COVID-19 was similar among women with (441/2,191 (20.1%)) and without anemia (701/3,566 (19.7%)), </w:t>
      </w:r>
      <w:r w:rsidRPr="00AF28B8">
        <w:rPr>
          <w:rFonts w:ascii="Calibri" w:hAnsi="Calibri" w:cs="Calibri"/>
          <w:i/>
          <w:iCs/>
          <w:color w:val="000000"/>
          <w:sz w:val="22"/>
          <w:szCs w:val="22"/>
        </w:rPr>
        <w:t>p</w:t>
      </w:r>
      <w:r w:rsidRPr="00AF28B8">
        <w:rPr>
          <w:rFonts w:ascii="Calibri" w:hAnsi="Calibri" w:cs="Calibri"/>
          <w:color w:val="000000"/>
          <w:sz w:val="22"/>
          <w:szCs w:val="22"/>
        </w:rPr>
        <w:t>=0.66. At first ANC contact, any anemia was present in 179/505 (35.5%); 102 (20.2%) mild, 74 (14.7%) moderate, and 3 (0.6%) were severe. Compared with pregnant women without anemia, those who had anemia were more likely to be younger &lt;20 years adjusted odds ratio [aOR]= 11.10, 95% confidence interval [95%CI] 3.57-34.55; 20-24 years aOR=6.46, 95%CI 2.46-17.00; 25-34 years aOR=7.10, 95%CI 2.82-17.84), to have had ≥5 live births (aOR=16.47, 95%CI 3.74-72.52), to live in households with ≥5 individuals (aOR=1.81, 95%CI 1.17-2.82), and to have malaria (aOR=2.42, 95%CI 1.01-5.81). Young women &lt;24 years, those infected with malaria and have had ≥5 live births were more likely to present with anemia. Although COVID-19 did not influence anemia, our findings highlight the need for early detection and treatment of anemia and malaria at first ANC contact in this setting.</w:t>
      </w:r>
    </w:p>
    <w:p w14:paraId="2A7223F5"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25-A-3695-ASTMH</w:t>
      </w:r>
    </w:p>
    <w:p w14:paraId="77DA4465"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B7EC118"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Implementation of perennial malaria chemoprevention in Cameroon: coverage, equity of coverage and change in coverage of co-interventions</w:t>
      </w:r>
    </w:p>
    <w:p w14:paraId="18C26680"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Perennial malaria chemoprevention (PMC) is a WHO-recommended strategy to reduce the malaria burden in children under two years of age in areas with moderate to high year-round transmission. In 2022, Cameroon began implementing 5 dose PMC in some districts as part of the national programme, co-delivered with routine child health contacts including Expanded Programme on Immunisation (EPI) vaccinations and Vitamin A supplementation. In 2023, the Plus Project began implementing an 8 dose PMC model in six additional districts where PMC was not currently being implemented. This study is a pre-post implementation evaluation designed to assess PMC coverage, equity of coverage across household socio-economic quintiles, and associations between PMC and changes in coverage of the co-interventions. Data are drawn from cross-sectional household surveys conducted in two districts in Cameroon’s Central Region—Obala and Ntui—in May/June 2023 (pre-implementation) and April/May 2025 (post-implementation). The primary outcome is the proportion of children who received the age-eligible number of valid (written in child health cards) doses expected. Secondary outcomes include receipt of individual PMC doses, and uptake of co-delivered interventions irrespective of age. Wealth-related equity is assessed using coverage estimates across socio-economic quintiles and corresponding concentration indices. Preliminary results from the pre-implementation survey suggest challenges related to contact points during the 2</w:t>
      </w:r>
      <w:r w:rsidRPr="00AF28B8">
        <w:rPr>
          <w:rFonts w:ascii="Calibri" w:hAnsi="Calibri" w:cs="Calibri"/>
          <w:color w:val="000000"/>
          <w:sz w:val="22"/>
          <w:szCs w:val="22"/>
          <w:vertAlign w:val="superscript"/>
        </w:rPr>
        <w:t>nd</w:t>
      </w:r>
      <w:r w:rsidRPr="00AF28B8">
        <w:rPr>
          <w:rFonts w:ascii="Calibri" w:hAnsi="Calibri" w:cs="Calibri"/>
          <w:color w:val="000000"/>
          <w:sz w:val="22"/>
          <w:szCs w:val="22"/>
        </w:rPr>
        <w:t> year of life, particularly those using vitamin A, which is often distributed during campaigns in the community (PMC is not currently delivered during campaigns). Post-implementation data will provide insights into whether integration of PMC into routine channels can achieve both high and equitable coverage. Study findings will inform national malaria programme decisions in Cameroon and contribute to regional policy development for PMC scale-up.</w:t>
      </w:r>
    </w:p>
    <w:p w14:paraId="74E2F97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25-A-3696-ASTMH</w:t>
      </w:r>
    </w:p>
    <w:p w14:paraId="428A2B11"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and Genetics of Insecticide Resistance</w:t>
      </w:r>
    </w:p>
    <w:p w14:paraId="49A3125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Evolution of Insecticide Resistance in </w:t>
      </w:r>
      <w:r w:rsidRPr="00AF28B8">
        <w:rPr>
          <w:rFonts w:ascii="Calibri" w:hAnsi="Calibri" w:cs="Calibri"/>
          <w:i/>
          <w:iCs/>
          <w:color w:val="000000"/>
          <w:sz w:val="22"/>
          <w:szCs w:val="22"/>
        </w:rPr>
        <w:t>Aedes albopictus</w:t>
      </w:r>
      <w:r w:rsidRPr="00AF28B8">
        <w:rPr>
          <w:rFonts w:ascii="Calibri" w:hAnsi="Calibri" w:cs="Calibri"/>
          <w:color w:val="000000"/>
          <w:sz w:val="22"/>
          <w:szCs w:val="22"/>
        </w:rPr>
        <w:t>: the Role of Social, Ecological, and Economic Drivers</w:t>
      </w:r>
    </w:p>
    <w:p w14:paraId="1003E51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Chemical insecticides remain a critical, front-line approach for the control of arthropod vectors and pests in spite of rapid evolution of resistance. The speed and spatial pattern of resistance evolution is determined by exposure, which is driven by a combination of social (knowledge of chemical control and social acceptability), ecological (abundance and behavior of vectors), and economic (availability of </w:t>
      </w:r>
      <w:r w:rsidRPr="00AF28B8">
        <w:rPr>
          <w:rFonts w:ascii="Calibri" w:hAnsi="Calibri" w:cs="Calibri"/>
          <w:color w:val="000000"/>
          <w:sz w:val="22"/>
          <w:szCs w:val="22"/>
        </w:rPr>
        <w:lastRenderedPageBreak/>
        <w:t>chemical control and choice to use it). Here, we tested the hypothesis that social, economic, and ecological factors drive the evolution of resistance of </w:t>
      </w:r>
      <w:r w:rsidRPr="00AF28B8">
        <w:rPr>
          <w:rFonts w:ascii="Calibri" w:hAnsi="Calibri" w:cs="Calibri"/>
          <w:i/>
          <w:iCs/>
          <w:color w:val="000000"/>
          <w:sz w:val="22"/>
          <w:szCs w:val="22"/>
        </w:rPr>
        <w:t>Aedes albopictus </w:t>
      </w:r>
      <w:r w:rsidRPr="00AF28B8">
        <w:rPr>
          <w:rFonts w:ascii="Calibri" w:hAnsi="Calibri" w:cs="Calibri"/>
          <w:color w:val="000000"/>
          <w:sz w:val="22"/>
          <w:szCs w:val="22"/>
        </w:rPr>
        <w:t>to pyrethroid insecticides. Using randomly selected households, we measured home value, home age, mosquito abundance, and prevalence of kdr alleles in Wake County, North Carolina, USA. Supporting our hypotheses, we found that wealthier households have a significantly higher prevalence of resistance alleles, as do older houses. Our findings are robust even after accounting for spatial autocorrelation in the data. We are continuing to examine how human economic, market choices interact with ecological and social factors to drive these patterns, with implications for the evolution of insecticide resistance in vectors when control is focused at the household level globally.</w:t>
      </w:r>
    </w:p>
    <w:p w14:paraId="0079118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25-A-3697-ASTMH</w:t>
      </w:r>
    </w:p>
    <w:p w14:paraId="3FA338C5"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73C5C2A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Nationwide mapping of Plasmodium falciparum subpatent infections across varying transmission intensities in Mainland Tanzania</w:t>
      </w:r>
    </w:p>
    <w:p w14:paraId="04C91A8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Subpatent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infections below the limit of detection of current diagnostic methods (rapid diagnostic tests (RDTs) and microscopy) can potentially contribute to infectious reservoirs that sustain transmission and cause failure of ongoing elimination strategies. This study was conducted to map the prevalence of and risk factors associated with subpatent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infections in 26 regions of mainland Tanzania with varying malaria transmission intensities. The study used 2,178 samples randomly selected from 8,498 RDT-negative dried blood spot (DBS) samples collected in 2023 at 86 health facilities in 26 regions of Mainland Tanzania. Parasite DNA was extracted from DBS using Tween-chelex and </w:t>
      </w:r>
      <w:r w:rsidRPr="00AF28B8">
        <w:rPr>
          <w:rFonts w:ascii="Calibri" w:hAnsi="Calibri" w:cs="Calibri"/>
          <w:i/>
          <w:iCs/>
          <w:color w:val="000000"/>
          <w:sz w:val="22"/>
          <w:szCs w:val="22"/>
        </w:rPr>
        <w:t>Pf18S</w:t>
      </w:r>
      <w:r w:rsidRPr="00AF28B8">
        <w:rPr>
          <w:rFonts w:ascii="Calibri" w:hAnsi="Calibri" w:cs="Calibri"/>
          <w:color w:val="000000"/>
          <w:sz w:val="22"/>
          <w:szCs w:val="22"/>
        </w:rPr>
        <w:t> gene was amplified by qPCR. A generalized linear model was used to determine risk factors associated with subpatent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infections. Overall, 107 samples (4.9%) were positive by qPCR, with the regional positivity ranging from 0 to 12.5%. Patients from regions with very low transmission intensities had the lowest subpatent positivity rates compared to low, moderate and high transmission intensities (OR=0.2, 95% CI 0.09-0.06; p = 0.003). Compared to the regions with very low transmission intensities, the odds of subpatent infections were higher in regions with low (OR=3.49, 95% CI 1.32 - 9.21; p = 0.012) and high transmission (OR = 4.14, 95% CI 1.63 - 10.51; p =0.003). Age, sex, and fever status did not significantly affect the risk of subpatent infections. The findings show a low prevalence of subpatent</w:t>
      </w:r>
      <w:r w:rsidRPr="00AF28B8">
        <w:rPr>
          <w:rFonts w:ascii="Calibri" w:hAnsi="Calibri" w:cs="Calibri"/>
          <w:i/>
          <w:iCs/>
          <w:color w:val="000000"/>
          <w:sz w:val="22"/>
          <w:szCs w:val="22"/>
        </w:rPr>
        <w:t> </w:t>
      </w:r>
      <w:r w:rsidRPr="00AF28B8">
        <w:rPr>
          <w:rFonts w:ascii="Calibri" w:hAnsi="Calibri" w:cs="Calibri"/>
          <w:color w:val="000000"/>
          <w:sz w:val="22"/>
          <w:szCs w:val="22"/>
        </w:rPr>
        <w:t>infections in 26 regions of Tanzania but wide variations and a reduced risk of such infections in regions with very low transmission intensities which are currently targeted for malaria elimination. However, more sensitive detection methods may be needed to identify carriers of subpatent infections and to effectively guide targeted intervention strategies to support malaria elimination by 2030.</w:t>
      </w:r>
    </w:p>
    <w:p w14:paraId="320B2D6B"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25-A-3698-ASTMH</w:t>
      </w:r>
    </w:p>
    <w:p w14:paraId="71DA3830"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5BAA6CD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Monitoring population migration, a last mile challenge to 2030 elimination target, in onchocerciasis high-risk and hotspot areas of Southern Nigeria</w:t>
      </w:r>
    </w:p>
    <w:p w14:paraId="341F5BFD"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Population movement into onchocerciasis endemic and formerly endemic areas in the last few years has raised concerns about the potential risk of introduced parasites contributing to autochthonous transmission, particularly in areas where transmission was thought to be interrupted and MDA stopped. Monitoring and treating these populations have been difficult, prolonging the need for interventions and slowing progress towards elimination. Through active village searching, mobile phones with ODK Collect were used to identify and register all mobile groups in Ebonyi, Enugu and Edo States. Meetings were held with group leaders to understand migration dynamics. A total of 36,249 people from 338 mobile groups in 225 villages or camps were found and registered. Of these, 36,261 (89%) reported farming, 2,899 (8%) reported pastoral nomadism and 1,087 (3%) reported commercial trading as their major occupations and were attracted to these areas due to perennial flow of rivers, fertile lands for agriculture and available pasture for grazing. The majority (31,537, 87%) were adult males, and 32,624 </w:t>
      </w:r>
      <w:r w:rsidRPr="00AF28B8">
        <w:rPr>
          <w:rFonts w:ascii="Calibri" w:hAnsi="Calibri" w:cs="Calibri"/>
          <w:color w:val="000000"/>
          <w:sz w:val="22"/>
          <w:szCs w:val="22"/>
        </w:rPr>
        <w:lastRenderedPageBreak/>
        <w:t>(90%) have lived in the areas for 3 to 6 years while some enter 2 to 4 times annually. Notably, 30,812 (85%) came from Benue, Cross River, Kogi and Ebonyi, states that have repeatedly failed onchocerciasis stop-MDA assessments. Two thirds (24,287, 67%) were aware of onchocerciasis but only 14,862 (41%) participated in the last two rounds of MDA in their place of origin before travel. In view of the large-scale migratory pattern observed and the risk of parasite reintroduction, these findings underscore the need to foster cross border collaboration and implement interventions that are inclusive and accessible to all, including entomological monitoring to assess if local transmission is occurring. We plan to use this robust mobile population registration to improve MDA coverage among all groups, and to help accelerate progress towards elimination by 2030.</w:t>
      </w:r>
    </w:p>
    <w:p w14:paraId="3218BC7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25-A-3699-ASTMH</w:t>
      </w:r>
    </w:p>
    <w:p w14:paraId="7A0427D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0C78EC1A" w14:textId="7F7D18BB"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Building and Scaling a Comprehensive Electronic Health and Demographic Surveillance System for CHAMPS Across Multiple Sites</w:t>
      </w:r>
    </w:p>
    <w:p w14:paraId="16064D22"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Health and demographic surveillance systems (HDSS) provide a robust framework for community-based research by delivering a reliable population denominator. However, existing open-source platforms used across HDSS sites have presented persistent limitations, including difficulty linking databases, handling duplicates, enforcing consistency, editing uploaded data, and synchronizing between server and tablets. These issues affect data quality and scalability in low-resource settings. As part of the Child Health and Mortality Prevention Surveillance (CHAMPS) initiative, HDSS has been implemented in 16 sites across 9 countries. Many of the sites struggled with currently available applications for data capture and management and our assessments guided the design of a new, standardized Android-based data capture system to streamline processes and improve data quality. The data capture system was developed to overcome key limitations, including improving quality, enabling standardization, and integrating with Pregnancy Surveillance, Mortality Surveillance, and Verbal Autopsy systems. The data capture system is user-centric, customizable, and supports offline data capture, password protection, robust validation rules, GPS capture, audit trails, color-coded statuses, photo capture, and team-based data exchange. Features include editing, cleaning, real-time dashboards, and automatic updates. Data security is ensured through local storage, sync tracking, and scheduled SQL Server backups. Technologies used include .NET, C#, JavaScript, Android Native, Java, SQLite, and SQL Server 2019. To ensure site sustainability and self-reliance, the source code was shared with CHAMPS sites, and training on data capture system customization was provided. The new data capture system strengthens data efficiency, accessibility, and real-time monitoring, positioning it as a robust and scalable solution for large-scale demographic surveillance. Organizations interested in implementing the system can request access via CHAMPS or its development partners.</w:t>
      </w:r>
    </w:p>
    <w:p w14:paraId="0AC9C0DC"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25-A-3701-ASTMH</w:t>
      </w:r>
    </w:p>
    <w:p w14:paraId="78F8718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Genomics, Proteomics and Metabolomics, Molecular Therapeutic Targets (Including Leishmania and Trypanosomes)</w:t>
      </w:r>
    </w:p>
    <w:p w14:paraId="6E28AF1F"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New foci of cutaneous leishmaniasis in terrorism refugee camps in the Centre West of Burkina Faso: preliminary results</w:t>
      </w:r>
    </w:p>
    <w:p w14:paraId="29D318FF"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Burkina Faso, during the two past decades the leishmaniasis disease was frequently notified in different regions of the country. The major outbreaks of cutaneous leishmaniosis (CL) emerged in Ouagadougou the capital city towards the 2000yr with high incidence followed recently in 2013 by a second but locally circumscribed in Larama, a rural village around Bobo-Dioulasso. Recently in 2021 some few cases of canine leishmaniasis (CanL) had been reported in peripheral district of Bobo-Dioulasso. Either for CL or CanL, </w:t>
      </w:r>
      <w:r w:rsidRPr="00AF28B8">
        <w:rPr>
          <w:rFonts w:ascii="Calibri" w:hAnsi="Calibri" w:cs="Calibri"/>
          <w:i/>
          <w:iCs/>
          <w:color w:val="000000"/>
          <w:sz w:val="22"/>
          <w:szCs w:val="22"/>
        </w:rPr>
        <w:t>Leishmania major</w:t>
      </w:r>
      <w:r w:rsidRPr="00AF28B8">
        <w:rPr>
          <w:rFonts w:ascii="Calibri" w:hAnsi="Calibri" w:cs="Calibri"/>
          <w:color w:val="000000"/>
          <w:sz w:val="22"/>
          <w:szCs w:val="22"/>
        </w:rPr>
        <w:t xml:space="preserve"> was the main parasite being incriminated. More recently in November 2024, a new outbreak of CL has been notified in a terrorism refugee camp in the Boucle of Mouhoun, region formerly free of leishmaniasis. To understand the itinerary of the outbreak, we realised cross-sectional parasitological and entomological surveys that allowed to collect vectors and </w:t>
      </w:r>
      <w:r w:rsidRPr="00AF28B8">
        <w:rPr>
          <w:rFonts w:ascii="Calibri" w:hAnsi="Calibri" w:cs="Calibri"/>
          <w:color w:val="000000"/>
          <w:sz w:val="22"/>
          <w:szCs w:val="22"/>
        </w:rPr>
        <w:lastRenderedPageBreak/>
        <w:t>human blood and lesion skin scraping. The skin samples were stained and observed in microscopy for a direct detection of the </w:t>
      </w:r>
      <w:r w:rsidRPr="00AF28B8">
        <w:rPr>
          <w:rFonts w:ascii="Calibri" w:hAnsi="Calibri" w:cs="Calibri"/>
          <w:i/>
          <w:iCs/>
          <w:color w:val="000000"/>
          <w:sz w:val="22"/>
          <w:szCs w:val="22"/>
        </w:rPr>
        <w:t>Leishmania</w:t>
      </w:r>
      <w:r w:rsidRPr="00AF28B8">
        <w:rPr>
          <w:rFonts w:ascii="Calibri" w:hAnsi="Calibri" w:cs="Calibri"/>
          <w:color w:val="000000"/>
          <w:sz w:val="22"/>
          <w:szCs w:val="22"/>
        </w:rPr>
        <w:t> parasite and then analysed by PCR for species detection and identification</w:t>
      </w:r>
      <w:r w:rsidRPr="00AF28B8">
        <w:rPr>
          <w:rFonts w:ascii="Calibri" w:hAnsi="Calibri" w:cs="Calibri"/>
          <w:b/>
          <w:bCs/>
          <w:color w:val="000000"/>
          <w:sz w:val="22"/>
          <w:szCs w:val="22"/>
        </w:rPr>
        <w:t>. </w:t>
      </w:r>
      <w:r w:rsidRPr="00AF28B8">
        <w:rPr>
          <w:rFonts w:ascii="Calibri" w:hAnsi="Calibri" w:cs="Calibri"/>
          <w:color w:val="000000"/>
          <w:sz w:val="22"/>
          <w:szCs w:val="22"/>
        </w:rPr>
        <w:t>A total of 23 patients have been sampled for lesion skin from which a subsample of 10 fresh lesion scraping specimens have been observed directly under microscopy and then analysed in PCR. No </w:t>
      </w:r>
      <w:r w:rsidRPr="00AF28B8">
        <w:rPr>
          <w:rFonts w:ascii="Calibri" w:hAnsi="Calibri" w:cs="Calibri"/>
          <w:i/>
          <w:iCs/>
          <w:color w:val="000000"/>
          <w:sz w:val="22"/>
          <w:szCs w:val="22"/>
        </w:rPr>
        <w:t>Leishmania</w:t>
      </w:r>
      <w:r w:rsidRPr="00AF28B8">
        <w:rPr>
          <w:rFonts w:ascii="Calibri" w:hAnsi="Calibri" w:cs="Calibri"/>
          <w:color w:val="000000"/>
          <w:sz w:val="22"/>
          <w:szCs w:val="22"/>
        </w:rPr>
        <w:t> cell was confirmed in microscopy but the molecular analysis detected formally nine of the 10 specimens as </w:t>
      </w:r>
      <w:r w:rsidRPr="00AF28B8">
        <w:rPr>
          <w:rFonts w:ascii="Calibri" w:hAnsi="Calibri" w:cs="Calibri"/>
          <w:i/>
          <w:iCs/>
          <w:color w:val="000000"/>
          <w:sz w:val="22"/>
          <w:szCs w:val="22"/>
        </w:rPr>
        <w:t>Leishmania major </w:t>
      </w:r>
      <w:r w:rsidRPr="00AF28B8">
        <w:rPr>
          <w:rFonts w:ascii="Calibri" w:hAnsi="Calibri" w:cs="Calibri"/>
          <w:color w:val="000000"/>
          <w:sz w:val="22"/>
          <w:szCs w:val="22"/>
        </w:rPr>
        <w:t>with one undetermined specimen. A total of 40 sandflies specimens are still processing for species identification using morphological keys. The infection status to </w:t>
      </w:r>
      <w:r w:rsidRPr="00AF28B8">
        <w:rPr>
          <w:rFonts w:ascii="Calibri" w:hAnsi="Calibri" w:cs="Calibri"/>
          <w:i/>
          <w:iCs/>
          <w:color w:val="000000"/>
          <w:sz w:val="22"/>
          <w:szCs w:val="22"/>
        </w:rPr>
        <w:t>Leishmania</w:t>
      </w:r>
      <w:r w:rsidRPr="00AF28B8">
        <w:rPr>
          <w:rFonts w:ascii="Calibri" w:hAnsi="Calibri" w:cs="Calibri"/>
          <w:color w:val="000000"/>
          <w:sz w:val="22"/>
          <w:szCs w:val="22"/>
        </w:rPr>
        <w:t> parasites from vectors and blood samples is also still performing by qPCR. Even considered as preliminary data, our results confirmed the outbreak and asked for deep investigations for the disease prevalence and control measures in such vast hard to reach areas without any formal heath care system in place.</w:t>
      </w:r>
    </w:p>
    <w:p w14:paraId="2272B54C"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25-A-3702-ASTMH</w:t>
      </w:r>
    </w:p>
    <w:p w14:paraId="25A1E31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4E9222A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Genomic Characterization and Anti-Microbial Resistance Profiling of Environmental and Clinical </w:t>
      </w:r>
      <w:r w:rsidRPr="00AF28B8">
        <w:rPr>
          <w:rFonts w:ascii="Calibri" w:hAnsi="Calibri" w:cs="Calibri"/>
          <w:b/>
          <w:bCs/>
          <w:i/>
          <w:iCs/>
          <w:color w:val="000000"/>
          <w:sz w:val="22"/>
          <w:szCs w:val="22"/>
        </w:rPr>
        <w:t>Vibrio cholerae S</w:t>
      </w:r>
      <w:r w:rsidRPr="00AF28B8">
        <w:rPr>
          <w:rFonts w:ascii="Calibri" w:hAnsi="Calibri" w:cs="Calibri"/>
          <w:b/>
          <w:bCs/>
          <w:color w:val="000000"/>
          <w:sz w:val="22"/>
          <w:szCs w:val="22"/>
        </w:rPr>
        <w:t>trains, Isolated from Karachi</w:t>
      </w:r>
    </w:p>
    <w:p w14:paraId="5748421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Objective </w:t>
      </w:r>
      <w:r w:rsidRPr="00AF28B8">
        <w:rPr>
          <w:rFonts w:ascii="Calibri" w:hAnsi="Calibri" w:cs="Calibri"/>
          <w:color w:val="000000"/>
          <w:sz w:val="22"/>
          <w:szCs w:val="22"/>
        </w:rPr>
        <w:t>Annually 1.3 to 4 million people suffer from cholera worldwide. Recently, environmental surveillance has been replacing traditional surveillance but for cholera, it could be challenging as the causative bacterium naturally inhabit fresh and brackish water. This study aims for the genomic characterization of clinical and environmental </w:t>
      </w:r>
      <w:r w:rsidRPr="00AF28B8">
        <w:rPr>
          <w:rFonts w:ascii="Calibri" w:hAnsi="Calibri" w:cs="Calibri"/>
          <w:i/>
          <w:iCs/>
          <w:color w:val="000000"/>
          <w:sz w:val="22"/>
          <w:szCs w:val="22"/>
        </w:rPr>
        <w:t>V. cholerae </w:t>
      </w:r>
      <w:r w:rsidRPr="00AF28B8">
        <w:rPr>
          <w:rFonts w:ascii="Calibri" w:hAnsi="Calibri" w:cs="Calibri"/>
          <w:color w:val="000000"/>
          <w:sz w:val="22"/>
          <w:szCs w:val="22"/>
        </w:rPr>
        <w:t>strains using PCRs and whole genome sequencing (WGS) to analyze the clinically significant strains. </w:t>
      </w:r>
      <w:r w:rsidRPr="00AF28B8">
        <w:rPr>
          <w:rFonts w:ascii="Calibri" w:hAnsi="Calibri" w:cs="Calibri"/>
          <w:b/>
          <w:bCs/>
          <w:color w:val="000000"/>
          <w:sz w:val="22"/>
          <w:szCs w:val="22"/>
        </w:rPr>
        <w:t>Materials and Methods</w:t>
      </w:r>
      <w:r w:rsidRPr="00AF28B8">
        <w:rPr>
          <w:rFonts w:ascii="Calibri" w:hAnsi="Calibri" w:cs="Calibri"/>
          <w:color w:val="000000"/>
          <w:sz w:val="22"/>
          <w:szCs w:val="22"/>
        </w:rPr>
        <w:t> </w:t>
      </w:r>
      <w:r w:rsidRPr="00AF28B8">
        <w:rPr>
          <w:rFonts w:ascii="Calibri" w:hAnsi="Calibri" w:cs="Calibri"/>
          <w:i/>
          <w:iCs/>
          <w:color w:val="000000"/>
          <w:sz w:val="22"/>
          <w:szCs w:val="22"/>
        </w:rPr>
        <w:t>V. cholerae</w:t>
      </w:r>
      <w:r w:rsidRPr="00AF28B8">
        <w:rPr>
          <w:rFonts w:ascii="Calibri" w:hAnsi="Calibri" w:cs="Calibri"/>
          <w:color w:val="000000"/>
          <w:sz w:val="22"/>
          <w:szCs w:val="22"/>
        </w:rPr>
        <w:t> strains from suspected cholera patients (n=14) and sewage samples (n=88) were isolated. These strains were subjected to real-time and conventional PCR assays. Whole genome sequencing was then performed using Illumina Miseq, followed by bioinformatic analysis for taxonomic classification, MLST, AMR profile, phage identification, toxin genes, virulence factor, plasmid screening and phylogeny. </w:t>
      </w:r>
      <w:r w:rsidRPr="00AF28B8">
        <w:rPr>
          <w:rFonts w:ascii="Calibri" w:hAnsi="Calibri" w:cs="Calibri"/>
          <w:b/>
          <w:bCs/>
          <w:color w:val="000000"/>
          <w:sz w:val="22"/>
          <w:szCs w:val="22"/>
        </w:rPr>
        <w:t>Results</w:t>
      </w:r>
      <w:r w:rsidRPr="00AF28B8">
        <w:rPr>
          <w:rFonts w:ascii="Calibri" w:hAnsi="Calibri" w:cs="Calibri"/>
          <w:color w:val="000000"/>
          <w:sz w:val="22"/>
          <w:szCs w:val="22"/>
        </w:rPr>
        <w:t> All the clinical isolates were typed as O1, </w:t>
      </w:r>
      <w:r w:rsidRPr="00AF28B8">
        <w:rPr>
          <w:rFonts w:ascii="Calibri" w:hAnsi="Calibri" w:cs="Calibri"/>
          <w:i/>
          <w:iCs/>
          <w:color w:val="000000"/>
          <w:sz w:val="22"/>
          <w:szCs w:val="22"/>
        </w:rPr>
        <w:t>ElTor</w:t>
      </w:r>
      <w:r w:rsidRPr="00AF28B8">
        <w:rPr>
          <w:rFonts w:ascii="Calibri" w:hAnsi="Calibri" w:cs="Calibri"/>
          <w:color w:val="000000"/>
          <w:sz w:val="22"/>
          <w:szCs w:val="22"/>
        </w:rPr>
        <w:t> and have cholera toxin gene present. All the environmental isolates were identified as non-O1/non-O139 </w:t>
      </w:r>
      <w:r w:rsidRPr="00AF28B8">
        <w:rPr>
          <w:rFonts w:ascii="Calibri" w:hAnsi="Calibri" w:cs="Calibri"/>
          <w:i/>
          <w:iCs/>
          <w:color w:val="000000"/>
          <w:sz w:val="22"/>
          <w:szCs w:val="22"/>
        </w:rPr>
        <w:t>V. cholerae, </w:t>
      </w:r>
      <w:r w:rsidRPr="00AF28B8">
        <w:rPr>
          <w:rFonts w:ascii="Calibri" w:hAnsi="Calibri" w:cs="Calibri"/>
          <w:color w:val="000000"/>
          <w:sz w:val="22"/>
          <w:szCs w:val="22"/>
        </w:rPr>
        <w:t>and were negative for </w:t>
      </w:r>
      <w:r w:rsidRPr="00AF28B8">
        <w:rPr>
          <w:rFonts w:ascii="Calibri" w:hAnsi="Calibri" w:cs="Calibri"/>
          <w:i/>
          <w:iCs/>
          <w:color w:val="000000"/>
          <w:sz w:val="22"/>
          <w:szCs w:val="22"/>
        </w:rPr>
        <w:t>ElTor</w:t>
      </w:r>
      <w:r w:rsidRPr="00AF28B8">
        <w:rPr>
          <w:rFonts w:ascii="Calibri" w:hAnsi="Calibri" w:cs="Calibri"/>
          <w:color w:val="000000"/>
          <w:sz w:val="22"/>
          <w:szCs w:val="22"/>
        </w:rPr>
        <w:t>, </w:t>
      </w:r>
      <w:r w:rsidRPr="00AF28B8">
        <w:rPr>
          <w:rFonts w:ascii="Calibri" w:hAnsi="Calibri" w:cs="Calibri"/>
          <w:i/>
          <w:iCs/>
          <w:color w:val="000000"/>
          <w:sz w:val="22"/>
          <w:szCs w:val="22"/>
        </w:rPr>
        <w:t>tcpA</w:t>
      </w:r>
      <w:r w:rsidRPr="00AF28B8">
        <w:rPr>
          <w:rFonts w:ascii="Calibri" w:hAnsi="Calibri" w:cs="Calibri"/>
          <w:color w:val="000000"/>
          <w:sz w:val="22"/>
          <w:szCs w:val="22"/>
        </w:rPr>
        <w:t> and cholera toxin markers. All clinical isolates had similar MLST scheme (69), whereas most of the environmental isolates belonged to novel STs. Surprisingly, environmental isolates showed broad anti-microbial resistance as compared to clinical strains. No known plasmids were identified from any strain. Phylogenetic analysis showed that all of the clinical isolates were grouped in the same clusters, having virulence factor Bioinformatic analysis further confirmed our molecular typing data. </w:t>
      </w:r>
      <w:r w:rsidRPr="00AF28B8">
        <w:rPr>
          <w:rFonts w:ascii="Calibri" w:hAnsi="Calibri" w:cs="Calibri"/>
          <w:b/>
          <w:bCs/>
          <w:color w:val="000000"/>
          <w:sz w:val="22"/>
          <w:szCs w:val="22"/>
        </w:rPr>
        <w:t>Conclusion</w:t>
      </w:r>
      <w:r w:rsidRPr="00AF28B8">
        <w:rPr>
          <w:rFonts w:ascii="Calibri" w:hAnsi="Calibri" w:cs="Calibri"/>
          <w:color w:val="000000"/>
          <w:sz w:val="22"/>
          <w:szCs w:val="22"/>
        </w:rPr>
        <w:t> This study contributed to understanding the epidemiology of </w:t>
      </w:r>
      <w:r w:rsidRPr="00AF28B8">
        <w:rPr>
          <w:rFonts w:ascii="Calibri" w:hAnsi="Calibri" w:cs="Calibri"/>
          <w:i/>
          <w:iCs/>
          <w:color w:val="000000"/>
          <w:sz w:val="22"/>
          <w:szCs w:val="22"/>
        </w:rPr>
        <w:t>V. cholerae</w:t>
      </w:r>
      <w:r w:rsidRPr="00AF28B8">
        <w:rPr>
          <w:rFonts w:ascii="Calibri" w:hAnsi="Calibri" w:cs="Calibri"/>
          <w:color w:val="000000"/>
          <w:sz w:val="22"/>
          <w:szCs w:val="22"/>
        </w:rPr>
        <w:t> in Karachi that ultimately can be applied for control measures and management of the Cholera outbreaks in Pakistan.</w:t>
      </w:r>
    </w:p>
    <w:p w14:paraId="0A1BB1D7"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25-A-3703-ASTMH</w:t>
      </w:r>
    </w:p>
    <w:p w14:paraId="63823DE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168D949F"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Towards a Rapid Diagnostic Test for </w:t>
      </w:r>
      <w:r w:rsidRPr="00AF28B8">
        <w:rPr>
          <w:rFonts w:ascii="Calibri" w:hAnsi="Calibri" w:cs="Calibri"/>
          <w:i/>
          <w:iCs/>
          <w:color w:val="000000"/>
          <w:sz w:val="22"/>
          <w:szCs w:val="22"/>
        </w:rPr>
        <w:t>Opisthorchis viverrini</w:t>
      </w:r>
      <w:r w:rsidRPr="00AF28B8">
        <w:rPr>
          <w:rFonts w:ascii="Calibri" w:hAnsi="Calibri" w:cs="Calibri"/>
          <w:color w:val="000000"/>
          <w:sz w:val="22"/>
          <w:szCs w:val="22"/>
        </w:rPr>
        <w:t>: Development of Peptide-Driven ELISA and Lateral Flow Assays</w:t>
      </w:r>
    </w:p>
    <w:p w14:paraId="508B591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Opisthorchis viverrini (Ov) </w:t>
      </w:r>
      <w:r w:rsidRPr="00AF28B8">
        <w:rPr>
          <w:rFonts w:ascii="Calibri" w:hAnsi="Calibri" w:cs="Calibri"/>
          <w:color w:val="000000"/>
          <w:sz w:val="22"/>
          <w:szCs w:val="22"/>
        </w:rPr>
        <w:t xml:space="preserve">is a liver fluke endemic to Southeast Asia which is classified as a Group 1 carcinogen by the International Agency for Research on Cancer due to its role in causing highly lethal cholangiocarcinoma. There is currently no commercial, validated diagnostic test available for Ov infection. To address this gap, we have developed serological ELISA and Lateral Flow (LF) assays to aid in diagnosis of Ov infection. Through bioinformatic and literature-based analyses, we identified 42 candidate Ov antigens. A high-density peptide microarray was constructed comprising overlapping 15mer peptides derived from these antigens. Sera from Ov-positive individuals defined by parasitological methods along with controls were screened on the microarray to identify immunoreactive epitopes. Based on microarray reactivity, candidate peptides were evaluated in both ELISA and LF formats. To validate these candidate antigens, we obtained serum samples from individuals with Ov infection confirmed by gold-standard stool microscopy. These samples were collected through a </w:t>
      </w:r>
      <w:r w:rsidRPr="00AF28B8">
        <w:rPr>
          <w:rFonts w:ascii="Calibri" w:hAnsi="Calibri" w:cs="Calibri"/>
          <w:color w:val="000000"/>
          <w:sz w:val="22"/>
          <w:szCs w:val="22"/>
        </w:rPr>
        <w:lastRenderedPageBreak/>
        <w:t>prospective study carried out in Ov endemic regions of Thailand, in which 500 participants provided matched stool and serum samples. Ov-positive cases were identified using both direct smear and stool concentration (PARASEP®) methods, yielding 12 positive cases. An ELISA was developed using the lead candidate peptide identified by microarray screening, which demonstrated 97% specificity (216/223) and 58% sensitivity, detecting 7 out of the 12 confirmed positives. A lateral flow assay using the same peptide yielded 91.6% sensitivity, detecting 11 out of the 12 positive cases, with 88.4% (23/26) specificity. The apparent differences in performance between assays may be partly attributable to different detection thresholds and readout systems, as well as the relatively small number of samples tested. In summary, these results demonstrate the feasibility of a peptide-based serodiagnostic assay for Ov infection and represent a major step towards the first in vitro diagnostic test for Ov, adaptable to both laboratory and point-of-care, field friendly settings.</w:t>
      </w:r>
    </w:p>
    <w:p w14:paraId="0CE5FCE9"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25-A-3704-ASTMH</w:t>
      </w:r>
    </w:p>
    <w:p w14:paraId="6E242E8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7D1A514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Rethinking Seasonal Malaria Chemoprevention (SMC: Impact of Strategy Shifts on Childhood Malaria in North and Far North regions of Cameroon</w:t>
      </w:r>
    </w:p>
    <w:p w14:paraId="75ADE9D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Since 2016, Cameroon's Ministry of Public Health, supported by its partners, has been implementing seasonal malaria chemoprevention (SMC) campaigns in the North and Far North Regions. In 2023, a chronological analysis of malaria cases associated with rainfall data and WHO criteria enabled classification and a better understanding of the risk of malaria transmission in the health districts (HD). This analysis led to the adjustment and optimization of the implementation of the SMC campaign. As a result, 34 HDs started SMC in June instead of July, and 14 HDs were implemented in 5 months instead of the usual 4. This study aims to evaluate the effect of this readjustment on cascade malaria monitoring indicators after two years of implementation. We compared statistical analyses of data on malaria incidence, severe malaria cases, and malaria deaths in children under five recorded in both regions, for the HDs that have implemented the readjustments.Utilizing data from Cameroon's District Health Information Software 2 (DHIS2) and conducting statistical analysis at a 95% confidence level, we found significant reductions in malaria incidence, severe cases, and deaths among children under five (Baseline 2022). Specifically, malaria incidence decreased from 71.26 cases/1000 inhabitants in 2022 to 51.43 cases/1,000 inhabitants in 2023 (p = 0.0095) and to 26.84 cases/1000 inhabitants in 2024 (p = 0.000). Severe malaria cases fell from 1,662.70/100000 inhabitants in 2022 to 852.17 /100,000 inhabitants in 2023 (p = 0.000) and 854.35/100000 in 2024 (p = 0.000). Malaria-related deaths reduced from 12.42/100000 inhabitants in 2022 to 5.11/100000 in 2023 (p = 0.000) and 6.36/100000 in 2024 (p = 0.000). These results indicate that the revised SMC strategy significantly affected malaria indicators. Further research is needed to establish a causal relationship. This analysis highlights the necessity of regularly updating the SMC strategy in response to climate change and its impact on malaria transmission patterns.</w:t>
      </w:r>
    </w:p>
    <w:p w14:paraId="2BF0A21E"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25-A-3705-ASTMH</w:t>
      </w:r>
    </w:p>
    <w:p w14:paraId="4988179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04FEBD2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Helminthiasis and Malaria Co-Infection among School Children in Bibiani-Anhwiaso-Bekwai Municipal</w:t>
      </w:r>
    </w:p>
    <w:p w14:paraId="3BAB2FD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Helminthiasis and malaria are major health problems in Sub-Saharan Africa. These infections often affect school-aged children and can cause poor growth, weakness, and low school performance. This study looked at how common these infections are and the factors linked to them among children in Bibiani-Anhwiaso-Bekwai Municipal in Ghana. A school-based cross-sectional study was conducted from July to August 2024. A total of 333 school children aged 5 to 15 years were selected using a multistage sampling method. Data were collected through questionnaires and laboratory tests. Stool samples were tested using the Kato-Katz and wet mount methods, and blood samples were tested for malaria using rapid diagnostic tests and microscopy. The study found that 16.5% of the children had malaria, and 9.0% had helminth infections. The most common helminth was </w:t>
      </w:r>
      <w:r w:rsidRPr="00AF28B8">
        <w:rPr>
          <w:rFonts w:ascii="Calibri" w:hAnsi="Calibri" w:cs="Calibri"/>
          <w:i/>
          <w:iCs/>
          <w:color w:val="000000"/>
          <w:sz w:val="22"/>
          <w:szCs w:val="22"/>
        </w:rPr>
        <w:t>Ascaris lumbricoides</w:t>
      </w:r>
      <w:r w:rsidRPr="00AF28B8">
        <w:rPr>
          <w:rFonts w:ascii="Calibri" w:hAnsi="Calibri" w:cs="Calibri"/>
          <w:color w:val="000000"/>
          <w:sz w:val="22"/>
          <w:szCs w:val="22"/>
        </w:rPr>
        <w:t xml:space="preserve"> (6.6%), followed </w:t>
      </w:r>
      <w:r w:rsidRPr="00AF28B8">
        <w:rPr>
          <w:rFonts w:ascii="Calibri" w:hAnsi="Calibri" w:cs="Calibri"/>
          <w:color w:val="000000"/>
          <w:sz w:val="22"/>
          <w:szCs w:val="22"/>
        </w:rPr>
        <w:lastRenderedPageBreak/>
        <w:t>by </w:t>
      </w:r>
      <w:r w:rsidRPr="00AF28B8">
        <w:rPr>
          <w:rFonts w:ascii="Calibri" w:hAnsi="Calibri" w:cs="Calibri"/>
          <w:i/>
          <w:iCs/>
          <w:color w:val="000000"/>
          <w:sz w:val="22"/>
          <w:szCs w:val="22"/>
        </w:rPr>
        <w:t>Trichuris trichiura</w:t>
      </w:r>
      <w:r w:rsidRPr="00AF28B8">
        <w:rPr>
          <w:rFonts w:ascii="Calibri" w:hAnsi="Calibri" w:cs="Calibri"/>
          <w:color w:val="000000"/>
          <w:sz w:val="22"/>
          <w:szCs w:val="22"/>
        </w:rPr>
        <w:t> (1.8%) and hookworm (0.6%). The overall rate of co-infection with both malaria and helminths was 1.8%. The most common co-infection was between </w:t>
      </w:r>
      <w:r w:rsidRPr="00AF28B8">
        <w:rPr>
          <w:rFonts w:ascii="Calibri" w:hAnsi="Calibri" w:cs="Calibri"/>
          <w:i/>
          <w:iCs/>
          <w:color w:val="000000"/>
          <w:sz w:val="22"/>
          <w:szCs w:val="22"/>
        </w:rPr>
        <w:t>Plasmodium</w:t>
      </w:r>
      <w:r w:rsidRPr="00AF28B8">
        <w:rPr>
          <w:rFonts w:ascii="Calibri" w:hAnsi="Calibri" w:cs="Calibri"/>
          <w:color w:val="000000"/>
          <w:sz w:val="22"/>
          <w:szCs w:val="22"/>
        </w:rPr>
        <w:t> species and </w:t>
      </w:r>
      <w:r w:rsidRPr="00AF28B8">
        <w:rPr>
          <w:rFonts w:ascii="Calibri" w:hAnsi="Calibri" w:cs="Calibri"/>
          <w:i/>
          <w:iCs/>
          <w:color w:val="000000"/>
          <w:sz w:val="22"/>
          <w:szCs w:val="22"/>
        </w:rPr>
        <w:t>Ascaris lumbricoides</w:t>
      </w:r>
      <w:r w:rsidRPr="00AF28B8">
        <w:rPr>
          <w:rFonts w:ascii="Calibri" w:hAnsi="Calibri" w:cs="Calibri"/>
          <w:color w:val="000000"/>
          <w:sz w:val="22"/>
          <w:szCs w:val="22"/>
        </w:rPr>
        <w:t> (0.9%). Co-infections were more common among children aged 8-10 years and those living in rural areas. The use of insecticide-treated nets, access to clean drinking water, and the presence of toilet facilities were important factors. Children who did not use bed nets had a higher chance of malaria infection (OR = 2.01, 95% CI: 1.08–3.76). Lack of toilet facilities increased the chance of helminth infection (OR = 2.78, 95% CI: 1.43–5.41). Poor handwashing practices also increased infection risks. This study shows that even though the co-infection rate is low, the presence of both malaria and helminth infections in children remains a concern. Health education, deworming, improved sanitation, and mosquito control are needed to reduce these infections and improve the health and learning ability of school children in the area.</w:t>
      </w:r>
    </w:p>
    <w:p w14:paraId="315777E4"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25-A-3706-ASTMH</w:t>
      </w:r>
    </w:p>
    <w:p w14:paraId="039F3A6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E911DD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Temporal trend of </w:t>
      </w:r>
      <w:r w:rsidRPr="00AF28B8">
        <w:rPr>
          <w:rFonts w:ascii="Calibri" w:hAnsi="Calibri" w:cs="Calibri"/>
          <w:i/>
          <w:iCs/>
          <w:color w:val="000000"/>
          <w:sz w:val="22"/>
          <w:szCs w:val="22"/>
        </w:rPr>
        <w:t>Plasmodium knowlesi</w:t>
      </w:r>
      <w:r w:rsidRPr="00AF28B8">
        <w:rPr>
          <w:rFonts w:ascii="Calibri" w:hAnsi="Calibri" w:cs="Calibri"/>
          <w:color w:val="000000"/>
          <w:sz w:val="22"/>
          <w:szCs w:val="22"/>
        </w:rPr>
        <w:t> malaria and identification of malaria preventive behavior in rural communities of Sabah state of Malaysia</w:t>
      </w:r>
    </w:p>
    <w:p w14:paraId="7032D4C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Since 2008, Malaysia has reported more than 25,795 cases of </w:t>
      </w:r>
      <w:r w:rsidRPr="00AF28B8">
        <w:rPr>
          <w:rFonts w:ascii="Calibri" w:hAnsi="Calibri" w:cs="Calibri"/>
          <w:i/>
          <w:iCs/>
          <w:color w:val="000000"/>
          <w:sz w:val="22"/>
          <w:szCs w:val="22"/>
        </w:rPr>
        <w:t>Plasmodium knowlesi</w:t>
      </w:r>
      <w:r w:rsidRPr="00AF28B8">
        <w:rPr>
          <w:rFonts w:ascii="Calibri" w:hAnsi="Calibri" w:cs="Calibri"/>
          <w:color w:val="000000"/>
          <w:sz w:val="22"/>
          <w:szCs w:val="22"/>
        </w:rPr>
        <w:t> malaria and about 61 deaths. Since 2018 no indigenous human plasmodium infection has been reported from Malaysia indicating that the country has shown a tremendous achievement in controlling human malaria. However, </w:t>
      </w:r>
      <w:r w:rsidRPr="00AF28B8">
        <w:rPr>
          <w:rFonts w:ascii="Calibri" w:hAnsi="Calibri" w:cs="Calibri"/>
          <w:i/>
          <w:iCs/>
          <w:color w:val="000000"/>
          <w:sz w:val="22"/>
          <w:szCs w:val="22"/>
        </w:rPr>
        <w:t>P. knowlesi</w:t>
      </w:r>
      <w:r w:rsidRPr="00AF28B8">
        <w:rPr>
          <w:rFonts w:ascii="Calibri" w:hAnsi="Calibri" w:cs="Calibri"/>
          <w:color w:val="000000"/>
          <w:sz w:val="22"/>
          <w:szCs w:val="22"/>
        </w:rPr>
        <w:t> malaria remains a major challenge to control, particularly in Sabah one of the two states of Malaysia situated in Borneo Island. Every year Sabah has been reporting the highest number of </w:t>
      </w:r>
      <w:r w:rsidRPr="00AF28B8">
        <w:rPr>
          <w:rFonts w:ascii="Calibri" w:hAnsi="Calibri" w:cs="Calibri"/>
          <w:i/>
          <w:iCs/>
          <w:color w:val="000000"/>
          <w:sz w:val="22"/>
          <w:szCs w:val="22"/>
        </w:rPr>
        <w:t>P. knowlesi</w:t>
      </w:r>
      <w:r w:rsidRPr="00AF28B8">
        <w:rPr>
          <w:rFonts w:ascii="Calibri" w:hAnsi="Calibri" w:cs="Calibri"/>
          <w:color w:val="000000"/>
          <w:sz w:val="22"/>
          <w:szCs w:val="22"/>
        </w:rPr>
        <w:t> malaria from Malaysia. Data from 2017 to 2023 showed that every year 1870 (ranges 1491-2286) people are infected with </w:t>
      </w:r>
      <w:r w:rsidRPr="00AF28B8">
        <w:rPr>
          <w:rFonts w:ascii="Calibri" w:hAnsi="Calibri" w:cs="Calibri"/>
          <w:i/>
          <w:iCs/>
          <w:color w:val="000000"/>
          <w:sz w:val="22"/>
          <w:szCs w:val="22"/>
        </w:rPr>
        <w:t>P. knowlesi.</w:t>
      </w:r>
      <w:r w:rsidRPr="00AF28B8">
        <w:rPr>
          <w:rFonts w:ascii="Calibri" w:hAnsi="Calibri" w:cs="Calibri"/>
          <w:color w:val="000000"/>
          <w:sz w:val="22"/>
          <w:szCs w:val="22"/>
        </w:rPr>
        <w:t> This data indicating traditional approaches to control human plasmodium infection is not effective for zoonotic malaria. The reasons for the increase of </w:t>
      </w:r>
      <w:r w:rsidRPr="00AF28B8">
        <w:rPr>
          <w:rFonts w:ascii="Calibri" w:hAnsi="Calibri" w:cs="Calibri"/>
          <w:i/>
          <w:iCs/>
          <w:color w:val="000000"/>
          <w:sz w:val="22"/>
          <w:szCs w:val="22"/>
        </w:rPr>
        <w:t>P. knowlesi</w:t>
      </w:r>
      <w:r w:rsidRPr="00AF28B8">
        <w:rPr>
          <w:rFonts w:ascii="Calibri" w:hAnsi="Calibri" w:cs="Calibri"/>
          <w:color w:val="000000"/>
          <w:sz w:val="22"/>
          <w:szCs w:val="22"/>
        </w:rPr>
        <w:t> malaria are not clear although, land use changes are associated to be the key driver of zoonotic malaria. In this study we tried to answer two basic question how and why people are exposed to </w:t>
      </w:r>
      <w:r w:rsidRPr="00AF28B8">
        <w:rPr>
          <w:rFonts w:ascii="Calibri" w:hAnsi="Calibri" w:cs="Calibri"/>
          <w:i/>
          <w:iCs/>
          <w:color w:val="000000"/>
          <w:sz w:val="22"/>
          <w:szCs w:val="22"/>
        </w:rPr>
        <w:t>P. knowlesi. </w:t>
      </w:r>
      <w:r w:rsidRPr="00AF28B8">
        <w:rPr>
          <w:rFonts w:ascii="Calibri" w:hAnsi="Calibri" w:cs="Calibri"/>
          <w:color w:val="000000"/>
          <w:sz w:val="22"/>
          <w:szCs w:val="22"/>
        </w:rPr>
        <w:t>More than 75% of cases were associated with forest related activities. We identified that malaria preventive behavior among the people such as adoption of vector control measures, level of income, and perception regarding zoonotic malaria were most significant components which might be responsible for increase in </w:t>
      </w:r>
      <w:r w:rsidRPr="00AF28B8">
        <w:rPr>
          <w:rFonts w:ascii="Calibri" w:hAnsi="Calibri" w:cs="Calibri"/>
          <w:i/>
          <w:iCs/>
          <w:color w:val="000000"/>
          <w:sz w:val="22"/>
          <w:szCs w:val="22"/>
        </w:rPr>
        <w:t>P. knowlesi</w:t>
      </w:r>
      <w:r w:rsidRPr="00AF28B8">
        <w:rPr>
          <w:rFonts w:ascii="Calibri" w:hAnsi="Calibri" w:cs="Calibri"/>
          <w:color w:val="000000"/>
          <w:sz w:val="22"/>
          <w:szCs w:val="22"/>
        </w:rPr>
        <w:t> malaria in Sabah.</w:t>
      </w:r>
    </w:p>
    <w:p w14:paraId="691A23B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25-A-3707-ASTMH</w:t>
      </w:r>
    </w:p>
    <w:p w14:paraId="2ADA32A0"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FD4EE9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Leveraging online news media data - patterns of poor-quality medical products incidents during the COVID-19 pandemic</w:t>
      </w:r>
    </w:p>
    <w:p w14:paraId="76D278E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Substandard and falsified (SF) medical products jeopardize people’s health. Surveillance is limited in most parts of the world and incidents are rarely published in accessible databases or scientific journals. Modern health surveillance systems incorporate online news and social media in addition to official reporting systems. We investigated SF-MP distribution and spread during the COVID-19 pandemic using online news media (ONM) reports. This was done after examining the inherent biases of using ONM reports for surveillance and public health research. A systematic scoping review of articles from Scopus and Web of Science was conducted and we propose a conceptual framework to support identification of challenges and bias when using ONM as source data. Our framework includes four aspects: ‘ONM Coverage’, ‘Content of ONM reports’, ‘Data collection and processing methods’, and ‘The use of output data’. Of 42 publications included, 36 (86%) reported 136 challenges, including language barriers (n=14), newsworthiness (n=13), and lack validation of information (n=12). These challenges mainly risk missed or false signals. The conceptual framework informed our quantitative analysis of ONM reports on events with SF medical products globally. All reports were published during the COVID-19 pandemic (January 2020-March 2022) and accessible through the Medicine Quality Monitoring Globe. Time series and spatial-temporal chronological network analysis were used to identify patterns for six different medical </w:t>
      </w:r>
      <w:r w:rsidRPr="00AF28B8">
        <w:rPr>
          <w:rFonts w:ascii="Calibri" w:hAnsi="Calibri" w:cs="Calibri"/>
          <w:color w:val="000000"/>
          <w:sz w:val="22"/>
          <w:szCs w:val="22"/>
        </w:rPr>
        <w:lastRenderedPageBreak/>
        <w:t>product categories. We identified non-random spatial clustering patterns of SF-MP events (n = 1287 across 88 countries) during the COVID-19 pandemic. Specific patterns were observed in countries such as India and the USA for COVID-19 medicines and hand-sanitizers, respectively. Our conceptual framework helps to assess ONM data accuracy, potential biases, and facilitates data interpretation. Despite challenges, ONM reports provide insights into SF-MP distribution during the COVID-19 pandemic. The findings aim to support the growing call for optimizing risk-based surveillance of SF medical products, especially in times of crisis.</w:t>
      </w:r>
    </w:p>
    <w:p w14:paraId="0375833A"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25-A-3708-ASTMH</w:t>
      </w:r>
    </w:p>
    <w:p w14:paraId="4E37EFDB"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52F98FB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Travel and malaria qPCR positivity in Ndola District, Zambia</w:t>
      </w:r>
    </w:p>
    <w:p w14:paraId="4B0AE2DA"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sustained investment in malaria control and elimination throughout Zambia, reported cases continue to rise in Ndola District. Ndola shares an international border with the Democratic Republic of Congo, where reported incidence is much higher. Here, we analyzed data from a longitudinal cohort of households (n=408) within the district to explore the role of importation and travel to malaria positivity. Overall, overnight travel was reported for 9% of individual study visit of study visits (n = 842). Of overnight trips, 42% (n = 353/842) were outside of the district and most individuals only reported a single trip during a study visit (bimonthly). Most of these trips were reported by individuals 30 years or older (n=257) and we did not see significant differences by gender. 9.5% of overnight trips were to an international destination with nearly all destinations to the Democratic Republic of Congo (DRC). Individuals in Twapia HF, the most urban community, were less likely to travel internationally compared to the border community Kaniki (OR: 0.17, 95% CI: 0.06-0.39). Individuals who had traveled internationally were 2.7 times more likely to be qPCR positive than those who had not traveled internationally (95% CI: 1-6.56). Those who used a bednet while traveling were more likely to be qPCR positive than those who did not (OR: 2.39, 95% CI: 1.14-4.94). Individuals who traveled internationally were 1.66 times as likely to use a bednet while traveling than those who only traveled domestically (95% CI: 1.01-2.69) suggesting that international travel is confounding the relationship between bednet usage while traveling and qPCR positivity.</w:t>
      </w:r>
    </w:p>
    <w:p w14:paraId="7BADA5B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25-A-3709-ASTMH</w:t>
      </w:r>
    </w:p>
    <w:p w14:paraId="4FBAC26E"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4AC1E04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Private Medicine Retailer-based Trial of Malaria tests and conditional Treatment Subsidies among Patients with Fever</w:t>
      </w:r>
    </w:p>
    <w:p w14:paraId="0AC620B2"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Across Sub Saharan Africa, including Nigeria, Private Medicine Retailers (PMR) such as drug shops and pharmacies serve as a first point of care for a large proportion of febrile patients, but little is known about how these patients are managed or how quality of care can be improved. From January 2024 until August 2024, we conducted a randomized controlled trial of malaria diagnostic testing and conditional treatment subsidies to increase the proportion of malaria patients receiving an Artemisinin-based Combination Therapies (ACT) in 20 PMRs in two rural Local Government Areas in Kaduna State, Nigeria. Ten PMRs in the intervention arm were provided access to free rapid diagnostic tests (RDTs) and ACTs distributed by the research team. Providers in the intervention arm were trained in the use of RDTs and instructed to test suspected malaria patients and sell the study ACT at a low recommended retail price to patients testing positive. Providers were provided with a phone and a mobile app that prompted them to take and upload a picture of the RDT result. The ten providers in the control arm were trained in the use of RDTs and ACTs but did not receive free RDTs or ACTs. Outcomes were measured by patient exit interviews on random days each month at participating PMRs. Eligible patients were tested for malaria by the exit interviewer to validate information reported on the mobile app. Results showed that 76% of patients (n=1319) in the intervention arm were tested in the PMR vs. 14% in the control arm (n=14). 96% of patients in the intervention arm testing positive for malaria in the exit interview (n=479) received an ACT vs. 34% in the control arm (n=375). Providers in the intervention arm charged the </w:t>
      </w:r>
      <w:r w:rsidRPr="00AF28B8">
        <w:rPr>
          <w:rFonts w:ascii="Calibri" w:hAnsi="Calibri" w:cs="Calibri"/>
          <w:color w:val="000000"/>
          <w:sz w:val="22"/>
          <w:szCs w:val="22"/>
        </w:rPr>
        <w:lastRenderedPageBreak/>
        <w:t>recommended retail prices for the ACTs and RDTs. Almost all patients tested in the intervention PMRs (93%) indicated they had chosen to test because it was affordable. 73% of patients testing positive in the control PMRs indicated they did not purchase the ACT because it was too expensive. Implementing conditional ACT and RDT subsidies in PMRs in rural areas where RDT and ACTs prices are unaffordable for many, can result in significant improvements in malaria case management.</w:t>
      </w:r>
    </w:p>
    <w:p w14:paraId="6DE10DC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25-A-3710-ASTMH</w:t>
      </w:r>
    </w:p>
    <w:p w14:paraId="6DDA5F3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6D83853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Antibiotic use in children under 5 years of age in norovirus-positive acute gastroenteritis seen at emergency rooms of 3 hospitals in Lima, Perú.</w:t>
      </w:r>
    </w:p>
    <w:p w14:paraId="699B614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Antibiotics for acute gastroenteritis (AGE) in children, most often viral in etiology, are a global concern, particularly in low-middle income countries where access without prescription is common. Inappropriate use may delay proper care and affect severity. This study aims to describe the frequency of antibiotic use and its association with intravenous (IV) rehydration, a surrogate marker of severity, in children with norovirus positive AGE at emergency rooms (ER) of 3 major hospitals in Lima, Peru.This is a secondary analysis from a cross-sectional study assessing norovirus prevalence in children (April 2022-March 2023). Sociodemographic and clinical data were collected. Adjusted prevalence ratios (aPR) with 95% confidence intervals (CI) were calculated using generalized linear models with a Poisson distribution.Of 856 children, 833 stool samples were analyzed; norovirus was detected in 40.5% (337/833). Among positives, median age was 19 months (IQR:14-28), 58.8% were male, and 44.5% of caregivers had higher/technical education. Norovirus cases had a median of 4 liquid stools (IQR: 2-6) and 6 vomits (IQR:4-8) per day. 3.9% (13/337) received oral rehydration before ER and symptom duration until arrival was 1 day (IQR: 0-2). Antibiotics were used prior to ER in 12.2% (41/337) of norovirus cases and 58.5% (24/41) were not prescribed by a doctor. Most common agents were trimethoprim-sulfamethoxazole (43.9%), penicillin (24.4%) and furazolidone (17.1%). IV rehydration was needed in 31.8% (107/337) of norovirus cases and in 24.6% (122/496) of negatives at the ER. Prior antibiotic use was associated to higher IV rehydration in norovirus cases (aPR: 1.13; CI: 1.01-1.26; p&lt;.05), but not in negatives (aPR: 1.07; CI: 0.98-1.18; p=.14) adjusted for age, sex, prior oral rehydration, caregiver education, number of stools, vomits and time to ER.In conclusion, antibiotics were frequently used in this cohort despite its viral etiology. Its association with increased IV rehydration raises concern about potential worsened outcomes. These results emphasize the need for educational interventions targeting caregivers to reduce unnecessary use.</w:t>
      </w:r>
    </w:p>
    <w:p w14:paraId="08EFE53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25-A-3711-ASTMH</w:t>
      </w:r>
    </w:p>
    <w:p w14:paraId="76386110"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6BF0A1F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Molecular surveillance of malaria in Tanzania. Baseline surveillance of vectors that drive persistent malaria transmission in regions with varying transmission intensities</w:t>
      </w:r>
    </w:p>
    <w:p w14:paraId="0982640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the increase in malaria control interventions, transmission has remained persistently high in some regions of Tanzania. To address the burden of malaria in these regions, monitoring spatio-temporal changes of vectors is crucial to provide information on their abundance, composition and behavior. The current study assessed the composition and infectivity of malaria vectors in areas with varying levels of transmission. A cross-sectional survey was conducted in five districts, namely Buhigwe, Kyerwa, Ludewa, Muheza, and Nyasa from August to November 2023. In each district, one to five villages were selected for the study, and mosquitoes were collected indoors in 10 randomly selected households per village using CDC light traps. Outdoor mosquitoes were collected in five households using Furvela tent traps. In all selected villages and trap types, mosquitoes were collected for three nights. The collected mosquitoes were identified using morphological criteria and submitted to the laboratory for molecular identification and screening for malaria infection using polymerase chain reaction. A total of 19,898 adult mosquitoes were collected and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complex and </w:t>
      </w:r>
      <w:r w:rsidRPr="00AF28B8">
        <w:rPr>
          <w:rFonts w:ascii="Calibri" w:hAnsi="Calibri" w:cs="Calibri"/>
          <w:i/>
          <w:iCs/>
          <w:color w:val="000000"/>
          <w:sz w:val="22"/>
          <w:szCs w:val="22"/>
        </w:rPr>
        <w:t>An. funestus</w:t>
      </w:r>
      <w:r w:rsidRPr="00AF28B8">
        <w:rPr>
          <w:rFonts w:ascii="Calibri" w:hAnsi="Calibri" w:cs="Calibri"/>
          <w:color w:val="000000"/>
          <w:sz w:val="22"/>
          <w:szCs w:val="22"/>
        </w:rPr>
        <w:t xml:space="preserve"> group and other non-malaria vector species accounted for 2.2%, 44.3%, and 53.3%, </w:t>
      </w:r>
      <w:r w:rsidRPr="00AF28B8">
        <w:rPr>
          <w:rFonts w:ascii="Calibri" w:hAnsi="Calibri" w:cs="Calibri"/>
          <w:color w:val="000000"/>
          <w:sz w:val="22"/>
          <w:szCs w:val="22"/>
        </w:rPr>
        <w:lastRenderedPageBreak/>
        <w:t>respectively. </w:t>
      </w:r>
      <w:r w:rsidRPr="00AF28B8">
        <w:rPr>
          <w:rFonts w:ascii="Calibri" w:hAnsi="Calibri" w:cs="Calibri"/>
          <w:i/>
          <w:iCs/>
          <w:color w:val="000000"/>
          <w:sz w:val="22"/>
          <w:szCs w:val="22"/>
        </w:rPr>
        <w:t>An. funestus</w:t>
      </w:r>
      <w:r w:rsidRPr="00AF28B8">
        <w:rPr>
          <w:rFonts w:ascii="Calibri" w:hAnsi="Calibri" w:cs="Calibri"/>
          <w:color w:val="000000"/>
          <w:sz w:val="22"/>
          <w:szCs w:val="22"/>
        </w:rPr>
        <w:t> group was the predominant malaria vector accounting for 95.3% of the collected vectors. Of 404 </w:t>
      </w:r>
      <w:r w:rsidRPr="00AF28B8">
        <w:rPr>
          <w:rFonts w:ascii="Calibri" w:hAnsi="Calibri" w:cs="Calibri"/>
          <w:i/>
          <w:iCs/>
          <w:color w:val="000000"/>
          <w:sz w:val="22"/>
          <w:szCs w:val="22"/>
        </w:rPr>
        <w:t>An. gambiae</w:t>
      </w:r>
      <w:r w:rsidRPr="00AF28B8">
        <w:rPr>
          <w:rFonts w:ascii="Calibri" w:hAnsi="Calibri" w:cs="Calibri"/>
          <w:color w:val="000000"/>
          <w:sz w:val="22"/>
          <w:szCs w:val="22"/>
        </w:rPr>
        <w:t> complex analysed for sibling species, </w:t>
      </w:r>
      <w:r w:rsidRPr="00AF28B8">
        <w:rPr>
          <w:rFonts w:ascii="Calibri" w:hAnsi="Calibri" w:cs="Calibri"/>
          <w:i/>
          <w:iCs/>
          <w:color w:val="000000"/>
          <w:sz w:val="22"/>
          <w:szCs w:val="22"/>
        </w:rPr>
        <w:t>An. arabiensis</w:t>
      </w:r>
      <w:r w:rsidRPr="00AF28B8">
        <w:rPr>
          <w:rFonts w:ascii="Calibri" w:hAnsi="Calibri" w:cs="Calibri"/>
          <w:color w:val="000000"/>
          <w:sz w:val="22"/>
          <w:szCs w:val="22"/>
        </w:rPr>
        <w:t> were the predominant sibling species, accounting for 75.0%. On the other hand, 1360 </w:t>
      </w:r>
      <w:r w:rsidRPr="00AF28B8">
        <w:rPr>
          <w:rFonts w:ascii="Calibri" w:hAnsi="Calibri" w:cs="Calibri"/>
          <w:i/>
          <w:iCs/>
          <w:color w:val="000000"/>
          <w:sz w:val="22"/>
          <w:szCs w:val="22"/>
        </w:rPr>
        <w:t>An. funestus</w:t>
      </w:r>
      <w:r w:rsidRPr="00AF28B8">
        <w:rPr>
          <w:rFonts w:ascii="Calibri" w:hAnsi="Calibri" w:cs="Calibri"/>
          <w:color w:val="000000"/>
          <w:sz w:val="22"/>
          <w:szCs w:val="22"/>
        </w:rPr>
        <w:t> group were analysed for sibling species and </w:t>
      </w:r>
      <w:r w:rsidRPr="00AF28B8">
        <w:rPr>
          <w:rFonts w:ascii="Calibri" w:hAnsi="Calibri" w:cs="Calibri"/>
          <w:i/>
          <w:iCs/>
          <w:color w:val="000000"/>
          <w:sz w:val="22"/>
          <w:szCs w:val="22"/>
        </w:rPr>
        <w:t>An. funestus</w:t>
      </w:r>
      <w:r w:rsidRPr="00AF28B8">
        <w:rPr>
          <w:rFonts w:ascii="Calibri" w:hAnsi="Calibri" w:cs="Calibri"/>
          <w:color w:val="000000"/>
          <w:sz w:val="22"/>
          <w:szCs w:val="22"/>
        </w:rPr>
        <w:t> s.s accounted for 96.3%. A total of 1799 vectors were tested for infection with </w:t>
      </w:r>
      <w:r w:rsidRPr="00AF28B8">
        <w:rPr>
          <w:rFonts w:ascii="Calibri" w:hAnsi="Calibri" w:cs="Calibri"/>
          <w:i/>
          <w:iCs/>
          <w:color w:val="000000"/>
          <w:sz w:val="22"/>
          <w:szCs w:val="22"/>
        </w:rPr>
        <w:t>P. falciparum</w:t>
      </w:r>
      <w:r w:rsidRPr="00AF28B8">
        <w:rPr>
          <w:rFonts w:ascii="Calibri" w:hAnsi="Calibri" w:cs="Calibri"/>
          <w:color w:val="000000"/>
          <w:sz w:val="22"/>
          <w:szCs w:val="22"/>
        </w:rPr>
        <w:t> and nine (0.5%) were infected. The estimated annual entomological inoculation rate for </w:t>
      </w:r>
      <w:r w:rsidRPr="00AF28B8">
        <w:rPr>
          <w:rFonts w:ascii="Calibri" w:hAnsi="Calibri" w:cs="Calibri"/>
          <w:i/>
          <w:iCs/>
          <w:color w:val="000000"/>
          <w:sz w:val="22"/>
          <w:szCs w:val="22"/>
        </w:rPr>
        <w:t>An. funestus</w:t>
      </w:r>
      <w:r w:rsidRPr="00AF28B8">
        <w:rPr>
          <w:rFonts w:ascii="Calibri" w:hAnsi="Calibri" w:cs="Calibri"/>
          <w:color w:val="000000"/>
          <w:sz w:val="22"/>
          <w:szCs w:val="22"/>
        </w:rPr>
        <w:t> collected by CDC light trap was 244.76, 67.34, and 13.85 infectious bites per person per year in Kyerwa, Nyasa and Muheza, respectively. The recorded transmission intensity in some of the surveyed districts was far beyond &lt;1 infectious bite per person per year recommended to achieve the national target of malaria elimination by 2030.</w:t>
      </w:r>
    </w:p>
    <w:p w14:paraId="6A43947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25-A-3712-ASTMH</w:t>
      </w:r>
    </w:p>
    <w:p w14:paraId="3DA4719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Transmission Biology</w:t>
      </w:r>
    </w:p>
    <w:p w14:paraId="68A6F3E4"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Presence and Persistence of Monkeypox Virus DNA in Anatomic Sites and Body Fluids</w:t>
      </w:r>
    </w:p>
    <w:p w14:paraId="67E74E9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Mpox, a zoonotic </w:t>
      </w:r>
      <w:r w:rsidRPr="00AF28B8">
        <w:rPr>
          <w:rFonts w:ascii="Calibri" w:hAnsi="Calibri" w:cs="Calibri"/>
          <w:i/>
          <w:iCs/>
          <w:color w:val="000000"/>
          <w:sz w:val="22"/>
          <w:szCs w:val="22"/>
        </w:rPr>
        <w:t>Orthopoxvirus</w:t>
      </w:r>
      <w:r w:rsidRPr="00AF28B8">
        <w:rPr>
          <w:rFonts w:ascii="Calibri" w:hAnsi="Calibri" w:cs="Calibri"/>
          <w:color w:val="000000"/>
          <w:sz w:val="22"/>
          <w:szCs w:val="22"/>
        </w:rPr>
        <w:t> endemic to Central and West Africa, caused an ongoing global outbreak in 2022 primarily affecting men who have sex with men. Mpox transmission predominantly occurs through close or intimate contact with infectious skin lesions, but the duration of viral DNA shedding from anatomic sites (skin, rectum, pharynx) and body fluids (semen, urine, saliva) remains poorly understood. We sought to further define the persistence of viral shedding from anatomic sites and body fluids at 8 time points over 22 weeks in patients with confirmed mpox clade II. At scheduled visits, participants’ demographic and clinical information was recorded; body fluid and anatomic swabs were collected, stored on viral transport medium, and frozen at -80C for subsequent molecular testing for monkeypox virus by real-time polymerase chain reaction (RT-PCR). If a participant had two consecutive negative RT-PCR tests for a given anatomic site, it was presumed to be negative at all further visits. Fifteen adult participants completed 86 visits total. All were male; median age was 37 years (range 21-52 years); 73% reported sexual contact with men in the preceding 21 days; and 27% had HIV. Fifty-three percent had received at least one dose of JYNNEOS vaccine and 40% received treatment with tecovirimat. Median time from symptom onset to baseline visit was 13 days (range 7-21 days). At baseline visit, rates of PCR positivity by anatomic site/body fluid were: skin lesions 80%, rectum 42%, pharynx 27%, saliva 25%, urine 14%, and semen 0%.One participant with HIV (CD4&lt;200 cells/mm) had viral DNA detected in skin lesions and saliva as late as 26 weeks from symptom onset. The remaining participants had no evidence of mpox DNA in lesional samples beyond 28 days from symptom onset, and in non-lesional samples beyond 21 days from symptom onset. Patients with mpox may shed virus in oral and rectal mucosa, saliva, and urine, although skin lesions appear to be the most persistent site of viral shedding. Severe immunosuppression may lead to significantly prolonged viral shedding from multiple sites and body fluids, though the frequency with which this occurs is unknown.</w:t>
      </w:r>
    </w:p>
    <w:p w14:paraId="2FBECBC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25-A-3713-ASTMH</w:t>
      </w:r>
    </w:p>
    <w:p w14:paraId="459B56DF"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736085D8"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Deep Functional Assessment of Human Basophils in </w:t>
      </w:r>
      <w:r w:rsidRPr="00AF28B8">
        <w:rPr>
          <w:rFonts w:ascii="Calibri" w:hAnsi="Calibri" w:cs="Calibri"/>
          <w:i/>
          <w:iCs/>
          <w:color w:val="000000"/>
          <w:sz w:val="22"/>
          <w:szCs w:val="22"/>
        </w:rPr>
        <w:t>Trichuris trichiura </w:t>
      </w:r>
      <w:r w:rsidRPr="00AF28B8">
        <w:rPr>
          <w:rFonts w:ascii="Calibri" w:hAnsi="Calibri" w:cs="Calibri"/>
          <w:color w:val="000000"/>
          <w:sz w:val="22"/>
          <w:szCs w:val="22"/>
        </w:rPr>
        <w:t>Infection by Intracellular Metabolic Flow Cytometry</w:t>
      </w:r>
    </w:p>
    <w:p w14:paraId="58FBB1B1"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Basophils are central to allergic and parasitic immune responses by degranulating and releasing histamine in an IgE-dependent manner. They are the only cells in peripheral blood with this capability. Thus, Basophil Activation Testing (BAT) is a flow cytometry-based proxy for degranulation gaining clinical utility as a more specific assay for IgE-mediated disease. BAT is limited by need for fresh samples, paucity of circulating cells, and sole assessment of degranulation. </w:t>
      </w:r>
      <w:r w:rsidRPr="00AF28B8">
        <w:rPr>
          <w:rFonts w:ascii="Calibri" w:hAnsi="Calibri" w:cs="Calibri"/>
          <w:i/>
          <w:iCs/>
          <w:color w:val="000000"/>
          <w:sz w:val="22"/>
          <w:szCs w:val="22"/>
        </w:rPr>
        <w:t>Trichuris trichiura </w:t>
      </w:r>
      <w:r w:rsidRPr="00AF28B8">
        <w:rPr>
          <w:rFonts w:ascii="Calibri" w:hAnsi="Calibri" w:cs="Calibri"/>
          <w:color w:val="000000"/>
          <w:sz w:val="22"/>
          <w:szCs w:val="22"/>
        </w:rPr>
        <w:t>infection is associated with increased levels of total and </w:t>
      </w:r>
      <w:r w:rsidRPr="00AF28B8">
        <w:rPr>
          <w:rFonts w:ascii="Calibri" w:hAnsi="Calibri" w:cs="Calibri"/>
          <w:i/>
          <w:iCs/>
          <w:color w:val="000000"/>
          <w:sz w:val="22"/>
          <w:szCs w:val="22"/>
        </w:rPr>
        <w:t>Trichuris</w:t>
      </w:r>
      <w:r w:rsidRPr="00AF28B8">
        <w:rPr>
          <w:rFonts w:ascii="Calibri" w:hAnsi="Calibri" w:cs="Calibri"/>
          <w:color w:val="000000"/>
          <w:sz w:val="22"/>
          <w:szCs w:val="22"/>
        </w:rPr>
        <w:t>-specific IgE, the latter correlating negatively with infection burden. However, this IgE’s functional ability on mediator cells has not been studied. Using both fresh whole blood and cryopreserved peripheral blood mononuclear cells stimulated with anti-IgE and </w:t>
      </w:r>
      <w:r w:rsidRPr="00AF28B8">
        <w:rPr>
          <w:rFonts w:ascii="Calibri" w:hAnsi="Calibri" w:cs="Calibri"/>
          <w:i/>
          <w:iCs/>
          <w:color w:val="000000"/>
          <w:sz w:val="22"/>
          <w:szCs w:val="22"/>
        </w:rPr>
        <w:t>Trichuris muris</w:t>
      </w:r>
      <w:r w:rsidRPr="00AF28B8">
        <w:rPr>
          <w:rFonts w:ascii="Calibri" w:hAnsi="Calibri" w:cs="Calibri"/>
          <w:color w:val="000000"/>
          <w:sz w:val="22"/>
          <w:szCs w:val="22"/>
        </w:rPr>
        <w:t> Excretory Secretory (ES) antigen, an intracellular metabolic panel of flow cytometric-compatible antibodies was tested in human subjects (n=8) to evaluate glycolysis (GLUT1), the pentose-</w:t>
      </w:r>
      <w:r w:rsidRPr="00AF28B8">
        <w:rPr>
          <w:rFonts w:ascii="Calibri" w:hAnsi="Calibri" w:cs="Calibri"/>
          <w:color w:val="000000"/>
          <w:sz w:val="22"/>
          <w:szCs w:val="22"/>
        </w:rPr>
        <w:lastRenderedPageBreak/>
        <w:t>phosphate pathway (G6PD), the Krebs cycle (ATP5A and SDHA), and fatty acid metabolism (CPT1A and ACC1). Using standard gating (CCR3 hi and SSC lo) for basophils in whole blood, not only did we detect upregulation of CD63—a standard histamine release proxy--following anti-IgE stimulation, but we were also able to demonstrate a significant increase in median fluorescence intensity (MFI) in ATP5A (41.5%) and CPT1A (12.4%), a finding suggesting key contributions of fatty acid oxidation and the Krebs cycle in basophil activation. Similar upregulation was observed during stimulation of basophils from cryopreserved peripheral blood mononuclear cells. Upon stimulation with </w:t>
      </w:r>
      <w:r w:rsidRPr="00AF28B8">
        <w:rPr>
          <w:rFonts w:ascii="Calibri" w:hAnsi="Calibri" w:cs="Calibri"/>
          <w:i/>
          <w:iCs/>
          <w:color w:val="000000"/>
          <w:sz w:val="22"/>
          <w:szCs w:val="22"/>
        </w:rPr>
        <w:t>T. muris </w:t>
      </w:r>
      <w:r w:rsidRPr="00AF28B8">
        <w:rPr>
          <w:rFonts w:ascii="Calibri" w:hAnsi="Calibri" w:cs="Calibri"/>
          <w:color w:val="000000"/>
          <w:sz w:val="22"/>
          <w:szCs w:val="22"/>
        </w:rPr>
        <w:t>ES, CD63 was only elevated in Trichuris-infected subjects with significantly high levels of </w:t>
      </w:r>
      <w:r w:rsidRPr="00AF28B8">
        <w:rPr>
          <w:rFonts w:ascii="Calibri" w:hAnsi="Calibri" w:cs="Calibri"/>
          <w:i/>
          <w:iCs/>
          <w:color w:val="000000"/>
          <w:sz w:val="22"/>
          <w:szCs w:val="22"/>
        </w:rPr>
        <w:t>Trichuris</w:t>
      </w:r>
      <w:r w:rsidRPr="00AF28B8">
        <w:rPr>
          <w:rFonts w:ascii="Calibri" w:hAnsi="Calibri" w:cs="Calibri"/>
          <w:color w:val="000000"/>
          <w:sz w:val="22"/>
          <w:szCs w:val="22"/>
        </w:rPr>
        <w:t>-specific IgE. However, CPT1A and ATP5A were elevated independent of </w:t>
      </w:r>
      <w:r w:rsidRPr="00AF28B8">
        <w:rPr>
          <w:rFonts w:ascii="Calibri" w:hAnsi="Calibri" w:cs="Calibri"/>
          <w:i/>
          <w:iCs/>
          <w:color w:val="000000"/>
          <w:sz w:val="22"/>
          <w:szCs w:val="22"/>
        </w:rPr>
        <w:t>Trichuris</w:t>
      </w:r>
      <w:r w:rsidRPr="00AF28B8">
        <w:rPr>
          <w:rFonts w:ascii="Calibri" w:hAnsi="Calibri" w:cs="Calibri"/>
          <w:color w:val="000000"/>
          <w:sz w:val="22"/>
          <w:szCs w:val="22"/>
        </w:rPr>
        <w:t>-specific IgE, possibly indicating basophil activation not resulting in histamine release. Use of cryopreserved PBMCs for human BAT including metabolic assessment is viable and can lend insight into the immune response to </w:t>
      </w:r>
      <w:r w:rsidRPr="00AF28B8">
        <w:rPr>
          <w:rFonts w:ascii="Calibri" w:hAnsi="Calibri" w:cs="Calibri"/>
          <w:i/>
          <w:iCs/>
          <w:color w:val="000000"/>
          <w:sz w:val="22"/>
          <w:szCs w:val="22"/>
        </w:rPr>
        <w:t>T. trichiura</w:t>
      </w:r>
      <w:r w:rsidRPr="00AF28B8">
        <w:rPr>
          <w:rFonts w:ascii="Calibri" w:hAnsi="Calibri" w:cs="Calibri"/>
          <w:color w:val="000000"/>
          <w:sz w:val="22"/>
          <w:szCs w:val="22"/>
        </w:rPr>
        <w:t> and other parasites.</w:t>
      </w:r>
    </w:p>
    <w:p w14:paraId="4ADCC7D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25-A-3714-ASTMH</w:t>
      </w:r>
    </w:p>
    <w:p w14:paraId="12EA61B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44B3533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Increasing Trend of Outdoor Biting by Malaria Vectors in Ghana, Evidence from Sentinel Site Entomological Surveillance</w:t>
      </w:r>
    </w:p>
    <w:p w14:paraId="2E8C457D"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vector control in Ghana has historically focused on indoor interventions such as long-lasting insecticidal nets and indoor residual spraying. Emerging evidence suggests that changes in mosquito behavior, particularly a shift toward outdoor biting, may reduce their effectiveness. Understanding the pattern of the changing biting behavior of Anopheles mosquitoes is key for developing effective malaria control strategies. This study assesses recent trends in vector biting behaviour using entomological surveillance data across the country. We analysed entomological surveillance data collected between 2021 and 2024 from 30 sentinel sites representing diverse ecological zones across Ghana. We extracted data on mosquito biting patterns, with specific focus on indoor versus outdoor biting activity. We calculated the biting rate occurring outdoors versus indoors and analyzed site-specific temporal trends to assess changes in outdoor biting behavior. The analysis of </w:t>
      </w:r>
      <w:r w:rsidRPr="00AF28B8">
        <w:rPr>
          <w:rFonts w:ascii="Calibri" w:hAnsi="Calibri" w:cs="Calibri"/>
          <w:i/>
          <w:iCs/>
          <w:color w:val="000000"/>
          <w:sz w:val="22"/>
          <w:szCs w:val="22"/>
        </w:rPr>
        <w:t>Anopheles gambiae s.l.</w:t>
      </w:r>
      <w:r w:rsidRPr="00AF28B8">
        <w:rPr>
          <w:rFonts w:ascii="Calibri" w:hAnsi="Calibri" w:cs="Calibri"/>
          <w:color w:val="000000"/>
          <w:sz w:val="22"/>
          <w:szCs w:val="22"/>
        </w:rPr>
        <w:t> biting rates across sentinel sites (2021-2024) reveals distinct patterns in indoor vs. outdoor transmission risks. Overall, outdoor biting rates exceeded indoor rates in most years (e.g., Akaporiso: 9.23 outdoor vs. 5.38 indoor in 2023; Kenyasi: 21.58 outdoor vs. 8.62 indoor in 2024) suggesting sustained outdoor transmission. However, indoor biting remained significant at some sites. Temporal trends showed marked fluctuations, with some sites experiencing sharp annual increases in outdoor. High variability between some sites underscores the need for localised interventions. These results highlight the persistent dual risk of malaria transmission in both environments, emphasizing the importance of integrated vector control strategies targeting indoor and outdoor exposure.</w:t>
      </w:r>
    </w:p>
    <w:p w14:paraId="5652A47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25-A-3715-ASTMH</w:t>
      </w:r>
    </w:p>
    <w:p w14:paraId="3B7BBA0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149C67C0"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Modeling the Impact of Ivermectin-based Strategies for Optimal Malaria Control: The Role of Formulation, Coverage, and Mosquitocidal Efficacy Timings</w:t>
      </w:r>
    </w:p>
    <w:p w14:paraId="4F44F5F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Despite the widespread use of long-lasting insecticidal nets (LLINs) and indoor residual spraying (IRS), residual malaria transmission persists due to insecticide resistance and adaptive mosquito behaviors such as outdoor and early biting. Systemic endectocides like ivermectin (IVM) can complement existing tools by killing mosquitoes after blood feeding, irrespective of resistance status or feeding behavior. However, the short-lived efficacy of oral IVM and the need for repeated high doses limit its operational impact.Our group is developing an injectable, long-acting IVM formulation using BEPO® technology, designed to sustain mosquitocidal efficacy for at least two months in line with WHO target product profiles for endectocides against malaria. To evaluate its potential impact on the disease, we extended our age- and sex-stratified transmission model to compare oral regimens (with varied dosing schemes) to a single administration of the long-acting formulation. The model incorporates post-exposure time </w:t>
      </w:r>
      <w:r w:rsidRPr="00AF28B8">
        <w:rPr>
          <w:rFonts w:ascii="Calibri" w:hAnsi="Calibri" w:cs="Calibri"/>
          <w:color w:val="000000"/>
          <w:sz w:val="22"/>
          <w:szCs w:val="22"/>
        </w:rPr>
        <w:lastRenderedPageBreak/>
        <w:t>dynamics in humans and mosquitoes and accounts for exclusion criteria (e.g., pregnant women, women of childbearing age, and children under 15 kg). Mosquitocidal efficacy inputs were sourced from published data (oral IVM) and field experimental results from our group (injectable IVM), with mortality values considered within 4 days post-exposure. The target impact threshold was set at a minimum 20% reduction in clinical malaria cases.In high-transmission settings modeled on Burkina Faso demographics, a single injection of long-acting IVM exceeded the impact threshold and outperformed oral regimens in both magnitude and duration of effect. Three monthly injections extended cases reduction up to 60% over at least six months. The model also predicts the consequences of declining coverage over time and helps identify optimal timing for long-acting mass drug administration under different transmission scenarios.Long-acting injectable IVM shows strong potential to address residual and outdoor malaria transmission. With extended efficacy, simplified deployment, and enhanced public health value, advancement to Phase 1 clinical trials is timely and warranted.</w:t>
      </w:r>
    </w:p>
    <w:p w14:paraId="239D981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25-A-3716-ASTMH</w:t>
      </w:r>
    </w:p>
    <w:p w14:paraId="6FE0987F"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164740C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Vectorial drivers of malaria transmission in urban and per-urban setting of Bamako, Mali</w:t>
      </w:r>
    </w:p>
    <w:p w14:paraId="468D5A9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Vectorial drivers of malaria transmission in urban and per-urban setting of Bamako, MaliBackground: </w:t>
      </w:r>
      <w:r w:rsidRPr="00AF28B8">
        <w:rPr>
          <w:rFonts w:ascii="Calibri" w:hAnsi="Calibri" w:cs="Calibri"/>
          <w:color w:val="000000"/>
          <w:sz w:val="22"/>
          <w:szCs w:val="22"/>
        </w:rPr>
        <w:t>Urban malaria is a challenge due to unplanned urbanization, increasing the number of vector breeding habitats, and the risk of malaria transmission. The aim of this study was to assess the sources of vector breeding, population dynamics, and transmission in Bamako to guide urban malaria control.</w:t>
      </w:r>
      <w:r w:rsidRPr="00AF28B8">
        <w:rPr>
          <w:rFonts w:ascii="Calibri" w:hAnsi="Calibri" w:cs="Calibri"/>
          <w:b/>
          <w:bCs/>
          <w:color w:val="000000"/>
          <w:sz w:val="22"/>
          <w:szCs w:val="22"/>
        </w:rPr>
        <w:t>Methods:</w:t>
      </w:r>
      <w:r w:rsidRPr="00AF28B8">
        <w:rPr>
          <w:rFonts w:ascii="Calibri" w:hAnsi="Calibri" w:cs="Calibri"/>
          <w:color w:val="000000"/>
          <w:sz w:val="22"/>
          <w:szCs w:val="22"/>
        </w:rPr>
        <w:t> Rapid urban malaria appraisal method was conducted in December 2024 to collect adult mosquitoes using double net traps with human bait, CDC-type UV traps, and spray-catch in twelve selected quarters of Bamako city, while larvae were collected using the dipping techniques. Polymerase Chain Reaction (PCR) was used for molecular identification of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complex species, and Enzyme-Linked Immuno-Sorbent Assay (ELISA) to determine blood meal sources and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infection.</w:t>
      </w:r>
      <w:r w:rsidRPr="00AF28B8">
        <w:rPr>
          <w:rFonts w:ascii="Calibri" w:hAnsi="Calibri" w:cs="Calibri"/>
          <w:b/>
          <w:bCs/>
          <w:color w:val="000000"/>
          <w:sz w:val="22"/>
          <w:szCs w:val="22"/>
        </w:rPr>
        <w:t>Results:</w:t>
      </w:r>
      <w:r w:rsidRPr="00AF28B8">
        <w:rPr>
          <w:rFonts w:ascii="Calibri" w:hAnsi="Calibri" w:cs="Calibri"/>
          <w:color w:val="000000"/>
          <w:sz w:val="22"/>
          <w:szCs w:val="22"/>
        </w:rPr>
        <w:t> A total of 177 larval habitats were surveyed in urban areas, consisting of Canals (30), Gutters (91), Puddles (20), Ponds (7), Flowerpots (8), and Containers (15). They were all negative for</w:t>
      </w:r>
      <w:r w:rsidRPr="00AF28B8">
        <w:rPr>
          <w:rFonts w:ascii="Calibri" w:hAnsi="Calibri" w:cs="Calibri"/>
          <w:i/>
          <w:iCs/>
          <w:color w:val="000000"/>
          <w:sz w:val="22"/>
          <w:szCs w:val="22"/>
        </w:rPr>
        <w:t> Anopheles gambiae</w:t>
      </w:r>
      <w:r w:rsidRPr="00AF28B8">
        <w:rPr>
          <w:rFonts w:ascii="Calibri" w:hAnsi="Calibri" w:cs="Calibri"/>
          <w:color w:val="000000"/>
          <w:sz w:val="22"/>
          <w:szCs w:val="22"/>
        </w:rPr>
        <w:t> s.l and positive for </w:t>
      </w:r>
      <w:r w:rsidRPr="00AF28B8">
        <w:rPr>
          <w:rFonts w:ascii="Calibri" w:hAnsi="Calibri" w:cs="Calibri"/>
          <w:i/>
          <w:iCs/>
          <w:color w:val="000000"/>
          <w:sz w:val="22"/>
          <w:szCs w:val="22"/>
        </w:rPr>
        <w:t>Culex</w:t>
      </w:r>
      <w:r w:rsidRPr="00AF28B8">
        <w:rPr>
          <w:rFonts w:ascii="Calibri" w:hAnsi="Calibri" w:cs="Calibri"/>
          <w:color w:val="000000"/>
          <w:sz w:val="22"/>
          <w:szCs w:val="22"/>
        </w:rPr>
        <w:t> spp and </w:t>
      </w:r>
      <w:r w:rsidRPr="00AF28B8">
        <w:rPr>
          <w:rFonts w:ascii="Calibri" w:hAnsi="Calibri" w:cs="Calibri"/>
          <w:i/>
          <w:iCs/>
          <w:color w:val="000000"/>
          <w:sz w:val="22"/>
          <w:szCs w:val="22"/>
        </w:rPr>
        <w:t>Aedes</w:t>
      </w:r>
      <w:r w:rsidRPr="00AF28B8">
        <w:rPr>
          <w:rFonts w:ascii="Calibri" w:hAnsi="Calibri" w:cs="Calibri"/>
          <w:color w:val="000000"/>
          <w:sz w:val="22"/>
          <w:szCs w:val="22"/>
        </w:rPr>
        <w:t> </w:t>
      </w:r>
      <w:r w:rsidRPr="00AF28B8">
        <w:rPr>
          <w:rFonts w:ascii="Calibri" w:hAnsi="Calibri" w:cs="Calibri"/>
          <w:i/>
          <w:iCs/>
          <w:color w:val="000000"/>
          <w:sz w:val="22"/>
          <w:szCs w:val="22"/>
        </w:rPr>
        <w:t>spp</w:t>
      </w:r>
      <w:r w:rsidRPr="00AF28B8">
        <w:rPr>
          <w:rFonts w:ascii="Calibri" w:hAnsi="Calibri" w:cs="Calibri"/>
          <w:color w:val="000000"/>
          <w:sz w:val="22"/>
          <w:szCs w:val="22"/>
        </w:rPr>
        <w:t>. The mosquito fauna comprised 98.9% of </w:t>
      </w:r>
      <w:r w:rsidRPr="00AF28B8">
        <w:rPr>
          <w:rFonts w:ascii="Calibri" w:hAnsi="Calibri" w:cs="Calibri"/>
          <w:i/>
          <w:iCs/>
          <w:color w:val="000000"/>
          <w:sz w:val="22"/>
          <w:szCs w:val="22"/>
        </w:rPr>
        <w:t>Culex</w:t>
      </w:r>
      <w:r w:rsidRPr="00AF28B8">
        <w:rPr>
          <w:rFonts w:ascii="Calibri" w:hAnsi="Calibri" w:cs="Calibri"/>
          <w:color w:val="000000"/>
          <w:sz w:val="22"/>
          <w:szCs w:val="22"/>
        </w:rPr>
        <w:t> </w:t>
      </w:r>
      <w:r w:rsidRPr="00AF28B8">
        <w:rPr>
          <w:rFonts w:ascii="Calibri" w:hAnsi="Calibri" w:cs="Calibri"/>
          <w:i/>
          <w:iCs/>
          <w:color w:val="000000"/>
          <w:sz w:val="22"/>
          <w:szCs w:val="22"/>
        </w:rPr>
        <w:t>s.p</w:t>
      </w:r>
      <w:r w:rsidRPr="00AF28B8">
        <w:rPr>
          <w:rFonts w:ascii="Calibri" w:hAnsi="Calibri" w:cs="Calibri"/>
          <w:color w:val="000000"/>
          <w:sz w:val="22"/>
          <w:szCs w:val="22"/>
        </w:rPr>
        <w:t> (n=14199), 0.5% of </w:t>
      </w:r>
      <w:r w:rsidRPr="00AF28B8">
        <w:rPr>
          <w:rFonts w:ascii="Calibri" w:hAnsi="Calibri" w:cs="Calibri"/>
          <w:i/>
          <w:iCs/>
          <w:color w:val="000000"/>
          <w:sz w:val="22"/>
          <w:szCs w:val="22"/>
        </w:rPr>
        <w:t>An. gambiae</w:t>
      </w:r>
      <w:r w:rsidRPr="00AF28B8">
        <w:rPr>
          <w:rFonts w:ascii="Calibri" w:hAnsi="Calibri" w:cs="Calibri"/>
          <w:color w:val="000000"/>
          <w:sz w:val="22"/>
          <w:szCs w:val="22"/>
        </w:rPr>
        <w:t> s.l. (n=62), and 0.6% of </w:t>
      </w:r>
      <w:r w:rsidRPr="00AF28B8">
        <w:rPr>
          <w:rFonts w:ascii="Calibri" w:hAnsi="Calibri" w:cs="Calibri"/>
          <w:i/>
          <w:iCs/>
          <w:color w:val="000000"/>
          <w:sz w:val="22"/>
          <w:szCs w:val="22"/>
        </w:rPr>
        <w:t>Aedes s.p</w:t>
      </w:r>
      <w:r w:rsidRPr="00AF28B8">
        <w:rPr>
          <w:rFonts w:ascii="Calibri" w:hAnsi="Calibri" w:cs="Calibri"/>
          <w:color w:val="000000"/>
          <w:sz w:val="22"/>
          <w:szCs w:val="22"/>
        </w:rPr>
        <w:t>. (n=82). </w:t>
      </w:r>
      <w:r w:rsidRPr="00AF28B8">
        <w:rPr>
          <w:rFonts w:ascii="Calibri" w:hAnsi="Calibri" w:cs="Calibri"/>
          <w:i/>
          <w:iCs/>
          <w:color w:val="000000"/>
          <w:sz w:val="22"/>
          <w:szCs w:val="22"/>
        </w:rPr>
        <w:t>Anopheles arabiensis </w:t>
      </w:r>
      <w:r w:rsidRPr="00AF28B8">
        <w:rPr>
          <w:rFonts w:ascii="Calibri" w:hAnsi="Calibri" w:cs="Calibri"/>
          <w:color w:val="000000"/>
          <w:sz w:val="22"/>
          <w:szCs w:val="22"/>
        </w:rPr>
        <w:t>(67.6%) was the dominant species in urban areas, followed by </w:t>
      </w:r>
      <w:r w:rsidRPr="00AF28B8">
        <w:rPr>
          <w:rFonts w:ascii="Calibri" w:hAnsi="Calibri" w:cs="Calibri"/>
          <w:i/>
          <w:iCs/>
          <w:color w:val="000000"/>
          <w:sz w:val="22"/>
          <w:szCs w:val="22"/>
        </w:rPr>
        <w:t>An. coluzzii</w:t>
      </w:r>
      <w:r w:rsidRPr="00AF28B8">
        <w:rPr>
          <w:rFonts w:ascii="Calibri" w:hAnsi="Calibri" w:cs="Calibri"/>
          <w:color w:val="000000"/>
          <w:sz w:val="22"/>
          <w:szCs w:val="22"/>
        </w:rPr>
        <w:t> (25%) and </w:t>
      </w:r>
      <w:r w:rsidRPr="00AF28B8">
        <w:rPr>
          <w:rFonts w:ascii="Calibri" w:hAnsi="Calibri" w:cs="Calibri"/>
          <w:i/>
          <w:iCs/>
          <w:color w:val="000000"/>
          <w:sz w:val="22"/>
          <w:szCs w:val="22"/>
        </w:rPr>
        <w:t>An. gambiae</w:t>
      </w:r>
      <w:r w:rsidRPr="00AF28B8">
        <w:rPr>
          <w:rFonts w:ascii="Calibri" w:hAnsi="Calibri" w:cs="Calibri"/>
          <w:color w:val="000000"/>
          <w:sz w:val="22"/>
          <w:szCs w:val="22"/>
        </w:rPr>
        <w:t> (7.4%). The human blood index was 22.6% (14/62), suggesting the presence of pronounced zoophilic mosquitoes in urban settings. None of the 62 specimens tested by ELISA was found positive for </w:t>
      </w:r>
      <w:r w:rsidRPr="00AF28B8">
        <w:rPr>
          <w:rFonts w:ascii="Calibri" w:hAnsi="Calibri" w:cs="Calibri"/>
          <w:i/>
          <w:iCs/>
          <w:color w:val="000000"/>
          <w:sz w:val="22"/>
          <w:szCs w:val="22"/>
        </w:rPr>
        <w:t>P. falciparum</w:t>
      </w:r>
      <w:r w:rsidRPr="00AF28B8">
        <w:rPr>
          <w:rFonts w:ascii="Calibri" w:hAnsi="Calibri" w:cs="Calibri"/>
          <w:color w:val="000000"/>
          <w:sz w:val="22"/>
          <w:szCs w:val="22"/>
        </w:rPr>
        <w:t>. </w:t>
      </w:r>
      <w:r w:rsidRPr="00AF28B8">
        <w:rPr>
          <w:rFonts w:ascii="Calibri" w:hAnsi="Calibri" w:cs="Calibri"/>
          <w:b/>
          <w:bCs/>
          <w:color w:val="000000"/>
          <w:sz w:val="22"/>
          <w:szCs w:val="22"/>
        </w:rPr>
        <w:t>Conclusion: </w:t>
      </w:r>
      <w:r w:rsidRPr="00AF28B8">
        <w:rPr>
          <w:rFonts w:ascii="Calibri" w:hAnsi="Calibri" w:cs="Calibri"/>
          <w:i/>
          <w:iCs/>
          <w:color w:val="000000"/>
          <w:sz w:val="22"/>
          <w:szCs w:val="22"/>
        </w:rPr>
        <w:t>Anopheles arabiensis</w:t>
      </w:r>
      <w:r w:rsidRPr="00AF28B8">
        <w:rPr>
          <w:rFonts w:ascii="Calibri" w:hAnsi="Calibri" w:cs="Calibri"/>
          <w:color w:val="000000"/>
          <w:sz w:val="22"/>
          <w:szCs w:val="22"/>
        </w:rPr>
        <w:t> was the predominant vector species in Bamako during our rapid assessment. Though no infected mosquito was found, the presence of the 3 major vectors during this dry season suggests a high risk for malaria transmission in urban and peri-urban Bamako. The study highlights the need for an urban integrated vector management to tackle potential external transmission by </w:t>
      </w:r>
      <w:r w:rsidRPr="00AF28B8">
        <w:rPr>
          <w:rFonts w:ascii="Calibri" w:hAnsi="Calibri" w:cs="Calibri"/>
          <w:i/>
          <w:iCs/>
          <w:color w:val="000000"/>
          <w:sz w:val="22"/>
          <w:szCs w:val="22"/>
        </w:rPr>
        <w:t>An. arabiensis</w:t>
      </w:r>
      <w:r w:rsidRPr="00AF28B8">
        <w:rPr>
          <w:rFonts w:ascii="Calibri" w:hAnsi="Calibri" w:cs="Calibri"/>
          <w:color w:val="000000"/>
          <w:sz w:val="22"/>
          <w:szCs w:val="22"/>
        </w:rPr>
        <w:t> to reduce transmission.</w:t>
      </w:r>
      <w:r w:rsidRPr="00AF28B8">
        <w:rPr>
          <w:rFonts w:ascii="Calibri" w:hAnsi="Calibri" w:cs="Calibri"/>
          <w:b/>
          <w:bCs/>
          <w:color w:val="000000"/>
          <w:sz w:val="22"/>
          <w:szCs w:val="22"/>
        </w:rPr>
        <w:t>Key words:</w:t>
      </w:r>
      <w:r w:rsidRPr="00AF28B8">
        <w:rPr>
          <w:rFonts w:ascii="Calibri" w:hAnsi="Calibri" w:cs="Calibri"/>
          <w:color w:val="000000"/>
          <w:sz w:val="22"/>
          <w:szCs w:val="22"/>
        </w:rPr>
        <w:t>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w:t>
      </w:r>
      <w:r w:rsidRPr="00AF28B8">
        <w:rPr>
          <w:rFonts w:ascii="Calibri" w:hAnsi="Calibri" w:cs="Calibri"/>
          <w:i/>
          <w:iCs/>
          <w:color w:val="000000"/>
          <w:sz w:val="22"/>
          <w:szCs w:val="22"/>
        </w:rPr>
        <w:t>s.l.</w:t>
      </w:r>
      <w:r w:rsidRPr="00AF28B8">
        <w:rPr>
          <w:rFonts w:ascii="Calibri" w:hAnsi="Calibri" w:cs="Calibri"/>
          <w:color w:val="000000"/>
          <w:sz w:val="22"/>
          <w:szCs w:val="22"/>
        </w:rPr>
        <w:t>, urban malaria, </w:t>
      </w:r>
      <w:r w:rsidRPr="00AF28B8">
        <w:rPr>
          <w:rFonts w:ascii="Calibri" w:hAnsi="Calibri" w:cs="Calibri"/>
          <w:i/>
          <w:iCs/>
          <w:color w:val="000000"/>
          <w:sz w:val="22"/>
          <w:szCs w:val="22"/>
        </w:rPr>
        <w:t>P. falciparum</w:t>
      </w:r>
      <w:r w:rsidRPr="00AF28B8">
        <w:rPr>
          <w:rFonts w:ascii="Calibri" w:hAnsi="Calibri" w:cs="Calibri"/>
          <w:color w:val="000000"/>
          <w:sz w:val="22"/>
          <w:szCs w:val="22"/>
        </w:rPr>
        <w:t> infection rate, blood meal</w:t>
      </w:r>
    </w:p>
    <w:p w14:paraId="37D8A76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25-A-3717-ASTMH</w:t>
      </w:r>
    </w:p>
    <w:p w14:paraId="0D9AC069"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04D4332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Enhancing early diagnosis and treatment of pediatric neglected tropical diseases in resource limit setting: The impact of health insurance-supported biopsy utilization</w:t>
      </w:r>
    </w:p>
    <w:p w14:paraId="5BBAD25B"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Background:Pediatric dermatology in Nepal carries a very special set of problems, with NTDs like leprosy, cutaneous leishmaniasis, and scabies etc predominantly affecting rural Nepalese children.</w:t>
      </w:r>
      <w:r w:rsidRPr="00AF28B8">
        <w:rPr>
          <w:rFonts w:ascii="Calibri" w:hAnsi="Calibri" w:cs="Calibri"/>
          <w:color w:val="000000"/>
          <w:sz w:val="22"/>
          <w:szCs w:val="22"/>
        </w:rPr>
        <w:br/>
        <w:t xml:space="preserve">Objective:To quantify skin-associated NTD incidence among pediatric cohorts in Nepal, biopsy utilization trends, health insurance impacts on early diagnosis, and outcomes.Methods:A retrospective cross-sectional study, analyzing the data in 2023-024, as collected, was performed. Children &lt; 16 years of age with signs and symptoms of neurological manifestations of tropical diseases, other NTDs clinical manifestations were included. A review of data for a total of 120 such cases was made and divided into </w:t>
      </w:r>
      <w:r w:rsidRPr="00AF28B8">
        <w:rPr>
          <w:rFonts w:ascii="Calibri" w:hAnsi="Calibri" w:cs="Calibri"/>
          <w:color w:val="000000"/>
          <w:sz w:val="22"/>
          <w:szCs w:val="22"/>
        </w:rPr>
        <w:lastRenderedPageBreak/>
        <w:t>two groups-insured versus uninsured patients.</w:t>
      </w:r>
      <w:r w:rsidRPr="00AF28B8">
        <w:rPr>
          <w:rFonts w:ascii="Calibri" w:hAnsi="Calibri" w:cs="Calibri"/>
          <w:color w:val="000000"/>
          <w:sz w:val="22"/>
          <w:szCs w:val="22"/>
        </w:rPr>
        <w:br/>
        <w:t>Results:Out of 120 enrolled cases, 65 were insured under the National Health Insurance Program, and 55 were uninsured. Key findings include : NTD Distribution: The most common distribution of NTDs includes Leprosy 45%, scabies 30%, and cutaneous leishmaniasis 25%.Biopsy Use: 78% were done in patients who were insured as compared to 52% on patients who were uninsured, p &lt; 0.001. Diagnostic Yield: 65% were those confirmed diagnoses from the insured; 40% were those from cases that were uninsured. Timely Treatment: Treatment initiation within 30 days was more common, 85%, among the insured than the uninsured, 55%.Logistic regression demonstrated that insurance status was a significant predictor for biopsy use, OR = 2.5, 95% CI:1.8-3.5, and early treatment initiation, OR = 3.1, 95% CI:2.2-4.4. Tools like dermoscopy and serial macro digital photography were important for comprehensive management.</w:t>
      </w:r>
      <w:r w:rsidRPr="00AF28B8">
        <w:rPr>
          <w:rFonts w:ascii="Calibri" w:hAnsi="Calibri" w:cs="Calibri"/>
          <w:color w:val="000000"/>
          <w:sz w:val="22"/>
          <w:szCs w:val="22"/>
        </w:rPr>
        <w:br/>
        <w:t>Conclusion:Health insurance-supported biopsy markedly enhances the diagnosis of pediatric NTDs and timely initiation of treatment in Nepal. The study brings forth the demand for expanded insurance cover and smoothed access to dermato-pathology, mainly in underserved areas. Strengthening such policies may yield improved pediatric health and quality of life and reduce the public health burden of NTDs among children in resource limit setting.</w:t>
      </w:r>
    </w:p>
    <w:p w14:paraId="2924C494"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25-A-3718-ASTMH</w:t>
      </w:r>
    </w:p>
    <w:p w14:paraId="02961B3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539FB2D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first confirmation of Anopheles coustani as a secondary vector of malaria in Maputo Province, Mozambique</w:t>
      </w:r>
    </w:p>
    <w:p w14:paraId="309D17CF"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significant vector-borne disease, predominantly transmitted by Anopheles mosquitoes. While substantial progress has been made in reducing malaria cases globally, however, Mozambique continues experiencing high transmission rates. This study investigates the occurrence, composition, sporozoite rate and role of Anopheles coustani as a malaria vector in Maputo Province, southern Mozambique. Entomological surveillance was conducted from 2020 to 2022 across all eight districts of Maputo Province, employing various mosquito collection methods including human landing catch (HLC) and CDC light traps (CDC LT). Morphological and molecular identification revealed a overwhelming presence of An. coustani comprising 59.22% of all Anopheline collected. and sporozoite detection assays An. coustani displayed a sporozoite rate of 0.31%, confirming its role in malaria transmission. These findings highlight the importance of including surveillance of those considered secondary vectors and intensify the study of their biology in order to design appropriate strategies for it control.</w:t>
      </w:r>
    </w:p>
    <w:p w14:paraId="15A73D0A"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25-A-3719-ASTMH</w:t>
      </w:r>
    </w:p>
    <w:p w14:paraId="4BDD5E2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6710C5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Dengue seroprevalence among children in Dhaka, Bangladesh in early 2025: establishing a baseline to test community mobilization interventions for </w:t>
      </w:r>
      <w:r w:rsidRPr="00AF28B8">
        <w:rPr>
          <w:rFonts w:ascii="Calibri" w:hAnsi="Calibri" w:cs="Calibri"/>
          <w:i/>
          <w:iCs/>
          <w:color w:val="000000"/>
          <w:sz w:val="22"/>
          <w:szCs w:val="22"/>
        </w:rPr>
        <w:t>Aedes</w:t>
      </w:r>
      <w:r w:rsidRPr="00AF28B8">
        <w:rPr>
          <w:rFonts w:ascii="Calibri" w:hAnsi="Calibri" w:cs="Calibri"/>
          <w:color w:val="000000"/>
          <w:sz w:val="22"/>
          <w:szCs w:val="22"/>
        </w:rPr>
        <w:t> control</w:t>
      </w:r>
    </w:p>
    <w:p w14:paraId="39F3B5E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causes an estimated 390 million infections annually, with South and Southeast Asian populations among those facing the highest burden of disease. Dengue is endemic in Bangladesh and recent years have brought cases to historic scales, with increased incidence compounded by densely populated urban centers, limited actions being taken for vector control, and the concurrence of other crises. Most cases occur in Dhaka, but without widespread testing, mild cases may go undetected or be mistaken for another illness. As part of a cluster randomized controlled trial (cRCT) in Dhaka, we are estimating seroprevalence of prior dengue infection among children 2-12 years old in February-May 2025. We will recruit 5,848 children (and have recruited 3,544 as of April 2025) to participate in this study. Questionnaire data from participating households includes prior dengue episodes, sociodemographics, environmental information, social capital, and dengue knowledge, attitudes, and practices (KAP). In each household, 1-2 children ages 2-12 years provides a dried blood spot sample via finger prick for ELISA testing of dengue IgG antibodies. BG Sentinel traps will be deployed in a subsample of participating households in June-July 2025 to assess density of adult female mosquitoes, with </w:t>
      </w:r>
      <w:r w:rsidRPr="00AF28B8">
        <w:rPr>
          <w:rFonts w:ascii="Calibri" w:hAnsi="Calibri" w:cs="Calibri"/>
          <w:color w:val="000000"/>
          <w:sz w:val="22"/>
          <w:szCs w:val="22"/>
        </w:rPr>
        <w:lastRenderedPageBreak/>
        <w:t>identification of </w:t>
      </w:r>
      <w:r w:rsidRPr="00AF28B8">
        <w:rPr>
          <w:rFonts w:ascii="Calibri" w:hAnsi="Calibri" w:cs="Calibri"/>
          <w:i/>
          <w:iCs/>
          <w:color w:val="000000"/>
          <w:sz w:val="22"/>
          <w:szCs w:val="22"/>
        </w:rPr>
        <w:t>Aedes aegypti</w:t>
      </w:r>
      <w:r w:rsidRPr="00AF28B8">
        <w:rPr>
          <w:rFonts w:ascii="Calibri" w:hAnsi="Calibri" w:cs="Calibri"/>
          <w:color w:val="000000"/>
          <w:sz w:val="22"/>
          <w:szCs w:val="22"/>
        </w:rPr>
        <w:t>, </w:t>
      </w:r>
      <w:r w:rsidRPr="00AF28B8">
        <w:rPr>
          <w:rFonts w:ascii="Calibri" w:hAnsi="Calibri" w:cs="Calibri"/>
          <w:i/>
          <w:iCs/>
          <w:color w:val="000000"/>
          <w:sz w:val="22"/>
          <w:szCs w:val="22"/>
        </w:rPr>
        <w:t>Ae. albopictus</w:t>
      </w:r>
      <w:r w:rsidRPr="00AF28B8">
        <w:rPr>
          <w:rFonts w:ascii="Calibri" w:hAnsi="Calibri" w:cs="Calibri"/>
          <w:color w:val="000000"/>
          <w:sz w:val="22"/>
          <w:szCs w:val="22"/>
        </w:rPr>
        <w:t>, </w:t>
      </w:r>
      <w:r w:rsidRPr="00AF28B8">
        <w:rPr>
          <w:rFonts w:ascii="Calibri" w:hAnsi="Calibri" w:cs="Calibri"/>
          <w:i/>
          <w:iCs/>
          <w:color w:val="000000"/>
          <w:sz w:val="22"/>
          <w:szCs w:val="22"/>
        </w:rPr>
        <w:t>Culex</w:t>
      </w:r>
      <w:r w:rsidRPr="00AF28B8">
        <w:rPr>
          <w:rFonts w:ascii="Calibri" w:hAnsi="Calibri" w:cs="Calibri"/>
          <w:color w:val="000000"/>
          <w:sz w:val="22"/>
          <w:szCs w:val="22"/>
        </w:rPr>
        <w:t> spp, and Other spp using standard taxonomic keys. We will estimate unadjusted dengue seroprevalence using logistic regression and inverse probability weighting, as well as examining associations of seroprevalence with age group, and households’ socio-economic status, social capital, KAP, and </w:t>
      </w:r>
      <w:r w:rsidRPr="00AF28B8">
        <w:rPr>
          <w:rFonts w:ascii="Calibri" w:hAnsi="Calibri" w:cs="Calibri"/>
          <w:i/>
          <w:iCs/>
          <w:color w:val="000000"/>
          <w:sz w:val="22"/>
          <w:szCs w:val="22"/>
        </w:rPr>
        <w:t>Aedes </w:t>
      </w:r>
      <w:r w:rsidRPr="00AF28B8">
        <w:rPr>
          <w:rFonts w:ascii="Calibri" w:hAnsi="Calibri" w:cs="Calibri"/>
          <w:color w:val="000000"/>
          <w:sz w:val="22"/>
          <w:szCs w:val="22"/>
        </w:rPr>
        <w:t>density. All data will be analyzed descriptively after baseline data collection, with preliminary results anticipated by September 2025. As part of a multi-year dengue serosurvey, this study will provide insight into the current dengue seroprevalence in a highly endemic setting with limited access to testing and limited seroprevalence studies.</w:t>
      </w:r>
    </w:p>
    <w:p w14:paraId="55965D9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25-A-3720-ASTMH</w:t>
      </w:r>
    </w:p>
    <w:p w14:paraId="04927C8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02BFD968"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Robust, Accessible, Scalable Tools for Malaria Genomic Analysis for Short Read WGS, Short Read Targeted Amplion, and Long Read WGS on the Terra Cloud Platform</w:t>
      </w:r>
    </w:p>
    <w:p w14:paraId="15040B27"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Genomic surveillance holds great potential for global malaria control, but data analysis capacity remains a challenge, particularly in settings lacking computational infrastructure and expertise. We have developed robust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(Pf) genomic data analysis workflows implemented in Terra workspaces to serve common malaria genomics use cases. These workflows enable scalable variant calling, annotation, drug resistance marker extraction and phenotype prediction using standardized, open-source tools across amplicon, short read whole genome sequencing (WGS), and long read WGS data. The public amplicon processing workspace is designed to be configurable to enable variant calling of amplicon data for any panel (Mad4Hatter by default). These variants can then be processed by downstream tools that accept standard output formats (e.g. VCF, PMO). The short read workspaces include the ability to perform both single-sample and joint variant calling of WGS data with background samples (such as from Pf7) for population context. The workspace also includes ease-of-use features, such as sample reports with data and metadata. In addition, we created an interface to query large joint calls natively in Terra and return configurable subsets in both VCF and TSV format. This eliminates both the need to handle very large files and any required bioinformatics expertise to extract regions of interest. The long read workspace enables the ability to perform all steps outlined above for short reads as well as calling some structural variants. These analyses are possible on data from both Oxford Nanopore and Pacific Biosciences sequencing platforms. To facilitate the use of Pf7 data, we have also created Terra workspaces to host the full Pf7 dataset as well as downsampled subsets of Pf7 by population area. These downsampled workspaces are designed to enable users to upload their own data and perform joint calls using the Pf7 samples as population references. Our poster will highlight how these tools facilitate the translation of complex genomic data into actionable insights, strengthening malaria surveillance and supporting elimination efforts.</w:t>
      </w:r>
    </w:p>
    <w:p w14:paraId="572C9CA1"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25-A-3721-ASTMH</w:t>
      </w:r>
    </w:p>
    <w:p w14:paraId="6581A593"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39B9F77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Strengthening the Public Health Emergency Operations Center’s capacity for real-time decision-making for mpox epidemic management in the DRC through a data integration and visualization tool</w:t>
      </w:r>
    </w:p>
    <w:p w14:paraId="2E5805E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Over the past 5 years, the DRC has implemented important health sector reforms, including the creation of a Public Health Emergency Operations Center (PHEOC) under the MOH in 2023 to coordinate epidemic and emergency preparedness and response (EPR). Traditionally, information on emergencies was gathered through paper-based systems and managed through Excel, leading to slow reporting, errors, and missing data. To operationalize and strengthen the PHEOC’s EPR capacities, and supporting the country’s focus on a One Health approach for emergency management, Bluesquare developed a multi-sector data integration tool and visualization dashboard for the PHEOC to enable more complete and rapid insights on outbreaks. Following WHO’s declaration of mpox as a PHEIC in August 2024, this tool was adapted to integrate country-wide mpox data from multiple sources and create an mpox-specific dashboard for the PHEOC. This dashboard strengthened data-driven decision-making in alignment with the country’s mpox response plan, increasing awareness of the time needed between </w:t>
      </w:r>
      <w:r w:rsidRPr="00AF28B8">
        <w:rPr>
          <w:rFonts w:ascii="Calibri" w:hAnsi="Calibri" w:cs="Calibri"/>
          <w:color w:val="000000"/>
          <w:sz w:val="22"/>
          <w:szCs w:val="22"/>
        </w:rPr>
        <w:lastRenderedPageBreak/>
        <w:t>data collection and diffusion, supporting better reactivity, and reducing the decision-making timeline from 3 weeks to 1. It also raised awareness of shortcomings in data quality, improved the cross-analysis of reference data streams, and enabled a stronger understanding of inconsistencies between data sources. As a result, data quality improvements include the harmonization of data collection and reporting tools, establishment of validation rules, and feedback on data quality provided in real time. The PHEOC also increased their collaboration with other agencies, gaining a stronger foundation and cross-cutting role in DRC’s EPR systems. As the DRC continues to manage the mpox epidemic, the integrated dashboard has been the primary tool used by DRC authorities for a comprehensive understanding of the epidemic and interventions in real time, enabling a more timely and coordinated mpox response. The quick development and use of the tool also demonstrates potential for adaptation and use for rapid decision-making and coordination for future emergencies.</w:t>
      </w:r>
    </w:p>
    <w:p w14:paraId="01E7F93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25-A-3722-ASTMH</w:t>
      </w:r>
    </w:p>
    <w:p w14:paraId="3B507B9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19A203B6"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Good for hearts, better for budgets: a cost-effectiveness evaluation of screening for Chagas disease</w:t>
      </w:r>
    </w:p>
    <w:p w14:paraId="77751BE7"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is underdiagnosed in the US, where it predominantly occurs in individuals from Mexico, Central, and South America. Early antiparasitic treatment may prevent progression to costly and disabling cardiomyopathy, yet the cost-effectiveness of adult screening programs is uncertain. We developed a decision tree model to evaluate Chagas disease screening cost-effectiveness in asymptomatic adults 18-60 years old without cardiomyopathy. The model compared a screening and treatment strategy to no screening from a US healthcare payer perspective, using a lifetime horizon and 3% annual discounting. Model parameters were drawn from Boston Medical Center patient data and supplemented with available literature. Deterministic and probabilistic sensitivity analyses involving 10,000 Monte Carlo simulations were conducted to assess robustness across key uncertainties. Compared to no screening, screening yielded slightly higher costs ($173,551 vs. $173,300) and quality adjusted life-years (QALYs) (17.25 vs. 17.21). Screening was cost-effective with a mean incremental cost-effectiveness ratio of $6,735(95% CI: $6,836-$6,906)/QALY gained, far lower than the conventional willingness-to-pay (WTP) threshold of $50,000/QALY gained. In one-way sensitivity analyses, results were most sensitive to Chagas prevalence, utility values for mild cardiomyopathy, and annual cost of managing early disease. Two-way sensitivity analysis varying prevalence and age (a proxy for treatment effectiveness) demonstrated that screening remained cost-effective across all modeled combinations. In probabilistic sensitivity analysis (10,000 simulations), screening remained cost-effective in &gt;95% of simulations at a WTP threshold of $10,000, and in 100% of simulations at </w:t>
      </w:r>
      <w:r w:rsidRPr="00AF28B8">
        <w:rPr>
          <w:rFonts w:ascii="Calibri" w:hAnsi="Calibri" w:cs="Calibri"/>
          <w:color w:val="000000"/>
          <w:sz w:val="22"/>
          <w:szCs w:val="22"/>
          <w:u w:val="single"/>
        </w:rPr>
        <w:t>&gt; </w:t>
      </w:r>
      <w:r w:rsidRPr="00AF28B8">
        <w:rPr>
          <w:rFonts w:ascii="Calibri" w:hAnsi="Calibri" w:cs="Calibri"/>
          <w:color w:val="000000"/>
          <w:sz w:val="22"/>
          <w:szCs w:val="22"/>
        </w:rPr>
        <w:t>$15,000. Screening for Chagas disease among asymptomatic adults in the US is highly cost-effective—even under conservative assumptions. These findings support expansion of Chagas disease screening prior to symptomatic disease in at-risk populations in the US to prevent adverse outcomes.</w:t>
      </w:r>
    </w:p>
    <w:p w14:paraId="62BC755C"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25-A-3723-ASTMH</w:t>
      </w:r>
    </w:p>
    <w:p w14:paraId="72EF41C8"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5FBB7D0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Utilizing the WHO Malaria Surveillance Assessment Toolkit to Accelerate Elimination in Zanzibar</w:t>
      </w:r>
    </w:p>
    <w:p w14:paraId="36B97567"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Zanzibar significantly reduced its malaria incidence from 40% in 2005 to 2% in Unguja and 1% in Pemba in 2022. However, a resurgence in Unguja, where incidence rose to 13% in 2023, prompted the need to develop a revised elimination strategy. In response, Population Services International’s MEZA project in collaboration with the Zanzibar Malaria Elimination Program (ZAMEP) conducted an assessment using the WHO Malaria Surveillance Assessment Toolkit from January-April 2025. The goal of this assessment was to document the surveillance landscape to identify gaps and challenges in the current system and response operations and identify recommendations. The assessment examined surveillance system performance, context, infrastructure, technology, processes, and behaviors. The first phase of the assessment was a desk review of strategic documents, guidelines, and reports. The second phase included interviews at national, district health management and health facility levels. Three </w:t>
      </w:r>
      <w:r w:rsidRPr="00AF28B8">
        <w:rPr>
          <w:rFonts w:ascii="Calibri" w:hAnsi="Calibri" w:cs="Calibri"/>
          <w:color w:val="000000"/>
          <w:sz w:val="22"/>
          <w:szCs w:val="22"/>
        </w:rPr>
        <w:lastRenderedPageBreak/>
        <w:t>representatives from each of the 11 district health management teams were interviewed. A mix of 73 public and private facilities were selected based on probability proportional to size sampling. Preliminary results from the desk review have shown that malaria surveillance data has been used for national strategic planning, revising policies, monitoring program performance and responding to cases. Data has also been used to inform decisions to improve the surveillance system, including supervision, data quality and response activities. Malaria is included in the Integrated Disease Surveillance and Response reporting system and is therefore a notifiable disease for all health facility sectors. A Master Health Facility list exists and has identifiers for each facility and each case has a unique identifier. The desk review, field data collection and data analysis will be completed by the end of April 2025. The results of this assessment will be used to improve malaria elimination strategies, inform finalizing updating the Malaria Surveillance and Response guidelines and facilitate updating the malaria reporting system.</w:t>
      </w:r>
    </w:p>
    <w:p w14:paraId="03D9B8C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25-A-3724-ASTMH</w:t>
      </w:r>
    </w:p>
    <w:p w14:paraId="529355C8"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794EB42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Delivery strategies to optimise adherence of post-discharge malaria chemoprevention (PDMC): Findings from formative research in Benin, Malawi, Kenya and Uganda</w:t>
      </w:r>
    </w:p>
    <w:p w14:paraId="5B62BFA5"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Post-discharge malaria chemoprevention (PDMC) is recommended for children hospitalised with severe anaemia in areas with moderate-to-high malaria transmission to prevent re-hospitalisation and death. The PDMC Saves Lives project conducted formative research to explore perceptions of key stakeholders at national, health facility, community and user levels in Benin, Kenya, Malawi and Uganda on preferred delivery strategies for PDMC, including how to optimise adherence. Findings informed the design of implementation trials in Benin and Kenya, with the aim of generating evidence on how to deliver PDMC and accelerating policy uptake among malaria-endemic countries.In-depth interviews were conducted with 141 purposively selected respondents (16 policy makers, 52 health providers, 37 community health workers (CHWs), and 36 caregivers of children recently hospitalised for severe anaemia) between February 2024 and February 2025. Thematic analysis explored perceptions on: 1) drug and regimen, 2) four potential delivery strategies - giving all three-monthly courses to the caregiver at discharge, community delivery either by CHW or collection by caregivers at a local facility, and collection from the discharging facility, 3) barriers and facilitators to optimal adherence, and 4) reminder mechanisms. Preferences were mapped across respondent groups and countries to examine similarities and differences. Country-level preferences were situated within specific policy contexts. Community delivery strategies were preferred across countries and respondent groups, as they minimised access barriers for caregivers while ensuring adequate monitoring and follow up. Opinions about the other two strategies differed among respondent groups and countries. Monthly dihydroartemisinin-piperquine was perceived as an effective, well tolerated choice for PDMC with an acceptable pill burden. Contextual factors influenced respondent’s preferences for drug choice, delivery strategy and reminder mechanism. Drug delivery should prioritise access for caregivers and be provided alongside robust reminder mechanisms to optimise adherence.</w:t>
      </w:r>
    </w:p>
    <w:p w14:paraId="765EF7A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25-A-3726-ASTMH</w:t>
      </w:r>
    </w:p>
    <w:p w14:paraId="3450A6C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151AEEBF"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Economic Benefits of Malaria Control</w:t>
      </w:r>
    </w:p>
    <w:p w14:paraId="4545CFAE"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2023, there were an estimated 263 million malaria cases, 90% in sub-Saharan Africa. Malaria has been shown to impact economic growth in endemic countries by as much as 1.3% per year. Reducing malaria by 90% by 2030 could prevent ~600,000 deaths annually and increase international trade by up to $80.7 billion by 2030, contributing to global safety and productivity. Despite having eliminated malaria, the United States diagnoses approximately 2,000 imported cases of malaria per year among returning travelers and the military. About 14% of these cases develop severe disease and 2 - 3% of people die. Over the past 20 years, investments in global malaria control have led to substantial gains. We sought to quantify the health and economic impacts of a reduced focus on malaria control. Excess country level </w:t>
      </w:r>
      <w:r w:rsidRPr="00AF28B8">
        <w:rPr>
          <w:rFonts w:ascii="Calibri" w:hAnsi="Calibri" w:cs="Calibri"/>
          <w:color w:val="000000"/>
          <w:sz w:val="22"/>
          <w:szCs w:val="22"/>
        </w:rPr>
        <w:lastRenderedPageBreak/>
        <w:t>cases and deaths were obtained using spatio-temporal Bayesian models of intervention coverage and </w:t>
      </w:r>
      <w:r w:rsidRPr="00AF28B8">
        <w:rPr>
          <w:rFonts w:ascii="Calibri" w:hAnsi="Calibri" w:cs="Calibri"/>
          <w:i/>
          <w:iCs/>
          <w:color w:val="000000"/>
          <w:sz w:val="22"/>
          <w:szCs w:val="22"/>
        </w:rPr>
        <w:t>Plasmodium falciparum </w:t>
      </w:r>
      <w:r w:rsidRPr="00AF28B8">
        <w:rPr>
          <w:rFonts w:ascii="Calibri" w:hAnsi="Calibri" w:cs="Calibri"/>
          <w:color w:val="000000"/>
          <w:sz w:val="22"/>
          <w:szCs w:val="22"/>
        </w:rPr>
        <w:t>transmission and burden in Africa comparing different funding scenarios. We then used a two-way fixed effects model, incorporating previous annual country funding levels from President’s Malaria Initiative (PMI), trade data from the U.S. Census Bureau, and U.S. travel information, to estimate the potential health and economic impacts on the U.S. and African country economies if U.S. investments toward global malaria control activities were reduced. Overall, a 1-year pause in U.S. bilateral malaria funding could lead to an additional 13.6 million cases and 104,000 deaths globally and ~320 additional imported cases in the U.S. This scenario could result in a loss of up to $3.6 billion in endemic countries. The U.S. economy would also lose $863.57 million in the first year, including direct economic impacts, such as the loss of 3,118 U.S. jobs and $101 million revenue to U.S. contractors, and a $742 million loss due to decreased U.S. exports to endemic countries. In addition, the additional malaria cases in the U.S. could cost as much as $87 million in societal economic costs. Malaria control makes Americans safer, and results in a net economic benefit to the U.S., as well as to the endemic countries receiving it.</w:t>
      </w:r>
    </w:p>
    <w:p w14:paraId="223D2C31"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25-A-3727-ASTMH</w:t>
      </w:r>
    </w:p>
    <w:p w14:paraId="1FD50F7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4BBE525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Predictors of cholera-related mortality in Haiti, 2022-2024</w:t>
      </w:r>
    </w:p>
    <w:p w14:paraId="5F6AC4B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Haiti reported a resurgence of cholera in October 2022, which rapidly spread from its capital to the entire country, causing 88,087 suspected cases and 1,324 deaths through December 2024. There is limited data on predictors of mortality in cholera outbreaks. We conducted a retrospective, cross-sectional analysis of a non-governmental health organization’s cholera treatment facility data to identify factors associated with increased cholera-related mortality in Haiti between October 2022 and December 2024. Cases were individuals with acute watery diarrhea (AWD) medically attended at 15 health facilities in the Artibonite and Centre departments. During the study period, there were a total of 19,076 AWD cases, including 144 deaths, for an overall case-fatality ratio of 0.75. Nearly 51% of all AWD cases were male (9,650/18,963) and 68% (12,771/18,795) were ≥5 years old. A quarter (4,761/19,067) of all cases had severe dehydration at presentation, 65.8% (9,479/14,414) reported vomiting, and 91.6% (17,076/18,638) were admitted for at least 24 hours. Individuals who died from AWD tended to be older than survivors, with a median age of 40 years [IQR 11-66] compared to a median age of 10 years [IQR 3-32], P&lt;0.001. Decedents were also more likely to be admitted with severe dehydration (70.1% vs 24.60, P&lt;0.001) or vomiting (93.5% vs 65.6%, P&lt;0.001) and less likely to have taken an oral rehydration solution (ORS) prior to presentation (12.3% vs 19.8%, P=0.03). In multivariable logistic regression, factors significantly associated with increased mortality included age ≥60 years (OR 6.10, 95%CI 3.03-12.3, P &lt;0.001), severe dehydration (OR 4.86, 95%CI 3.02-7.82, P&lt;0.001), and vomiting (OR 4.54, 95%CI 1.73-11.94, P=0.002). Being female (OR 0.54, 95%CI 0.34-0.87, P=0.01) was significantly associated with a lower risk of death. These findings highlight an opportunity to add older age and vomiting as triage factors in the care of diarrhea-related deaths during cholera outbreaks and reinforce the need to increase access to ORS in communities.</w:t>
      </w:r>
      <w:r w:rsidRPr="00AF28B8">
        <w:rPr>
          <w:rFonts w:ascii="Calibri" w:hAnsi="Calibri" w:cs="Calibri"/>
          <w:color w:val="000000"/>
          <w:sz w:val="22"/>
          <w:szCs w:val="22"/>
        </w:rPr>
        <w:br/>
        <w:t>1</w:t>
      </w:r>
    </w:p>
    <w:p w14:paraId="1E08FE17"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25-A-3729-ASTMH</w:t>
      </w:r>
    </w:p>
    <w:p w14:paraId="5A0883E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13B8528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Reaching the Unreached: Inclusive Strategies to Improve Deworming Coverage Among Hard-to-Reach Populations in Pakistan</w:t>
      </w:r>
    </w:p>
    <w:p w14:paraId="21433F0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Preventive chemotherapy (PC) is a central strategy for controlling soil-transmitted helminths, typically delivered to school-aged children (SAC) through schools. Coverage gaps remain in Pakistan among hard-to-reach (HTR) populations; out-of-school children, those in Madaris, and children in unregistered private schools. HTR SAC can make up to 80% of PC eligible populations. In response Pakistan piloted a hybrid school and health-worker delivery model with a focus on inclusion and equity. A region </w:t>
      </w:r>
      <w:r w:rsidRPr="00AF28B8">
        <w:rPr>
          <w:rFonts w:ascii="Calibri" w:hAnsi="Calibri" w:cs="Calibri"/>
          <w:color w:val="000000"/>
          <w:sz w:val="22"/>
          <w:szCs w:val="22"/>
        </w:rPr>
        <w:lastRenderedPageBreak/>
        <w:t>contextualized model was implemented. National strategy discussion helped define HTR groups, surface operational barriers, and propose scalable innovations. Simultaneously, pilot and scale-up efforts were launched in 18 districts across the country. PC expanded to pre SAC and adolescent girls. Key model innovations included; flexible delivery mechanisms, community-based delivery, school and facility-based treatment for adolescent girls in underserved areas, partnerships with local champions and education/religious networks, data-driven targeting, and use of cost-effectiveness modeling to evaluate platform sustainability. In all at risk districts, hybrid delivery-maintained cost per child less than $0.50 USD and improved reach across private and informal schools. In Rawalpindi, health workers delivery expanded reach, though therapeutic coverage remained 62%, due to private school access issues and parental refusals. Diamer and Gilgit districts achieved 94% and 68% therapeutic coverage respectively. In Khyber Pakhtunkhwa, eight newly added districts surpassed 75% therapeutic coverage. Pre-SAC pilots in two districts successfully reached &gt;75% through health worker-based delivery. PC for adolescent girls was successfully introduced in 7 at-risk districts of Karachi, achieving &gt;75% coverage. Pakistan’s inclusive contextualized PC program offers a scalable model for reaching HTR populations and enhancing equity. By targeting underserved groups through flexible platforms, the program advances STH control and strengthens the foundation for broader interventions.</w:t>
      </w:r>
    </w:p>
    <w:p w14:paraId="2BD54FDA"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25-A-3730-ASTMH</w:t>
      </w:r>
    </w:p>
    <w:p w14:paraId="3165180B"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0E581A2B"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Quantifying the Impact of Seasonal Malaria Chemoprevention in Nampula: A Controlled Interrupted Time Series Analysis Using Routine Surveillance Data</w:t>
      </w:r>
    </w:p>
    <w:p w14:paraId="64F091A0"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latest World Health Organization guidelines for malaria control recommended the combined use of different chemoprevention strategies to protect young children living in regions with moderate or high malaria transmission. Mozambique is among the six countries accounting for more than half of all malaria cases and mortality globally. In this line, Mozambique initiated a pilot implementation of Seasonal Malaria Chemoprevention (SMC)in Nampula Province in November 2020, in selected districts that had not received recent vector control intervention, making them suitable for isolating the impact of SMC. While SMC has shown promising protective efficacy in randomized trials, its real-world effectiveness at the population level remains challenging to evaluate due to various sources of heterogeneity, such as inconsistent coverage, delayed implementation, surveillance quality, and overlapping malaria interventions.</w:t>
      </w:r>
      <w:r w:rsidRPr="00AF28B8">
        <w:rPr>
          <w:rFonts w:ascii="Calibri" w:hAnsi="Calibri" w:cs="Calibri"/>
          <w:color w:val="000000"/>
          <w:sz w:val="22"/>
          <w:szCs w:val="22"/>
        </w:rPr>
        <w:br/>
        <w:t>This study aims to assess the impact of the pilot SMC implementation on malaria morbidity in Nampula children under five years of age. A Controlled Interrupted Time Series model was fitted to detect changes in the level and trend in malaria incidence following SMC implementation, compared to the pre-SMC period. Routine monthly malaria cases data from 2018 to 2022 were analyzed using segmented negative binomial regression, accounting for seasonality, climate variables, and diagnostic indicators to account for potential confounders and improve the accuracy of the estimates. Intervention districts (Malema and Mecubúri) were compared against non-SMC control districts (Lalaua and Muecate, respectively).</w:t>
      </w:r>
      <w:r w:rsidRPr="00AF28B8">
        <w:rPr>
          <w:rFonts w:ascii="Calibri" w:hAnsi="Calibri" w:cs="Calibri"/>
          <w:color w:val="000000"/>
          <w:sz w:val="22"/>
          <w:szCs w:val="22"/>
        </w:rPr>
        <w:br/>
        <w:t>Results suggest a significant reduction in malaria incidence among children under five years of age following the introduction of SMC in Mecubúri, with a 35% decrease in incidence during the 2020/2021 season. The findings align with trial-based evidence and offer encouraging real-world support for the effectiveness of SMC as a scalable malaria strategy in moderate to high transmission identified regions in Mozambique.</w:t>
      </w:r>
    </w:p>
    <w:p w14:paraId="7C0F9531"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25-A-3731-ASTMH</w:t>
      </w:r>
    </w:p>
    <w:p w14:paraId="7CDB727B"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09C3D84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Spleen-Sparing Management Of Splenic Echinococcosis: A Single-Centre Experience</w:t>
      </w:r>
    </w:p>
    <w:p w14:paraId="394D4F3F"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spleen is involved in about 15% of cases of echinococcal (hydatid) cysts, making it the third most frequently affected organ. Ultrasound (US) allows both etiologic diagnosis and staging of echinococcal </w:t>
      </w:r>
      <w:r w:rsidRPr="00AF28B8">
        <w:rPr>
          <w:rFonts w:ascii="Calibri" w:hAnsi="Calibri" w:cs="Calibri"/>
          <w:color w:val="000000"/>
          <w:sz w:val="22"/>
          <w:szCs w:val="22"/>
        </w:rPr>
        <w:lastRenderedPageBreak/>
        <w:t>cysts, based on the WHO-IWGE classification. Splenic cysts are often managed surgically. Given the spleen’s vitality from an immunological and haematological standpoint, we have adopted a conservative, US-based, spleen-sparing approach to discourage indiscriminate and unwarranted splenectomy in case of splenic cystic echinococcosis (SCE). We extracted and reviewed clinical records of patients seen at our referral centre for suspect SCE between 01/01/2002 and 01/02/2025. We stratified the data in terms of patient characteristics, cyst parameters, diagnostic criteria, management strategy and follow-up approach. Out of 85 patients with suspect SCE, 11 patients (90.9% M) satisfied the inclusion criteria. Median age was 35 years [IQR 27 (51-24); range 3-69]. Serology for </w:t>
      </w:r>
      <w:r w:rsidRPr="00AF28B8">
        <w:rPr>
          <w:rFonts w:ascii="Calibri" w:hAnsi="Calibri" w:cs="Calibri"/>
          <w:i/>
          <w:iCs/>
          <w:color w:val="000000"/>
          <w:sz w:val="22"/>
          <w:szCs w:val="22"/>
        </w:rPr>
        <w:t>Echinococcus granulosus</w:t>
      </w:r>
      <w:r w:rsidRPr="00AF28B8">
        <w:rPr>
          <w:rFonts w:ascii="Calibri" w:hAnsi="Calibri" w:cs="Calibri"/>
          <w:color w:val="000000"/>
          <w:sz w:val="22"/>
          <w:szCs w:val="22"/>
        </w:rPr>
        <w:t> was positive in all cases. All cysts showed pathognomonic signs on US. Five (50%) cysts were in CE3a, 2 (20%) in CE3b, 2 (20%) in CE4 and 1 (10%) in CE5. On the first visit, the cysts measured 78.27x64.36mm on average (±51.56x39.90mm), with a range of 18-185x18-140mm. On the last follow-up visit, the cysts measured 40.44x33mm on average (±24.53x19.58mm), with a range of 0-72x0-68mm. Four (36.4%) cysts were large and symptomatic, and were thus drained through ultrasound-guided percutaneous fine needle aspiration (FNA). Two (18%) cysts were surgically excised, leaving the spleen intact. Albendazole was the drug of choice for procedural prophylaxis as well as for antiparasitic treatment. The follow-up duration ranged from 0 to 209 months, with a median of 46 months [IQR 70 (72-2)]. By the last follow-up visit, none of the patients experienced recurrence. In experienced hands within a specialized context, US-guided percutaneous FNA of splenic echinococcal cysts is safe and appropriate. In addition to facilitating drainage where justified, US is an affordable and accessible long-term follow-up modality that promotes a spleen-sparing approach.</w:t>
      </w:r>
    </w:p>
    <w:p w14:paraId="65E5FED9"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25-A-3732-ASTMH</w:t>
      </w:r>
    </w:p>
    <w:p w14:paraId="436EB84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09A14A4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Enhanced Mosquito-Borne Disease Surveillance In Tennessee Using the QIAcuity Digital PCR Platform</w:t>
      </w:r>
    </w:p>
    <w:p w14:paraId="0BAB3347"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vertAlign w:val="subscript"/>
        </w:rPr>
        <w:t>Mosquito-Borne diseases are an increasing threat to global health, causing significant morbidity and mortality worldwide each year. Active surveillance for mosquito-borne pathogens is an important public health tool to track where risk of disease transmission is high. In Tennessee, most mosquito-borne disease cases occur May-October when the mosquitoes are active. West Nile Virus (WNV) and Flanders virus (FLAV) are monitored yearly in Tennessee by testing mosquito populations to ascertain the risk to the public and to guide mosquito control activities for targeted interventions. WNV is a significant threat to human health in Tennessee, whereas FLAV is non-pathogenic, but emerges earlier and is associated spatially with WNV and is therefore used as a sentinel to predict WNV emergence. Arboviral testing is done on mosquito pools collected and identified by mosquito control groups using a real-time PCR assay, however, this method is not as sensitive in detecting samples with low viral concentrations. Mosquito samples from early/late in the season may have lower concentrations of virus, leading to inconclusive real-time PCR results, which cannot be used for surveillance. The QIAcuity Digital PCR (dPCR) platform is effective at detecting low viral concentrations in mosquito samples when compared to real-time PCR. We use this dPCR platform to test inconclusive mosquito samples and confirm presence or absence of viral nucleic acid. For FLAV, inconclusive samples from May and October were positive after dPCR analysis. For WNV, inconclusive samples from October tested positive by dPCR, with those from May being confirmed negative. These data show that early detection of FLAV could be extended to earlier in the year to better predict where WNV positive mosquitoes will arise and where earlier mosquito control interventions should be performed. Detection of WNV positive pools by dPCR late in the season show that the testing may need to extend further into the fall to accurately predict risk of infection. We hope to use this technology to augment arboviral surveillance in Tennessee and identify additional positive mosquito pools during the season.</w:t>
      </w:r>
    </w:p>
    <w:p w14:paraId="41DAE81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25-A-3733-ASTMH</w:t>
      </w:r>
    </w:p>
    <w:p w14:paraId="06065DC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3D4931B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Examining perceptions of the newly available dengue vaccine (Qdenga) in the endemic city of Iquitos, Peru</w:t>
      </w:r>
    </w:p>
    <w:p w14:paraId="3C05858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is a mosquito borne disease, and the leading arboviral cause of human morbidity and mortality. Peru experienced its worst dengue outbreak on record in 2024, surpassing 280,000 cases. In November 2024, Peru started to roll-out the Qdenga (TAK-003) dengue vaccine for children ages 10-16. Vaccination is focused on four regions of Peru where burden of disease is highest, including Loreto, where Iquitos is located. A dengue vaccine has the potential to significantly reduce dengue transmission and severe dengue and death. The purpose of this study is to assess caregiver perceptions of the newly available dengue vaccine (Qdenga), including attitudes, barriers towards community acceptance, and sources of </w:t>
      </w:r>
      <w:r w:rsidRPr="00AF28B8">
        <w:rPr>
          <w:rFonts w:ascii="Calibri" w:hAnsi="Calibri" w:cs="Calibri"/>
          <w:color w:val="000000"/>
          <w:sz w:val="22"/>
          <w:szCs w:val="22"/>
        </w:rPr>
        <w:lastRenderedPageBreak/>
        <w:t>hesitancy. This is part of an on-going project to reduce dengue transmission in Iquitos. This qualitative study will take place in Iquitos, an endemic city in the Peruvian Amazon. First, two key informant interviews (KIIs) will be conducted with local ministry of health (MINSA) partners to evaluate what methods of dissemination they are using to announce vaccine availability and if they are on target to meet their vaccination goal of 18,730 children in Iquitos. Then six focus group discussions (FGDs) will be conducted to assess vaccine awareness and acceptance in the community. Eligible participants will be adults (&gt;18 years) who are the primary caretaker for at least one child ages 10-16 and will be recruited through door-to-door sampling. Discussions will last 1-2 hours until theme saturation has been reached. Data will be analysed using thematic analysis. Deductive themes have been determined, and include vaccine awareness, vaccine access, and vector control behaviours; codes and subcodes will be analysed inductively. The results from the FGDs will be shared with the MINSA partners to inform how they can maximize vaccine interest and uptake. The goal is to use implementation science framework to strengthen local vaccine outreach strategies.</w:t>
      </w:r>
    </w:p>
    <w:p w14:paraId="3ADFBD5E"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25-A-3734-ASTMH</w:t>
      </w:r>
    </w:p>
    <w:p w14:paraId="3470A3A1"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6042213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Role of Peripheral Health Facilities in Schistosomiasis Control and Elimination: Insights from Passive Surveillance in Migori and Kwale Counties, Kenya</w:t>
      </w:r>
    </w:p>
    <w:p w14:paraId="640130FE"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Control and elimination strategies for schistosomiasis in endemic regions (including Kenya) face increasing challenges due to limited donor support and insufficient supplies of praziquantel (PZQ). This study evaluated the knowledge, diagnostic capabilities, and treatment practices of healthcare workers in primary health care in Migori and Kwale counties, two endemic areas in Kenya, within the framework of the World Health Organization's schistosomiasis elimination strategy. We conducted a cross sectional survey involving 111 healthcare workers from 36 facilities in Migori and Kwale counties. Data were collected through structured one-on-one interviews using a standardized questionnaire that assessed knowledge of schistosomiasis, diagnostic capacity, treatment practices, and facility preparedness. Among the participants, 85% from Kwale and 44% from Migori reported having encountered schistosomiasis cases in the past two years. Awareness of female genital schistosomiasis was significantly higher in Kwale (79%) than in Migori (34%) (p &lt; 0.001). Knowledge of praziquantel as the recommended treatment was also higher in Kwale (88%) versus Migori, where significant knowledge gaps were observed (p = 0.002). Training coverage differed significantly between the two counties: 35% of participants in Kwale reported receiving post-primary schistosomiasis-related training, compared to 8% in Migori (p &lt; 0.001). While commonly recognized symptoms included hematuria and abdominal pain, knowledge of diagnostic methods was largely similar across regions. However multivariable analysis revealed that recent clinical encounters with schistosomiasis were significantly associated with improved diagnostic knowledge (p&lt; 0.001). This study reveals significant gaps in knowledge, training and treatment practices among healthcare workers in Migori and Kwale counties. Strengthening the capacity of primary health care systems through targeted training, supervision and improved access to diagnostics and medicines is critical for achieving national schistosomiasis elimination goals</w:t>
      </w:r>
    </w:p>
    <w:p w14:paraId="1CC15D5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25-A-3735-ASTMH</w:t>
      </w:r>
    </w:p>
    <w:p w14:paraId="412676A5"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7BA27FF0" w14:textId="7D2AA92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Spinal cord schistosomiasis a rare and severe presentation of a common disease A case report and review of literature</w:t>
      </w:r>
    </w:p>
    <w:p w14:paraId="24131EE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Spinal cord schistosomiasis (SCS) is a rare but serious complication of schistosomiasis, a parasitic disease endemic in certain regions. This case highlights the importance of recognizing SCS in patients with relevant exposure history. Clinical Presentation-A 12-year-old patient presented with intact motor power, normal reflexes, and no sensory deficits, despite complaints of back pain of one month. Neurological examination showed no signs of muscle atrophy or fasciculations, seen in other neurological conditions. Investigations-Baseline laboratory tests revealed leukocytosis with eosinophilia </w:t>
      </w:r>
      <w:r w:rsidRPr="00AF28B8">
        <w:rPr>
          <w:rFonts w:ascii="Calibri" w:hAnsi="Calibri" w:cs="Calibri"/>
          <w:color w:val="000000"/>
          <w:sz w:val="22"/>
          <w:szCs w:val="22"/>
        </w:rPr>
        <w:lastRenderedPageBreak/>
        <w:t>and an elevated erythrocyte sedimentation rate (ESR). MRI findings were critical, showing a 1.5 × 4.5 cm lesion at the conus medullaris with intense heterogeneous enhancement, alongside a short segment of non-enhancing spinal cord abnormality at T10-T11. Elevated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antibodies confirmed the diagnosis. Treatment-Oral Praziquantel: 680 mg twice daily for five days with oral Prednisolone,15 mg twice daily for 15 days, followed by a taper. Outcome and Follow-Up-Two months post-treatment, the patient reported complete resolution of back pain. Laboratory results showed normalization of eosinophil count. Repeat MRI indicated complete resolution. Discussion-Spinal cord schistosomiasis, while rare, poses a significant risk if not promptly found and treated. This case illustrates the critical role of early diagnosis and treatment in SCS.</w:t>
      </w:r>
    </w:p>
    <w:p w14:paraId="0C94B85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25-A-3736-ASTMH</w:t>
      </w:r>
    </w:p>
    <w:p w14:paraId="406FCAB3"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Babesiosis and Lyme Disease</w:t>
      </w:r>
    </w:p>
    <w:p w14:paraId="1BC0159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Detection and Characterization of Ticks and Tick-Borne Pathogens in Selected Wild Mammals in Ghana. Implications for Zoonotic and Veterinary Health</w:t>
      </w:r>
    </w:p>
    <w:p w14:paraId="3309E0AF"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Ticks are crucial vectors of zoonotic and veterinary pathogens, but their role in Ghana's wildlife ecosystems remains underexplored. This study investigates the diversity of tick species infesting wildlife in Ghana and examines the presence of tick-borne pathogens. Ticks were collected from wildlife species in various regions of Ghana, identified using morphological and molecular techniques, and tested for pathogens using PCR. The study identified </w:t>
      </w:r>
      <w:r w:rsidRPr="00AF28B8">
        <w:rPr>
          <w:rFonts w:ascii="Calibri" w:hAnsi="Calibri" w:cs="Calibri"/>
          <w:i/>
          <w:iCs/>
          <w:color w:val="000000"/>
          <w:sz w:val="22"/>
          <w:szCs w:val="22"/>
        </w:rPr>
        <w:t>Ixodes</w:t>
      </w:r>
      <w:r w:rsidRPr="00AF28B8">
        <w:rPr>
          <w:rFonts w:ascii="Calibri" w:hAnsi="Calibri" w:cs="Calibri"/>
          <w:color w:val="000000"/>
          <w:sz w:val="22"/>
          <w:szCs w:val="22"/>
        </w:rPr>
        <w:t>, </w:t>
      </w:r>
      <w:r w:rsidRPr="00AF28B8">
        <w:rPr>
          <w:rFonts w:ascii="Calibri" w:hAnsi="Calibri" w:cs="Calibri"/>
          <w:i/>
          <w:iCs/>
          <w:color w:val="000000"/>
          <w:sz w:val="22"/>
          <w:szCs w:val="22"/>
        </w:rPr>
        <w:t>Rhipicephalus</w:t>
      </w:r>
      <w:r w:rsidRPr="00AF28B8">
        <w:rPr>
          <w:rFonts w:ascii="Calibri" w:hAnsi="Calibri" w:cs="Calibri"/>
          <w:color w:val="000000"/>
          <w:sz w:val="22"/>
          <w:szCs w:val="22"/>
        </w:rPr>
        <w:t>, </w:t>
      </w:r>
      <w:r w:rsidRPr="00AF28B8">
        <w:rPr>
          <w:rFonts w:ascii="Calibri" w:hAnsi="Calibri" w:cs="Calibri"/>
          <w:i/>
          <w:iCs/>
          <w:color w:val="000000"/>
          <w:sz w:val="22"/>
          <w:szCs w:val="22"/>
        </w:rPr>
        <w:t>Haemaphysalis</w:t>
      </w:r>
      <w:r w:rsidRPr="00AF28B8">
        <w:rPr>
          <w:rFonts w:ascii="Calibri" w:hAnsi="Calibri" w:cs="Calibri"/>
          <w:color w:val="000000"/>
          <w:sz w:val="22"/>
          <w:szCs w:val="22"/>
        </w:rPr>
        <w:t>, and </w:t>
      </w:r>
      <w:r w:rsidRPr="00AF28B8">
        <w:rPr>
          <w:rFonts w:ascii="Calibri" w:hAnsi="Calibri" w:cs="Calibri"/>
          <w:i/>
          <w:iCs/>
          <w:color w:val="000000"/>
          <w:sz w:val="22"/>
          <w:szCs w:val="22"/>
        </w:rPr>
        <w:t>Amblyomma</w:t>
      </w:r>
      <w:r w:rsidRPr="00AF28B8">
        <w:rPr>
          <w:rFonts w:ascii="Calibri" w:hAnsi="Calibri" w:cs="Calibri"/>
          <w:color w:val="000000"/>
          <w:sz w:val="22"/>
          <w:szCs w:val="22"/>
        </w:rPr>
        <w:t> as the most common tick genera, with </w:t>
      </w:r>
      <w:r w:rsidRPr="00AF28B8">
        <w:rPr>
          <w:rFonts w:ascii="Calibri" w:hAnsi="Calibri" w:cs="Calibri"/>
          <w:i/>
          <w:iCs/>
          <w:color w:val="000000"/>
          <w:sz w:val="22"/>
          <w:szCs w:val="22"/>
        </w:rPr>
        <w:t>Ixodes aulacodi</w:t>
      </w:r>
      <w:r w:rsidRPr="00AF28B8">
        <w:rPr>
          <w:rFonts w:ascii="Calibri" w:hAnsi="Calibri" w:cs="Calibri"/>
          <w:color w:val="000000"/>
          <w:sz w:val="22"/>
          <w:szCs w:val="22"/>
        </w:rPr>
        <w:t> and </w:t>
      </w:r>
      <w:r w:rsidRPr="00AF28B8">
        <w:rPr>
          <w:rFonts w:ascii="Calibri" w:hAnsi="Calibri" w:cs="Calibri"/>
          <w:i/>
          <w:iCs/>
          <w:color w:val="000000"/>
          <w:sz w:val="22"/>
          <w:szCs w:val="22"/>
        </w:rPr>
        <w:t>Rhipicephalus simpsoni</w:t>
      </w:r>
      <w:r w:rsidRPr="00AF28B8">
        <w:rPr>
          <w:rFonts w:ascii="Calibri" w:hAnsi="Calibri" w:cs="Calibri"/>
          <w:color w:val="000000"/>
          <w:sz w:val="22"/>
          <w:szCs w:val="22"/>
        </w:rPr>
        <w:t> being particularly abundant. Molecular analyses revealed the presence of several zoonotic and veterinary pathogens, including </w:t>
      </w:r>
      <w:r w:rsidRPr="00AF28B8">
        <w:rPr>
          <w:rFonts w:ascii="Calibri" w:hAnsi="Calibri" w:cs="Calibri"/>
          <w:i/>
          <w:iCs/>
          <w:color w:val="000000"/>
          <w:sz w:val="22"/>
          <w:szCs w:val="22"/>
        </w:rPr>
        <w:t>Rickettsia africae</w:t>
      </w:r>
      <w:r w:rsidRPr="00AF28B8">
        <w:rPr>
          <w:rFonts w:ascii="Calibri" w:hAnsi="Calibri" w:cs="Calibri"/>
          <w:color w:val="000000"/>
          <w:sz w:val="22"/>
          <w:szCs w:val="22"/>
        </w:rPr>
        <w:t>, </w:t>
      </w:r>
      <w:r w:rsidRPr="00AF28B8">
        <w:rPr>
          <w:rFonts w:ascii="Calibri" w:hAnsi="Calibri" w:cs="Calibri"/>
          <w:i/>
          <w:iCs/>
          <w:color w:val="000000"/>
          <w:sz w:val="22"/>
          <w:szCs w:val="22"/>
        </w:rPr>
        <w:t>R. massiliae</w:t>
      </w:r>
      <w:r w:rsidRPr="00AF28B8">
        <w:rPr>
          <w:rFonts w:ascii="Calibri" w:hAnsi="Calibri" w:cs="Calibri"/>
          <w:color w:val="000000"/>
          <w:sz w:val="22"/>
          <w:szCs w:val="22"/>
        </w:rPr>
        <w:t>, </w:t>
      </w:r>
      <w:r w:rsidRPr="00AF28B8">
        <w:rPr>
          <w:rFonts w:ascii="Calibri" w:hAnsi="Calibri" w:cs="Calibri"/>
          <w:i/>
          <w:iCs/>
          <w:color w:val="000000"/>
          <w:sz w:val="22"/>
          <w:szCs w:val="22"/>
        </w:rPr>
        <w:t>Babesia</w:t>
      </w:r>
      <w:r w:rsidRPr="00AF28B8">
        <w:rPr>
          <w:rFonts w:ascii="Calibri" w:hAnsi="Calibri" w:cs="Calibri"/>
          <w:color w:val="000000"/>
          <w:sz w:val="22"/>
          <w:szCs w:val="22"/>
        </w:rPr>
        <w:t>, </w:t>
      </w:r>
      <w:r w:rsidRPr="00AF28B8">
        <w:rPr>
          <w:rFonts w:ascii="Calibri" w:hAnsi="Calibri" w:cs="Calibri"/>
          <w:i/>
          <w:iCs/>
          <w:color w:val="000000"/>
          <w:sz w:val="22"/>
          <w:szCs w:val="22"/>
        </w:rPr>
        <w:t>Cytauxzoon felis</w:t>
      </w:r>
      <w:r w:rsidRPr="00AF28B8">
        <w:rPr>
          <w:rFonts w:ascii="Calibri" w:hAnsi="Calibri" w:cs="Calibri"/>
          <w:color w:val="000000"/>
          <w:sz w:val="22"/>
          <w:szCs w:val="22"/>
        </w:rPr>
        <w:t>, </w:t>
      </w:r>
      <w:r w:rsidRPr="00AF28B8">
        <w:rPr>
          <w:rFonts w:ascii="Calibri" w:hAnsi="Calibri" w:cs="Calibri"/>
          <w:i/>
          <w:iCs/>
          <w:color w:val="000000"/>
          <w:sz w:val="22"/>
          <w:szCs w:val="22"/>
        </w:rPr>
        <w:t>Ehrlichia </w:t>
      </w:r>
      <w:r w:rsidRPr="00AF28B8">
        <w:rPr>
          <w:rFonts w:ascii="Calibri" w:hAnsi="Calibri" w:cs="Calibri"/>
          <w:color w:val="000000"/>
          <w:sz w:val="22"/>
          <w:szCs w:val="22"/>
        </w:rPr>
        <w:t>and</w:t>
      </w:r>
      <w:r w:rsidRPr="00AF28B8">
        <w:rPr>
          <w:rFonts w:ascii="Calibri" w:hAnsi="Calibri" w:cs="Calibri"/>
          <w:i/>
          <w:iCs/>
          <w:color w:val="000000"/>
          <w:sz w:val="22"/>
          <w:szCs w:val="22"/>
        </w:rPr>
        <w:t> Anaplasma</w:t>
      </w:r>
      <w:r w:rsidRPr="00AF28B8">
        <w:rPr>
          <w:rFonts w:ascii="Calibri" w:hAnsi="Calibri" w:cs="Calibri"/>
          <w:color w:val="000000"/>
          <w:sz w:val="22"/>
          <w:szCs w:val="22"/>
        </w:rPr>
        <w:t>, and </w:t>
      </w:r>
      <w:r w:rsidRPr="00AF28B8">
        <w:rPr>
          <w:rFonts w:ascii="Calibri" w:hAnsi="Calibri" w:cs="Calibri"/>
          <w:i/>
          <w:iCs/>
          <w:color w:val="000000"/>
          <w:sz w:val="22"/>
          <w:szCs w:val="22"/>
        </w:rPr>
        <w:t>Candidatus Midichloria mitochondrii</w:t>
      </w:r>
      <w:r w:rsidRPr="00AF28B8">
        <w:rPr>
          <w:rFonts w:ascii="Calibri" w:hAnsi="Calibri" w:cs="Calibri"/>
          <w:color w:val="000000"/>
          <w:sz w:val="22"/>
          <w:szCs w:val="22"/>
        </w:rPr>
        <w:t>. The Ashanti region had the highest tick diversity, with notable differences in tick abundance across ecological zones. Host preference was observed, with grasscutters and rodents harboring the largest tick loads, indicating their potential as reservoirs for zoonotic pathogens. Pathogen prevalence was higher in ticks collected from high-density wildlife zones, suggesting that these areas may serve as hotspots for disease transmission. The findings underscore the need for integrated surveillance and control strategies targeting both tick populations and pathogen spread. Given the detection of zoonotic pathogens in wildlife ticks, public health interventions are necessary to mitigate risks to both human and animal populations in Ghana. This study provides critical baseline data for further research into the ecology of ticks and their role in disease transmission in West Africa.</w:t>
      </w:r>
    </w:p>
    <w:p w14:paraId="1CFD5957"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25-A-3737-ASTMH</w:t>
      </w:r>
    </w:p>
    <w:p w14:paraId="3E59282F"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7D677B2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Molecular profiling of oral and blood borne pathogens circulating in Senegal through a combined PCR and metagenomics approach</w:t>
      </w:r>
    </w:p>
    <w:p w14:paraId="05EC461D"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Febrile illnesses caused by infectious pathogens remain a serious public health problem in Africa, particularly in rural areas, where proper diagnosis of non-malarial infections is often difficult due to limited laboratory capacity. To understand the pathogens responsible for these infections, we conducted a study between 2021 and 2022 among febrile individuals who came for consultation at health posts in the regions of Linguère and Tambacounda in Senegal. We collected paired blood and oral swabs from 200 individuals (50 per year from each location) who tested negative for malaria by rapid diagnostic test. PCR was performed for common respiratory viruses and arboviruses known to be circulating in Senegal as well as unbiased metagenomic sequencing on the Illumina platform. To determine the microbial taxa present in the samples we compared the results of Kraken2, MetaPhlan4 and Sourmash, followed by validation with genome assembly. Among the samples tested by qPCR, 4 tested positive for SARS-CoV-2 and one for CHIKV. Additional viruses were identified by sequencing, including Herpes Simplex virus, Hepatitis, HIV, and Pegivirus C. In the respiratory samples, the most frequent bacterial genera included </w:t>
      </w:r>
      <w:r w:rsidRPr="00AF28B8">
        <w:rPr>
          <w:rFonts w:ascii="Calibri" w:hAnsi="Calibri" w:cs="Calibri"/>
          <w:i/>
          <w:iCs/>
          <w:color w:val="000000"/>
          <w:sz w:val="22"/>
          <w:szCs w:val="22"/>
        </w:rPr>
        <w:t>Prevotella</w:t>
      </w:r>
      <w:r w:rsidRPr="00AF28B8">
        <w:rPr>
          <w:rFonts w:ascii="Calibri" w:hAnsi="Calibri" w:cs="Calibri"/>
          <w:color w:val="000000"/>
          <w:sz w:val="22"/>
          <w:szCs w:val="22"/>
        </w:rPr>
        <w:t>, </w:t>
      </w:r>
      <w:r w:rsidRPr="00AF28B8">
        <w:rPr>
          <w:rFonts w:ascii="Calibri" w:hAnsi="Calibri" w:cs="Calibri"/>
          <w:i/>
          <w:iCs/>
          <w:color w:val="000000"/>
          <w:sz w:val="22"/>
          <w:szCs w:val="22"/>
        </w:rPr>
        <w:t>Streptococcus</w:t>
      </w:r>
      <w:r w:rsidRPr="00AF28B8">
        <w:rPr>
          <w:rFonts w:ascii="Calibri" w:hAnsi="Calibri" w:cs="Calibri"/>
          <w:color w:val="000000"/>
          <w:sz w:val="22"/>
          <w:szCs w:val="22"/>
        </w:rPr>
        <w:t>, </w:t>
      </w:r>
      <w:r w:rsidRPr="00AF28B8">
        <w:rPr>
          <w:rFonts w:ascii="Calibri" w:hAnsi="Calibri" w:cs="Calibri"/>
          <w:i/>
          <w:iCs/>
          <w:color w:val="000000"/>
          <w:sz w:val="22"/>
          <w:szCs w:val="22"/>
        </w:rPr>
        <w:t>Haemophilus</w:t>
      </w:r>
      <w:r w:rsidRPr="00AF28B8">
        <w:rPr>
          <w:rFonts w:ascii="Calibri" w:hAnsi="Calibri" w:cs="Calibri"/>
          <w:color w:val="000000"/>
          <w:sz w:val="22"/>
          <w:szCs w:val="22"/>
        </w:rPr>
        <w:t>, and </w:t>
      </w:r>
      <w:r w:rsidRPr="00AF28B8">
        <w:rPr>
          <w:rFonts w:ascii="Calibri" w:hAnsi="Calibri" w:cs="Calibri"/>
          <w:i/>
          <w:iCs/>
          <w:color w:val="000000"/>
          <w:sz w:val="22"/>
          <w:szCs w:val="22"/>
        </w:rPr>
        <w:t>Neisseria</w:t>
      </w:r>
      <w:r w:rsidRPr="00AF28B8">
        <w:rPr>
          <w:rFonts w:ascii="Calibri" w:hAnsi="Calibri" w:cs="Calibri"/>
          <w:color w:val="000000"/>
          <w:sz w:val="22"/>
          <w:szCs w:val="22"/>
        </w:rPr>
        <w:t xml:space="preserve">. While certain </w:t>
      </w:r>
      <w:r w:rsidRPr="00AF28B8">
        <w:rPr>
          <w:rFonts w:ascii="Calibri" w:hAnsi="Calibri" w:cs="Calibri"/>
          <w:color w:val="000000"/>
          <w:sz w:val="22"/>
          <w:szCs w:val="22"/>
        </w:rPr>
        <w:lastRenderedPageBreak/>
        <w:t>species are a normal part of the human oral flora, we also detected potential pathogens such as </w:t>
      </w:r>
      <w:r w:rsidRPr="00AF28B8">
        <w:rPr>
          <w:rFonts w:ascii="Calibri" w:hAnsi="Calibri" w:cs="Calibri"/>
          <w:i/>
          <w:iCs/>
          <w:color w:val="000000"/>
          <w:sz w:val="22"/>
          <w:szCs w:val="22"/>
        </w:rPr>
        <w:t>H. influenzae</w:t>
      </w:r>
      <w:r w:rsidRPr="00AF28B8">
        <w:rPr>
          <w:rFonts w:ascii="Calibri" w:hAnsi="Calibri" w:cs="Calibri"/>
          <w:color w:val="000000"/>
          <w:sz w:val="22"/>
          <w:szCs w:val="22"/>
        </w:rPr>
        <w:t>, </w:t>
      </w:r>
      <w:r w:rsidRPr="00AF28B8">
        <w:rPr>
          <w:rFonts w:ascii="Calibri" w:hAnsi="Calibri" w:cs="Calibri"/>
          <w:i/>
          <w:iCs/>
          <w:color w:val="000000"/>
          <w:sz w:val="22"/>
          <w:szCs w:val="22"/>
        </w:rPr>
        <w:t>S. mitis, N. meningitidis, and S. pneumoniae. </w:t>
      </w:r>
      <w:r w:rsidRPr="00AF28B8">
        <w:rPr>
          <w:rFonts w:ascii="Calibri" w:hAnsi="Calibri" w:cs="Calibri"/>
          <w:color w:val="000000"/>
          <w:sz w:val="22"/>
          <w:szCs w:val="22"/>
        </w:rPr>
        <w:t>In contrast, in the blood samples, the most frequent pathogen genus was </w:t>
      </w:r>
      <w:r w:rsidRPr="00AF28B8">
        <w:rPr>
          <w:rFonts w:ascii="Calibri" w:hAnsi="Calibri" w:cs="Calibri"/>
          <w:i/>
          <w:iCs/>
          <w:color w:val="000000"/>
          <w:sz w:val="22"/>
          <w:szCs w:val="22"/>
        </w:rPr>
        <w:t>Borrelia, </w:t>
      </w:r>
      <w:r w:rsidRPr="00AF28B8">
        <w:rPr>
          <w:rFonts w:ascii="Calibri" w:hAnsi="Calibri" w:cs="Calibri"/>
          <w:color w:val="000000"/>
          <w:sz w:val="22"/>
          <w:szCs w:val="22"/>
        </w:rPr>
        <w:t>primarily the species </w:t>
      </w:r>
      <w:r w:rsidRPr="00AF28B8">
        <w:rPr>
          <w:rFonts w:ascii="Calibri" w:hAnsi="Calibri" w:cs="Calibri"/>
          <w:i/>
          <w:iCs/>
          <w:color w:val="000000"/>
          <w:sz w:val="22"/>
          <w:szCs w:val="22"/>
        </w:rPr>
        <w:t>B. crocidurae </w:t>
      </w:r>
      <w:r w:rsidRPr="00AF28B8">
        <w:rPr>
          <w:rFonts w:ascii="Calibri" w:hAnsi="Calibri" w:cs="Calibri"/>
          <w:color w:val="000000"/>
          <w:sz w:val="22"/>
          <w:szCs w:val="22"/>
        </w:rPr>
        <w:t>which causes tick-borne relapsing fever. We also detected, at lower frequencies, genera including </w:t>
      </w:r>
      <w:r w:rsidRPr="00AF28B8">
        <w:rPr>
          <w:rFonts w:ascii="Calibri" w:hAnsi="Calibri" w:cs="Calibri"/>
          <w:i/>
          <w:iCs/>
          <w:color w:val="000000"/>
          <w:sz w:val="22"/>
          <w:szCs w:val="22"/>
        </w:rPr>
        <w:t>Bacillus</w:t>
      </w:r>
      <w:r w:rsidRPr="00AF28B8">
        <w:rPr>
          <w:rFonts w:ascii="Calibri" w:hAnsi="Calibri" w:cs="Calibri"/>
          <w:color w:val="000000"/>
          <w:sz w:val="22"/>
          <w:szCs w:val="22"/>
        </w:rPr>
        <w:t>, </w:t>
      </w:r>
      <w:r w:rsidRPr="00AF28B8">
        <w:rPr>
          <w:rFonts w:ascii="Calibri" w:hAnsi="Calibri" w:cs="Calibri"/>
          <w:i/>
          <w:iCs/>
          <w:color w:val="000000"/>
          <w:sz w:val="22"/>
          <w:szCs w:val="22"/>
        </w:rPr>
        <w:t>Staphylococcus</w:t>
      </w:r>
      <w:r w:rsidRPr="00AF28B8">
        <w:rPr>
          <w:rFonts w:ascii="Calibri" w:hAnsi="Calibri" w:cs="Calibri"/>
          <w:color w:val="000000"/>
          <w:sz w:val="22"/>
          <w:szCs w:val="22"/>
        </w:rPr>
        <w:t>, </w:t>
      </w:r>
      <w:r w:rsidRPr="00AF28B8">
        <w:rPr>
          <w:rFonts w:ascii="Calibri" w:hAnsi="Calibri" w:cs="Calibri"/>
          <w:i/>
          <w:iCs/>
          <w:color w:val="000000"/>
          <w:sz w:val="22"/>
          <w:szCs w:val="22"/>
        </w:rPr>
        <w:t>Prevotella</w:t>
      </w:r>
      <w:r w:rsidRPr="00AF28B8">
        <w:rPr>
          <w:rFonts w:ascii="Calibri" w:hAnsi="Calibri" w:cs="Calibri"/>
          <w:color w:val="000000"/>
          <w:sz w:val="22"/>
          <w:szCs w:val="22"/>
        </w:rPr>
        <w:t>, </w:t>
      </w:r>
      <w:r w:rsidRPr="00AF28B8">
        <w:rPr>
          <w:rFonts w:ascii="Calibri" w:hAnsi="Calibri" w:cs="Calibri"/>
          <w:i/>
          <w:iCs/>
          <w:color w:val="000000"/>
          <w:sz w:val="22"/>
          <w:szCs w:val="22"/>
        </w:rPr>
        <w:t>and Streptococcus</w:t>
      </w:r>
      <w:r w:rsidRPr="00AF28B8">
        <w:rPr>
          <w:rFonts w:ascii="Calibri" w:hAnsi="Calibri" w:cs="Calibri"/>
          <w:color w:val="000000"/>
          <w:sz w:val="22"/>
          <w:szCs w:val="22"/>
        </w:rPr>
        <w:t>. This work shows how we can use different approaches to understand the diversity of infectious agents circulating in a community in order to better guide clinical diagnostics.</w:t>
      </w:r>
    </w:p>
    <w:p w14:paraId="544A69D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25-A-3740-ASTMH</w:t>
      </w:r>
    </w:p>
    <w:p w14:paraId="45CAB2B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0C3637D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One Health Perspective on Domestic Animal Guinea Worm Infections in Chad from 2012 to 2023</w:t>
      </w:r>
    </w:p>
    <w:p w14:paraId="170949DD"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Since 2020, Chad has reported six to twelve human Guinea worm disease (GWD - </w:t>
      </w:r>
      <w:r w:rsidRPr="00AF28B8">
        <w:rPr>
          <w:rFonts w:ascii="Calibri" w:hAnsi="Calibri" w:cs="Calibri"/>
          <w:i/>
          <w:iCs/>
          <w:color w:val="000000"/>
          <w:sz w:val="22"/>
          <w:szCs w:val="22"/>
        </w:rPr>
        <w:t>Dracunculus medinensis</w:t>
      </w:r>
      <w:r w:rsidRPr="00AF28B8">
        <w:rPr>
          <w:rFonts w:ascii="Calibri" w:hAnsi="Calibri" w:cs="Calibri"/>
          <w:color w:val="000000"/>
          <w:sz w:val="22"/>
          <w:szCs w:val="22"/>
        </w:rPr>
        <w:t>) cases each year. After observing a peak number of domestic dogs with GWD in 2019, Chad has seen a sustained decrease in annual GWD reports among dog hosts. Examining only national disease trends obscures important insights about the seasonality of GWD, differences between cat and dog infections, and changes in the geographical disease distribution that can be used to target surveillance and intervention activities. We performed a retrospective analysis of reported GWD in domestic dogs and cats from Chad during 2012 to 2023. We performed our analyses at the worm level to clarify time and location of emergence on the animal, and isolation status. Understanding these factors is critical for prevention of the next generation of Guinea worms, as isolated worms do not facilitate onward transmission of GWD. The geographical distribution of GWD among animals shifted during 2012 to 2023 as active surveillance expanded in Chad. A total of 6,389 Guinea worms were reported from dogs and cats during the post-peak period of 2020-2023. Of these, 95% of worms from cats and 93% of worms from dogs emerged from either the limb or the foot. Location of worm emerging on limb or foot versus elsewhere on the body, sex of animal, and month did not affect the isolation status of the worm. Species was significantly associated with worm isolation status, as dogs were 2.4 times (p&lt;0.001) more likely to have isolated worms than cats. This effect decreased to 1.8 times (p=0.01) more likely in 2023, indicating an improvement in worm isolation among cats over time. Furthermore, the date of peak worm emergence from cats was later in the year than dogs, peaking in August for cats and June to July in dogs in 2023. These data insights can be used to inform GWD surveillance and enhance interventions, including the use of targeted water source treatment to kill the copepod intermediate host. These results also highlight the substantial progress made by the Chadian Guinea Worm Eradication Program over the past decade.</w:t>
      </w:r>
    </w:p>
    <w:p w14:paraId="5A636871"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25-A-3742-ASTMH</w:t>
      </w:r>
    </w:p>
    <w:p w14:paraId="32AAA9FE"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5848412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Variability in malaria incidence and intervention coverage among pregnant women in Ashanti Region Ghana</w:t>
      </w:r>
    </w:p>
    <w:p w14:paraId="66F93542"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disproportionately burdens pregnant women in Ghana's Ashanti Region. Despite interventions (Insecticide treated nets-ITNs, Intermittent Preventive treatment of malaria in pregnancy using Sulfadoxine-Pyrimethamine-IPTp-SP), coverage gaps persist. We assessed incidence, intervention effectiveness, and associated factors.Using DHIMS2 data (2015-2024), we analyzed malaria cases and intervention coverage (ITNs/IPTp) across 43 districts. Descriptive statistics, correlation, and regression models evaluated associations between incidence, geography, and coverage at 95% CI with p&lt;0.05 considered significant.Regional malaria incidence was 35.2% (2015-2024). Highest incidence (with corresponding ITN coverage rates) occurred in Sekyere Afram Plains (837/1,000; ITN:2.8%), and Bekwai (803.7/1,000; ITN:17.6%). Lowest incidence districts were Kwadaso (42.2/1,000; ITN:30.2%), Oforikrom (44.6/1,000; ITN:15.7%), and Old Tafo (55.8/1,000; ITN:33.7%). ITN coverage averaged 28.1% (range:5-75%). IPTp1 coverage reached 66% (declining for IPTp2/3). Southwest zone showed the highest malaria incidence (coef= 30.36 95% CI [17.68-43.03], p&lt; 0.001).A 1% increase in IPTp2 coverage reduces malaria </w:t>
      </w:r>
      <w:r w:rsidRPr="00AF28B8">
        <w:rPr>
          <w:rFonts w:ascii="Calibri" w:hAnsi="Calibri" w:cs="Calibri"/>
          <w:color w:val="000000"/>
          <w:sz w:val="22"/>
          <w:szCs w:val="22"/>
        </w:rPr>
        <w:lastRenderedPageBreak/>
        <w:t>incidence rate by 19.48% (95% CI:10.07-21.75), p&lt; 0.001..</w:t>
      </w:r>
      <w:r w:rsidRPr="00AF28B8">
        <w:rPr>
          <w:rFonts w:ascii="Calibri" w:hAnsi="Calibri" w:cs="Calibri"/>
          <w:b/>
          <w:bCs/>
          <w:color w:val="000000"/>
          <w:sz w:val="22"/>
          <w:szCs w:val="22"/>
        </w:rPr>
        <w:t>Critical disparities in intervention coverage persist in high-incidence districts.</w:t>
      </w:r>
      <w:r w:rsidRPr="00AF28B8">
        <w:rPr>
          <w:rFonts w:ascii="Calibri" w:hAnsi="Calibri" w:cs="Calibri"/>
          <w:color w:val="000000"/>
          <w:sz w:val="22"/>
          <w:szCs w:val="22"/>
        </w:rPr>
        <w:t> These areas lag behind regional averages (ITN:28.1%, IPTp1:66%) and low-incidence districts.This highlights need for targeted interventions such as door-to-door ITN distribution, incentivized IPTp completion, partnering with local leaders to combat misinformation and ITN misuse in high-incidence districts to reduce malaria-related morbidity.</w:t>
      </w:r>
      <w:r w:rsidRPr="00AF28B8">
        <w:rPr>
          <w:rFonts w:ascii="Calibri" w:hAnsi="Calibri" w:cs="Calibri"/>
          <w:b/>
          <w:bCs/>
          <w:color w:val="000000"/>
          <w:sz w:val="22"/>
          <w:szCs w:val="22"/>
        </w:rPr>
        <w:t>Keywords:</w:t>
      </w:r>
      <w:r w:rsidRPr="00AF28B8">
        <w:rPr>
          <w:rFonts w:ascii="Calibri" w:hAnsi="Calibri" w:cs="Calibri"/>
          <w:color w:val="000000"/>
          <w:sz w:val="22"/>
          <w:szCs w:val="22"/>
        </w:rPr>
        <w:t> Malaria, Ashanti Region, pregnant women, ITNs, IPTp, incidence, coverage</w:t>
      </w:r>
    </w:p>
    <w:p w14:paraId="017D23FC"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25-A-3743-ASTMH</w:t>
      </w:r>
    </w:p>
    <w:p w14:paraId="38DA297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247515B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Analysis of one-year surveillance data for enhanced disease surveillance and public health decision-making in Somaliland</w:t>
      </w:r>
    </w:p>
    <w:p w14:paraId="3ACFEDB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Early detection and response to disease outbreaks entail a robust and well-functioning public health surveillance system. However, disease-surveillance systems remain inadequate in resource-limited settings. Somaliland started implementation of an integrated disease surveillance and response (IDSR) system in 2024. We developed a dashboard with options to filter data by date, region, district and disease. The dashboard features interactive visualizations, including trend analyses, geographic distributions, and tables. It can be used to identify high-risk groups and areas. With the help of the dashboard, we analysed one-year IDSR data reported from patients admitted to 142 health facilities reported via DHIS2 from March 13, 2024 to March 9, 2025. Over this year, 52,062 cases and 43 deaths were reported. Of these cases, 53.3% (n = 27,725) were male and 46.8% (n = 24,383) were under-five children. Acute watery diarrhea (AWD) [all ages: 23,172 (44.5%); out of these, under-five children: 16,747 (72.3%)], malaria [all ages: 14,410 (27.7%); under-five children: 1,072 (7.4%)] and dengue fever [all ages: 9,625 (18.5%); under-five children: 3,925 (40.8%)] were the top three diseases reported. Of all cases, 69% were reported from three regions - Maroodi-jeeh (Central region) [13,093 (25.1%)], Awdal (Western region) [11,907 (22.9%)] and Togdheer (Southern region) [10,924 (21.0%)]. Overall, cases displayed two peaks, one in April-June 2024 and the other in October-December 2024. The first peak was primarily due to an AWD outbreak (35.2% in Togdheer), while the second peak was driven by a malaria outbreak (62.0% in Awdal). Both outbreaks occurred during the rainy seasons in Somaliland. Among the deaths, suspected cholera caused the highest number of deaths [29 (67.4%)] followed by AWD [7 (16.3%)] and dengue fever [6 (14.0%)]. The overall case fatality rate was at 5.54 per 1000 cases reported. The findings of this analysis can be used to enhance resource allocation and better target control efforts. They also serve as a baseline for measuring future progress.</w:t>
      </w:r>
    </w:p>
    <w:p w14:paraId="55DF819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25-A-3744-ASTMH</w:t>
      </w:r>
    </w:p>
    <w:p w14:paraId="7A7A435B"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3F76F64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Community Drug Distributor Participation in River Blindness Elimination in Uganda: Study Findings and Insights</w:t>
      </w:r>
    </w:p>
    <w:p w14:paraId="51D3550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Onchocerciasis (River Blindness) is a parasitic disease caused by </w:t>
      </w:r>
      <w:r w:rsidRPr="00AF28B8">
        <w:rPr>
          <w:rFonts w:ascii="Calibri" w:hAnsi="Calibri" w:cs="Calibri"/>
          <w:i/>
          <w:iCs/>
          <w:color w:val="000000"/>
          <w:sz w:val="22"/>
          <w:szCs w:val="22"/>
        </w:rPr>
        <w:t>Onchocerca volvulus</w:t>
      </w:r>
      <w:r w:rsidRPr="00AF28B8">
        <w:rPr>
          <w:rFonts w:ascii="Calibri" w:hAnsi="Calibri" w:cs="Calibri"/>
          <w:color w:val="000000"/>
          <w:sz w:val="22"/>
          <w:szCs w:val="22"/>
        </w:rPr>
        <w:t xml:space="preserve">, transmitted by blackfly bites, leading to severe skin irritation and possible blindness. In the late 1990s, Uganda controlled river blindness with annual ivermectin mass drug administration (MDA). In 2007, the goal shifted from control to elimination with twice-yearly MDA. Community Drug Distributors (CDDs) are crucial local volunteers who distribute ivermectin, provide health education, and monitor treatment. Between 2004 and 2024, 283,775 CDDs were trained in Uganda. Recently CDD numbers have declined in areas with ongoing MDA, prompting a study to assess participation. A cross-sectional mixed-methods study was conducted between June and October 2024 in three districts where onchocerciasis MDA is ongoing, one in Lhubiriha and two in Madi-Mid North transmission zones. In each district, one endemic sub-county was randomly selected, with two parishes randomly selected per sub-county. We surveyed 180 CDDs randomly selected from the lists of all trained CDDs. Additionally, 24 key informant interviews (KII), 24 in-depth interviews, and 12 focus group discussions (FGD) were conducted. The study found that 94% of surveyed CDDs reported high participation, but KIIs and FGDs revealed a significant decline </w:t>
      </w:r>
      <w:r w:rsidRPr="00AF28B8">
        <w:rPr>
          <w:rFonts w:ascii="Calibri" w:hAnsi="Calibri" w:cs="Calibri"/>
          <w:color w:val="000000"/>
          <w:sz w:val="22"/>
          <w:szCs w:val="22"/>
        </w:rPr>
        <w:lastRenderedPageBreak/>
        <w:t>over the years. Key roles CDDs performed include distributing medicines (22%), community sensitization (18%) and registration (13%), and reporting treatment data (8%). Barriers included excessive workload (49.4%), lack of personal protective equipment such as raincoats and gumboots (52.2%), low monetary incentives (57.2%), and difficulty reaching communities (61.7%). Despite challenges, participation was driven by desire to help the communities and personal growth. CDDs were perceived as relevant to all health programs. A supported and appreciated CDD workforce is essential for eliminating onchocerciasis. Sustainable programs need community engagement and consideration for CDDs’ well-being.</w:t>
      </w:r>
    </w:p>
    <w:p w14:paraId="33715604"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25-A-3746-ASTMH</w:t>
      </w:r>
    </w:p>
    <w:p w14:paraId="1DFDAFF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28539E3F"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Optimal Coverage Can Mean Lower Coverage: The Future of Insecticide-Treated Nets When Resources Are Limited</w:t>
      </w:r>
    </w:p>
    <w:p w14:paraId="2AEAADBB"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Recommendations for universal coverage of insecticide-treated nets (ITNs) in areas at risk of malaria have pivoted towards optimal coverage, yet there is limited guidance on how this should be defined or achieved. Three-yearly mass campaigns have historically formed the cornerstone of ITN distribution. However, evidence indicates most nets do not last this long, and those that do have impaired effectiveness in areas of pyrethroid insecticide resistance. Decision-making on ITN distribution strategies to facilitate optimal malaria control has become increasingly complex in the face of increased funding constraints. The availability of next generation ITNs with differing costs, durability and effectiveness has made it unclear whether optimal coverage of ITNs can be achieved by maximising coverage with cheaper ITNs, or by distributing fewer but more effective ITNs. Through a Bayesian regression framework, we characterise subnational heterogeneity in ITN retention and use given access from Demographic and Health Survey data for Burkina Faso, Ghana, Malawi, Mali, Mozambique and Senegal. Transmission dynamics models are calibrated for location-specific pyrethroid resistance and transmission intensities to generate subnational projections of malaria cases under different distribution strategies for pyrethroid-only, pyrethroid-piperonyl butoxide (-PBO) and pyrethroid-chlorfenapyr (-CFP) ITNs. Distribution channels investigated included mass campaigns of differing frequencies, under-five campaigns, and routine, school- and community-based distribution. Different ITN procurement rates are considered, as are different combinations of costed distribution channels to investigate optimal subnational tailoring strategies under potential reduced budget envelopes. Results highlight distributing fewer, but more effective pyrethroid-CFP ITNs, is likely to be optimal in most contexts, even under significant financial constraints. Potential trade-offs between maximising impact nationally and ensuring equitable outcomes, which may arise under subnational tailoring strategies, are also highlighted.</w:t>
      </w:r>
    </w:p>
    <w:p w14:paraId="0817A66B"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25-A-3747-ASTMH</w:t>
      </w:r>
    </w:p>
    <w:p w14:paraId="0E58154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6435771F"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Soil-transmitted helminths (STH) and schistosomiasis (SCH) prevalence and intensity in Cross Rivers State, Nigeria: Seven years of deworming impact</w:t>
      </w:r>
    </w:p>
    <w:p w14:paraId="7227C5C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 2014 survey showed prevalence in Cross Rivers state (CRS) of 24.5% and 5.7% for the endemic soil-transmitted helminths (STH) and schistosomiasis (SCH) respectively. Following 6-7 years of mass administration of medicines (MAM) in CRS, assessing the current burden and program impact was necessary. A cross-sectional, school-based, cluster survey of 2,082 school aged children (5-14 years) across 39 schools was used to determine STH and SCH prevalence in CRS. The survey was designed and analysed using model-based geostatistics to identify policy relevant endemicity classes across Local Government Authorities (LGA) . Stool and urine samples were tested by Kato Katz and urine filtration. Data on WASH parameters was collected to identify infection correlations. State prevalence of any STH was estimated between 10% to &lt;20% with a 0.99 probability. Of 18 LGAs, Bakassi lay above 20%, 11 sat between 10-20% and six between 2-10%. No LGA had STH prevalence of &lt;2%. For SCH, 10 LGAs had &lt;1% prevalence with the remaining eight between 1-10%. Only light (11.8%) and moderate (0.3%) STH </w:t>
      </w:r>
      <w:r w:rsidRPr="00AF28B8">
        <w:rPr>
          <w:rFonts w:ascii="Calibri" w:hAnsi="Calibri" w:cs="Calibri"/>
          <w:color w:val="000000"/>
          <w:sz w:val="22"/>
          <w:szCs w:val="22"/>
        </w:rPr>
        <w:lastRenderedPageBreak/>
        <w:t>intensity infections were detected. For SCH, most infections were light intensity (1.0%) followed by moderate (0.2%) and high (0.1%). Multivariable analysis indicated using public piped water for drinking, having toilet facility at home (OR:0.51, CI:0.29*,0.89), and defecating outside school compounds (OR:0.53, CI:0.28.1.09) were associated with lower odds of STH infections. Urinating around school compounds (OR:0.23, CI:0.04, 1.25) and using water bodies near homes/schools for washing purposes were associated with lower odds, while using stream water for drinking was associated with higher odds of SCH infections. After seven years of MAM, significant rate reductions (48.79%) of STH and (76.64%) SCH prevalence have been achieved. Increased cross-sectoral collaboration to drive improvements in WASH, along with sustained high quality MAM, will continue to reduce prevalence and intensity.</w:t>
      </w:r>
    </w:p>
    <w:p w14:paraId="7ADBB4F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25-A-3748-ASTMH</w:t>
      </w:r>
    </w:p>
    <w:p w14:paraId="59B96461"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384CCD8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CATMAT’s Approach to Evidence Assessment and Guideline Development in Travel Medicine in Canada</w:t>
      </w:r>
    </w:p>
    <w:p w14:paraId="7576A52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Committee to Advise on Tropical Medicine and Travel (CATMAT), an external advisory body to the Public Health Agency of Canada, provides recommendations to healthcare professionals on preventing and treating infectious diseases and hazards encountered by Canadian travellers abroad. CATMAT’s guidance is developed to support healthcare providers in advising their individual patients, taking the perspective of the individual. This perspective is reflected in the Committee’s judgements and discussions of important variables that affect individual decision-making. In some circumstances, the population perspective is also acknowledged to address the relationship between the individual perspective and the health system. CATMAT guidance are evidence-based and when appropriate, applies the GRADE (Grading of Recommendations Assessment, Development, and Evaluation) framework to develop guidelines. This framework offers a transparent and structured process to assess evidence quality, while balancing key criteria in the recommendation development process including benefits and harms of the intervention, resources required, acceptability, feasibility, patient values and, where applicable, considers equity. Adapting GRADE in the context of travel medicine guidelines presents unique obstacles that have not been formally outlined. Estimating the baseline risk of travel related illness in travellers remains a challenge given the lack of public health surveillance data specific to this population. Often, available data comes from surveillance in endemic areas and is not directly applicable to travellers. Data on the effects of an intervention and travellers’ values and preferences are often unavailable or, when available, are not robust. In these situations, a proxy outcome or modelling to estimate outcomes of interest are needed to support the evidence assessment process. CATMAT will be updating their methodologic guidance to discuss the complexities of assessing the evidence in the context of travel medicine and evolving GRADE methodology, and to provide further transparency in its process to develop recommendations.</w:t>
      </w:r>
    </w:p>
    <w:p w14:paraId="63AA26C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25-A-3749-ASTMH</w:t>
      </w:r>
    </w:p>
    <w:p w14:paraId="119E6BE6"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059E149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Implementing Tafenoquine-Based Radical Cure for </w:t>
      </w:r>
      <w:r w:rsidRPr="00AF28B8">
        <w:rPr>
          <w:rFonts w:ascii="Calibri" w:hAnsi="Calibri" w:cs="Calibri"/>
          <w:i/>
          <w:iCs/>
          <w:color w:val="000000"/>
          <w:sz w:val="22"/>
          <w:szCs w:val="22"/>
        </w:rPr>
        <w:t>P. vivax </w:t>
      </w:r>
      <w:r w:rsidRPr="00AF28B8">
        <w:rPr>
          <w:rFonts w:ascii="Calibri" w:hAnsi="Calibri" w:cs="Calibri"/>
          <w:color w:val="000000"/>
          <w:sz w:val="22"/>
          <w:szCs w:val="22"/>
        </w:rPr>
        <w:t>Malaria in Peru: Results from the PAVE-Peru Study</w:t>
      </w:r>
    </w:p>
    <w:p w14:paraId="1C88F45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Peru,</w:t>
      </w:r>
      <w:r w:rsidRPr="00AF28B8">
        <w:rPr>
          <w:rFonts w:ascii="Calibri" w:hAnsi="Calibri" w:cs="Calibri"/>
          <w:i/>
          <w:iCs/>
          <w:color w:val="000000"/>
          <w:sz w:val="22"/>
          <w:szCs w:val="22"/>
        </w:rPr>
        <w:t> Plasmodium vivax</w:t>
      </w:r>
      <w:r w:rsidRPr="00AF28B8">
        <w:rPr>
          <w:rFonts w:ascii="Calibri" w:hAnsi="Calibri" w:cs="Calibri"/>
          <w:color w:val="000000"/>
          <w:sz w:val="22"/>
          <w:szCs w:val="22"/>
        </w:rPr>
        <w:t xml:space="preserve"> accounts for over 80% of malaria cases and remains a key barrier to elimination. The PAVE-Peru implementation study evaluated the safety, feasibility, and adherence to a revised case management algorithm incorporating SD Biosensor point-of-care semi-quantitative glucose-6-phosphate dehydrogenase (G6PD) testing and radical cure (RC) with chloroquine and tafenoquine (TQ) or primaquine (PQ). Between August 2023 and December 2024, 987 patients were enrolled: 634 from four high-level and 353 from ten public low-level health facilities (HFs) in Loreto. Among high-level HFs patients only, 59.8% received TQ and 38.9% PQ. G6PD activity results were available for all high-level enrolled patients: 84.23% had normal activity, 14.83% intermediate, and 0.94% deficient. Intermediate activity occurred in both sexes slightly more frequent among males. No cases of acute hemolytic anemia </w:t>
      </w:r>
      <w:r w:rsidRPr="00AF28B8">
        <w:rPr>
          <w:rFonts w:ascii="Calibri" w:hAnsi="Calibri" w:cs="Calibri"/>
          <w:color w:val="000000"/>
          <w:sz w:val="22"/>
          <w:szCs w:val="22"/>
        </w:rPr>
        <w:lastRenderedPageBreak/>
        <w:t>were reported, and all eight serious adverse events were attributed to severe </w:t>
      </w:r>
      <w:r w:rsidRPr="00AF28B8">
        <w:rPr>
          <w:rFonts w:ascii="Calibri" w:hAnsi="Calibri" w:cs="Calibri"/>
          <w:i/>
          <w:iCs/>
          <w:color w:val="000000"/>
          <w:sz w:val="22"/>
          <w:szCs w:val="22"/>
        </w:rPr>
        <w:t>P. vivax</w:t>
      </w:r>
      <w:r w:rsidRPr="00AF28B8">
        <w:rPr>
          <w:rFonts w:ascii="Calibri" w:hAnsi="Calibri" w:cs="Calibri"/>
          <w:color w:val="000000"/>
          <w:sz w:val="22"/>
          <w:szCs w:val="22"/>
        </w:rPr>
        <w:t> malaria and not to RC. Adherence to the revised treatment algorithm was high: 98.7% of healthcare providers (HCPs) correctly prescribed PQ or TQ. At the system level, all high-level HFs met the ≥80% threshold for correct case management, including G6PD testing, result interpretation, and appropriate prescription and administration of optimized RC. Data from low-level health facilities are still under analysis and will be included in the full results presented. In general, training and supervision strategies were well received, though continued refresher sessions were recommended to address staff turnover and operational challenges. These findings support the feasibility of scaling a G6PD-guided RC strategy and will inform national policy to optimize </w:t>
      </w:r>
      <w:r w:rsidRPr="00AF28B8">
        <w:rPr>
          <w:rFonts w:ascii="Calibri" w:hAnsi="Calibri" w:cs="Calibri"/>
          <w:i/>
          <w:iCs/>
          <w:color w:val="000000"/>
          <w:sz w:val="22"/>
          <w:szCs w:val="22"/>
        </w:rPr>
        <w:t>P. vivax</w:t>
      </w:r>
      <w:r w:rsidRPr="00AF28B8">
        <w:rPr>
          <w:rFonts w:ascii="Calibri" w:hAnsi="Calibri" w:cs="Calibri"/>
          <w:color w:val="000000"/>
          <w:sz w:val="22"/>
          <w:szCs w:val="22"/>
        </w:rPr>
        <w:t> malaria management in endemic regions. Full results will be shared at the 2025 ASTMH Annual Meeting.</w:t>
      </w:r>
    </w:p>
    <w:p w14:paraId="4D12A7B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25-A-3750-ASTMH</w:t>
      </w:r>
    </w:p>
    <w:p w14:paraId="5FB9DA58"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77FA5641"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Integration of Malaria Vaccine Data into Routine DHIS2 System in DRC</w:t>
      </w:r>
    </w:p>
    <w:p w14:paraId="59CBF83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To facilitate the introduction of PMC and the malaria vaccine (MalVac), a temporary module of the District Health Information Software (DHIS2) was used for data management. This led to accessibility issues and a lack of user proficiency with the tool, resulting in low completeness and timeliness of MalVac data from October to December 2024. Integrating MalVac data into routine health information systems like DHIS2 can enhance data management and decision-making. PATH, in collaboration with the Ministry of Health, organized the integration of PMC and MalVac data into the routine DHIS2 used for other public health data and the transfer of historical data from the temporary instance to the classic instance. This abstract aims to highlight the importance of seamless data integration to improve the outcomes of malaria vaccine coverage and operational efficiency. Key steps: (i) identifying and mapping relevant MalVac data fields to existing DHIS2 data elements; (ii) configuring DHIS2 to accommodate new data elements, including creating custom forms and reports; (iii) transferring historical MalVac data into DHIS2, ensuring data accuracy and completeness; and (iv) establishing mechanisms for continuous monitoring and evaluation to assess the integration's impact on data quality. The integration of MalVac data into DHIS2 offers several benefits: (i) Improved accuracy, timeliness, and completeness of vaccination records (from 37% to 97% monthly); (ii) Facilitates timely access to vaccination data for health workers and policymakers; (iii) Supports evidence-based decision-making; (iv) Streamlines data collection and reporting processes, reducing administrative burden. Challenges include (i) ensuring compatibility between existing DHIS2 configurations and new data elements, (ii) allocating sufficient resources for training and ongoing support, and (iii) securing buy-in from all stakeholders. Despite the challenges encountered, the benefits of improved data quality, real-time access, and operational efficiency make this integration a valuable investment in strengthening the vaccination data management system.</w:t>
      </w:r>
    </w:p>
    <w:p w14:paraId="00FE58E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25-A-3751-ASTMH</w:t>
      </w:r>
    </w:p>
    <w:p w14:paraId="38A4961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1D1ECED8"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Integrating Neglected Tropical Diseases Data into DHIS2 in Liberia: Moving Towards Vision 2030 NTDs Roadmap</w:t>
      </w:r>
    </w:p>
    <w:p w14:paraId="41F1F54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Neglected Tropical Diseases (NTDs) remain a significant public health concern across all 15 counties in Liberia. Following disease mapping exercises conducted by the World Health Organization—Onchocerciasis (1999), Lymphatic Filariasis (2010), and Schistosomiasis and Soil-Transmitted Helminthiasis (2012-2015)—the Ministry of Health (MoH) initiated an Integrated Case Management Program for NTDs in 2016. This program aimed to transition from vertical, disease-specific interventions to a unified approach, integrating NTD case management into the national Health Management Information System (HMIS) and the District Health Information Software 2 (DHIS2).​ Between 2020 and 2025, Liberia successfully integrated comprehensive NTD case management data into DHIS2. During this period, the system recorded 3,245 cases of Lymphatic Filariasis, 1,876 instances of Lymphoedema, 1,102 </w:t>
      </w:r>
      <w:r w:rsidRPr="00AF28B8">
        <w:rPr>
          <w:rFonts w:ascii="Calibri" w:hAnsi="Calibri" w:cs="Calibri"/>
          <w:color w:val="000000"/>
          <w:sz w:val="22"/>
          <w:szCs w:val="22"/>
        </w:rPr>
        <w:lastRenderedPageBreak/>
        <w:t>cases of Hydrocele, 789 cases of Buruli Ulcer, and 412 cases of Yaws. This integration has enhanced data visibility, facilitated better monitoring, and informed resource allocation for NTD programs.​ Despite these advancements, challenges persist. Data quality issues, stemming from factors such as underpaid staff and high attrition rates, continue to impede effective data utilization. A 2023 assessment revealed that approximately 45% of health facilities experienced discrepancies between ledger entries and DHIS2 reports, highlighting inconsistencies in data reporting. Additionally, limited training opportunities and inadequate supervision contribute to these challenges, undermining the reliability of the data collected​(REDRESS LiberiaJSI Publications). To address these issues, the MoH has developed a Data Quality Improvement Plan (DQIP), aiming to enhance data accuracy, completeness, and timeliness by 2026. Key strategies include regular in-service training, improved supervision, and the implementation of standardized data collection tools. Strengthening these areas is crucial to ensure that the integrated DHIS2 system effectively supports the management and control of NTDs in Liberia.​</w:t>
      </w:r>
    </w:p>
    <w:p w14:paraId="7A5BA99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25-A-3752-ASTMH</w:t>
      </w:r>
    </w:p>
    <w:p w14:paraId="2984F46C"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Opportunistic and Anaerobic Protozoa - Epidemiology (Including Leishmania and Trypanosomes)</w:t>
      </w:r>
    </w:p>
    <w:p w14:paraId="6CA1977E"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Transmissibility of </w:t>
      </w:r>
      <w:r w:rsidRPr="00AF28B8">
        <w:rPr>
          <w:rFonts w:ascii="Calibri" w:hAnsi="Calibri" w:cs="Calibri"/>
          <w:b/>
          <w:bCs/>
          <w:i/>
          <w:iCs/>
          <w:color w:val="000000"/>
          <w:sz w:val="22"/>
          <w:szCs w:val="22"/>
        </w:rPr>
        <w:t>Leishmania donovani</w:t>
      </w:r>
      <w:r w:rsidRPr="00AF28B8">
        <w:rPr>
          <w:rFonts w:ascii="Calibri" w:hAnsi="Calibri" w:cs="Calibri"/>
          <w:b/>
          <w:bCs/>
          <w:color w:val="000000"/>
          <w:sz w:val="22"/>
          <w:szCs w:val="22"/>
        </w:rPr>
        <w:t> from human to sand flies in an area endemic for visceral leishmaniasis in India</w:t>
      </w:r>
    </w:p>
    <w:p w14:paraId="0E3DA8D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Visceral leishmaniasis (VL), a deadly disease caused by </w:t>
      </w:r>
      <w:r w:rsidRPr="00AF28B8">
        <w:rPr>
          <w:rFonts w:ascii="Calibri" w:hAnsi="Calibri" w:cs="Calibri"/>
          <w:i/>
          <w:iCs/>
          <w:color w:val="000000"/>
          <w:sz w:val="22"/>
          <w:szCs w:val="22"/>
        </w:rPr>
        <w:t>Leishmania donovani</w:t>
      </w:r>
      <w:r w:rsidRPr="00AF28B8">
        <w:rPr>
          <w:rFonts w:ascii="Calibri" w:hAnsi="Calibri" w:cs="Calibri"/>
          <w:color w:val="000000"/>
          <w:sz w:val="22"/>
          <w:szCs w:val="22"/>
        </w:rPr>
        <w:t> and spread by </w:t>
      </w:r>
      <w:r w:rsidRPr="00AF28B8">
        <w:rPr>
          <w:rFonts w:ascii="Calibri" w:hAnsi="Calibri" w:cs="Calibri"/>
          <w:i/>
          <w:iCs/>
          <w:color w:val="000000"/>
          <w:sz w:val="22"/>
          <w:szCs w:val="22"/>
        </w:rPr>
        <w:t>Phlebotomus argentipes</w:t>
      </w:r>
      <w:r w:rsidRPr="00AF28B8">
        <w:rPr>
          <w:rFonts w:ascii="Calibri" w:hAnsi="Calibri" w:cs="Calibri"/>
          <w:color w:val="000000"/>
          <w:sz w:val="22"/>
          <w:szCs w:val="22"/>
        </w:rPr>
        <w:t>, requires urgent control of transmission across all infection stages. This study used xenodiagnosis to assess the infectiousness of VL, PKDL, HIV-VL, and asymptomatic individuals before and after treatment to the sand fly vector. </w:t>
      </w:r>
      <w:r w:rsidRPr="00AF28B8">
        <w:rPr>
          <w:rFonts w:ascii="Calibri" w:hAnsi="Calibri" w:cs="Calibri"/>
          <w:b/>
          <w:bCs/>
          <w:color w:val="000000"/>
          <w:sz w:val="22"/>
          <w:szCs w:val="22"/>
        </w:rPr>
        <w:t>Methods:</w:t>
      </w:r>
      <w:r w:rsidRPr="00AF28B8">
        <w:rPr>
          <w:rFonts w:ascii="Calibri" w:hAnsi="Calibri" w:cs="Calibri"/>
          <w:color w:val="000000"/>
          <w:sz w:val="22"/>
          <w:szCs w:val="22"/>
        </w:rPr>
        <w:t> 10 male and 30 female sand flies were exposed for 30 min on each site on the subject’s forearm and/or lower leg on each of the active VL patients (n=77), before and after successful treatment, asymptomatic individuals (n=183), Post Kala-azar Dermal Leishmaniasis (PKDL) patients (n=26) and HIV-VL patients (n=14). Blood-fed females were maintained at 28°C and 85% humidity. At 60-72 hours post-feeding, the flies were dissected and examined for Leishmania donovani using microscopy and qPCR. A subject was deemed infectious if promastigotes were detected in at least one individual fly via microscopy or in one or more fly pools by qPCR, indicating potential to transmit the parasite to sand flies.</w:t>
      </w:r>
      <w:r w:rsidRPr="00AF28B8">
        <w:rPr>
          <w:rFonts w:ascii="Calibri" w:hAnsi="Calibri" w:cs="Calibri"/>
          <w:b/>
          <w:bCs/>
          <w:color w:val="000000"/>
          <w:sz w:val="22"/>
          <w:szCs w:val="22"/>
        </w:rPr>
        <w:t>Findings</w:t>
      </w:r>
      <w:r w:rsidRPr="00AF28B8">
        <w:rPr>
          <w:rFonts w:ascii="Calibri" w:hAnsi="Calibri" w:cs="Calibri"/>
          <w:color w:val="000000"/>
          <w:sz w:val="22"/>
          <w:szCs w:val="22"/>
        </w:rPr>
        <w:t> We found that 54.6% (42/77) and 77.9% (60/77) of active VL patients transmitted parasites to at least one fly or pools by microscopy and qPCR, respectively. Transmission of infection correlated with severity of VL disease. None of the drug cured VL patients were found xenodiagnosis positive by microscopy at 30 days post-treatment. Both nodular and macular PKDL patients were infectious to sand flies, with enhanced transmission when the flies were fed on nodular lesions. 92.8% (13/14) HIV-VL co-infected patients transmitted infection to flies. Importantly, none of the 184 asymptomatic subjects were infectious to sand flies, affording a 97.5% confidence that there is less than a 2% probability that an asymptomatic subject would infect a fly. </w:t>
      </w:r>
      <w:r w:rsidRPr="00AF28B8">
        <w:rPr>
          <w:rFonts w:ascii="Calibri" w:hAnsi="Calibri" w:cs="Calibri"/>
          <w:b/>
          <w:bCs/>
          <w:color w:val="000000"/>
          <w:sz w:val="22"/>
          <w:szCs w:val="22"/>
        </w:rPr>
        <w:t>Interpretation</w:t>
      </w:r>
      <w:r w:rsidRPr="00AF28B8">
        <w:rPr>
          <w:rFonts w:ascii="Calibri" w:hAnsi="Calibri" w:cs="Calibri"/>
          <w:color w:val="000000"/>
          <w:sz w:val="22"/>
          <w:szCs w:val="22"/>
        </w:rPr>
        <w:t> These findings confirm that active VL, PKDL and HIV-VL patients transmit </w:t>
      </w:r>
      <w:r w:rsidRPr="00AF28B8">
        <w:rPr>
          <w:rFonts w:ascii="Calibri" w:hAnsi="Calibri" w:cs="Calibri"/>
          <w:i/>
          <w:iCs/>
          <w:color w:val="000000"/>
          <w:sz w:val="22"/>
          <w:szCs w:val="22"/>
        </w:rPr>
        <w:t>L. donovani</w:t>
      </w:r>
      <w:r w:rsidRPr="00AF28B8">
        <w:rPr>
          <w:rFonts w:ascii="Calibri" w:hAnsi="Calibri" w:cs="Calibri"/>
          <w:color w:val="000000"/>
          <w:sz w:val="22"/>
          <w:szCs w:val="22"/>
        </w:rPr>
        <w:t> to the vector, but that early diagnosis and treatment will effectively remove these individuals as infection reservoirs. An important role for asymptomatic individuals in the maintenance of the transmission cycle remains unsubstantiated.</w:t>
      </w:r>
    </w:p>
    <w:p w14:paraId="6E82576E"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25-A-3753-ASTMH</w:t>
      </w:r>
    </w:p>
    <w:p w14:paraId="1960FA5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386FC9DF"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of an AI-based in-situ microscope for the detection of intestinal parasites</w:t>
      </w:r>
    </w:p>
    <w:p w14:paraId="33A03EB0"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Parasitic diseases remain a global health challenge, accounting for the majority of diseases on the WHO´s list of neglected tropical diseases (NTD). But affordable and accurate diagnosis is still not available in many parts of the world. Our work focuses on the development of a novel in-situ microscope coupled with artificial intelligence to address this issue. The aim is to provide doctors with a portable and efficient support tool.</w:t>
      </w:r>
      <w:r w:rsidRPr="00AF28B8">
        <w:rPr>
          <w:rFonts w:ascii="Calibri" w:hAnsi="Calibri" w:cs="Calibri"/>
          <w:color w:val="000000"/>
          <w:sz w:val="22"/>
          <w:szCs w:val="22"/>
        </w:rPr>
        <w:br/>
        <w:t xml:space="preserve">Particularly those diseases caused by helminths and protozoa that infect the human gastrointestinal </w:t>
      </w:r>
      <w:r w:rsidRPr="00AF28B8">
        <w:rPr>
          <w:rFonts w:ascii="Calibri" w:hAnsi="Calibri" w:cs="Calibri"/>
          <w:color w:val="000000"/>
          <w:sz w:val="22"/>
          <w:szCs w:val="22"/>
        </w:rPr>
        <w:lastRenderedPageBreak/>
        <w:t>tract have proven to be a burden for the affected populations, leading to anemia, diarrhea and malnutrition. Although these infections are treatable, the lack of health structures and personnel leaves many rural areas uncovered.</w:t>
      </w:r>
      <w:r w:rsidRPr="00AF28B8">
        <w:rPr>
          <w:rFonts w:ascii="Calibri" w:hAnsi="Calibri" w:cs="Calibri"/>
          <w:color w:val="000000"/>
          <w:sz w:val="22"/>
          <w:szCs w:val="22"/>
        </w:rPr>
        <w:br/>
        <w:t>Diagnosis of parasitic diseases relies heavily on manual microscopy, namely the Fecal Egg Count (FEC) methods, with protocols such as Winconsin, Kato-katz and Mc-Master being the state of the art for both human and veterinary medicine. In addition, devices have been developed to standardize and automate the process, such as FLOTAC and mini-FLOTAC, FECPAK (Techion Group Limited), Parasigth AIO (Parasight System Inc.) and VETSCAN IMAGYST (Zoetis Inc.), with varying degrees of success. Issues that remain are the diagnosis of co-infections, the performance and the cost of the procedure, together with its standardization. These issues are particularly critical in the context of preventive treatments, since the rise of drug resistance means that antiparasitic drugs should only be administered when truly necessary. Our current work addresses these gaps by developing an adjustment-free in-situ microscope capable of identifying different species in stool samples using artificial intelligence. The development follows an optimization scheme for both the physical interface and the AI, that is based on a YOLO network. The goal is to provide an efficient, low-cost, and portable diagnostic tool to support clinicians, especially in resource-limited settings.</w:t>
      </w:r>
    </w:p>
    <w:p w14:paraId="2591B52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25-A-3754-ASTMH</w:t>
      </w:r>
    </w:p>
    <w:p w14:paraId="61DED95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3D444EA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i/>
          <w:iCs/>
          <w:color w:val="000000"/>
          <w:sz w:val="22"/>
          <w:szCs w:val="22"/>
        </w:rPr>
        <w:t>Using a Deep Dive Approach to Strengthen the Quality and Coverage of Malaria Vaccination in Seven Health Zones of Kongo-Central Province, DRC</w:t>
      </w:r>
    </w:p>
    <w:p w14:paraId="0089F5B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vaccination (MalVac) is one of the innovative interventions to eliminate the disease in combination with other strategies. This vaccine targets children aged 6 to 23 months in the medium and high-burden areas. The DRC adopted a phased approach, starting in October 2024 in 31 health zones (equivalent of Districts) of the Kongo-Central province. Successful implementation of the new vaccine will rely on rigorous planning, coordination and implementation of demand promotion and community engagement activities, good capacity of healthcare providers to administer vaccines, and an effective monitoring system. PATH is supporting the Ministry of Public Health and Hygiene in implementing a "Deep Dive" approach to apply best practices and document lessons that could be shared with other areas during scale up malaria vaccination. The main objectives include ensuring support to strengthen the factors that positively influence vaccine uptake and develop targeted strategies to improve the quality of services and to optimize the coverage of all four doses of the malaria vaccination without compromising those of other antigens and malaria interventions. To translate learnings from these areas in a timely fashion to support ongoing deployment in other health zones in Kongo Central whilst informing scale up planning and preparations to other provinces of the DRC.As this approach is still recent, this abstract will describe the approach used, how it identifies challenges, and some preliminary results. The quality of the immunization services provision, data quality and a significant increase in malaria vaccination coverage, particularly through a reduction in dropout rates between doses in the targeted health zones. It is a promising approach that will help to lead to increasing the number of eligible children.</w:t>
      </w:r>
    </w:p>
    <w:p w14:paraId="47A37AC4"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25-A-3755-ASTMH</w:t>
      </w:r>
    </w:p>
    <w:p w14:paraId="65A98785"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33C0E836"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Characterization of Ceftriaxone Resistance and Atypical Lactose Fermentation in </w:t>
      </w:r>
      <w:r w:rsidRPr="00AF28B8">
        <w:rPr>
          <w:rFonts w:ascii="Calibri" w:hAnsi="Calibri" w:cs="Calibri"/>
          <w:i/>
          <w:iCs/>
          <w:color w:val="000000"/>
          <w:sz w:val="22"/>
          <w:szCs w:val="22"/>
        </w:rPr>
        <w:t>Salmonella Typhi</w:t>
      </w:r>
      <w:r w:rsidRPr="00AF28B8">
        <w:rPr>
          <w:rFonts w:ascii="Calibri" w:hAnsi="Calibri" w:cs="Calibri"/>
          <w:color w:val="000000"/>
          <w:sz w:val="22"/>
          <w:szCs w:val="22"/>
        </w:rPr>
        <w:t> from Bangladesh</w:t>
      </w:r>
    </w:p>
    <w:p w14:paraId="0A9932DE"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Salmonella Typhi</w:t>
      </w:r>
      <w:r w:rsidRPr="00AF28B8">
        <w:rPr>
          <w:rFonts w:ascii="Calibri" w:hAnsi="Calibri" w:cs="Calibri"/>
          <w:color w:val="000000"/>
          <w:sz w:val="22"/>
          <w:szCs w:val="22"/>
        </w:rPr>
        <w:t>, the causative agent of typhoid fever, poses an increasing public health threat, especially in tropical regions where antimicrobial resistance undermines treatment efficacy. In this study, we report two ceftriaxone-resistant </w:t>
      </w:r>
      <w:r w:rsidRPr="00AF28B8">
        <w:rPr>
          <w:rFonts w:ascii="Calibri" w:hAnsi="Calibri" w:cs="Calibri"/>
          <w:i/>
          <w:iCs/>
          <w:color w:val="000000"/>
          <w:sz w:val="22"/>
          <w:szCs w:val="22"/>
        </w:rPr>
        <w:t>S. Typhi</w:t>
      </w:r>
      <w:r w:rsidRPr="00AF28B8">
        <w:rPr>
          <w:rFonts w:ascii="Calibri" w:hAnsi="Calibri" w:cs="Calibri"/>
          <w:color w:val="000000"/>
          <w:sz w:val="22"/>
          <w:szCs w:val="22"/>
        </w:rPr>
        <w:t> (CRST) cases and one lactose-fermenting </w:t>
      </w:r>
      <w:r w:rsidRPr="00AF28B8">
        <w:rPr>
          <w:rFonts w:ascii="Calibri" w:hAnsi="Calibri" w:cs="Calibri"/>
          <w:i/>
          <w:iCs/>
          <w:color w:val="000000"/>
          <w:sz w:val="22"/>
          <w:szCs w:val="22"/>
        </w:rPr>
        <w:t>S. Typhi</w:t>
      </w:r>
      <w:r w:rsidRPr="00AF28B8">
        <w:rPr>
          <w:rFonts w:ascii="Calibri" w:hAnsi="Calibri" w:cs="Calibri"/>
          <w:color w:val="000000"/>
          <w:sz w:val="22"/>
          <w:szCs w:val="22"/>
        </w:rPr>
        <w:t xml:space="preserve"> isolate detected through surveillance in Bangladesh, highlighting emerging clinical and diagnostic challenges. Whole genome sequencing of the CRST isolates—identified in two male patients aged 16 </w:t>
      </w:r>
      <w:r w:rsidRPr="00AF28B8">
        <w:rPr>
          <w:rFonts w:ascii="Calibri" w:hAnsi="Calibri" w:cs="Calibri"/>
          <w:color w:val="000000"/>
          <w:sz w:val="22"/>
          <w:szCs w:val="22"/>
        </w:rPr>
        <w:lastRenderedPageBreak/>
        <w:t>and 18 in Dhaka—revealed resistance to ceftriaxone, fluoroquinolones, and aminoglycosides, driven by the presence of</w:t>
      </w:r>
      <w:r w:rsidRPr="00AF28B8">
        <w:rPr>
          <w:rFonts w:ascii="Calibri" w:hAnsi="Calibri" w:cs="Calibri"/>
          <w:i/>
          <w:iCs/>
          <w:color w:val="000000"/>
          <w:sz w:val="22"/>
          <w:szCs w:val="22"/>
        </w:rPr>
        <w:t> blaCTX-M-15</w:t>
      </w:r>
      <w:r w:rsidRPr="00AF28B8">
        <w:rPr>
          <w:rFonts w:ascii="Calibri" w:hAnsi="Calibri" w:cs="Calibri"/>
          <w:color w:val="000000"/>
          <w:sz w:val="22"/>
          <w:szCs w:val="22"/>
        </w:rPr>
        <w:t>, </w:t>
      </w:r>
      <w:r w:rsidRPr="00AF28B8">
        <w:rPr>
          <w:rFonts w:ascii="Calibri" w:hAnsi="Calibri" w:cs="Calibri"/>
          <w:i/>
          <w:iCs/>
          <w:color w:val="000000"/>
          <w:sz w:val="22"/>
          <w:szCs w:val="22"/>
        </w:rPr>
        <w:t>gyrAS83F</w:t>
      </w:r>
      <w:r w:rsidRPr="00AF28B8">
        <w:rPr>
          <w:rFonts w:ascii="Calibri" w:hAnsi="Calibri" w:cs="Calibri"/>
          <w:color w:val="000000"/>
          <w:sz w:val="22"/>
          <w:szCs w:val="22"/>
        </w:rPr>
        <w:t>, and </w:t>
      </w:r>
      <w:r w:rsidRPr="00AF28B8">
        <w:rPr>
          <w:rFonts w:ascii="Calibri" w:hAnsi="Calibri" w:cs="Calibri"/>
          <w:i/>
          <w:iCs/>
          <w:color w:val="000000"/>
          <w:sz w:val="22"/>
          <w:szCs w:val="22"/>
        </w:rPr>
        <w:t>aac6'-Iy</w:t>
      </w:r>
      <w:r w:rsidRPr="00AF28B8">
        <w:rPr>
          <w:rFonts w:ascii="Calibri" w:hAnsi="Calibri" w:cs="Calibri"/>
          <w:color w:val="000000"/>
          <w:sz w:val="22"/>
          <w:szCs w:val="22"/>
        </w:rPr>
        <w:t> genes. These resistance elements were located on an IncY_1 plasmid harboring </w:t>
      </w:r>
      <w:r w:rsidRPr="00AF28B8">
        <w:rPr>
          <w:rFonts w:ascii="Calibri" w:hAnsi="Calibri" w:cs="Calibri"/>
          <w:b/>
          <w:bCs/>
          <w:color w:val="000000"/>
          <w:sz w:val="22"/>
          <w:szCs w:val="22"/>
        </w:rPr>
        <w:t>ISEcp1</w:t>
      </w:r>
      <w:r w:rsidRPr="00AF28B8">
        <w:rPr>
          <w:rFonts w:ascii="Calibri" w:hAnsi="Calibri" w:cs="Calibri"/>
          <w:color w:val="000000"/>
          <w:sz w:val="22"/>
          <w:szCs w:val="22"/>
        </w:rPr>
        <w:t> and </w:t>
      </w:r>
      <w:r w:rsidRPr="00AF28B8">
        <w:rPr>
          <w:rFonts w:ascii="Calibri" w:hAnsi="Calibri" w:cs="Calibri"/>
          <w:b/>
          <w:bCs/>
          <w:color w:val="000000"/>
          <w:sz w:val="22"/>
          <w:szCs w:val="22"/>
        </w:rPr>
        <w:t>IS903B</w:t>
      </w:r>
      <w:r w:rsidRPr="00AF28B8">
        <w:rPr>
          <w:rFonts w:ascii="Calibri" w:hAnsi="Calibri" w:cs="Calibri"/>
          <w:color w:val="000000"/>
          <w:sz w:val="22"/>
          <w:szCs w:val="22"/>
        </w:rPr>
        <w:t>, suggesting acquisition via horizontal gene transfer. Phylogenetic analysis showed close genetic relatedness to CRST strains from Iraq, with links to isolates in the United States and United Kingdom, indicating potential global dissemination. Both patients experienced clinical failure of ceftriaxone therapy and required carbapenems. One patient had recent travel to Saudi Arabia, suggesting possible importation, while the other had no travel history, implying local transmission. Notably, four additional suspected CRST cases were reported in the same area, and a recent preprint documents 47 CRST cases between April and September 2024, signaling wider circulation. Separately, we identified a lactose-fermenting </w:t>
      </w:r>
      <w:r w:rsidRPr="00AF28B8">
        <w:rPr>
          <w:rFonts w:ascii="Calibri" w:hAnsi="Calibri" w:cs="Calibri"/>
          <w:i/>
          <w:iCs/>
          <w:color w:val="000000"/>
          <w:sz w:val="22"/>
          <w:szCs w:val="22"/>
        </w:rPr>
        <w:t>S. Typhi</w:t>
      </w:r>
      <w:r w:rsidRPr="00AF28B8">
        <w:rPr>
          <w:rFonts w:ascii="Calibri" w:hAnsi="Calibri" w:cs="Calibri"/>
          <w:color w:val="000000"/>
          <w:sz w:val="22"/>
          <w:szCs w:val="22"/>
        </w:rPr>
        <w:t> strain from a 5-year-old patient, which grew atypically on Mac Conkey agar. Genomic analysis showed the absence of canonical </w:t>
      </w:r>
      <w:r w:rsidRPr="00AF28B8">
        <w:rPr>
          <w:rFonts w:ascii="Calibri" w:hAnsi="Calibri" w:cs="Calibri"/>
          <w:i/>
          <w:iCs/>
          <w:color w:val="000000"/>
          <w:sz w:val="22"/>
          <w:szCs w:val="22"/>
        </w:rPr>
        <w:t>lac</w:t>
      </w:r>
      <w:r w:rsidRPr="00AF28B8">
        <w:rPr>
          <w:rFonts w:ascii="Calibri" w:hAnsi="Calibri" w:cs="Calibri"/>
          <w:color w:val="000000"/>
          <w:sz w:val="22"/>
          <w:szCs w:val="22"/>
        </w:rPr>
        <w:t> operon genes but identified </w:t>
      </w:r>
      <w:r w:rsidRPr="00AF28B8">
        <w:rPr>
          <w:rFonts w:ascii="Calibri" w:hAnsi="Calibri" w:cs="Calibri"/>
          <w:b/>
          <w:bCs/>
          <w:color w:val="000000"/>
          <w:sz w:val="22"/>
          <w:szCs w:val="22"/>
        </w:rPr>
        <w:t>lacG</w:t>
      </w:r>
      <w:r w:rsidRPr="00AF28B8">
        <w:rPr>
          <w:rFonts w:ascii="Calibri" w:hAnsi="Calibri" w:cs="Calibri"/>
          <w:color w:val="000000"/>
          <w:sz w:val="22"/>
          <w:szCs w:val="22"/>
        </w:rPr>
        <w:t>, </w:t>
      </w:r>
      <w:r w:rsidRPr="00AF28B8">
        <w:rPr>
          <w:rFonts w:ascii="Calibri" w:hAnsi="Calibri" w:cs="Calibri"/>
          <w:b/>
          <w:bCs/>
          <w:color w:val="000000"/>
          <w:sz w:val="22"/>
          <w:szCs w:val="22"/>
        </w:rPr>
        <w:t>lldP</w:t>
      </w:r>
      <w:r w:rsidRPr="00AF28B8">
        <w:rPr>
          <w:rFonts w:ascii="Calibri" w:hAnsi="Calibri" w:cs="Calibri"/>
          <w:color w:val="000000"/>
          <w:sz w:val="22"/>
          <w:szCs w:val="22"/>
        </w:rPr>
        <w:t>, </w:t>
      </w:r>
      <w:r w:rsidRPr="00AF28B8">
        <w:rPr>
          <w:rFonts w:ascii="Calibri" w:hAnsi="Calibri" w:cs="Calibri"/>
          <w:b/>
          <w:bCs/>
          <w:color w:val="000000"/>
          <w:sz w:val="22"/>
          <w:szCs w:val="22"/>
        </w:rPr>
        <w:t>lldR_1</w:t>
      </w:r>
      <w:r w:rsidRPr="00AF28B8">
        <w:rPr>
          <w:rFonts w:ascii="Calibri" w:hAnsi="Calibri" w:cs="Calibri"/>
          <w:color w:val="000000"/>
          <w:sz w:val="22"/>
          <w:szCs w:val="22"/>
        </w:rPr>
        <w:t>, and </w:t>
      </w:r>
      <w:r w:rsidRPr="00AF28B8">
        <w:rPr>
          <w:rFonts w:ascii="Calibri" w:hAnsi="Calibri" w:cs="Calibri"/>
          <w:b/>
          <w:bCs/>
          <w:color w:val="000000"/>
          <w:sz w:val="22"/>
          <w:szCs w:val="22"/>
        </w:rPr>
        <w:t>lldD</w:t>
      </w:r>
      <w:r w:rsidRPr="00AF28B8">
        <w:rPr>
          <w:rFonts w:ascii="Calibri" w:hAnsi="Calibri" w:cs="Calibri"/>
          <w:color w:val="000000"/>
          <w:sz w:val="22"/>
          <w:szCs w:val="22"/>
        </w:rPr>
        <w:t>, suggesting an alternative lactose-related metabolic pathway. KEGG analysis did not detect known lactose utilization pathways. This plasmid-free strain, assigned to genotype 3.2.2, contrasts with prior plasmid-mediated lactose fermentation reports. These findings emphasize the evolving genomic features of </w:t>
      </w:r>
      <w:r w:rsidRPr="00AF28B8">
        <w:rPr>
          <w:rFonts w:ascii="Calibri" w:hAnsi="Calibri" w:cs="Calibri"/>
          <w:i/>
          <w:iCs/>
          <w:color w:val="000000"/>
          <w:sz w:val="22"/>
          <w:szCs w:val="22"/>
        </w:rPr>
        <w:t>S. Typhi</w:t>
      </w:r>
      <w:r w:rsidRPr="00AF28B8">
        <w:rPr>
          <w:rFonts w:ascii="Calibri" w:hAnsi="Calibri" w:cs="Calibri"/>
          <w:color w:val="000000"/>
          <w:sz w:val="22"/>
          <w:szCs w:val="22"/>
        </w:rPr>
        <w:t> in Bangladesh and highlight the urgent need for improved diagnostics, genomic surveillance, treatment revisions, and international collaboration.</w:t>
      </w:r>
    </w:p>
    <w:p w14:paraId="32411A8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25-A-3756-ASTMH</w:t>
      </w:r>
    </w:p>
    <w:p w14:paraId="06A4A45D"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7542310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Retail Availability and Demand for Mosquito Control Products in a Humanitarian Setting: A Retail Audit in Bidibidi Refugee Settlement, Uganda</w:t>
      </w:r>
    </w:p>
    <w:p w14:paraId="076041C0"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Uganda remains one of the highest malaria burden countries globally, with refugee populations disproportionately affected. While government-led initiatives, such as free distribution of insecticide-treated nets (ITNs) and indoor residual spraying (IRS), are key to the vector control response, limited data exist on the role of retail markets in providing complementary mosquito control products (MCPs) in refugee settings. As part of the Advancing Evidence for the Global Implementation of Spatial Repellents (AEGIS) project, we conducted a retail audit across 61 refugee and host community villages in Bidibidi refugee settlement area in northwestern Uganda. The audit consisted of two phases: a mapping of all retail outlets (n = 828) and a cross-sectional survey of a sub-set of retail outlets currently stocking MCPs (n = 252) to characterize MCP availability, sales, supply chains, and perceived profitability. Data were collected using structured questionnaires and analyzed through descriptive statistics and thematic coding of qualitative responses. Among the surveyed outlets, 64.4% currently sold MCPs. Incense sticks with insecticide were stocked most (sold in 56.4% of outlets), followed by adult ITNs (29.1%) and non-insecticidal incense sticks (27.3%). Most outlets restocked products at least monthly, sourcing MCPs from local wholesale suppliers. Retailers reported seasonal spikes in sales and demand during rainy months and identified perceived profitability and community health benefits as key motivators for stocking MCPs. However, limited capital, unreliable supply chains, and lack of product knowledge were identified as barriers. The availability, selection, and perceived profitability of MCPs suggests a viable market for MCPs and a gap in protection that consumers are looking to fill in the Bidibidi refugee settlement area. These findings highlight the potential of engaging the private sector in humanitarian contexts to inform the strategic introduction of new tools, such as spatial repellents.</w:t>
      </w:r>
    </w:p>
    <w:p w14:paraId="12C712A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25-A-3757-ASTMH</w:t>
      </w:r>
    </w:p>
    <w:p w14:paraId="7A2286F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199FF7A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Spatio-temporal modeling of malaria prevalence among pregnant women attending first antenatal care clinics in Mainland Tanzania from 2014 to 2023</w:t>
      </w:r>
    </w:p>
    <w:p w14:paraId="28ECF114"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in pregnancy (MiP) is still a major public health issue in Sub-Saharan Africa due to high maternal and fetal risks. Strengthening MiP interventions requires a thorough understanding of the link between malaria transmission, and environmental and climatic conditions. This study used data collected by </w:t>
      </w:r>
      <w:r w:rsidRPr="00AF28B8">
        <w:rPr>
          <w:rFonts w:ascii="Calibri" w:hAnsi="Calibri" w:cs="Calibri"/>
          <w:color w:val="000000"/>
          <w:sz w:val="22"/>
          <w:szCs w:val="22"/>
        </w:rPr>
        <w:lastRenderedPageBreak/>
        <w:t>testing pregnant women attending their first antenatal care visits to assess spatio-temporal patterns of MiP in Mainland Tanzania between 2014 and 2023. Data analysis utilized spatial Integrated Nested Laplace Approximation, distributed lag non-linear, random-effects, and generalized additive models. Findings revealed seasonal patterns, with an increased risk of malaria during the major rainy (relative risk [RR]: 1.14; 95% CI: 1.13 -1.15) and the short dry season (RR: 1.08; 95% CI: 1.07 - 1.09) while the short rainy exhibited a lower risk (RR: 0.95; 95% CI: 0.94 - 0.96). The observed RR remained consistent across lag times of 1 to 3 months (p&lt;0.05). In high transmission regions, adjusted prevalence showed a decreasing trend in Kagera, Lindi, Mtwara, and Ruvuma, while increased in Geita. In moderate transmission: Dar es Salaam, Dodoma and Songwe showed decreasing trends, but the prevalence increased in Mwanza region. All low transmission regions had decreasing trends, except for Singida. Very low transmission regions had a constant trend with minor fluctuations. Malaria prevalence had a clear seasonal pattern in all transmission strata except in the very low stratum. Higher prevalence estimates were found in the northwest and southeast, with moderate estimates in the central region and very low in the northern region. Spatio-temporal models based on vegetation cover and 1-month lags of cumulative rainfall and maximum temperature effectively predicted malaria prevalence, with an out-of-sample Pearson’s R of 93.3% (p&lt;0.001). Immediate and delayed impacts of environmental and climatic conditions on malaria transmission were observed, underscoring the need to develop targeted interventions specific to the different regions and seasons and support malaria elimination efforts in Mainland Tanzania.</w:t>
      </w:r>
    </w:p>
    <w:p w14:paraId="24E9483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25-A-3758-ASTMH</w:t>
      </w:r>
    </w:p>
    <w:p w14:paraId="2483FF15"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76DD9CB2"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Staffing Patterns and Practice Gaps in Private Pharmacies and Drug Outlets: Implications for Malaria Control Programs in Western Kenya</w:t>
      </w:r>
    </w:p>
    <w:p w14:paraId="2ED1513A"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Private sector outlets (PSO) play a crucial role in malaria case management in endemic regions. Understanding staffing patterns and practice gaps is crucial for creating effective malaria control interventions and policies. We analyzed staffing and supervision findings from 104 PSOs across two sub-counties in Siaya County, Kenya, between October 2023 and December 2024. We identified previously suspected but unquantified challenges. Nearly half (47%, n=46) of providers were untrained pharmacy assistants without formal pharmaceutical or any medical training. Only 42% (23/55) were registered with the Kenya Pharmacy and Poisons Board (KPPB), with particularly low registration rates among pharmacists (33%) and pharmacy techs (52%). Reported testing rates varied by sub-county, with 26% and 47% of PSOs routinely testing for malaria before treating, and 47% of PSOs unable to report malaria data due to a lack of smartphones or appropriate tools. We observed previously unreported trend of clients purchasing daily doses instead of complete treatment courses due to financial constraints. Only 49% of PSOs had staff trained on national malaria guidelines, with 62.4% unable to recognize severe malaria symptoms. Case-management evaluation showed concerning patterns: 88% of PSOs prescribed artemisinin combination treatments (ACTs) presumptively, while 42% prescribed ACTs to patients with negative test results. High staff turnover, particularly among pharmacy assistants, undermined training effectiveness and guideline adherence. Additionally, 79% of PSOs were not regulated. Our findings highlight widespread non-adherence to treatment guidelines, compounded by untrained providers, posing significant threats to patient safety and potentially accelerating antimalarial drug resistance in this high transmission region, and highlighting the need for localized interventions. We recommend regular training through blended learning approaches and incentivized professional registration models, and public-private funding partnerships to address technological barriers and strengthen policy dissemination via multiple channels.</w:t>
      </w:r>
    </w:p>
    <w:p w14:paraId="2F25DB96"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25-A-3759-ASTMH</w:t>
      </w:r>
    </w:p>
    <w:p w14:paraId="5A65E833"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1289DD26"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Association Between Sanitation Type and Soil Contamination With Culturable </w:t>
      </w:r>
      <w:r w:rsidRPr="00AF28B8">
        <w:rPr>
          <w:rFonts w:ascii="Calibri" w:hAnsi="Calibri" w:cs="Calibri"/>
          <w:i/>
          <w:iCs/>
          <w:color w:val="000000"/>
          <w:sz w:val="22"/>
          <w:szCs w:val="22"/>
        </w:rPr>
        <w:t>E. coli</w:t>
      </w:r>
      <w:r w:rsidRPr="00AF28B8">
        <w:rPr>
          <w:rFonts w:ascii="Calibri" w:hAnsi="Calibri" w:cs="Calibri"/>
          <w:color w:val="000000"/>
          <w:sz w:val="22"/>
          <w:szCs w:val="22"/>
        </w:rPr>
        <w:t> in a Rural Alabama Community</w:t>
      </w:r>
    </w:p>
    <w:p w14:paraId="4DF5AE81"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Abstract: </w:t>
      </w:r>
      <w:r w:rsidRPr="00AF28B8">
        <w:rPr>
          <w:rFonts w:ascii="Calibri" w:hAnsi="Calibri" w:cs="Calibri"/>
          <w:color w:val="000000"/>
          <w:sz w:val="22"/>
          <w:szCs w:val="22"/>
        </w:rPr>
        <w:t>Approximately 30 million households in the United States rely on onsite wastewater treatment systems, typically septic tanks with subsurface discharge of aqueous effluent. The functionality of onsite systems varies widely and, under some conditions, onsite systems fail in ways that present potential exposure risks to people. One region with documented widespread failing or inadequate onsite systems is Alabama’s Black Belt, where unsuitable soils can result in fecal waste discharges to the soil surface. This study aims to investigate the relationship between household wastewater infrastructure and environmental fecal contamination by comparing levels of culturable </w:t>
      </w:r>
      <w:r w:rsidRPr="00AF28B8">
        <w:rPr>
          <w:rFonts w:ascii="Calibri" w:hAnsi="Calibri" w:cs="Calibri"/>
          <w:i/>
          <w:iCs/>
          <w:color w:val="000000"/>
          <w:sz w:val="22"/>
          <w:szCs w:val="22"/>
        </w:rPr>
        <w:t>E. coli</w:t>
      </w:r>
      <w:r w:rsidRPr="00AF28B8">
        <w:rPr>
          <w:rFonts w:ascii="Calibri" w:hAnsi="Calibri" w:cs="Calibri"/>
          <w:color w:val="000000"/>
          <w:sz w:val="22"/>
          <w:szCs w:val="22"/>
        </w:rPr>
        <w:t> in surface soils near homes with different sanitation types: conventional sewerage, onsite systems, and straight piping (direct surface discharge of wastewater). We enrolled 52 households in an area with variable sanitation infrastructure and anecdotal reports of both failing septic systems and straight piping. Of the 52 households, 10 were served by sewerage, 20 used onsite systems, and 24 relied on straight piping. From these households we collected and cultured 104 soil samples from August 2024 to February 2025. Of the cultured soil samples </w:t>
      </w:r>
      <w:r w:rsidRPr="00AF28B8">
        <w:rPr>
          <w:rFonts w:ascii="Calibri" w:hAnsi="Calibri" w:cs="Calibri"/>
          <w:i/>
          <w:iCs/>
          <w:color w:val="000000"/>
          <w:sz w:val="22"/>
          <w:szCs w:val="22"/>
        </w:rPr>
        <w:t>E. coli</w:t>
      </w:r>
      <w:r w:rsidRPr="00AF28B8">
        <w:rPr>
          <w:rFonts w:ascii="Calibri" w:hAnsi="Calibri" w:cs="Calibri"/>
          <w:color w:val="000000"/>
          <w:sz w:val="22"/>
          <w:szCs w:val="22"/>
        </w:rPr>
        <w:t> was detected in 10/20 (50%) of sites served by sewerage, 21/38 (55.3%) of those served by onsite systems, and 41/46 (89%) straight pipe soil samples. There was no significant difference in concentration of culturable </w:t>
      </w:r>
      <w:r w:rsidRPr="00AF28B8">
        <w:rPr>
          <w:rFonts w:ascii="Calibri" w:hAnsi="Calibri" w:cs="Calibri"/>
          <w:i/>
          <w:iCs/>
          <w:color w:val="000000"/>
          <w:sz w:val="22"/>
          <w:szCs w:val="22"/>
        </w:rPr>
        <w:t>E. coli </w:t>
      </w:r>
      <w:r w:rsidRPr="00AF28B8">
        <w:rPr>
          <w:rFonts w:ascii="Calibri" w:hAnsi="Calibri" w:cs="Calibri"/>
          <w:color w:val="000000"/>
          <w:sz w:val="22"/>
          <w:szCs w:val="22"/>
        </w:rPr>
        <w:t>between households served by sewerage and onsite systems (p = 0.53). However, the concentration of culturable </w:t>
      </w:r>
      <w:r w:rsidRPr="00AF28B8">
        <w:rPr>
          <w:rFonts w:ascii="Calibri" w:hAnsi="Calibri" w:cs="Calibri"/>
          <w:i/>
          <w:iCs/>
          <w:color w:val="000000"/>
          <w:sz w:val="22"/>
          <w:szCs w:val="22"/>
        </w:rPr>
        <w:t>E. coli </w:t>
      </w:r>
      <w:r w:rsidRPr="00AF28B8">
        <w:rPr>
          <w:rFonts w:ascii="Calibri" w:hAnsi="Calibri" w:cs="Calibri"/>
          <w:color w:val="000000"/>
          <w:sz w:val="22"/>
          <w:szCs w:val="22"/>
        </w:rPr>
        <w:t>was significantly higher from soil samples collected from households with straight pipes when compared to households served by sewerage and when compared to households served by onsite systems (p = 4 x 10</w:t>
      </w:r>
      <w:r w:rsidRPr="00AF28B8">
        <w:rPr>
          <w:rFonts w:ascii="Calibri" w:hAnsi="Calibri" w:cs="Calibri"/>
          <w:color w:val="000000"/>
          <w:sz w:val="22"/>
          <w:szCs w:val="22"/>
          <w:vertAlign w:val="superscript"/>
        </w:rPr>
        <w:t>-7</w:t>
      </w:r>
      <w:r w:rsidRPr="00AF28B8">
        <w:rPr>
          <w:rFonts w:ascii="Calibri" w:hAnsi="Calibri" w:cs="Calibri"/>
          <w:color w:val="000000"/>
          <w:sz w:val="22"/>
          <w:szCs w:val="22"/>
        </w:rPr>
        <w:t> and 1.3 x 10</w:t>
      </w:r>
      <w:r w:rsidRPr="00AF28B8">
        <w:rPr>
          <w:rFonts w:ascii="Calibri" w:hAnsi="Calibri" w:cs="Calibri"/>
          <w:color w:val="000000"/>
          <w:sz w:val="22"/>
          <w:szCs w:val="22"/>
          <w:vertAlign w:val="superscript"/>
        </w:rPr>
        <w:t>-9</w:t>
      </w:r>
      <w:r w:rsidRPr="00AF28B8">
        <w:rPr>
          <w:rFonts w:ascii="Calibri" w:hAnsi="Calibri" w:cs="Calibri"/>
          <w:color w:val="000000"/>
          <w:sz w:val="22"/>
          <w:szCs w:val="22"/>
        </w:rPr>
        <w:t> respectively). All comparisons were made using the Wilcoxon Rank Sum test.</w:t>
      </w:r>
    </w:p>
    <w:p w14:paraId="65347170"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25-A-3760-ASTMH</w:t>
      </w:r>
    </w:p>
    <w:p w14:paraId="27F0C91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5B5ED39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Toward Eradication: The First Field Deployment and Evaluation of a Serological Diagnostic Assay for Guinea Worm</w:t>
      </w:r>
    </w:p>
    <w:p w14:paraId="5FE91596"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This is the first field deployment of a diagnostic test for Guinea worm (GW) disease. The goals were to assess the performance of the DUF148 ELISA in Chad and evaluate its utility in detecting GW exposure in naturally infected dogs. Protocol variations were investigated in-country (i.e., specimen type (DBS vs. serum), antibody type (IgG vs. IgG4), plate reader (Tecan Infinite F50 vs. Byonoy Absorbance 96)). Experimentally infected dog sera were used to determine accuracy, precision, and analytic sensitivity and specificity. Diagnostic sensitivity and specificity were determined using clinical controls from Chadian dogs. The IgG ELISA had high sensitivity (85-90%) but lower specificity (68-78%), while the IgG4 ELISA had high specificity (95-98%) with lower sensitivity (71-90%). DBS outperformed serum with high accuracy (93-97%) and precision (88-93%), and plate reader variation was minimal. Then, a total of 724 Chadian dogs were enrolled in a longitudinal study, including 226 negative controls from non-endemic districts and 59 positive controls, 234 presumed negatives, and 205 naïve puppies from endemic districts. Sera, dried blood spots (DBS), plasma, and feces were collected at enrollment in March 2025, with monthly collections continuing for six months. Positive control dogs and naïve puppies had the highest and lowest dual-positivity rate at enrollment, respectively (31% and 1%, respectively). Negative control and presumptive negative dogs had high IgG positivity (40% and 52%, respectively), but lower IgG4 positivity (1% and 17%, respectively), suggesting cross-reactivity or past exposure. Antibody titer changes and seroconversion will be monitored over time as monthly follow-ups continue. Fecal and plasma samples will be screened for coinfections that could cause false positives. The project established essential laboratory infrastructure in Chad to support routine serosurveillance for GW, trained local teams, and refined data and biospecimen management. This work marks a significant milestone in building targeted GW surveillance and provides a model for deploying a diagnostic in low-resource, field-based settings.</w:t>
      </w:r>
    </w:p>
    <w:p w14:paraId="0BEDF66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25-A-3761-ASTMH</w:t>
      </w:r>
    </w:p>
    <w:p w14:paraId="4311CDBE"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1D0EB81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Using IDX, An Imaging And Deep Learning Based Vector Identification Tool, To Differentiate Cryptically Related Mosquito Taxa</w:t>
      </w:r>
    </w:p>
    <w:p w14:paraId="58B8D119"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For many mosquito borne diseases, differentiation of closely, and sometimes cryptically, related vector species is a critical but difficult step in mosquito surveillance for integrated vector management. Closely related species may differ dramatically in vectoral capacity, due to differences in vectorial competence, behavior, and feeding preferences. Culex pipiens and Culex quinquefasciatus are cryptically differentiated West Nile virus vectors with differing profiles of public health risk. Other globally distributed species, such as Aedes aegypti, have been investigated for genetic differentiation between disparate geographies, with hopes to further characterize suspected and observed variability in vectorial capacity. Similarly, Aedes vexans has been investigated for morphological differences indicating distinct populations that may also exhibit differing vectorial capacity. Vectech’s IDX, a device for imaging and deep learning based species identification of small arthropods, is capable of identifying 57 different mosquito taxa with a macro f1-score of 95% and 31 adult-stage tick taxa with a macro f1-score of 93%. All taxa are at the species rank in the generally deployed algorithms, with the exception of species complexes and groups in some limited cases. In experimentation with a small dataset with distinct populations of the species listed above, we demonstrate IDX’s capability to distinguish between: 1) Culex pipiens, Culex quinquefasciatus, and Culex restuans with 76% macro averaged recall; 2) Aedes aegypti from the Eastern US, Southeastern US, Western US, Papua New Guinea, Eastern Subsaharan Africa, and Western Subsaharan Africa with 89% macro averaged recall; and 3) Aedes vexans from North America and East Asia with 97% macro averaged recall. These results indicate the possible presence of differentiable features in these cryptic cases, and how IDX may be able to support more fine-grained research and vector surveillance work, in these cases and in others yet to be investigated, such as the Anopheles gambiae complex.</w:t>
      </w:r>
    </w:p>
    <w:p w14:paraId="453A934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25-A-3762-ASTMH</w:t>
      </w:r>
    </w:p>
    <w:p w14:paraId="73302962"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19B08FB6"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N-glycoproteomic profiling of the hookworm </w:t>
      </w:r>
      <w:r w:rsidRPr="00AF28B8">
        <w:rPr>
          <w:rFonts w:ascii="Calibri" w:hAnsi="Calibri" w:cs="Calibri"/>
          <w:i/>
          <w:iCs/>
          <w:color w:val="000000"/>
          <w:sz w:val="22"/>
          <w:szCs w:val="22"/>
        </w:rPr>
        <w:t>Ancylostoma ceylanicum</w:t>
      </w:r>
      <w:r w:rsidRPr="00AF28B8">
        <w:rPr>
          <w:rFonts w:ascii="Calibri" w:hAnsi="Calibri" w:cs="Calibri"/>
          <w:color w:val="000000"/>
          <w:sz w:val="22"/>
          <w:szCs w:val="22"/>
        </w:rPr>
        <w:t> reveals stage-specific and phosphorylcholine-substituted motifs</w:t>
      </w:r>
    </w:p>
    <w:p w14:paraId="2585FD61"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Glycosylation is one of the most common eukaryotic protein modifications. In helminths, N-glycans, carbohydrate chains attached at asparagine residues of proteins, have been identified as drivers of complement activation and a Th2 immune response. Glycosylation patterns have also been linked to the recognition of helminth proteins by host macrophages, B cells, and dendritic cells throughout infection. Little is known about glycosylation patterns in the hookworm </w:t>
      </w:r>
      <w:r w:rsidRPr="00AF28B8">
        <w:rPr>
          <w:rFonts w:ascii="Calibri" w:hAnsi="Calibri" w:cs="Calibri"/>
          <w:i/>
          <w:iCs/>
          <w:color w:val="000000"/>
          <w:sz w:val="22"/>
          <w:szCs w:val="22"/>
        </w:rPr>
        <w:t>Ancylostoma ceylanicum</w:t>
      </w:r>
      <w:r w:rsidRPr="00AF28B8">
        <w:rPr>
          <w:rFonts w:ascii="Calibri" w:hAnsi="Calibri" w:cs="Calibri"/>
          <w:color w:val="000000"/>
          <w:sz w:val="22"/>
          <w:szCs w:val="22"/>
        </w:rPr>
        <w:t>, an intestinal nematode parasite of humans and animals. We first treated excretory/secretory products of </w:t>
      </w:r>
      <w:r w:rsidRPr="00AF28B8">
        <w:rPr>
          <w:rFonts w:ascii="Calibri" w:hAnsi="Calibri" w:cs="Calibri"/>
          <w:i/>
          <w:iCs/>
          <w:color w:val="000000"/>
          <w:sz w:val="22"/>
          <w:szCs w:val="22"/>
        </w:rPr>
        <w:t>A. ceylanicum </w:t>
      </w:r>
      <w:r w:rsidRPr="00AF28B8">
        <w:rPr>
          <w:rFonts w:ascii="Calibri" w:hAnsi="Calibri" w:cs="Calibri"/>
          <w:color w:val="000000"/>
          <w:sz w:val="22"/>
          <w:szCs w:val="22"/>
        </w:rPr>
        <w:t>with PNGase F, an amidase that removes most N-glycans. After treatment under non-denaturing conditions, several protein bands were no longer recognized by infected host serum IgG or intestinal IgA by immunoblot. These results suggested that host antibodies recognized specific hookworm glycoproteins. Next, we developed a glycoproteomic workflow to identify hookworm glycoproteins and define their glycan structures. Glycopeptides are limited in complex protein samples and require enrichment prior to analysis. We compared three enrichment methods and found that strong anion exchange-electrostatic repulsion liquid chromatography performed best, leading to the identification of 326 unique larval glycopeptides, or 95% of those identified across the three methods. Screening 3 replicates of larval and adult proteins with this workflow revealed 77 larval and 157 adult N-glycoproteins, all with a high confidence of identification in the Byonic search algorithm (score &gt;150, LogProb &gt;1.5). The majority these proteins were stage specific. Of particular interest, phosphorylcholine, a known immunomodulatory glycan substitution, was detected in both larvae and adults. These results identify, for the first time, intact glycopeptides in </w:t>
      </w:r>
      <w:r w:rsidRPr="00AF28B8">
        <w:rPr>
          <w:rFonts w:ascii="Calibri" w:hAnsi="Calibri" w:cs="Calibri"/>
          <w:i/>
          <w:iCs/>
          <w:color w:val="000000"/>
          <w:sz w:val="22"/>
          <w:szCs w:val="22"/>
        </w:rPr>
        <w:t>A. ceylanicum</w:t>
      </w:r>
      <w:r w:rsidRPr="00AF28B8">
        <w:rPr>
          <w:rFonts w:ascii="Calibri" w:hAnsi="Calibri" w:cs="Calibri"/>
          <w:color w:val="000000"/>
          <w:sz w:val="22"/>
          <w:szCs w:val="22"/>
        </w:rPr>
        <w:t>, and validate a method to further characterize the glycoproteomes of other hookworm species. In addition, the data confirm the presence of glycoproteins throughout hookworm development and suggest a role for changing glycosylation patterns in parasite development and pathogenesis.</w:t>
      </w:r>
    </w:p>
    <w:p w14:paraId="205637ED"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25-A-3763-ASTMH</w:t>
      </w:r>
    </w:p>
    <w:p w14:paraId="26AC2FBA"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36AFC7FD"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Predominant virulent multidrug resistant </w:t>
      </w:r>
      <w:r w:rsidRPr="00AF28B8">
        <w:rPr>
          <w:rFonts w:ascii="Calibri" w:hAnsi="Calibri" w:cs="Calibri"/>
          <w:b/>
          <w:bCs/>
          <w:i/>
          <w:iCs/>
          <w:color w:val="000000"/>
          <w:sz w:val="22"/>
          <w:szCs w:val="22"/>
        </w:rPr>
        <w:t>Shigella</w:t>
      </w:r>
      <w:r w:rsidRPr="00AF28B8">
        <w:rPr>
          <w:rFonts w:ascii="Calibri" w:hAnsi="Calibri" w:cs="Calibri"/>
          <w:b/>
          <w:bCs/>
          <w:color w:val="000000"/>
          <w:sz w:val="22"/>
          <w:szCs w:val="22"/>
        </w:rPr>
        <w:t> serotypes from diarrheal cases in Kenya</w:t>
      </w:r>
    </w:p>
    <w:p w14:paraId="10981173"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 </w:t>
      </w:r>
      <w:r w:rsidRPr="00AF28B8">
        <w:rPr>
          <w:rFonts w:ascii="Calibri" w:hAnsi="Calibri" w:cs="Calibri"/>
          <w:color w:val="000000"/>
          <w:sz w:val="22"/>
          <w:szCs w:val="22"/>
        </w:rPr>
        <w:t>Shigellosis infections differ by the </w:t>
      </w:r>
      <w:r w:rsidRPr="00AF28B8">
        <w:rPr>
          <w:rFonts w:ascii="Calibri" w:hAnsi="Calibri" w:cs="Calibri"/>
          <w:i/>
          <w:iCs/>
          <w:color w:val="000000"/>
          <w:sz w:val="22"/>
          <w:szCs w:val="22"/>
        </w:rPr>
        <w:t>Shigella</w:t>
      </w:r>
      <w:r w:rsidRPr="00AF28B8">
        <w:rPr>
          <w:rFonts w:ascii="Calibri" w:hAnsi="Calibri" w:cs="Calibri"/>
          <w:color w:val="000000"/>
          <w:sz w:val="22"/>
          <w:szCs w:val="22"/>
        </w:rPr>
        <w:t> (S) serotype implicated during acute diarrhea. The serotypes are highly virulent causing severe to self-limiting diarrhea. Treatment with antibiotics is recommended for management of Shigellosis. Shigellosis is exacerbated by resistant strains complicating treatment and management. This study provides insight into the multidrug resistant genes, the atypical variants and virulent factors associated with </w:t>
      </w:r>
      <w:r w:rsidRPr="00AF28B8">
        <w:rPr>
          <w:rFonts w:ascii="Calibri" w:hAnsi="Calibri" w:cs="Calibri"/>
          <w:i/>
          <w:iCs/>
          <w:color w:val="000000"/>
          <w:sz w:val="22"/>
          <w:szCs w:val="22"/>
        </w:rPr>
        <w:t>Shigella</w:t>
      </w:r>
      <w:r w:rsidRPr="00AF28B8">
        <w:rPr>
          <w:rFonts w:ascii="Calibri" w:hAnsi="Calibri" w:cs="Calibri"/>
          <w:color w:val="000000"/>
          <w:sz w:val="22"/>
          <w:szCs w:val="22"/>
        </w:rPr>
        <w:t> serotypes, Kenyan. </w:t>
      </w:r>
      <w:r w:rsidRPr="00AF28B8">
        <w:rPr>
          <w:rFonts w:ascii="Calibri" w:hAnsi="Calibri" w:cs="Calibri"/>
          <w:b/>
          <w:bCs/>
          <w:color w:val="000000"/>
          <w:sz w:val="22"/>
          <w:szCs w:val="22"/>
        </w:rPr>
        <w:t>Methods:</w:t>
      </w:r>
      <w:r w:rsidRPr="00AF28B8">
        <w:rPr>
          <w:rFonts w:ascii="Calibri" w:hAnsi="Calibri" w:cs="Calibri"/>
          <w:color w:val="000000"/>
          <w:sz w:val="22"/>
          <w:szCs w:val="22"/>
        </w:rPr>
        <w:t> Analysis of 42 MDR </w:t>
      </w:r>
      <w:r w:rsidRPr="00AF28B8">
        <w:rPr>
          <w:rFonts w:ascii="Calibri" w:hAnsi="Calibri" w:cs="Calibri"/>
          <w:i/>
          <w:iCs/>
          <w:color w:val="000000"/>
          <w:sz w:val="22"/>
          <w:szCs w:val="22"/>
        </w:rPr>
        <w:t>Shigella</w:t>
      </w:r>
      <w:r w:rsidRPr="00AF28B8">
        <w:rPr>
          <w:rFonts w:ascii="Calibri" w:hAnsi="Calibri" w:cs="Calibri"/>
          <w:color w:val="000000"/>
          <w:sz w:val="22"/>
          <w:szCs w:val="22"/>
        </w:rPr>
        <w:t> spp from acute diarrheal cases from 5 counties in Kenya. Isolates were revived on MacConkey agar and DNA extracted, WGS performed using Illumina technology, serotyping by ShigaPass and strain typing determined by MLST. Antimicrobial resistance genes (ARGs) screened using Abritamr. Virulence determinants and plasmid replicons determined by abricate against VFDB and plasmidfinder databases respectively. </w:t>
      </w:r>
      <w:r w:rsidRPr="00AF28B8">
        <w:rPr>
          <w:rFonts w:ascii="Calibri" w:hAnsi="Calibri" w:cs="Calibri"/>
          <w:b/>
          <w:bCs/>
          <w:color w:val="000000"/>
          <w:sz w:val="22"/>
          <w:szCs w:val="22"/>
        </w:rPr>
        <w:t>Results:</w:t>
      </w:r>
      <w:r w:rsidRPr="00AF28B8">
        <w:rPr>
          <w:rFonts w:ascii="Calibri" w:hAnsi="Calibri" w:cs="Calibri"/>
          <w:color w:val="000000"/>
          <w:sz w:val="22"/>
          <w:szCs w:val="22"/>
        </w:rPr>
        <w:t> From the 42 MDR </w:t>
      </w:r>
      <w:r w:rsidRPr="00AF28B8">
        <w:rPr>
          <w:rFonts w:ascii="Calibri" w:hAnsi="Calibri" w:cs="Calibri"/>
          <w:i/>
          <w:iCs/>
          <w:color w:val="000000"/>
          <w:sz w:val="22"/>
          <w:szCs w:val="22"/>
        </w:rPr>
        <w:t>Shigella</w:t>
      </w:r>
      <w:r w:rsidRPr="00AF28B8">
        <w:rPr>
          <w:rFonts w:ascii="Calibri" w:hAnsi="Calibri" w:cs="Calibri"/>
          <w:color w:val="000000"/>
          <w:sz w:val="22"/>
          <w:szCs w:val="22"/>
        </w:rPr>
        <w:t> isolates, </w:t>
      </w:r>
      <w:r w:rsidRPr="00AF28B8">
        <w:rPr>
          <w:rFonts w:ascii="Calibri" w:hAnsi="Calibri" w:cs="Calibri"/>
          <w:i/>
          <w:iCs/>
          <w:color w:val="000000"/>
          <w:sz w:val="22"/>
          <w:szCs w:val="22"/>
        </w:rPr>
        <w:t>S. flexneri</w:t>
      </w:r>
      <w:r w:rsidRPr="00AF28B8">
        <w:rPr>
          <w:rFonts w:ascii="Calibri" w:hAnsi="Calibri" w:cs="Calibri"/>
          <w:color w:val="000000"/>
          <w:sz w:val="22"/>
          <w:szCs w:val="22"/>
        </w:rPr>
        <w:t> (SF-33/42), </w:t>
      </w:r>
      <w:r w:rsidRPr="00AF28B8">
        <w:rPr>
          <w:rFonts w:ascii="Calibri" w:hAnsi="Calibri" w:cs="Calibri"/>
          <w:i/>
          <w:iCs/>
          <w:color w:val="000000"/>
          <w:sz w:val="22"/>
          <w:szCs w:val="22"/>
        </w:rPr>
        <w:t>S. dysenteriae</w:t>
      </w:r>
      <w:r w:rsidRPr="00AF28B8">
        <w:rPr>
          <w:rFonts w:ascii="Calibri" w:hAnsi="Calibri" w:cs="Calibri"/>
          <w:color w:val="000000"/>
          <w:sz w:val="22"/>
          <w:szCs w:val="22"/>
        </w:rPr>
        <w:t> (SD-5/42), S. </w:t>
      </w:r>
      <w:r w:rsidRPr="00AF28B8">
        <w:rPr>
          <w:rFonts w:ascii="Calibri" w:hAnsi="Calibri" w:cs="Calibri"/>
          <w:i/>
          <w:iCs/>
          <w:color w:val="000000"/>
          <w:sz w:val="22"/>
          <w:szCs w:val="22"/>
        </w:rPr>
        <w:t>boydii</w:t>
      </w:r>
      <w:r w:rsidRPr="00AF28B8">
        <w:rPr>
          <w:rFonts w:ascii="Calibri" w:hAnsi="Calibri" w:cs="Calibri"/>
          <w:color w:val="000000"/>
          <w:sz w:val="22"/>
          <w:szCs w:val="22"/>
        </w:rPr>
        <w:t> (SB-3/42), </w:t>
      </w:r>
      <w:r w:rsidRPr="00AF28B8">
        <w:rPr>
          <w:rFonts w:ascii="Calibri" w:hAnsi="Calibri" w:cs="Calibri"/>
          <w:i/>
          <w:iCs/>
          <w:color w:val="000000"/>
          <w:sz w:val="22"/>
          <w:szCs w:val="22"/>
        </w:rPr>
        <w:t>S. sonnei</w:t>
      </w:r>
      <w:r w:rsidRPr="00AF28B8">
        <w:rPr>
          <w:rFonts w:ascii="Calibri" w:hAnsi="Calibri" w:cs="Calibri"/>
          <w:color w:val="000000"/>
          <w:sz w:val="22"/>
          <w:szCs w:val="22"/>
        </w:rPr>
        <w:t> (SS- 1/42) were detected. The predominant serotypes of SF were SF2a (12/33), SF3a (9/33), SF1b (4/33), SF 1c (7a) (1/33) and atypical strain SFXV (4c) (7/33). The efflux pump protein emrD was detected from 41/42) of the serotypes, emrD/acrF from SS and SD (2/5) and emrD/acrF/mdtM of SD (3/5) and SB (3/3). Distinct ARGs were, beta-lactamases blaEC (100%), ESBL encoding gene blaTEM-1 SF (18/33), SB (2/3), SD (2/5), cephalosporinase blaOXA-1 in SF (23/33) and SD (3/5), quinolone qnrS1 SF (10/33), SB (1/3) and SD (1/5), macrolide mph(A) SF (8/33), two serotypes (1SF and 1SD), two SF and one SF lacked tetracycline tet (B), Trimethoprim dfrA14 and sulfonamide sul (1,2,3) ARGs respectively. Virulence genes ipaH, ipaD, sepA sat, sigA and virF. </w:t>
      </w:r>
      <w:r w:rsidRPr="00AF28B8">
        <w:rPr>
          <w:rFonts w:ascii="Calibri" w:hAnsi="Calibri" w:cs="Calibri"/>
          <w:b/>
          <w:bCs/>
          <w:color w:val="000000"/>
          <w:sz w:val="22"/>
          <w:szCs w:val="22"/>
        </w:rPr>
        <w:t>Conclusion: </w:t>
      </w:r>
      <w:r w:rsidRPr="00AF28B8">
        <w:rPr>
          <w:rFonts w:ascii="Calibri" w:hAnsi="Calibri" w:cs="Calibri"/>
          <w:color w:val="000000"/>
          <w:sz w:val="22"/>
          <w:szCs w:val="22"/>
        </w:rPr>
        <w:t>These results illustrate predominant AMR SF (including Atypical SFXV 4C) serotypes associated with severe diarrhea that contained most of the ARG. The virulent genes would be considered as targets for broad range vaccine or other prophylactics to mitigate AMR and reduce diarrheal illnesses among travelers and in LMIC such as Kenya.</w:t>
      </w:r>
    </w:p>
    <w:p w14:paraId="34E228C4"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25-A-3764-ASTMH</w:t>
      </w:r>
    </w:p>
    <w:p w14:paraId="6342C5B0"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Diagnosis and New Detection Tools (Including Leishmania and Trypanosomes)</w:t>
      </w:r>
    </w:p>
    <w:p w14:paraId="13A6CCA7"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Implementation of a three-test algorithm for clinical serological testing for Chagas disease</w:t>
      </w:r>
    </w:p>
    <w:p w14:paraId="0105E2BC"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(CD), caused by infection with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affects 6-7 million people worldwide and remains largely under-recognized, representing a significant global health burden. Early and accurate diagnosis is crucial, especially as treatment is more effective in initial stages of disease, yet diagnosis remains challenging. In the US, over 300,000 people are estimated to be infected. Current serological tests show variable performance, leading to a public health recommendation for two independent serological tests in parallel, with discrepant results resolved by a third test. However, a lack of clinical laboratories that perform Chagas testing following this algorithm remains a barrier. We previously validated two serological assays in our CLIA laboratory, representing the first commercial offering of a parallel testing protocol for </w:t>
      </w:r>
      <w:r w:rsidRPr="00AF28B8">
        <w:rPr>
          <w:rFonts w:ascii="Calibri" w:hAnsi="Calibri" w:cs="Calibri"/>
          <w:i/>
          <w:iCs/>
          <w:color w:val="000000"/>
          <w:sz w:val="22"/>
          <w:szCs w:val="22"/>
        </w:rPr>
        <w:t>T. cruzi</w:t>
      </w:r>
      <w:r w:rsidRPr="00AF28B8">
        <w:rPr>
          <w:rFonts w:ascii="Calibri" w:hAnsi="Calibri" w:cs="Calibri"/>
          <w:color w:val="000000"/>
          <w:sz w:val="22"/>
          <w:szCs w:val="22"/>
        </w:rPr>
        <w:t>. However, discordant samples still require a third test for definitive diagnosis. To address this unmet need, we validated the TESA immunoblot as a laboratory-developed test. This assay, used in CDC’s testing algorithm, detects IgG antibodies to native TESA (</w:t>
      </w:r>
      <w:r w:rsidRPr="00AF28B8">
        <w:rPr>
          <w:rFonts w:ascii="Calibri" w:hAnsi="Calibri" w:cs="Calibri"/>
          <w:b/>
          <w:bCs/>
          <w:color w:val="000000"/>
          <w:sz w:val="22"/>
          <w:szCs w:val="22"/>
        </w:rPr>
        <w:t>T</w:t>
      </w:r>
      <w:r w:rsidRPr="00AF28B8">
        <w:rPr>
          <w:rFonts w:ascii="Calibri" w:hAnsi="Calibri" w:cs="Calibri"/>
          <w:color w:val="000000"/>
          <w:sz w:val="22"/>
          <w:szCs w:val="22"/>
        </w:rPr>
        <w:t>rypomastigote </w:t>
      </w:r>
      <w:r w:rsidRPr="00AF28B8">
        <w:rPr>
          <w:rFonts w:ascii="Calibri" w:hAnsi="Calibri" w:cs="Calibri"/>
          <w:b/>
          <w:bCs/>
          <w:color w:val="000000"/>
          <w:sz w:val="22"/>
          <w:szCs w:val="22"/>
        </w:rPr>
        <w:t>E</w:t>
      </w:r>
      <w:r w:rsidRPr="00AF28B8">
        <w:rPr>
          <w:rFonts w:ascii="Calibri" w:hAnsi="Calibri" w:cs="Calibri"/>
          <w:color w:val="000000"/>
          <w:sz w:val="22"/>
          <w:szCs w:val="22"/>
        </w:rPr>
        <w:t>xcreted/</w:t>
      </w:r>
      <w:r w:rsidRPr="00AF28B8">
        <w:rPr>
          <w:rFonts w:ascii="Calibri" w:hAnsi="Calibri" w:cs="Calibri"/>
          <w:b/>
          <w:bCs/>
          <w:color w:val="000000"/>
          <w:sz w:val="22"/>
          <w:szCs w:val="22"/>
        </w:rPr>
        <w:t>S</w:t>
      </w:r>
      <w:r w:rsidRPr="00AF28B8">
        <w:rPr>
          <w:rFonts w:ascii="Calibri" w:hAnsi="Calibri" w:cs="Calibri"/>
          <w:color w:val="000000"/>
          <w:sz w:val="22"/>
          <w:szCs w:val="22"/>
        </w:rPr>
        <w:t>ecreted </w:t>
      </w:r>
      <w:r w:rsidRPr="00AF28B8">
        <w:rPr>
          <w:rFonts w:ascii="Calibri" w:hAnsi="Calibri" w:cs="Calibri"/>
          <w:b/>
          <w:bCs/>
          <w:color w:val="000000"/>
          <w:sz w:val="22"/>
          <w:szCs w:val="22"/>
        </w:rPr>
        <w:t>A</w:t>
      </w:r>
      <w:r w:rsidRPr="00AF28B8">
        <w:rPr>
          <w:rFonts w:ascii="Calibri" w:hAnsi="Calibri" w:cs="Calibri"/>
          <w:color w:val="000000"/>
          <w:sz w:val="22"/>
          <w:szCs w:val="22"/>
        </w:rPr>
        <w:t>ntigens), harvested from parasite culture medium. Validation of this assay for CLIA use relied on samples from diverse geographic locations in South America, Central America/Mexico and the United States. Sensitivity of the TESA blot was found to be 100% (30/30) and specificity 96.7% (29/30); the one false positive was cross-reactive on assays for several different diseases. Upon validation, we implemented a 3-test algorithm: clinical samples are tested in parallel on an FDA-cleared ELISA and the TESA immunoblot with reflex to the Multi-Cruzi immunoassay as a tie-breaker. This represents the first commercial offering in the US of the TESA immunoblot. While prospective clinical studies with adequate statistical power will help identify the optimal multistep algorithm for US populations at risk of CD, the availability of the recommended 3-test algorithm from a single commercial clinical laboratory marks a significant advancement in the accessibility of CD serological testing in the US.</w:t>
      </w:r>
    </w:p>
    <w:p w14:paraId="59D80563"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25-A-3765-ASTMH</w:t>
      </w:r>
    </w:p>
    <w:p w14:paraId="4F537E8E"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Mosquitoes - Biology, Physiology and Immunity</w:t>
      </w:r>
    </w:p>
    <w:p w14:paraId="512AFFDA"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Interaction Between Pfs16 and </w:t>
      </w:r>
      <w:r w:rsidRPr="00AF28B8">
        <w:rPr>
          <w:rFonts w:ascii="Calibri" w:hAnsi="Calibri" w:cs="Calibri"/>
          <w:i/>
          <w:iCs/>
          <w:color w:val="000000"/>
          <w:sz w:val="22"/>
          <w:szCs w:val="22"/>
        </w:rPr>
        <w:t>Anopheles gambiae</w:t>
      </w:r>
      <w:r w:rsidRPr="00AF28B8">
        <w:rPr>
          <w:rFonts w:ascii="Calibri" w:hAnsi="Calibri" w:cs="Calibri"/>
          <w:color w:val="000000"/>
          <w:sz w:val="22"/>
          <w:szCs w:val="22"/>
        </w:rPr>
        <w:t> Midgut Proteins in Modulating Plasmodium Transmission</w:t>
      </w:r>
    </w:p>
    <w:p w14:paraId="79A6281B"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one of the most devastating diseases globally, causing approximately 200 million cases and over half a million deaths annually. The persistence and severe impact of malaria continue to drive the urgent need for novel strategies to combat the disease. Despite significant advances in malaria control, the dual challenges of artemisinin-resistant parasite strains and the limited efficacy of the RTS,S/AS01 vaccine underscore the critical need for innovative interventions. Our study focuses on investigating the interactions between parasites and mosquitoes to identify novel targets for malaria intervention. Recently, we identified Pfs16, a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parasitophorous vacuole membrane protein, which interacts with essential midgut proteins in Anopheles mosquitoes. Notably, antibodies targeting Pfs16 significantly disrupted parasite viability, reducing oocyst formation by over 90%. In contrast, recombinant Pfs16 unexpectedly promoted parasite proliferation in mosquitoes. This surprising result prompted further investigation into the molecular mechanisms underlying this effect. In this study, we identified the midgut protein partner (PBP) of Pfs16 using a double pull-down assay. Next, we will examine the effects of their interaction on key downstream immune pathways, including the Toll, IMD, JAK/STAT, and complement-like systems. Our findings offer valuable insights into the molecular interplay between the parasite and the mosquito immune system, potentially paving the way for new malaria intervention strategies through the modulation of these pathways.</w:t>
      </w:r>
    </w:p>
    <w:p w14:paraId="765D92CF"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25-A-3766-ASTMH</w:t>
      </w:r>
    </w:p>
    <w:p w14:paraId="7ED60AE7"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746D3BEC"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Understanding the mechanisms and consequences of immunodeficiency-driven virulence evolution in malaria parasites</w:t>
      </w:r>
    </w:p>
    <w:p w14:paraId="1DA0BE41"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Whether evolution in immunodeficient hosts facilitates adaptation of emerging pathogens to cause more severe disease in immunologically normal hosts is an open question in disease evolution with consequences for disease control. One hypothesis is that the weaker immune responses in immunodeficient hosts may act as environments for pathogens to adapt to the host without being killed by the full immune response. If increased virulence is favored in both the immunodeficient and immunologically-normal hosts</w:t>
      </w:r>
      <w:r w:rsidRPr="00AF28B8">
        <w:rPr>
          <w:rFonts w:ascii="Calibri" w:hAnsi="Calibri" w:cs="Calibri"/>
          <w:i/>
          <w:iCs/>
          <w:color w:val="000000"/>
          <w:sz w:val="22"/>
          <w:szCs w:val="22"/>
        </w:rPr>
        <w:t>,</w:t>
      </w:r>
      <w:r w:rsidRPr="00AF28B8">
        <w:rPr>
          <w:rFonts w:ascii="Calibri" w:hAnsi="Calibri" w:cs="Calibri"/>
          <w:color w:val="000000"/>
          <w:sz w:val="22"/>
          <w:szCs w:val="22"/>
        </w:rPr>
        <w:t> the larger parasite population size within immunodeficient hosts—due to poorer infection control—may make selection more efficient, accelerating adaptation. This idea has received attention recently with the evolution of SARS-CoV-2 in immunodeficient individuals, and could be important in the evolution of other parasites. In particular, malaria parasites often share their host with HIV, which itself causes CD4</w:t>
      </w:r>
      <w:r w:rsidRPr="00AF28B8">
        <w:rPr>
          <w:rFonts w:ascii="Calibri" w:hAnsi="Calibri" w:cs="Calibri"/>
          <w:color w:val="000000"/>
          <w:sz w:val="22"/>
          <w:szCs w:val="22"/>
          <w:vertAlign w:val="superscript"/>
        </w:rPr>
        <w:t>+ </w:t>
      </w:r>
      <w:r w:rsidRPr="00AF28B8">
        <w:rPr>
          <w:rFonts w:ascii="Calibri" w:hAnsi="Calibri" w:cs="Calibri"/>
          <w:color w:val="000000"/>
          <w:sz w:val="22"/>
          <w:szCs w:val="22"/>
        </w:rPr>
        <w:t>T cell depletion. Previous study of rodent malaria parasites showed that evolution in CD4</w:t>
      </w:r>
      <w:r w:rsidRPr="00AF28B8">
        <w:rPr>
          <w:rFonts w:ascii="Calibri" w:hAnsi="Calibri" w:cs="Calibri"/>
          <w:color w:val="000000"/>
          <w:sz w:val="22"/>
          <w:szCs w:val="22"/>
          <w:vertAlign w:val="superscript"/>
        </w:rPr>
        <w:t>+</w:t>
      </w:r>
      <w:r w:rsidRPr="00AF28B8">
        <w:rPr>
          <w:rFonts w:ascii="Calibri" w:hAnsi="Calibri" w:cs="Calibri"/>
          <w:color w:val="000000"/>
          <w:sz w:val="22"/>
          <w:szCs w:val="22"/>
        </w:rPr>
        <w:t> T cell-depleted mice resulted in increased virulence (measured in immunologically normal hosts; Barclay et al. 2014). These immunodeficient-evolved parasites also reached higher densities than the ancestral strain—which would confer a fitness advantage—suggesting adaptive evolution. In this system, virulence can result from a complex interplay between parasite traits and host responses, making it important to identify which parasite traits underly the observed adaptive virulence evolution. To address this, we fit a mathematical model of within-host rodent malaria dynamics to experimental time series data from infections in naïve mice inoculated with either ancestral parasites or parasites evolved in immunodeficient or normal (control) hosts. By comparing parameter estimates across ancestral, control, and immunodeficient treatments, we uncover which parasite traits underly virulence and whether similar traits are selected in immunodeficient and control hosts. Overall, our results shed light on the generality of immunodeficiency facilitating parasite adaptation and virulence evolution.</w:t>
      </w:r>
    </w:p>
    <w:p w14:paraId="3AAF7E48"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25-A-3767-ASTMH</w:t>
      </w:r>
    </w:p>
    <w:p w14:paraId="798C729C"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1C15BE70"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All roads lead to RoME: Regulation of Malaria Exacerbation by the gut microbiota</w:t>
      </w:r>
    </w:p>
    <w:p w14:paraId="09379A9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Severe malaria caused by </w:t>
      </w:r>
      <w:r w:rsidRPr="00AF28B8">
        <w:rPr>
          <w:rFonts w:ascii="Calibri" w:hAnsi="Calibri" w:cs="Calibri"/>
          <w:i/>
          <w:iCs/>
          <w:color w:val="000000"/>
          <w:sz w:val="22"/>
          <w:szCs w:val="22"/>
        </w:rPr>
        <w:t>Plasmodium</w:t>
      </w:r>
      <w:r w:rsidRPr="00AF28B8">
        <w:rPr>
          <w:rFonts w:ascii="Calibri" w:hAnsi="Calibri" w:cs="Calibri"/>
          <w:color w:val="000000"/>
          <w:sz w:val="22"/>
          <w:szCs w:val="22"/>
        </w:rPr>
        <w:t> spp. infection leads to hundreds of thousands of deaths annually. Our lab uses </w:t>
      </w:r>
      <w:r w:rsidRPr="00AF28B8">
        <w:rPr>
          <w:rFonts w:ascii="Calibri" w:hAnsi="Calibri" w:cs="Calibri"/>
          <w:i/>
          <w:iCs/>
          <w:color w:val="000000"/>
          <w:sz w:val="22"/>
          <w:szCs w:val="22"/>
        </w:rPr>
        <w:t>P. yoelii </w:t>
      </w:r>
      <w:r w:rsidRPr="00AF28B8">
        <w:rPr>
          <w:rFonts w:ascii="Calibri" w:hAnsi="Calibri" w:cs="Calibri"/>
          <w:color w:val="000000"/>
          <w:sz w:val="22"/>
          <w:szCs w:val="22"/>
        </w:rPr>
        <w:t>and C57BL/6 mice from diverse vendors to study the influence of gut microbiota on malaria severity. Recently, we showed microbiota-dependent germinal center contraction and reduced antibody quality post-infection, leading to hyperparasitemia. We found that susceptible mice had increased T regulatory cells in their Peyer’s Patches and spleens after infection, correlated with reduced splenic IL-21, IL-4, and IFN-γ production. Malaria infection resulted in intestinal damage and bacterial translocation post-infection. Moreover, modulation of splenic adenosine immunosuppressive pathways involving A2AR and CD39 are enhanced by tolerogenic microbiota in different leukocytes during malaria infection. When exposed to sub-colitis doses of DSS, malaria-resistant mice developed colitis, while susceptible mice were resistant to weight loss, confirming the tolerogenic nature of their microbiota. Treatments to repair the gut barrier or to antagonize A2AR after intestinal damage, post-infection significantly mitigate parasitemia, weight loss, and mortality while enhancing immunity. These findings highlight the vital role of the gut microbiota in shaping systemic immunity during infections, underscoring the potential of therapeutic interventions targeting the gut barrier to mitigate malaria severity and enhance outcomes.</w:t>
      </w:r>
    </w:p>
    <w:p w14:paraId="35326CC5"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25-A-3768-ASTMH</w:t>
      </w:r>
    </w:p>
    <w:p w14:paraId="6A839A3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55BFB885"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Metagenomic analyses of stool samples from children with diarrhea revealed antimicrobial multi-drug resistance related genes in Mali</w:t>
      </w:r>
    </w:p>
    <w:p w14:paraId="3716BB48"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Diarrheal diseases are amongst the most common causes of death in children in Africa. In Mali, enteric infections rank as the third leading cause of childhood mortality. Antimicrobial resistance (AMR) remains major global health and is among the top priority of the world organization specially in countries with limited resource such as Mali. </w:t>
      </w:r>
      <w:r w:rsidRPr="00AF28B8">
        <w:rPr>
          <w:rFonts w:ascii="Calibri" w:hAnsi="Calibri" w:cs="Calibri"/>
          <w:i/>
          <w:iCs/>
          <w:color w:val="000000"/>
          <w:sz w:val="22"/>
          <w:szCs w:val="22"/>
        </w:rPr>
        <w:t>Enterobacteria</w:t>
      </w:r>
      <w:r w:rsidRPr="00AF28B8">
        <w:rPr>
          <w:rFonts w:ascii="Calibri" w:hAnsi="Calibri" w:cs="Calibri"/>
          <w:color w:val="000000"/>
          <w:sz w:val="22"/>
          <w:szCs w:val="22"/>
        </w:rPr>
        <w:t> resistance to antibiotics constitutes a major challenge in the management of enteric disease. However, our knowledge on the burden of AMR in children with diarrhea at the community level is very limited. To better understand the profile </w:t>
      </w:r>
      <w:r w:rsidRPr="00AF28B8">
        <w:rPr>
          <w:rFonts w:ascii="Calibri" w:hAnsi="Calibri" w:cs="Calibri"/>
          <w:i/>
          <w:iCs/>
          <w:color w:val="000000"/>
          <w:sz w:val="22"/>
          <w:szCs w:val="22"/>
        </w:rPr>
        <w:t>Enterobacteriaceae</w:t>
      </w:r>
      <w:r w:rsidRPr="00AF28B8">
        <w:rPr>
          <w:rFonts w:ascii="Calibri" w:hAnsi="Calibri" w:cs="Calibri"/>
          <w:color w:val="000000"/>
          <w:sz w:val="22"/>
          <w:szCs w:val="22"/>
        </w:rPr>
        <w:t> and AMR related genes at the community health center level, we have performed metagenomic analyses on uncultured stool samples collected from children under 15 years with diarrhea. Metagenomic analyses included the identification of bacterial species, detection of AMR related genes as well as genes involved in pathogenicity. In total 64 samples have been analyzed. Our taxonomic analysis revealed the presence of </w:t>
      </w:r>
      <w:r w:rsidRPr="00AF28B8">
        <w:rPr>
          <w:rFonts w:ascii="Calibri" w:hAnsi="Calibri" w:cs="Calibri"/>
          <w:i/>
          <w:iCs/>
          <w:color w:val="000000"/>
          <w:sz w:val="22"/>
          <w:szCs w:val="22"/>
        </w:rPr>
        <w:t>E. coli</w:t>
      </w:r>
      <w:r w:rsidRPr="00AF28B8">
        <w:rPr>
          <w:rFonts w:ascii="Calibri" w:hAnsi="Calibri" w:cs="Calibri"/>
          <w:color w:val="000000"/>
          <w:sz w:val="22"/>
          <w:szCs w:val="22"/>
        </w:rPr>
        <w:t>, </w:t>
      </w:r>
      <w:r w:rsidRPr="00AF28B8">
        <w:rPr>
          <w:rFonts w:ascii="Calibri" w:hAnsi="Calibri" w:cs="Calibri"/>
          <w:i/>
          <w:iCs/>
          <w:color w:val="000000"/>
          <w:sz w:val="22"/>
          <w:szCs w:val="22"/>
        </w:rPr>
        <w:t>Acinetobacter</w:t>
      </w:r>
      <w:r w:rsidRPr="00AF28B8">
        <w:rPr>
          <w:rFonts w:ascii="Calibri" w:hAnsi="Calibri" w:cs="Calibri"/>
          <w:color w:val="000000"/>
          <w:sz w:val="22"/>
          <w:szCs w:val="22"/>
        </w:rPr>
        <w:t>, </w:t>
      </w:r>
      <w:r w:rsidRPr="00AF28B8">
        <w:rPr>
          <w:rFonts w:ascii="Calibri" w:hAnsi="Calibri" w:cs="Calibri"/>
          <w:i/>
          <w:iCs/>
          <w:color w:val="000000"/>
          <w:sz w:val="22"/>
          <w:szCs w:val="22"/>
        </w:rPr>
        <w:t>Enterobacter</w:t>
      </w:r>
      <w:r w:rsidRPr="00AF28B8">
        <w:rPr>
          <w:rFonts w:ascii="Calibri" w:hAnsi="Calibri" w:cs="Calibri"/>
          <w:color w:val="000000"/>
          <w:sz w:val="22"/>
          <w:szCs w:val="22"/>
        </w:rPr>
        <w:t>, </w:t>
      </w:r>
      <w:r w:rsidRPr="00AF28B8">
        <w:rPr>
          <w:rFonts w:ascii="Calibri" w:hAnsi="Calibri" w:cs="Calibri"/>
          <w:i/>
          <w:iCs/>
          <w:color w:val="000000"/>
          <w:sz w:val="22"/>
          <w:szCs w:val="22"/>
        </w:rPr>
        <w:t>Streptococcus, Campylobacter, Salmonella, Helicobacter</w:t>
      </w:r>
      <w:r w:rsidRPr="00AF28B8">
        <w:rPr>
          <w:rFonts w:ascii="Calibri" w:hAnsi="Calibri" w:cs="Calibri"/>
          <w:color w:val="000000"/>
          <w:sz w:val="22"/>
          <w:szCs w:val="22"/>
        </w:rPr>
        <w:t> and </w:t>
      </w:r>
      <w:r w:rsidRPr="00AF28B8">
        <w:rPr>
          <w:rFonts w:ascii="Calibri" w:hAnsi="Calibri" w:cs="Calibri"/>
          <w:i/>
          <w:iCs/>
          <w:color w:val="000000"/>
          <w:sz w:val="22"/>
          <w:szCs w:val="22"/>
        </w:rPr>
        <w:t>Klebsiella spp.</w:t>
      </w:r>
      <w:r w:rsidRPr="00AF28B8">
        <w:rPr>
          <w:rFonts w:ascii="Calibri" w:hAnsi="Calibri" w:cs="Calibri"/>
          <w:color w:val="000000"/>
          <w:sz w:val="22"/>
          <w:szCs w:val="22"/>
        </w:rPr>
        <w:t> AMR genes related to major classes of antibiotics such as β-lactams, tetracyclines and macrolides were detected.</w:t>
      </w:r>
      <w:r w:rsidRPr="00AF28B8">
        <w:rPr>
          <w:rFonts w:ascii="Calibri" w:hAnsi="Calibri" w:cs="Calibri"/>
          <w:i/>
          <w:iCs/>
          <w:color w:val="000000"/>
          <w:sz w:val="22"/>
          <w:szCs w:val="22"/>
        </w:rPr>
        <w:t> </w:t>
      </w:r>
      <w:r w:rsidRPr="00AF28B8">
        <w:rPr>
          <w:rFonts w:ascii="Calibri" w:hAnsi="Calibri" w:cs="Calibri"/>
          <w:color w:val="000000"/>
          <w:sz w:val="22"/>
          <w:szCs w:val="22"/>
        </w:rPr>
        <w:t>Among AMR genes, those involved in multi-resistance, including </w:t>
      </w:r>
      <w:r w:rsidRPr="00AF28B8">
        <w:rPr>
          <w:rFonts w:ascii="Calibri" w:hAnsi="Calibri" w:cs="Calibri"/>
          <w:i/>
          <w:iCs/>
          <w:color w:val="000000"/>
          <w:sz w:val="22"/>
          <w:szCs w:val="22"/>
        </w:rPr>
        <w:t>marA</w:t>
      </w:r>
      <w:r w:rsidRPr="00AF28B8">
        <w:rPr>
          <w:rFonts w:ascii="Calibri" w:hAnsi="Calibri" w:cs="Calibri"/>
          <w:color w:val="000000"/>
          <w:sz w:val="22"/>
          <w:szCs w:val="22"/>
        </w:rPr>
        <w:t>, </w:t>
      </w:r>
      <w:r w:rsidRPr="00AF28B8">
        <w:rPr>
          <w:rFonts w:ascii="Calibri" w:hAnsi="Calibri" w:cs="Calibri"/>
          <w:i/>
          <w:iCs/>
          <w:color w:val="000000"/>
          <w:sz w:val="22"/>
          <w:szCs w:val="22"/>
        </w:rPr>
        <w:t>tolC</w:t>
      </w:r>
      <w:r w:rsidRPr="00AF28B8">
        <w:rPr>
          <w:rFonts w:ascii="Calibri" w:hAnsi="Calibri" w:cs="Calibri"/>
          <w:color w:val="000000"/>
          <w:sz w:val="22"/>
          <w:szCs w:val="22"/>
        </w:rPr>
        <w:t>, </w:t>
      </w:r>
      <w:r w:rsidRPr="00AF28B8">
        <w:rPr>
          <w:rFonts w:ascii="Calibri" w:hAnsi="Calibri" w:cs="Calibri"/>
          <w:i/>
          <w:iCs/>
          <w:color w:val="000000"/>
          <w:sz w:val="22"/>
          <w:szCs w:val="22"/>
        </w:rPr>
        <w:t>crp</w:t>
      </w:r>
      <w:r w:rsidRPr="00AF28B8">
        <w:rPr>
          <w:rFonts w:ascii="Calibri" w:hAnsi="Calibri" w:cs="Calibri"/>
          <w:color w:val="000000"/>
          <w:sz w:val="22"/>
          <w:szCs w:val="22"/>
        </w:rPr>
        <w:t>, </w:t>
      </w:r>
      <w:r w:rsidRPr="00AF28B8">
        <w:rPr>
          <w:rFonts w:ascii="Calibri" w:hAnsi="Calibri" w:cs="Calibri"/>
          <w:i/>
          <w:iCs/>
          <w:color w:val="000000"/>
          <w:sz w:val="22"/>
          <w:szCs w:val="22"/>
        </w:rPr>
        <w:t>blaTEM</w:t>
      </w:r>
      <w:r w:rsidRPr="00AF28B8">
        <w:rPr>
          <w:rFonts w:ascii="Calibri" w:hAnsi="Calibri" w:cs="Calibri"/>
          <w:color w:val="000000"/>
          <w:sz w:val="22"/>
          <w:szCs w:val="22"/>
        </w:rPr>
        <w:t>, and </w:t>
      </w:r>
      <w:r w:rsidRPr="00AF28B8">
        <w:rPr>
          <w:rFonts w:ascii="Calibri" w:hAnsi="Calibri" w:cs="Calibri"/>
          <w:i/>
          <w:iCs/>
          <w:color w:val="000000"/>
          <w:sz w:val="22"/>
          <w:szCs w:val="22"/>
        </w:rPr>
        <w:t>blaCTX </w:t>
      </w:r>
      <w:r w:rsidRPr="00AF28B8">
        <w:rPr>
          <w:rFonts w:ascii="Calibri" w:hAnsi="Calibri" w:cs="Calibri"/>
          <w:color w:val="000000"/>
          <w:sz w:val="22"/>
          <w:szCs w:val="22"/>
        </w:rPr>
        <w:t>were detected. Mobile genetic elements (MGEs) linked to resistance and pathogenicity were also detected, with plasmid types of </w:t>
      </w:r>
      <w:r w:rsidRPr="00AF28B8">
        <w:rPr>
          <w:rFonts w:ascii="Calibri" w:hAnsi="Calibri" w:cs="Calibri"/>
          <w:i/>
          <w:iCs/>
          <w:color w:val="000000"/>
          <w:sz w:val="22"/>
          <w:szCs w:val="22"/>
        </w:rPr>
        <w:t>Col,</w:t>
      </w:r>
      <w:r w:rsidRPr="00AF28B8">
        <w:rPr>
          <w:rFonts w:ascii="Calibri" w:hAnsi="Calibri" w:cs="Calibri"/>
          <w:color w:val="000000"/>
          <w:sz w:val="22"/>
          <w:szCs w:val="22"/>
        </w:rPr>
        <w:t> </w:t>
      </w:r>
      <w:r w:rsidRPr="00AF28B8">
        <w:rPr>
          <w:rFonts w:ascii="Calibri" w:hAnsi="Calibri" w:cs="Calibri"/>
          <w:i/>
          <w:iCs/>
          <w:color w:val="000000"/>
          <w:sz w:val="22"/>
          <w:szCs w:val="22"/>
        </w:rPr>
        <w:t>IncFII</w:t>
      </w:r>
      <w:r w:rsidRPr="00AF28B8">
        <w:rPr>
          <w:rFonts w:ascii="Calibri" w:hAnsi="Calibri" w:cs="Calibri"/>
          <w:color w:val="000000"/>
          <w:sz w:val="22"/>
          <w:szCs w:val="22"/>
        </w:rPr>
        <w:t> and </w:t>
      </w:r>
      <w:r w:rsidRPr="00AF28B8">
        <w:rPr>
          <w:rFonts w:ascii="Calibri" w:hAnsi="Calibri" w:cs="Calibri"/>
          <w:i/>
          <w:iCs/>
          <w:color w:val="000000"/>
          <w:sz w:val="22"/>
          <w:szCs w:val="22"/>
        </w:rPr>
        <w:t>rep</w:t>
      </w:r>
      <w:r w:rsidRPr="00AF28B8">
        <w:rPr>
          <w:rFonts w:ascii="Calibri" w:hAnsi="Calibri" w:cs="Calibri"/>
          <w:color w:val="000000"/>
          <w:sz w:val="22"/>
          <w:szCs w:val="22"/>
        </w:rPr>
        <w:t> being the most abundant. MGEs contained AMR genes suggesting that these elements are potential drivers AMR dissemination in the population. Our results highlight the importance of metagenomic analyses in the detection of potential enteric pathogens and genomic features related to AMR and virulence factors that could inform healthcare workers and policy makers on the control of drug resistance.</w:t>
      </w:r>
    </w:p>
    <w:p w14:paraId="7E1B816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25-A-3769-ASTMH</w:t>
      </w:r>
    </w:p>
    <w:p w14:paraId="003F90B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219F05DC"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Variability in temperature-dependent transmissibility of West Nile virus by geographically distinct populations of </w:t>
      </w:r>
      <w:r w:rsidRPr="00AF28B8">
        <w:rPr>
          <w:rFonts w:ascii="Calibri" w:hAnsi="Calibri" w:cs="Calibri"/>
          <w:i/>
          <w:iCs/>
          <w:color w:val="000000"/>
          <w:sz w:val="22"/>
          <w:szCs w:val="22"/>
        </w:rPr>
        <w:t>Culex quinquefasciatus</w:t>
      </w:r>
      <w:r w:rsidRPr="00AF28B8">
        <w:rPr>
          <w:rFonts w:ascii="Calibri" w:hAnsi="Calibri" w:cs="Calibri"/>
          <w:color w:val="000000"/>
          <w:sz w:val="22"/>
          <w:szCs w:val="22"/>
        </w:rPr>
        <w:t> from the Eastern United States</w:t>
      </w:r>
    </w:p>
    <w:p w14:paraId="6CB092CD"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As a result of the well-documented effects of temperature on both mosquito life history traits and vector competence, the transmissibility of arboviruses varies significantly with environmental fluctuations. While it is known that the relationship between arbovirus transmission and temperature is bimodal, the thermal optimal and limits are likely to vary between geographically distinct populations. </w:t>
      </w:r>
      <w:r w:rsidRPr="00AF28B8">
        <w:rPr>
          <w:rFonts w:ascii="Calibri" w:hAnsi="Calibri" w:cs="Calibri"/>
          <w:color w:val="000000"/>
          <w:sz w:val="22"/>
          <w:szCs w:val="22"/>
        </w:rPr>
        <w:lastRenderedPageBreak/>
        <w:t>West Nile virus (WNV) is the most prevalent arbovirus in U.S. and is primarily transmitted by </w:t>
      </w:r>
      <w:r w:rsidRPr="00AF28B8">
        <w:rPr>
          <w:rFonts w:ascii="Calibri" w:hAnsi="Calibri" w:cs="Calibri"/>
          <w:i/>
          <w:iCs/>
          <w:color w:val="000000"/>
          <w:sz w:val="22"/>
          <w:szCs w:val="22"/>
        </w:rPr>
        <w:t>Cx. pipiens</w:t>
      </w:r>
      <w:r w:rsidRPr="00AF28B8">
        <w:rPr>
          <w:rFonts w:ascii="Calibri" w:hAnsi="Calibri" w:cs="Calibri"/>
          <w:color w:val="000000"/>
          <w:sz w:val="22"/>
          <w:szCs w:val="22"/>
        </w:rPr>
        <w:t> and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in the eastern states. Previous studies with </w:t>
      </w:r>
      <w:r w:rsidRPr="00AF28B8">
        <w:rPr>
          <w:rFonts w:ascii="Calibri" w:hAnsi="Calibri" w:cs="Calibri"/>
          <w:i/>
          <w:iCs/>
          <w:color w:val="000000"/>
          <w:sz w:val="22"/>
          <w:szCs w:val="22"/>
        </w:rPr>
        <w:t>Cx. pipiens</w:t>
      </w:r>
      <w:r w:rsidRPr="00AF28B8">
        <w:rPr>
          <w:rFonts w:ascii="Calibri" w:hAnsi="Calibri" w:cs="Calibri"/>
          <w:color w:val="000000"/>
          <w:sz w:val="22"/>
          <w:szCs w:val="22"/>
        </w:rPr>
        <w:t> demonstrate that differences in temperature-dependent fitness are consistent with local adaptation and reflected in WNV prevalence data, yet similar studies have not been completed with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In addition, the relative importance of temperature-dependent competence and mosquito fitness in WNV transmission has not been investigated. To address this, we acquired three populations of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from field sites in Virginia, South Carolina, and Florida, reared them in the laboratory at 14, 20, 26 or 32°C, and monitored life history traits including development time, immature survival, adult longevity, and blood feeding. Temperature was negatively associated with both mean time to emergence and adult longevity. A significant interaction between population and temperature indicated that developmental responses to temperature differed among populations. Vector competence for WNV was assessed following infectious blood feeding and incubation at 15, 20, 25, 30 or 33 °C. Dissemination efficiency varied significantly between populations, most notably at 30°C. Both infection and dissemination rates exhibited temperature-dependent patterns, with evidence of a peak near 30 °C, though patterns differed by populations. Overall, differences in individual traits resulted in population-specific differences in temperature-dependent transmission. Pooled whole-genome sequencing of each mosquito population was conducted to identify unique genetic signatures that may underlie observed differences in thermal responses.</w:t>
      </w:r>
    </w:p>
    <w:p w14:paraId="4CFCAE72" w14:textId="77777777" w:rsidR="006505C0" w:rsidRPr="00AF28B8" w:rsidRDefault="006505C0" w:rsidP="006505C0">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25-A-3770-ASTMH</w:t>
      </w:r>
    </w:p>
    <w:p w14:paraId="14BD1B84" w14:textId="77777777" w:rsidR="006505C0" w:rsidRPr="00AF28B8" w:rsidRDefault="006505C0" w:rsidP="006505C0">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35D55119" w14:textId="77777777" w:rsidR="006505C0" w:rsidRPr="00AF28B8" w:rsidRDefault="006505C0" w:rsidP="006505C0">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Safe Travels Start Here: Travel Health Advice and Guidance from the Public Health Agency of Canada</w:t>
      </w:r>
    </w:p>
    <w:p w14:paraId="5395041F" w14:textId="77777777" w:rsidR="006505C0" w:rsidRPr="00AF28B8" w:rsidRDefault="006505C0" w:rsidP="006505C0">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International travel has rebounded significantly since the COVID-19 pandemic, with trends indicating continued growth. This development has important implications for public health due to the evolving risk of travel-acquired infections and the global spread of communicable diseases. Top destinations for Canadian travellers include regions where diseases such as dengue, chikungunya and Oropouche, are endemic, emerging, or re-emerging. These trends highlight the need for timely, targeted, travel health advice (THA) that evolves with the international health landscape. The Public Health Agency of Canada (PHAC) monitors global disease trends and develops THA to inform the public and reduce the risk of illness abroad, including respiratory, food-borne, vaccine-preventable, sexually transmitted, blood-borne, and vector-borne diseases. A variety of THA products are produced annually to inform the public, including travel health notices and outbreak monitoring alerts. In 2023-2024, there was a global surge in diseases caused by mosquito-borne arboviruses, such as dengue. THA activities related to vector-borne diseases have increased in recent years partly due to environmental and climatic changes affecting disease vectors, and changes in population immunity. To support healthcare professionals providing advice to Canadians travelling abroad, the Committee to Advise on Tropical Medicine and Travel (CATMAT) develops evidence-based clinical guidance focused on the prevention and treatment of infectious diseases and health hazards related to international travel. These resources are developed or updated based on several triggers including changes in epidemiology and traveller risk that are reflective of the evolving international spread of disease vectors, including recent updates to guidance for malaria treatment and prevention, dengue vaccine, and forthcoming guidance on chikungunya vaccine. As global travel continues to increase, public health interventions like THA and clinical guidance remain essential to protect Canadian travellers, reduce disease importation, and support global health security.</w:t>
      </w:r>
    </w:p>
    <w:p w14:paraId="52341DA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25-A-3771-ASTMH</w:t>
      </w:r>
    </w:p>
    <w:p w14:paraId="34615E5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166BFF14"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Targets of dengue virus broadly cross-neutralizing serum and how they relate to dengue specific memory B cells</w:t>
      </w:r>
    </w:p>
    <w:p w14:paraId="482557D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four dengue (DENV) serotypes infect 100-400 million individuals yearly, causing half a million cases of life-threatening hemorrhagic fever and shock syndrome. Typical primary DENV infections are mild yet </w:t>
      </w:r>
      <w:r w:rsidRPr="00AF28B8">
        <w:rPr>
          <w:rFonts w:ascii="Calibri" w:hAnsi="Calibri" w:cs="Calibri"/>
          <w:color w:val="000000"/>
          <w:sz w:val="22"/>
          <w:szCs w:val="22"/>
        </w:rPr>
        <w:lastRenderedPageBreak/>
        <w:t>stimulate durable protective immunity to the serotype of infection; importantly, primary DENV infections also generate antibodies that cross-react with other DENV serotypes. In contrast, secondary infection with a different DENV serotype leads to the development of a population of serum antibodies that cross-neutralize and protect against DENV 1-4.</w:t>
      </w:r>
      <w:r w:rsidRPr="00AF28B8">
        <w:rPr>
          <w:rFonts w:ascii="Calibri" w:hAnsi="Calibri" w:cs="Calibri"/>
          <w:color w:val="000000"/>
          <w:sz w:val="22"/>
          <w:szCs w:val="22"/>
        </w:rPr>
        <w:br/>
        <w:t>We currently do not understand the specific molecular properties of DENV broadly cross-neutralizing antibodies secreted into plasma by long-lived plasma cells and how they relate to memory B cell-derived antibodies. Understanding the longevity and specificity of humoral memory years after infection is critical for informing durable vaccine strategies. Although serological and memory B cell responses have been individually described years after DENV infection, the extent to which persistent memory lineages overlap with circulating IgG remains less well-defined.</w:t>
      </w:r>
      <w:r w:rsidRPr="00AF28B8">
        <w:rPr>
          <w:rFonts w:ascii="Calibri" w:hAnsi="Calibri" w:cs="Calibri"/>
          <w:color w:val="000000"/>
          <w:sz w:val="22"/>
          <w:szCs w:val="22"/>
        </w:rPr>
        <w:br/>
        <w:t>Here, we investigate the clonal architecture of circulating memory B cell and secreted IgG repertoire in a cohort of healthy adults sampled years post-secondary dengue virus infection using a combination of memory B cell repertoire analysis and high-resolution IgG proteomics across all four DENV serotypes. This approach allows us to reconstruct memory B cell lineages and to quantify their contributions to the serotype-specific and cross-reactive plasma IgG pool.</w:t>
      </w:r>
      <w:r w:rsidRPr="00AF28B8">
        <w:rPr>
          <w:rFonts w:ascii="Calibri" w:hAnsi="Calibri" w:cs="Calibri"/>
          <w:color w:val="000000"/>
          <w:sz w:val="22"/>
          <w:szCs w:val="22"/>
        </w:rPr>
        <w:br/>
        <w:t>Using engineered DENV antigens, we isolated a panel of clonally persistent circulating antibody lineages and mapped their envelope protein targets. Around 35% of dengue antibody lineages have a high degree of serotype cross-reactivity and &gt;50% use the IGHV3 gene lineage. Linking serotype-resolved plasma IgG to persistent memory B cell lineages years after dengue virus infection, reveals a molecular framework for designing vaccines that elicit durable and functionally relevant humoral protection.</w:t>
      </w:r>
    </w:p>
    <w:p w14:paraId="5BA7A813"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25-A-3772-ASTMH</w:t>
      </w:r>
    </w:p>
    <w:p w14:paraId="49E7B9FE"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59D71DFD"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Annual Review of Vector Control Effectiveness in Tanzania: A Case Study of Assessing Insecticide-Treated Nets, Indoor Residual Spraying, Malaria Incidence, and Related Health Indicators</w:t>
      </w:r>
    </w:p>
    <w:p w14:paraId="2CA64F26"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Monitoring and surveillance of vector control interventions, entomological indicators, and their relation to malaria case incidence are crucial to adapting strategies to reduce the malaria burden. Council-level monthly case incidence data were obtained from DHIS-2 (2018 to 2022). Nets per capita were derived from ITN distribution data and net decay rates, then converted to population insecticide-treated net (ITN) access. ITN access data, confirmed malaria case trend data, and evidence of insecticide resistance were combined to classify each council. This case study seeks to create and describe malaria burden and vector control coverage at a granular level (district-level profile) that can provide actionable insights to inform policy and strategic decisions about effective interventions at the council level for malaria programs in Tanzania. A stock-and-flow model was used to estimate the net crop (1) of surviving ITNs annually based on a country-specific median net lifespan of 2.15 years (CI: 1.88-2.43) and was applied to decay each distribution crop. Monitoring ITN population access up to the council level annually to understand whether it was below the threshold (80%) and inform quantification of ITNs for the subsequent years, to maintain access and usage was paramount. Unfortunately, data on ITN population access at the council level was lacking. High ITN access with appropriate quantification to reach targeted coverage is needed. Monitoring of new insecticide-based interventions should continue and scale up. Effective vector control interventions should be deployed in areas with resistance and new types of mosquito vectors. This case study paper established a vector control district-level profile and described its effectiveness as one of the core malaria interventions and how it can be adopted by country malaria programmes in the allocation of resources more efficiently, monitoring and adjusting their vector control interventions, leading to more cost-effective and impactful malaria control efforts.</w:t>
      </w:r>
    </w:p>
    <w:p w14:paraId="03372F4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25-A-3774-ASTMH</w:t>
      </w:r>
    </w:p>
    <w:p w14:paraId="771DCC1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4D2CC1D7"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Longitudinal malaria genotyping increases efficacy resolution for the malaria monoclonal antibody CIS43LS</w:t>
      </w:r>
    </w:p>
    <w:p w14:paraId="49153A5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Monoclonal antibodies (mAbs) targeting the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circumsporozoite protein (CSP) represent a promising new tool to block initial malaria infection. In prior phase 2 trial of the anti-CSP mAb CIS43LS in Mali, adult subjects received a single dose of 10 or 40 mg/kg mAb (or placebo) at malaria season onset and were then monitored for malaria infection for 24 weeks via blood microscopy and PCR. However, given that malaria infections in endemic adult populations often do not prompt symptoms and treatment, newly incident infections generally cannot be distinguished from persistent infections after the first microscopy or PCR-positive endpoint. Genotypic endpoints offer the opportunity to quantify efficacy against new infection via longitudinal incidence over the complete followup period, which in Mali features shifting rainfall patterns and mosquito biting rates. Genotyping can also test whether parasite mutations affect mAb escape. We therefore applied a strain-tracking amplicon multiplex and CSP epitope sequencing for all infections of the CIS43LS trial. Results from 1,203 genotyped samples show strong dose-dependent reductions in cumulative strain diversity within individual subjects, no occurrence of CSP epitope mutation (residues 101-115), and no effect of 2 proximal variants on infection counts (57 bp INDEL at residue 80 (30.7% of new infections) and Ala/Gly SNP at residue 98 (30.2%)). We tracked molecular force of infection (molFOI; rate of newly acquired strains over time) and computed efficacy (Eff</w:t>
      </w:r>
      <w:r w:rsidRPr="00AF28B8">
        <w:rPr>
          <w:rFonts w:ascii="Calibri" w:hAnsi="Calibri" w:cs="Calibri"/>
          <w:color w:val="000000"/>
          <w:sz w:val="22"/>
          <w:szCs w:val="22"/>
          <w:vertAlign w:val="subscript"/>
        </w:rPr>
        <w:t>molFOI</w:t>
      </w:r>
      <w:r w:rsidRPr="00AF28B8">
        <w:rPr>
          <w:rFonts w:ascii="Calibri" w:hAnsi="Calibri" w:cs="Calibri"/>
          <w:color w:val="000000"/>
          <w:sz w:val="22"/>
          <w:szCs w:val="22"/>
        </w:rPr>
        <w:t>) as the % reduction in molFOI for treated vs. placebo subjects. Eff</w:t>
      </w:r>
      <w:r w:rsidRPr="00AF28B8">
        <w:rPr>
          <w:rFonts w:ascii="Calibri" w:hAnsi="Calibri" w:cs="Calibri"/>
          <w:color w:val="000000"/>
          <w:sz w:val="22"/>
          <w:szCs w:val="22"/>
          <w:vertAlign w:val="subscript"/>
        </w:rPr>
        <w:t>molFOI</w:t>
      </w:r>
      <w:r w:rsidRPr="00AF28B8">
        <w:rPr>
          <w:rFonts w:ascii="Calibri" w:hAnsi="Calibri" w:cs="Calibri"/>
          <w:color w:val="000000"/>
          <w:sz w:val="22"/>
          <w:szCs w:val="22"/>
        </w:rPr>
        <w:t> was 69.2% [95% CI: 58.2 - 77.3] for 10 mg/kg and 85.6% [77.4 - 90.8] for 40 mg/kg mAb. Enrollment infection also significantly modified efficacy for 40 mg/kg mAb: Eff</w:t>
      </w:r>
      <w:r w:rsidRPr="00AF28B8">
        <w:rPr>
          <w:rFonts w:ascii="Calibri" w:hAnsi="Calibri" w:cs="Calibri"/>
          <w:color w:val="000000"/>
          <w:sz w:val="22"/>
          <w:szCs w:val="22"/>
          <w:vertAlign w:val="subscript"/>
        </w:rPr>
        <w:t>molFOI </w:t>
      </w:r>
      <w:r w:rsidRPr="00AF28B8">
        <w:rPr>
          <w:rFonts w:ascii="Calibri" w:hAnsi="Calibri" w:cs="Calibri"/>
          <w:color w:val="000000"/>
          <w:sz w:val="22"/>
          <w:szCs w:val="22"/>
        </w:rPr>
        <w:t>was 90.2% [84.4 - 93.8] for enrollment-negative and 67.6% [39.9 - 82.6] for enrollment-positive subjects. We contrast our findings with time to first infection and other genotype-agnostic efficacy estimators, and we discuss how effects of seasonality, intrinsic risk heterogeneity, and pharmacokinetic variables can be resolved and accounted for using different endpoints.</w:t>
      </w:r>
    </w:p>
    <w:p w14:paraId="4E6BB7E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25-A-3775-ASTMH</w:t>
      </w:r>
    </w:p>
    <w:p w14:paraId="157BF244"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4F09D52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vivax</w:t>
      </w:r>
      <w:r w:rsidRPr="00AF28B8">
        <w:rPr>
          <w:rFonts w:ascii="Calibri" w:hAnsi="Calibri" w:cs="Calibri"/>
          <w:color w:val="000000"/>
          <w:sz w:val="22"/>
          <w:szCs w:val="22"/>
        </w:rPr>
        <w:t> Mitochondrial DNA Polymorphism was Correlated with the Differential Mosquito Vector Susceptibility (</w:t>
      </w:r>
      <w:r w:rsidRPr="00AF28B8">
        <w:rPr>
          <w:rFonts w:ascii="Calibri" w:hAnsi="Calibri" w:cs="Calibri"/>
          <w:i/>
          <w:iCs/>
          <w:color w:val="000000"/>
          <w:sz w:val="22"/>
          <w:szCs w:val="22"/>
        </w:rPr>
        <w:t>Nyssorhynchus and/</w:t>
      </w:r>
      <w:r w:rsidRPr="00AF28B8">
        <w:rPr>
          <w:rFonts w:ascii="Calibri" w:hAnsi="Calibri" w:cs="Calibri"/>
          <w:color w:val="000000"/>
          <w:sz w:val="22"/>
          <w:szCs w:val="22"/>
        </w:rPr>
        <w:t>or </w:t>
      </w:r>
      <w:r w:rsidRPr="00AF28B8">
        <w:rPr>
          <w:rFonts w:ascii="Calibri" w:hAnsi="Calibri" w:cs="Calibri"/>
          <w:i/>
          <w:iCs/>
          <w:color w:val="000000"/>
          <w:sz w:val="22"/>
          <w:szCs w:val="22"/>
        </w:rPr>
        <w:t>Anopheles)</w:t>
      </w:r>
      <w:r w:rsidRPr="00AF28B8">
        <w:rPr>
          <w:rFonts w:ascii="Calibri" w:hAnsi="Calibri" w:cs="Calibri"/>
          <w:color w:val="000000"/>
          <w:sz w:val="22"/>
          <w:szCs w:val="22"/>
        </w:rPr>
        <w:t> in Southern Mexico</w:t>
      </w:r>
    </w:p>
    <w:p w14:paraId="4742E05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vivax</w:t>
      </w:r>
      <w:r w:rsidRPr="00AF28B8">
        <w:rPr>
          <w:rFonts w:ascii="Calibri" w:hAnsi="Calibri" w:cs="Calibri"/>
          <w:color w:val="000000"/>
          <w:sz w:val="22"/>
          <w:szCs w:val="22"/>
        </w:rPr>
        <w:t> Mitochondrial DNA has aided in understanding the evolutionary relationships, geographical origin and parasite dispersal. </w:t>
      </w:r>
      <w:r w:rsidRPr="00AF28B8">
        <w:rPr>
          <w:rFonts w:ascii="Calibri" w:hAnsi="Calibri" w:cs="Calibri"/>
          <w:i/>
          <w:iCs/>
          <w:color w:val="000000"/>
          <w:sz w:val="22"/>
          <w:szCs w:val="22"/>
        </w:rPr>
        <w:t>Nyssorhynchus albimanus</w:t>
      </w:r>
      <w:r w:rsidRPr="00AF28B8">
        <w:rPr>
          <w:rFonts w:ascii="Calibri" w:hAnsi="Calibri" w:cs="Calibri"/>
          <w:color w:val="000000"/>
          <w:sz w:val="22"/>
          <w:szCs w:val="22"/>
        </w:rPr>
        <w:t> and </w:t>
      </w:r>
      <w:r w:rsidRPr="00AF28B8">
        <w:rPr>
          <w:rFonts w:ascii="Calibri" w:hAnsi="Calibri" w:cs="Calibri"/>
          <w:i/>
          <w:iCs/>
          <w:color w:val="000000"/>
          <w:sz w:val="22"/>
          <w:szCs w:val="22"/>
        </w:rPr>
        <w:t>Anopheles pseudopunctipennis</w:t>
      </w:r>
      <w:r w:rsidRPr="00AF28B8">
        <w:rPr>
          <w:rFonts w:ascii="Calibri" w:hAnsi="Calibri" w:cs="Calibri"/>
          <w:color w:val="000000"/>
          <w:sz w:val="22"/>
          <w:szCs w:val="22"/>
        </w:rPr>
        <w:t> are the main malaria vectors in Mexico. In southern regions, we discovered differential susceptibilities of these mosquito species to distinct </w:t>
      </w:r>
      <w:r w:rsidRPr="00AF28B8">
        <w:rPr>
          <w:rFonts w:ascii="Calibri" w:hAnsi="Calibri" w:cs="Calibri"/>
          <w:i/>
          <w:iCs/>
          <w:color w:val="000000"/>
          <w:sz w:val="22"/>
          <w:szCs w:val="22"/>
        </w:rPr>
        <w:t>P. vivax</w:t>
      </w:r>
      <w:r w:rsidRPr="00AF28B8">
        <w:rPr>
          <w:rFonts w:ascii="Calibri" w:hAnsi="Calibri" w:cs="Calibri"/>
          <w:color w:val="000000"/>
          <w:sz w:val="22"/>
          <w:szCs w:val="22"/>
        </w:rPr>
        <w:t> lineages defined by SNPs in sexual-stage proteins and</w:t>
      </w:r>
      <w:r w:rsidRPr="00AF28B8">
        <w:rPr>
          <w:rFonts w:ascii="Calibri" w:hAnsi="Calibri" w:cs="Calibri"/>
          <w:i/>
          <w:iCs/>
          <w:color w:val="000000"/>
          <w:sz w:val="22"/>
          <w:szCs w:val="22"/>
        </w:rPr>
        <w:t> </w:t>
      </w:r>
      <w:r w:rsidRPr="00AF28B8">
        <w:rPr>
          <w:rFonts w:ascii="Calibri" w:hAnsi="Calibri" w:cs="Calibri"/>
          <w:color w:val="000000"/>
          <w:sz w:val="22"/>
          <w:szCs w:val="22"/>
        </w:rPr>
        <w:t>microsatellites. Here, analyzes </w:t>
      </w:r>
      <w:r w:rsidRPr="00AF28B8">
        <w:rPr>
          <w:rFonts w:ascii="Calibri" w:hAnsi="Calibri" w:cs="Calibri"/>
          <w:i/>
          <w:iCs/>
          <w:color w:val="000000"/>
          <w:sz w:val="22"/>
          <w:szCs w:val="22"/>
        </w:rPr>
        <w:t>Pv</w:t>
      </w:r>
      <w:r w:rsidRPr="00AF28B8">
        <w:rPr>
          <w:rFonts w:ascii="Calibri" w:hAnsi="Calibri" w:cs="Calibri"/>
          <w:color w:val="000000"/>
          <w:sz w:val="22"/>
          <w:szCs w:val="22"/>
        </w:rPr>
        <w:t>mitDNA polymorphism and its relationships with sexual SNPs and vector susceptibility using </w:t>
      </w:r>
      <w:r w:rsidRPr="00AF28B8">
        <w:rPr>
          <w:rFonts w:ascii="Calibri" w:hAnsi="Calibri" w:cs="Calibri"/>
          <w:i/>
          <w:iCs/>
          <w:color w:val="000000"/>
          <w:sz w:val="22"/>
          <w:szCs w:val="22"/>
        </w:rPr>
        <w:t>P. vivax</w:t>
      </w:r>
      <w:r w:rsidRPr="00AF28B8">
        <w:rPr>
          <w:rFonts w:ascii="Calibri" w:hAnsi="Calibri" w:cs="Calibri"/>
          <w:color w:val="000000"/>
          <w:sz w:val="22"/>
          <w:szCs w:val="22"/>
        </w:rPr>
        <w:t>-infected blood samples. </w:t>
      </w:r>
      <w:r w:rsidRPr="00AF28B8">
        <w:rPr>
          <w:rFonts w:ascii="Calibri" w:hAnsi="Calibri" w:cs="Calibri"/>
          <w:i/>
          <w:iCs/>
          <w:color w:val="000000"/>
          <w:sz w:val="22"/>
          <w:szCs w:val="22"/>
        </w:rPr>
        <w:t>Pv</w:t>
      </w:r>
      <w:r w:rsidRPr="00AF28B8">
        <w:rPr>
          <w:rFonts w:ascii="Calibri" w:hAnsi="Calibri" w:cs="Calibri"/>
          <w:color w:val="000000"/>
          <w:sz w:val="22"/>
          <w:szCs w:val="22"/>
        </w:rPr>
        <w:t>mitDNA and Pvs25/28, Pvs47, CTRP, and SOAP sequences were obtained from Plamodb.org. Available data from vector susceptibility assays was included. Compared to Sal I mitDNA (5571bp), seven mutations were detected in 15 Mexican parasites; three present in noncoding regions, one synonymous, and three non-synonymous changes in the </w:t>
      </w:r>
      <w:r w:rsidRPr="00AF28B8">
        <w:rPr>
          <w:rFonts w:ascii="Calibri" w:hAnsi="Calibri" w:cs="Calibri"/>
          <w:i/>
          <w:iCs/>
          <w:color w:val="000000"/>
          <w:sz w:val="22"/>
          <w:szCs w:val="22"/>
        </w:rPr>
        <w:t>cox3 </w:t>
      </w:r>
      <w:r w:rsidRPr="00AF28B8">
        <w:rPr>
          <w:rFonts w:ascii="Calibri" w:hAnsi="Calibri" w:cs="Calibri"/>
          <w:color w:val="000000"/>
          <w:sz w:val="22"/>
          <w:szCs w:val="22"/>
        </w:rPr>
        <w:t>and </w:t>
      </w:r>
      <w:r w:rsidRPr="00AF28B8">
        <w:rPr>
          <w:rFonts w:ascii="Calibri" w:hAnsi="Calibri" w:cs="Calibri"/>
          <w:i/>
          <w:iCs/>
          <w:color w:val="000000"/>
          <w:sz w:val="22"/>
          <w:szCs w:val="22"/>
        </w:rPr>
        <w:t>cox1</w:t>
      </w:r>
      <w:r w:rsidRPr="00AF28B8">
        <w:rPr>
          <w:rFonts w:ascii="Calibri" w:hAnsi="Calibri" w:cs="Calibri"/>
          <w:color w:val="000000"/>
          <w:sz w:val="22"/>
          <w:szCs w:val="22"/>
        </w:rPr>
        <w:t> genes</w:t>
      </w:r>
      <w:r w:rsidRPr="00AF28B8">
        <w:rPr>
          <w:rFonts w:ascii="Calibri" w:hAnsi="Calibri" w:cs="Calibri"/>
          <w:i/>
          <w:iCs/>
          <w:color w:val="000000"/>
          <w:sz w:val="22"/>
          <w:szCs w:val="22"/>
        </w:rPr>
        <w:t>, </w:t>
      </w:r>
      <w:r w:rsidRPr="00AF28B8">
        <w:rPr>
          <w:rFonts w:ascii="Calibri" w:hAnsi="Calibri" w:cs="Calibri"/>
          <w:color w:val="000000"/>
          <w:sz w:val="22"/>
          <w:szCs w:val="22"/>
        </w:rPr>
        <w:t>respectively. Five haplotypes were resolved (mh1-mh5), while sexual SNPs defined two genetic clusters: Sal I (s1) and a variant s2. One </w:t>
      </w:r>
      <w:r w:rsidRPr="00AF28B8">
        <w:rPr>
          <w:rFonts w:ascii="Calibri" w:hAnsi="Calibri" w:cs="Calibri"/>
          <w:i/>
          <w:iCs/>
          <w:color w:val="000000"/>
          <w:sz w:val="22"/>
          <w:szCs w:val="22"/>
        </w:rPr>
        <w:t>P. vivax</w:t>
      </w:r>
      <w:r w:rsidRPr="00AF28B8">
        <w:rPr>
          <w:rFonts w:ascii="Calibri" w:hAnsi="Calibri" w:cs="Calibri"/>
          <w:color w:val="000000"/>
          <w:sz w:val="22"/>
          <w:szCs w:val="22"/>
        </w:rPr>
        <w:t> isolate - mh2/s1 infected 88% of </w:t>
      </w:r>
      <w:r w:rsidRPr="00AF28B8">
        <w:rPr>
          <w:rFonts w:ascii="Calibri" w:hAnsi="Calibri" w:cs="Calibri"/>
          <w:i/>
          <w:iCs/>
          <w:color w:val="000000"/>
          <w:sz w:val="22"/>
          <w:szCs w:val="22"/>
        </w:rPr>
        <w:t>Ny. albimanus</w:t>
      </w:r>
      <w:r w:rsidRPr="00AF28B8">
        <w:rPr>
          <w:rFonts w:ascii="Calibri" w:hAnsi="Calibri" w:cs="Calibri"/>
          <w:color w:val="000000"/>
          <w:sz w:val="22"/>
          <w:szCs w:val="22"/>
        </w:rPr>
        <w:t> with high oocyst infection (median 84/IQR 54-110). Another isolate - mh3/s2 with mutations in </w:t>
      </w:r>
      <w:r w:rsidRPr="00AF28B8">
        <w:rPr>
          <w:rFonts w:ascii="Calibri" w:hAnsi="Calibri" w:cs="Calibri"/>
          <w:i/>
          <w:iCs/>
          <w:color w:val="000000"/>
          <w:sz w:val="22"/>
          <w:szCs w:val="22"/>
        </w:rPr>
        <w:t>cox3</w:t>
      </w:r>
      <w:r w:rsidRPr="00AF28B8">
        <w:rPr>
          <w:rFonts w:ascii="Calibri" w:hAnsi="Calibri" w:cs="Calibri"/>
          <w:color w:val="000000"/>
          <w:sz w:val="22"/>
          <w:szCs w:val="22"/>
        </w:rPr>
        <w:t> A382G and in </w:t>
      </w:r>
      <w:r w:rsidRPr="00AF28B8">
        <w:rPr>
          <w:rFonts w:ascii="Calibri" w:hAnsi="Calibri" w:cs="Calibri"/>
          <w:i/>
          <w:iCs/>
          <w:color w:val="000000"/>
          <w:sz w:val="22"/>
          <w:szCs w:val="22"/>
        </w:rPr>
        <w:t>cox1</w:t>
      </w:r>
      <w:r w:rsidRPr="00AF28B8">
        <w:rPr>
          <w:rFonts w:ascii="Calibri" w:hAnsi="Calibri" w:cs="Calibri"/>
          <w:color w:val="000000"/>
          <w:sz w:val="22"/>
          <w:szCs w:val="22"/>
        </w:rPr>
        <w:t> G1196C and T1440A, produced a similar proportion of infected mosquitos in both vector species (0.7 vs 0.75). The other 11 isolates (mh4-5/s2) had mainly three changes in </w:t>
      </w:r>
      <w:r w:rsidRPr="00AF28B8">
        <w:rPr>
          <w:rFonts w:ascii="Calibri" w:hAnsi="Calibri" w:cs="Calibri"/>
          <w:i/>
          <w:iCs/>
          <w:color w:val="000000"/>
          <w:sz w:val="22"/>
          <w:szCs w:val="22"/>
        </w:rPr>
        <w:t>coxI;</w:t>
      </w:r>
      <w:r w:rsidRPr="00AF28B8">
        <w:rPr>
          <w:rFonts w:ascii="Calibri" w:hAnsi="Calibri" w:cs="Calibri"/>
          <w:color w:val="000000"/>
          <w:sz w:val="22"/>
          <w:szCs w:val="22"/>
        </w:rPr>
        <w:t> G1040A (exclusive), G1196C, and T1440A. These haplotypes consistently caused a higher oocyst infection rate in </w:t>
      </w:r>
      <w:r w:rsidRPr="00AF28B8">
        <w:rPr>
          <w:rFonts w:ascii="Calibri" w:hAnsi="Calibri" w:cs="Calibri"/>
          <w:i/>
          <w:iCs/>
          <w:color w:val="000000"/>
          <w:sz w:val="22"/>
          <w:szCs w:val="22"/>
        </w:rPr>
        <w:t>An. pseudopunctipennis </w:t>
      </w:r>
      <w:r w:rsidRPr="00AF28B8">
        <w:rPr>
          <w:rFonts w:ascii="Calibri" w:hAnsi="Calibri" w:cs="Calibri"/>
          <w:color w:val="000000"/>
          <w:sz w:val="22"/>
          <w:szCs w:val="22"/>
        </w:rPr>
        <w:t>(0.42-0.93) than in</w:t>
      </w:r>
      <w:r w:rsidRPr="00AF28B8">
        <w:rPr>
          <w:rFonts w:ascii="Calibri" w:hAnsi="Calibri" w:cs="Calibri"/>
          <w:i/>
          <w:iCs/>
          <w:color w:val="000000"/>
          <w:sz w:val="22"/>
          <w:szCs w:val="22"/>
        </w:rPr>
        <w:t> Ny albimanus </w:t>
      </w:r>
      <w:r w:rsidRPr="00AF28B8">
        <w:rPr>
          <w:rFonts w:ascii="Calibri" w:hAnsi="Calibri" w:cs="Calibri"/>
          <w:color w:val="000000"/>
          <w:sz w:val="22"/>
          <w:szCs w:val="22"/>
        </w:rPr>
        <w:t>(0-0.4</w:t>
      </w:r>
      <w:r w:rsidRPr="00AF28B8">
        <w:rPr>
          <w:rFonts w:ascii="Calibri" w:hAnsi="Calibri" w:cs="Calibri"/>
          <w:i/>
          <w:iCs/>
          <w:color w:val="000000"/>
          <w:sz w:val="22"/>
          <w:szCs w:val="22"/>
        </w:rPr>
        <w:t>). </w:t>
      </w:r>
      <w:r w:rsidRPr="00AF28B8">
        <w:rPr>
          <w:rFonts w:ascii="Calibri" w:hAnsi="Calibri" w:cs="Calibri"/>
          <w:color w:val="000000"/>
          <w:sz w:val="22"/>
          <w:szCs w:val="22"/>
        </w:rPr>
        <w:t>PCA and spearman analysis showed a correlation of </w:t>
      </w:r>
      <w:r w:rsidRPr="00AF28B8">
        <w:rPr>
          <w:rFonts w:ascii="Calibri" w:hAnsi="Calibri" w:cs="Calibri"/>
          <w:i/>
          <w:iCs/>
          <w:color w:val="000000"/>
          <w:sz w:val="22"/>
          <w:szCs w:val="22"/>
        </w:rPr>
        <w:t>Pv</w:t>
      </w:r>
      <w:r w:rsidRPr="00AF28B8">
        <w:rPr>
          <w:rFonts w:ascii="Calibri" w:hAnsi="Calibri" w:cs="Calibri"/>
          <w:color w:val="000000"/>
          <w:sz w:val="22"/>
          <w:szCs w:val="22"/>
        </w:rPr>
        <w:t>mitDNA mutations and haplotypes with vector species susceptibility.</w:t>
      </w:r>
      <w:r w:rsidRPr="00AF28B8">
        <w:rPr>
          <w:rFonts w:ascii="Calibri" w:hAnsi="Calibri" w:cs="Calibri"/>
          <w:i/>
          <w:iCs/>
          <w:color w:val="000000"/>
          <w:sz w:val="22"/>
          <w:szCs w:val="22"/>
        </w:rPr>
        <w:t> </w:t>
      </w:r>
      <w:r w:rsidRPr="00AF28B8">
        <w:rPr>
          <w:rFonts w:ascii="Calibri" w:hAnsi="Calibri" w:cs="Calibri"/>
          <w:color w:val="000000"/>
          <w:sz w:val="22"/>
          <w:szCs w:val="22"/>
        </w:rPr>
        <w:t>The median network showed 32 global </w:t>
      </w:r>
      <w:r w:rsidRPr="00AF28B8">
        <w:rPr>
          <w:rFonts w:ascii="Calibri" w:hAnsi="Calibri" w:cs="Calibri"/>
          <w:i/>
          <w:iCs/>
          <w:color w:val="000000"/>
          <w:sz w:val="22"/>
          <w:szCs w:val="22"/>
        </w:rPr>
        <w:t>Pv</w:t>
      </w:r>
      <w:r w:rsidRPr="00AF28B8">
        <w:rPr>
          <w:rFonts w:ascii="Calibri" w:hAnsi="Calibri" w:cs="Calibri"/>
          <w:color w:val="000000"/>
          <w:sz w:val="22"/>
          <w:szCs w:val="22"/>
        </w:rPr>
        <w:t>mitDNA haplotypes separated by 1 to 9 mutational steps among them. The most frequent Haplotype (Sal I) shared by South American and Mexican parasites (mh1) was separated by 3-4 mutational steps from divergent and exclusive mh3-5 haplotypes. Information from a larger sample size is underway to strengthen current finding, and the impact on defining </w:t>
      </w:r>
      <w:r w:rsidRPr="00AF28B8">
        <w:rPr>
          <w:rFonts w:ascii="Calibri" w:hAnsi="Calibri" w:cs="Calibri"/>
          <w:i/>
          <w:iCs/>
          <w:color w:val="000000"/>
          <w:sz w:val="22"/>
          <w:szCs w:val="22"/>
        </w:rPr>
        <w:t>P. vivax </w:t>
      </w:r>
      <w:r w:rsidRPr="00AF28B8">
        <w:rPr>
          <w:rFonts w:ascii="Calibri" w:hAnsi="Calibri" w:cs="Calibri"/>
          <w:color w:val="000000"/>
          <w:sz w:val="22"/>
          <w:szCs w:val="22"/>
        </w:rPr>
        <w:t>epidemiology in southern Mexico will be discussed.</w:t>
      </w:r>
    </w:p>
    <w:p w14:paraId="6BA5DCD2"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25-A-3776-ASTMH</w:t>
      </w:r>
    </w:p>
    <w:p w14:paraId="5515555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Malaria - Vaccines and Immunotherapeutics</w:t>
      </w:r>
    </w:p>
    <w:p w14:paraId="2E7861A5"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Knowledge, attitudes and perceptions of stakeholders, healthcare professionals and caregivers about malaria vaccine introduction in the DRC</w:t>
      </w:r>
    </w:p>
    <w:p w14:paraId="5B46CBC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DRC and Nigeria account for almost 40% of malaria morbidity and mortality burden, with over 50% of malaria cases and around 70% of malaria deaths among children under 5. It is crucial and urgent to pursue combined efforts to reduce the impact of malaria on the lives of individuals in these two countries. DRC decided to introduce the malaria vaccine as a complementary preventive intervention. Prior to its introduction, a knowledge, attitudes, and perceptions survey were conducted by the MoH with PATH TA targeting key stakeholders, such as decision makers, program leaders, health professionals, and importantly, caregivers. 331 participants in 9 provinces representing the country's 4 linguistic blocks (Swahili speakers, Lingala speakers, Tshiluba speakers, and Kikongo speakers) to better guide this new approach to malaria control. The study targeted Ministry of Public Health executives, healthcare providers, and caregivers. Key findings mentioned limited knowledge, concerns and doubts</w:t>
      </w:r>
      <w:r w:rsidRPr="00AF28B8">
        <w:rPr>
          <w:rFonts w:ascii="Calibri" w:hAnsi="Calibri" w:cs="Calibri"/>
          <w:b/>
          <w:bCs/>
          <w:color w:val="000000"/>
          <w:sz w:val="22"/>
          <w:szCs w:val="22"/>
        </w:rPr>
        <w:t>:</w:t>
      </w:r>
      <w:r w:rsidRPr="00AF28B8">
        <w:rPr>
          <w:rFonts w:ascii="Calibri" w:hAnsi="Calibri" w:cs="Calibri"/>
          <w:color w:val="000000"/>
          <w:sz w:val="22"/>
          <w:szCs w:val="22"/>
        </w:rPr>
        <w:t> some of key health system leaders or authorities expressed reservations about the actual effectiveness of the vaccine, potential side effects, especially long-term, and the logistics of distribution in remote areas. The novelty of the vaccine and public mistrust could make its introduction difficult. Logistics, increased workload for health workers, and the complexity of managing appointments for the four required doses were also of concern.</w:t>
      </w:r>
      <w:r w:rsidRPr="00AF28B8">
        <w:rPr>
          <w:rFonts w:ascii="Calibri" w:hAnsi="Calibri" w:cs="Calibri"/>
          <w:b/>
          <w:bCs/>
          <w:color w:val="000000"/>
          <w:sz w:val="22"/>
          <w:szCs w:val="22"/>
        </w:rPr>
        <w:t> </w:t>
      </w:r>
      <w:r w:rsidRPr="00AF28B8">
        <w:rPr>
          <w:rFonts w:ascii="Calibri" w:hAnsi="Calibri" w:cs="Calibri"/>
          <w:color w:val="000000"/>
          <w:sz w:val="22"/>
          <w:szCs w:val="22"/>
        </w:rPr>
        <w:t>Most providers had not received official information and relied on rumors or information from social media. Although the acceptance of the malaria vaccine is high because Malaria is perceived as frequent and severe, especially among children under five, affecting almost all households and causing significant suffering, caregiver wanted to learn more on the proof of safety and effectiveness. Concerns include the number of doses, side effects, and the inclusion of adults in the vaccination.</w:t>
      </w:r>
    </w:p>
    <w:p w14:paraId="4603C2F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25-A-3777-ASTMH</w:t>
      </w:r>
    </w:p>
    <w:p w14:paraId="195C6B3C"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Epidemiology</w:t>
      </w:r>
    </w:p>
    <w:p w14:paraId="098A91ED"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Profil épidémiologique du paludisme chez les femmes enceintes dans le district sanitaire de Karangasso Vigue, région des Hauts Bassins , 2019-2024 au Burkina Faso</w:t>
      </w:r>
    </w:p>
    <w:p w14:paraId="240CDC4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Contexte :</w:t>
      </w:r>
      <w:r w:rsidRPr="00AF28B8">
        <w:rPr>
          <w:rFonts w:ascii="Calibri" w:hAnsi="Calibri" w:cs="Calibri"/>
          <w:color w:val="000000"/>
          <w:sz w:val="22"/>
          <w:szCs w:val="22"/>
        </w:rPr>
        <w:t> Au Burkina Faso, le paludisme est un problème de santé publique qui touche particulièrement les enfants de moins de cinq ans et les femmes enceintes. Malgré les différentes interventions du ministère de la Santé, le paludisme demeure une souffrance majeure chez les femmes enceintes, avec de nombreuses conséquences : avortements, retard de croissance intra-utérin, faible poids de naissance et décès néonatals. Les stratégies de lutte reposent sur le traitement préventif intermittent recommandé et l'utilisation de moustiquaires imprégnées d'insecticide. Nous avons lancé cette étude afin d'évaluer l'impact des interventions de lutte contre cette maladie dans le district sanitaire de Karangasso Vigué (KV). </w:t>
      </w:r>
      <w:r w:rsidRPr="00AF28B8">
        <w:rPr>
          <w:rFonts w:ascii="Calibri" w:hAnsi="Calibri" w:cs="Calibri"/>
          <w:b/>
          <w:bCs/>
          <w:color w:val="000000"/>
          <w:sz w:val="22"/>
          <w:szCs w:val="22"/>
        </w:rPr>
        <w:t>Méthodes :</w:t>
      </w:r>
      <w:r w:rsidRPr="00AF28B8">
        <w:rPr>
          <w:rFonts w:ascii="Calibri" w:hAnsi="Calibri" w:cs="Calibri"/>
          <w:color w:val="000000"/>
          <w:sz w:val="22"/>
          <w:szCs w:val="22"/>
        </w:rPr>
        <w:t> Une étude transversale descriptive a été réalisée sur les données de la plateforme paludisme ENDOS (DHIS 2) couvrant la période du 1er janvier 2019 au 31 août 2024. La population étudiée était constituée de tous les cas de paludisme chez les femmes enceintes du district sanitaire de KV. Une base de données Excel a été extraite, le nettoyage et l'analyse des données ont été effectués à l'aide d'Epi info7.2. Les mesures de fréquence (proportion, incidence) et de tendance centrale (moyenne) ont été calculées. </w:t>
      </w:r>
      <w:r w:rsidRPr="00AF28B8">
        <w:rPr>
          <w:rFonts w:ascii="Calibri" w:hAnsi="Calibri" w:cs="Calibri"/>
          <w:b/>
          <w:bCs/>
          <w:color w:val="000000"/>
          <w:sz w:val="22"/>
          <w:szCs w:val="22"/>
        </w:rPr>
        <w:t>Résultats :</w:t>
      </w:r>
      <w:r w:rsidRPr="00AF28B8">
        <w:rPr>
          <w:rFonts w:ascii="Calibri" w:hAnsi="Calibri" w:cs="Calibri"/>
          <w:color w:val="000000"/>
          <w:sz w:val="22"/>
          <w:szCs w:val="22"/>
        </w:rPr>
        <w:t> Au total, 22 947 cas de paludisme ont été enregistrés chez les femmes enceintes au cours de la période d'étude. Le paludisme chez les femmes enceintes est saisonnier de juin à novembre avec une photo significative en octobre. L'incidence la plus élevée a été enregistrée au centre de santé de Déguelin, en 2022 (30 cas pour 1 000 femmes en âge de procréer). La proportion de femmes enceintes ayant reçu la troisième dose de traitement préventif intermittent était inférieure à 80 %. Lorsque les interventions sont intensifiées, on observe une diminution significative de l'incidence du paludisme pendant la saison de haute transmission. </w:t>
      </w:r>
      <w:r w:rsidRPr="00AF28B8">
        <w:rPr>
          <w:rFonts w:ascii="Calibri" w:hAnsi="Calibri" w:cs="Calibri"/>
          <w:b/>
          <w:bCs/>
          <w:color w:val="000000"/>
          <w:sz w:val="22"/>
          <w:szCs w:val="22"/>
        </w:rPr>
        <w:t>Conclusions :</w:t>
      </w:r>
      <w:r w:rsidRPr="00AF28B8">
        <w:rPr>
          <w:rFonts w:ascii="Calibri" w:hAnsi="Calibri" w:cs="Calibri"/>
          <w:color w:val="000000"/>
          <w:sz w:val="22"/>
          <w:szCs w:val="22"/>
        </w:rPr>
        <w:t> L'analyse de la base de données a révélé une incidence élevée du paludisme chez les femmes enceintes pendant la période de forte transmission, malgré une bonne disponibilité du TPI et des MILD au cours des trois dernières années.</w:t>
      </w:r>
    </w:p>
    <w:p w14:paraId="1C6A9B6F"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25-A-3778-ASTMH</w:t>
      </w:r>
    </w:p>
    <w:p w14:paraId="40D9A16E"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7812C3F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Peer-reviewed publication output from patients seen at the Hospital for Tropical Diseases (HTD) (1997-2023)</w:t>
      </w:r>
    </w:p>
    <w:p w14:paraId="02F4ADC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Hospital for Tropical Diseases (HTD) is the UK’s leading centre for clinical tropical medicine and parasitology. Geographically incorporated into University College London Hospital campus in 1997, it includes an emergency walk-in, specialist tropical and parasitology and pre-travel clinics, supported by diagnostic laboratory services. Key roles include the training and dissemination of best practice, in part through the peer-reviewed publication of clinical material. A formal PubMed search was used to identify all relevant papers based on patients seen at HTD since 1997. Of 162 publications covering 22,925 clinical cases, the most common conditions or syndromes analysed were malaria, giardiasis, various helminths, eosinophilia, febrile returning traveller, and inpatient cohorts. Considering the impact of these research papers, the average citation count was over 20 per publication. Case reports, case series and retrospective cohort studies, alongside laboratory evaluations, were the commonest style, with few prospective cohort studies or randomised controlled trials. Evolving networked models of care to provide remote support to local hospitals presents a challenge to quality data collection. However, there are opportunities for more inclusive multicentre audit and research studies via MDT engagement, links with national reference laboratories and a networked community of practice.</w:t>
      </w:r>
    </w:p>
    <w:p w14:paraId="7FBA827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25-A-3779-ASTMH</w:t>
      </w:r>
    </w:p>
    <w:p w14:paraId="312C7976"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123C6715"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Estimating exported cases of mpox Clade Ib among international air travellers from the DRC and identifying countries highest at risk of mpox Clade Ib importation</w:t>
      </w:r>
    </w:p>
    <w:p w14:paraId="324B417C"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Since mid-2024, there has been an ongoing outbreak of mpox Clade Ib in central Africa, centered in the Democratic Republic of the Congo (DRC). As of March 2025, about 48 imported cases of mpox Clade Ib have been reported globally, with 9 linked to travel in central Africa or the DRC. Due to limited global surveillance and diagnostic challenges, many exported cases likely go undetected. Hence, we aimed to estimate the number of mpox Clade Ib cases exported from the DRC, and identify countries most at risk of importation of mpox Clade Ib via air travel from the DRC. To estimate the number of exported Clade Ib cases, we calculated the incidence rate of the outbreak in the DRC based on the reported outbreak size of 90,000 cases between August 1, 2024 to March 31, 2025 (243 days). We then applied this incidence rate to all outbound air travellers from the DRC during the same period. We calculated the person-time at risk for these travellers by leveraging previously established methods, using data from the United Nations World Tourism Organization. To assess which countries are most at risk of importation of mpox Clade Ib via air travel from the DRC, we ranked countries by their connectivity to the DRC and plotted against their Early Detection Score as a measure to assess capacity for early case detection, obtained from the Global Health Security Index. Our results suggested that the reported outbreak size is congruent with approximately 214 exported cases from the DRC between August 1, 2024 to March 31, 2025 - about 24 times higher than the number of cases detected internationally with a travel history from the DRC or central Africa. Countries that were found to have high connectivity to the DRC and low capacity for early detection and reporting include: United Arab Emirates, Ethiopia, Uganda, Congo, Tanzania, Angola, Zambia, Ivory Coast, Egypt, Morocco, Burundi, Cameroon, Gabon, and Azerbaijan. These findings suggest a need for enhanced surveillance in countries highly connected to the DRC, as well as additional resources in the DRC to control the outbreak. </w:t>
      </w:r>
    </w:p>
    <w:p w14:paraId="0C1BF603"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25-A-3780-ASTMH</w:t>
      </w:r>
    </w:p>
    <w:p w14:paraId="27B97AE7"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11ACB10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From Policy to Practice Tanzania’s Experience with the Rollout of Intermittent Preventive Treatment</w:t>
      </w:r>
    </w:p>
    <w:p w14:paraId="291053D4"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School-aged children (5–15 years) are increasingly vulnerable and contribute significantly to malaria transmission in moderate to high endemic areas. Following clinical trials and pilot implementation of the WHO-recommended intermittent preventive treatment for school-aged children (IPTsc), Tanzania adopted IPTsc as a policy. Here we share experiences and lessons learned from one year of IPTsc scale-up in five district councils (DCs). Based on malaria risk stratification from 2023, the National Malaria Control Programme (NMCP) selected priority councils. IPTsc was implemented using dihydroartemisinin-piperaquine (DP), per the 2020 treatment guidelines and IPTsc manual. All schoolchildren in selected areas were eligible, and teachers administered medication at schools. From September to December 2024, we began with Kibondo DC, where, out of 51,500 targeted children, 43,974 (85%) completed the dose. In December 2024, the intervention expanded to five DCs: Kibondo (48,670; 78% coverage), Handeni TC 83%, Handeni DC 75%, Kilindi 75% and Nyang’wale 82%. High acceptability and adherence were observed among children, parents, and teachers. However, improvements are needed in monitoring and evaluation, especially tracking malaria trends by age group. Current data systems do not disaggregate age, limiting impact assessment. The NMCP plans further rounds in May, August, and December 2025, based on seasonal patterns. Initial implementation shows IPTsc is feasible, with strong community support. Sustained implementation is needed for long-term impact</w:t>
      </w:r>
    </w:p>
    <w:p w14:paraId="726CB04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25-A-3781-ASTMH</w:t>
      </w:r>
    </w:p>
    <w:p w14:paraId="4EB3597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517C747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Geospatial analysis of </w:t>
      </w:r>
      <w:r w:rsidRPr="00AF28B8">
        <w:rPr>
          <w:rFonts w:ascii="Calibri" w:hAnsi="Calibri" w:cs="Calibri"/>
          <w:i/>
          <w:iCs/>
          <w:color w:val="000000"/>
          <w:sz w:val="22"/>
          <w:szCs w:val="22"/>
        </w:rPr>
        <w:t>Fasciola hepatica</w:t>
      </w:r>
      <w:r w:rsidRPr="00AF28B8">
        <w:rPr>
          <w:rFonts w:ascii="Calibri" w:hAnsi="Calibri" w:cs="Calibri"/>
          <w:color w:val="000000"/>
          <w:sz w:val="22"/>
          <w:szCs w:val="22"/>
        </w:rPr>
        <w:t> sheep and human infection in rural areas of the Northern and Southern Highlands of Peru</w:t>
      </w:r>
    </w:p>
    <w:p w14:paraId="2E8CB639"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Human and sheep fascioliasis are endemic in Peru. Fascioliasis severely affects the sheep industry. We aimed to determine risk factors for human and sheep fascioliasis in the Highlands of Peru. We performed a cross-sectional study on fascioliasis epidemiology in the Cusco and Cajamarca regions. Households were surveyed and human and sheep stool collected for microscopy. Households and sheep were geographically tagged. Stool was tested via Kato-Katz and rapid sedimentation for </w:t>
      </w:r>
      <w:r w:rsidRPr="00AF28B8">
        <w:rPr>
          <w:rFonts w:ascii="Calibri" w:hAnsi="Calibri" w:cs="Calibri"/>
          <w:i/>
          <w:iCs/>
          <w:color w:val="000000"/>
          <w:sz w:val="22"/>
          <w:szCs w:val="22"/>
        </w:rPr>
        <w:t>Fasciola </w:t>
      </w:r>
      <w:r w:rsidRPr="00AF28B8">
        <w:rPr>
          <w:rFonts w:ascii="Calibri" w:hAnsi="Calibri" w:cs="Calibri"/>
          <w:color w:val="000000"/>
          <w:sz w:val="22"/>
          <w:szCs w:val="22"/>
        </w:rPr>
        <w:t>or other helminths. Households were considered </w:t>
      </w:r>
      <w:r w:rsidRPr="00AF28B8">
        <w:rPr>
          <w:rFonts w:ascii="Calibri" w:hAnsi="Calibri" w:cs="Calibri"/>
          <w:i/>
          <w:iCs/>
          <w:color w:val="000000"/>
          <w:sz w:val="22"/>
          <w:szCs w:val="22"/>
        </w:rPr>
        <w:t>Fasciola </w:t>
      </w:r>
      <w:r w:rsidRPr="00AF28B8">
        <w:rPr>
          <w:rFonts w:ascii="Calibri" w:hAnsi="Calibri" w:cs="Calibri"/>
          <w:color w:val="000000"/>
          <w:sz w:val="22"/>
          <w:szCs w:val="22"/>
        </w:rPr>
        <w:t>positive if at least one member tested positive. We included 588 households and 3247 sheep. Forty-one percent of sheep were infected. Infected sheep were more likely to be at lower altitudes (p=0.001), had lower average wellness scores (p 0.001), and had prior treatment for fascioliasis (p &lt;0.001). Logistic regression showed the risk of infection was higher in older sheep (OR 1.24, 95%CI 1.1-1.4, p&lt;0.001), with longer time since last treatment (OR 1.04, 95% CI 1.03-1.05, p &lt; 0.001) and lower in those that received nitronixil (OR 0.21 95%CI 0.05-0.81, p 0.024), closantel (OR 0.20 95%CI 0.11-0.36, p&lt;0.001), or any other treatment (OR 0.02 95%CI 0.01-0.07, p &lt;0.001) compared to triclabendazole. In Cajamarca, hot spots for sheep and human infection were more likely to have lower poverty score (OR 0.91, 95%CI 0.86-0.97, p 0.004), older sheep (OR 1.56, 95%CI 1.18-2.06, p 0.002), and be at higher altitudes (OR 0.99, - 95%Ci 0.99-0.99, p 0.013) compared to those in hot spots for sheep infection but not for human infection. In Cusco, hot spots for sheep and human infection were more likely with younger age (OR 0.97, 95%CI 0.96-0.99, p 0.008), higher residence altitude (OR 1.01, 95%CI 1.01-1.02, p &lt; 0.001), lower poverty score (OR 0.89, 95%CI 0.85-0.93, p &lt; 0.001), older sheep (OR 1.20, 95%CI 1.07-1.36, p 0.003), and higher animal wellness score (OR 2.03, 95%CI 1.56-2.65, p &lt; 0.001). Sheep infection influences human infection differently by location. The interplay between livestock, location, and human infection requires further scrutiny and may shed light on fascioliasis transmission in the Highlands of Peru.</w:t>
      </w:r>
    </w:p>
    <w:p w14:paraId="67377D0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25-A-3782-ASTMH</w:t>
      </w:r>
    </w:p>
    <w:p w14:paraId="56C3501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1DE4CCE4"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Towards a low cost, cold chain-independent and needle-free seasonal booster for sustaining malaria immunity</w:t>
      </w:r>
    </w:p>
    <w:p w14:paraId="6D94F954"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First-generation malaria vaccines RTS,S/AS01 and R21/Matrix-M contain a chemically adjuvanted antigen derived from the malaria circumsporozoite protein displayed on the surface of a virus like </w:t>
      </w:r>
      <w:r w:rsidRPr="00AF28B8">
        <w:rPr>
          <w:rFonts w:ascii="Calibri" w:hAnsi="Calibri" w:cs="Calibri"/>
          <w:color w:val="000000"/>
          <w:sz w:val="22"/>
          <w:szCs w:val="22"/>
        </w:rPr>
        <w:lastRenderedPageBreak/>
        <w:t>particle (VLP) assembled by a recombinant hepatitis B capsid antigen. These vaccines have significantly advanced malaria control efforts but come with substantial logistical challenges. Notably immune protection declines within months of vaccination so that yearly boosting may be required for durable protection. This would require distribution with cold chain protection to remote locations, as well as administration by trained medical personnel. A low-cost, scalable, and cold-chain independent mucosal (i.e. needle-free) vaccine developed by Lumen Bioscience may be able to address these challenges. We previously reported that a hepatitis B VLP displaying the NANP repeat from the circumsporozoite protein can be expressed in Lumen’s spirulina-based biomanufacturing platform, elicit durable systemic IgG responses when delivered intranasally or orally in mice, and provide protection in a murine malaria challenge model. We have now shown that oral or intranasal administration of Lumen’s unadjuvanted malaria vaccine can elicit the same high-titer, systemic IgG response in mice when used to boost responses induced by a low dose of attenuated sporozoites administered IM or SubQ. Our goal is to create a thermostable, needle-free booster compatible with current malaria vaccine schedules or natural exposure, providing a cost-effective and logistically practical solution to sustaining immunity during high-transmission seasons. Current efforts focus on developing GMP material and initiating first-in-human clinical trials. Supportive preclinical data will be presented to demonstrate the feasibility and immunological potential of this approach for seasonal deployment in malaria-endemic regions.</w:t>
      </w:r>
    </w:p>
    <w:p w14:paraId="072DF5B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25-A-3783-ASTMH</w:t>
      </w:r>
    </w:p>
    <w:p w14:paraId="0937499E"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290FDC5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Knowledge, Attitudes and Perceptions on the Role of Water, Sanitation and Hygiene (WASH) in Schistosomiasis Prevention Among Caregivers in Endemic Districts in Ghana</w:t>
      </w:r>
    </w:p>
    <w:p w14:paraId="60858478"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Access to Water Sanitation and Hygiene (WASH) facilities is a major public health problem in healthcare facilities and communities especially developing countries including Ghana. Poor WASH infrastructure increases the risk of occurrence of several infectious diseases like schistosomiasis. Schistosomiasis has negative consequences on both children and adult development, pregnancy outcomes, increased transmission of HIV, bladder cancer, anemia, infertility, other morbidities and mortalities. The study aimed to explore knowledge, attitudes and perception of the role of WASH in the prevention and eradication of schistosomiasis in these districts. An explorative qualitative study using semi-structured focus group discussion interviews was conducted among caregivers comprising of 25 community level Focus Group Discussions (FGDs) with 10-12 caregivers in each group and thematically analyzed using a qualitative data analysis software; Atlas Ti. version 8.4.2. The findings of the study revealed that most caregivers had limited knowledge about schistosomiasis. Only a few had an idea of the symptoms of a person with schistosomiasis and the causes of schistosomiasis. Also, caregivers understanding of the role water, sanitation and hygiene plays in schistosomiasis prevention is limited. In addition, there were varied attitudes of caregivers to undertake preventive measure; practice of preventing oneself and household from contracting schistosomiasis; challenges of WASH in the community and treatment options for schistosomiasis which were not appropriate for schistosomiasis prevention. Findings from the study established that caregiver’s knowledge and perceptions on the understanding of the role water, sanitation and hygiene plays in schistosomiasis prevention were limited. This implies the need for policy interventions to enhance health education and social behavior change communications among caregivers and the populace for sustained prevention of schistosomiasis while also recommending further longitudinal studies.</w:t>
      </w:r>
    </w:p>
    <w:p w14:paraId="7D37E1A2"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25-A-3784-ASTMH</w:t>
      </w:r>
    </w:p>
    <w:p w14:paraId="63D7EF3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6E0142C8"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Lasting impact of Inclusion: What if Participatory co-creation approaches hold the key to long-term Stigma Reduction and Empowerment of people living with Hansen's disease?</w:t>
      </w:r>
    </w:p>
    <w:p w14:paraId="416BF42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Zero Stigma and Discrimination towards Leprosy (Hansen’s disease, HD) requires empowering solutions that address HD-related internalized stigma. In July 2023, adults living with HD undertook a 10-day co-</w:t>
      </w:r>
      <w:r w:rsidRPr="00AF28B8">
        <w:rPr>
          <w:rFonts w:ascii="Calibri" w:hAnsi="Calibri" w:cs="Calibri"/>
          <w:color w:val="000000"/>
          <w:sz w:val="22"/>
          <w:szCs w:val="22"/>
        </w:rPr>
        <w:lastRenderedPageBreak/>
        <w:t>creation workshop (guided by the research team as facilitators) using the six steps of quality intervention development (6SQuID). The co-developed health education contents were piloted in a community-based anti-stigma intervention project in Nigeria. Using mixed methods, we assessed the effect of the participatory approach on participants’ knowledge, self-esteem and internalized stigma measured periodically at baseline, 6 and 12-months post-intervention. Questionnaires were a knowledge measure, and culturally validated Rosenberg Self-Esteem Scale (RSES) and Leprosy-adapted Internalized Stigma of Mental Illness Scale (L-ISMI). Repeated measures Analysis of Variance was used for within-group and between group analyses (p&lt;0.05). 18 of 20 participants completed all three assessments. Mean age 46.1 ± 14.1years, 10(56.6%) females, 13(72.7%) had multibacillary leprosy and 11(61.1%) with Grade 1 or 2 disability. There was a slight increase in knowledge score post-intervention though not statistically significant: mean (±SD) correct HD knowledge score (range 0-9) was 8.11 ± 1.23 at baseline, 8.44 ± 0.92 at midterm and 8.39 ± 0.70 at end term (p = 0.39). However, the RSES mean (±SD) score (range 0-30) was 17.78 ± 5.96, 20.94 ± 5.15 and 24.39 ± 2.73 (p &lt;0.001) at baseline, midterm and end-term respectively. Conversely, the L-ISMI scale mean (±SD) score (range 29-116) was consecutively 68.29 ± 17.14, 59.83 ± 13.85, and 43.56 ± 9.63 (p &lt;0.001) at the 3 timepoints respectively. Qualitative exploration substantiated evidence of empowerment and change in self-perception as several participants now advocate and speak up about HD in their communities. We recommend meaningful application of participatory approaches as a sustainable lens for involvement of people living with HD. Its empowering effect shows long-term reduction of internalized stigma and improved self-esteem.</w:t>
      </w:r>
    </w:p>
    <w:p w14:paraId="6581916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25-A-3787-ASTMH</w:t>
      </w:r>
    </w:p>
    <w:p w14:paraId="36B3AFC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Vaccine Clinical Trials</w:t>
      </w:r>
    </w:p>
    <w:p w14:paraId="266A2D5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Efficacy of the live attenuated tetravalent dengue vaccine TV003 or previous Zika infection against Zika challenge</w:t>
      </w:r>
    </w:p>
    <w:p w14:paraId="525A6594"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TV003 is a live attenuated tetravalent DENV vaccine that has completed Phase 3 clinical trial in Brazil. DENV are known to induce cross-reactive antibodies to ZIKV. We developed two ZIKV controlled human infection models to evaluate ZIKV vaccines and therapeutics. We used our ZIKV CHIM to evaluate the efficacy of TV003 against ZIKV and to evaluate the durability of ZIKV protection in those previously exposed to ZIKV.</w:t>
      </w:r>
      <w:r w:rsidRPr="00AF28B8">
        <w:rPr>
          <w:rFonts w:ascii="Calibri" w:hAnsi="Calibri" w:cs="Calibri"/>
          <w:color w:val="000000"/>
          <w:sz w:val="22"/>
          <w:szCs w:val="22"/>
        </w:rPr>
        <w:br/>
      </w:r>
      <w:r w:rsidRPr="00AF28B8">
        <w:rPr>
          <w:rFonts w:ascii="Calibri" w:hAnsi="Calibri" w:cs="Calibri"/>
          <w:b/>
          <w:bCs/>
          <w:color w:val="000000"/>
          <w:sz w:val="22"/>
          <w:szCs w:val="22"/>
        </w:rPr>
        <w:t>Methods:</w:t>
      </w:r>
      <w:r w:rsidRPr="00AF28B8">
        <w:rPr>
          <w:rFonts w:ascii="Calibri" w:hAnsi="Calibri" w:cs="Calibri"/>
          <w:color w:val="000000"/>
          <w:sz w:val="22"/>
          <w:szCs w:val="22"/>
        </w:rPr>
        <w:t> An open label Phase 1 clinical trial was conducted in normal healthy volunteers recruited from Baltimore. Sixteen volunteers were assigned to receive either TV003 (12) or placebo (4) in a blinded manner. An additional 10 volunteers were recruited from our previous ZIKV CHIM study (9) or from volunteers who were seropositive only to ZIKV (1). Six months after TV003 vaccination, volunteers were challenged with 100 PFU of ZIKV. Separately, 10 volunteers who had previously been exposed to ZIKV were challenged with ZIKV. Following ZIKV challenge, blood, semen, CVS, and urine specimens were collected and tested for ZIKV by plaque assay and RT-PCR.</w:t>
      </w:r>
      <w:r w:rsidRPr="00AF28B8">
        <w:rPr>
          <w:rFonts w:ascii="Calibri" w:hAnsi="Calibri" w:cs="Calibri"/>
          <w:color w:val="000000"/>
          <w:sz w:val="22"/>
          <w:szCs w:val="22"/>
        </w:rPr>
        <w:br/>
      </w:r>
      <w:r w:rsidRPr="00AF28B8">
        <w:rPr>
          <w:rFonts w:ascii="Calibri" w:hAnsi="Calibri" w:cs="Calibri"/>
          <w:b/>
          <w:bCs/>
          <w:color w:val="000000"/>
          <w:sz w:val="22"/>
          <w:szCs w:val="22"/>
        </w:rPr>
        <w:t>Results: </w:t>
      </w:r>
      <w:r w:rsidRPr="00AF28B8">
        <w:rPr>
          <w:rFonts w:ascii="Calibri" w:hAnsi="Calibri" w:cs="Calibri"/>
          <w:color w:val="000000"/>
          <w:sz w:val="22"/>
          <w:szCs w:val="22"/>
        </w:rPr>
        <w:t>26 volunteers were enrolled (12 TV003 recipients, 4 placebo recipients, and 10 previously ZIKV-infected participants. Ten TV003 recipients were challenged with ZIKV 6 months after TV003 and 10 ZIKV-experienced volunteers were challenged with ZIKV ≥ 1 year post ZIKV infection. One or more infectivity controls (placebo recipients) were included with each challenge to confirm potency of the challenge. Nine of 9 previously ZIKV-challenged individuals did not have ZIKV virus detected in any bodily fluid by culture or PCR. The volunteer enrolled based on ZIKV seropositivity had ZIKV recovered in blood and semen at levels similar to infectivity controls. Results of ZIKV challenge of TV003 vaccinated individuals are being analyzed and will be available for the meeting.</w:t>
      </w:r>
      <w:r w:rsidRPr="00AF28B8">
        <w:rPr>
          <w:rFonts w:ascii="Calibri" w:hAnsi="Calibri" w:cs="Calibri"/>
          <w:color w:val="000000"/>
          <w:sz w:val="22"/>
          <w:szCs w:val="22"/>
        </w:rPr>
        <w:br/>
      </w:r>
      <w:r w:rsidRPr="00AF28B8">
        <w:rPr>
          <w:rFonts w:ascii="Calibri" w:hAnsi="Calibri" w:cs="Calibri"/>
          <w:b/>
          <w:bCs/>
          <w:color w:val="000000"/>
          <w:sz w:val="22"/>
          <w:szCs w:val="22"/>
        </w:rPr>
        <w:t>Conclusions: </w:t>
      </w:r>
      <w:r w:rsidRPr="00AF28B8">
        <w:rPr>
          <w:rFonts w:ascii="Calibri" w:hAnsi="Calibri" w:cs="Calibri"/>
          <w:color w:val="000000"/>
          <w:sz w:val="22"/>
          <w:szCs w:val="22"/>
        </w:rPr>
        <w:t>Previous ZIKV infection imparted complete protection against ZIKV challenge 9/10 volunteers. One volunteer who was enrolled based on ZIKV seropositivity was not protected against ZIKV challenge. The efficacy of TV003 against ZIKV challenge at 6 months will also be presented.</w:t>
      </w:r>
    </w:p>
    <w:p w14:paraId="70F7CC1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25-A-3788-ASTMH</w:t>
      </w:r>
    </w:p>
    <w:p w14:paraId="6D5D425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2DC7794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Prophylactic or therapeutic neutralizing monoclonal antibody treatment prevents lethal yellow fever infection</w:t>
      </w:r>
    </w:p>
    <w:p w14:paraId="58852329"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Although a vaccine against yellow fever virus (YFV) exists, a lack of coverage in endemic areas coupled with contraindications and vaccine hesitancy result in a reported 200,000 annual cases. With no clinically approved antiviral treatments, YFV infection is fatal in approximately 15% of cases. We have previously shown that YFV-specific neutralizing monoclonal antibody (nmAb) administration at 50 mg/kg two days post-infection (dpi) prevents severe disease and death in YFV-infected rhesus macaques (RMs). To increase the clinical applicability of one of these nmAb, we explored the efficacy of administering it at a lower dose either prophylactically, or therapeutically at 3.5 dpi. Twelve RMs were infected with pathogenic YFV-DakH1279 (10</w:t>
      </w:r>
      <w:r w:rsidRPr="00AF28B8">
        <w:rPr>
          <w:rFonts w:ascii="Calibri" w:hAnsi="Calibri" w:cs="Calibri"/>
          <w:color w:val="000000"/>
          <w:sz w:val="22"/>
          <w:szCs w:val="22"/>
          <w:vertAlign w:val="superscript"/>
        </w:rPr>
        <w:t>3</w:t>
      </w:r>
      <w:r w:rsidRPr="00AF28B8">
        <w:rPr>
          <w:rFonts w:ascii="Calibri" w:hAnsi="Calibri" w:cs="Calibri"/>
          <w:color w:val="000000"/>
          <w:sz w:val="22"/>
          <w:szCs w:val="22"/>
        </w:rPr>
        <w:t> TCID</w:t>
      </w:r>
      <w:r w:rsidRPr="00AF28B8">
        <w:rPr>
          <w:rFonts w:ascii="Calibri" w:hAnsi="Calibri" w:cs="Calibri"/>
          <w:color w:val="000000"/>
          <w:sz w:val="22"/>
          <w:szCs w:val="22"/>
          <w:vertAlign w:val="subscript"/>
        </w:rPr>
        <w:t>50</w:t>
      </w:r>
      <w:r w:rsidRPr="00AF28B8">
        <w:rPr>
          <w:rFonts w:ascii="Calibri" w:hAnsi="Calibri" w:cs="Calibri"/>
          <w:color w:val="000000"/>
          <w:sz w:val="22"/>
          <w:szCs w:val="22"/>
        </w:rPr>
        <w:t>). Four RMs (prophylactic group) received 10 mg/kg nmAb at −10 dpi, four RMs (therapeutic group) received 10 mg/kg nmAb at 3.5 dpi, and four RMs (untreated group) did not receive nmAb. Alanine transaminase (ALT), serum viral loads (sVL), and clinical evaluations were measured daily. All RMs in the prophylactic group exhibited normal ALTs (&lt;100 IU/L), undetectable sVL, and survived through 21 dpi. Three of four RMs in the therapeutic group survived through 21 dpi. Two RMs had undetectable sVL and normal ALTs (&lt;100 IU/L). One RM had sVL that peaked at 3 dpi (1.2×10</w:t>
      </w:r>
      <w:r w:rsidRPr="00AF28B8">
        <w:rPr>
          <w:rFonts w:ascii="Calibri" w:hAnsi="Calibri" w:cs="Calibri"/>
          <w:color w:val="000000"/>
          <w:sz w:val="22"/>
          <w:szCs w:val="22"/>
          <w:vertAlign w:val="superscript"/>
        </w:rPr>
        <w:t>6</w:t>
      </w:r>
      <w:r w:rsidRPr="00AF28B8">
        <w:rPr>
          <w:rFonts w:ascii="Calibri" w:hAnsi="Calibri" w:cs="Calibri"/>
          <w:color w:val="000000"/>
          <w:sz w:val="22"/>
          <w:szCs w:val="22"/>
        </w:rPr>
        <w:t> YFV RNA copies/mL) but fell below the limit of quantification by 21 dpi, and an ALT peak at 5 dpi (107 IU/L) that declined to baseline by 21 dpi. The last RM in the therapeutic group required euthanasia at 6 dpi due to high sVL (2.5×10</w:t>
      </w:r>
      <w:r w:rsidRPr="00AF28B8">
        <w:rPr>
          <w:rFonts w:ascii="Calibri" w:hAnsi="Calibri" w:cs="Calibri"/>
          <w:color w:val="000000"/>
          <w:sz w:val="22"/>
          <w:szCs w:val="22"/>
          <w:vertAlign w:val="superscript"/>
        </w:rPr>
        <w:t>8</w:t>
      </w:r>
      <w:r w:rsidRPr="00AF28B8">
        <w:rPr>
          <w:rFonts w:ascii="Calibri" w:hAnsi="Calibri" w:cs="Calibri"/>
          <w:color w:val="000000"/>
          <w:sz w:val="22"/>
          <w:szCs w:val="22"/>
        </w:rPr>
        <w:t> YFV RNA copies/mL) and high ALT (486 IU/L) indicative of viscerotropic disease. All four RMs in the untreated group had high sVL (&gt;6×10</w:t>
      </w:r>
      <w:r w:rsidRPr="00AF28B8">
        <w:rPr>
          <w:rFonts w:ascii="Calibri" w:hAnsi="Calibri" w:cs="Calibri"/>
          <w:color w:val="000000"/>
          <w:sz w:val="22"/>
          <w:szCs w:val="22"/>
          <w:vertAlign w:val="superscript"/>
        </w:rPr>
        <w:t>9</w:t>
      </w:r>
      <w:r w:rsidRPr="00AF28B8">
        <w:rPr>
          <w:rFonts w:ascii="Calibri" w:hAnsi="Calibri" w:cs="Calibri"/>
          <w:color w:val="000000"/>
          <w:sz w:val="22"/>
          <w:szCs w:val="22"/>
        </w:rPr>
        <w:t> YFV RNA copies/mL), elevated ALTs, and required humane euthanasia by 7 dpi after meeting clinical endpoints of severe YFV disease. A comprehensive analysis of 167 inflammatory cytokines and chemokines showed a downregulation of 125 of these markers which was associated with survival from severe YFV disease in nmAb treated RMs. This study demonstrates the utility of this YFV nmAb as both a prophylactic and therapeutic and provides critical information that will help direct clinical use.</w:t>
      </w:r>
    </w:p>
    <w:p w14:paraId="06A2D1D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25-A-3789-ASTMH</w:t>
      </w:r>
    </w:p>
    <w:p w14:paraId="2F58AE7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782A267B"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Evaluation of an AI-powered, label-free malaria diagnostic platform in a private-public partnership during an outbreak in Rwanda</w:t>
      </w:r>
    </w:p>
    <w:p w14:paraId="04132450"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We present a study of diagnostic accuracy using Remoscope - a label-free, AI-powered imaging cytometer - amidst a 2024/2025 seasonal urban malaria outbreak in Kigali, Rwanda. Suspected malaria-positive blood samples were collected from 537 walk-in volunteers at a private health clinic and two local public health centers. Samples were processed on Remoscope, thick smear microscopy, Rapid Diagnostic Tests (RDTs), and quantitative PCR (qPCR) for comparison of diagnostic results. Remoscope inspects the morphology of up to two million red blood cells from undiluted whole blood to quantify stage-specific parasitemia in 12 minutes, without sample fixation, staining, or slide scanning. Cost-effectiveness, ease of use, and patient turn-around time were evaluated for Remoscope in the context of an evolving outbreak, where early detection of cases is critical for public health measures. We further characterized samples from two patients by Next Generation Sequencing (NGS) of the whole </w:t>
      </w:r>
      <w:r w:rsidRPr="00AF28B8">
        <w:rPr>
          <w:rFonts w:ascii="Calibri" w:hAnsi="Calibri" w:cs="Calibri"/>
          <w:i/>
          <w:iCs/>
          <w:color w:val="000000"/>
          <w:sz w:val="22"/>
          <w:szCs w:val="22"/>
        </w:rPr>
        <w:t>P. falciparum</w:t>
      </w:r>
      <w:r w:rsidRPr="00AF28B8">
        <w:rPr>
          <w:rFonts w:ascii="Calibri" w:hAnsi="Calibri" w:cs="Calibri"/>
          <w:color w:val="000000"/>
          <w:sz w:val="22"/>
          <w:szCs w:val="22"/>
        </w:rPr>
        <w:t> genome in order to screen for potential drug resistance markers, identify the strain, and infer the epidemic’s transmission origin.</w:t>
      </w:r>
    </w:p>
    <w:p w14:paraId="6D64CCA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25-A-3790-ASTMH</w:t>
      </w:r>
    </w:p>
    <w:p w14:paraId="4F0B25D6"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79B76B9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Logistics Preparedness: Ensuring Timely Commodity Availability for Large-Scale ITN and SMC Integrated Malaria Campaigns</w:t>
      </w:r>
    </w:p>
    <w:p w14:paraId="0CA677F0"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As part of ongoing malaria reduction efforts to maximize efficiency and optimize resource allocation through integrated public health interventions, the 2025 integrated insecticide-treated nets (ITNs) and seasonal malaria chemoprevention (SMC) campaigns in six Global Fund-supported states present both </w:t>
      </w:r>
      <w:r w:rsidRPr="00AF28B8">
        <w:rPr>
          <w:rFonts w:ascii="Calibri" w:hAnsi="Calibri" w:cs="Calibri"/>
          <w:color w:val="000000"/>
          <w:sz w:val="22"/>
          <w:szCs w:val="22"/>
        </w:rPr>
        <w:lastRenderedPageBreak/>
        <w:t>significant opportunities and logistical challenges. With an average of 3.8 million TNs required per state and strict rainfall pattern timelines tied to SMC implementation cycles, robust supply chain preparedness is essential to ensure timely availability of commodities for successful campaign implementation. Strategic logistics planning and execution were implemented to support the large-scale delivery of ITNs and Sulfadoxine Pyrimethamine and Amodiaquine (SPAQ) for SMC to each of the states ahead of the integrated campaigns. This paper emphasizes the following major activities implemented to ensure successful availability of ITNs with potential risk of commodity disruption compared to SPAQ. Early placement of orders and delivery planning for 26.9 million ITNs was done factoring in the average lead time of one year to meet program implementation timelines. Early warehouse assessments were conducted at the sub-national level to confirm capacity and adequacy ahead of shipment arrival. Regular biweekly coordination meetings were held among key supply chain stakeholders to plan and monitor end-to-end shipments, and to proactively address delivery bottlenecks. Multi-stakeholder coordination played a critical role in ensuring the timely availability and delivery of the ITNs, considering the large volume, where early alignment on procurement timelines, clearance processes, storage readiness, and delivery to the states was critical. These strategies ensured commodity availability in integrated malaria campaigns that could be replicated in future integrated health interventions. Strengthening logistics preparedness for integrated malaria campaigns in Nigeria remains a cornerstone of achieving universal health coverage while ensuring commodity availability for malaria elimination.</w:t>
      </w:r>
    </w:p>
    <w:p w14:paraId="6953F924"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25-A-3791-ASTMH</w:t>
      </w:r>
    </w:p>
    <w:p w14:paraId="5589DACE"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249BECED"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Diarrhea burden in older adults in Cameroon, a case-control study using low-cost specimen preservation</w:t>
      </w:r>
    </w:p>
    <w:p w14:paraId="0CDCFCA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Cost-effective, sustainable sample preservation methods are crucial for improving cholera surveillance and determining true burden of disease. We conducted a prospective case control study in the Far North and the Littoral Region of Cameroon to compare whole stool to filter paper preserved specimens for rates of pathogen attribution, stability, and adjustment factors using customized TaqMan Array Cards (TAC). We recruited patients by age group (&lt;5, 5-14, 15-49, 50-69, &gt;70) having &gt;3 loose stools within the previous 24 hours starting within 3 days of presenting to the health facility. Age and sex-matched controls seeking care for a reason other than diarrhea, and reporting no diarrhea within the previous 2 weeks, were enrolled within the same month. Participants provided a stool sample and responded to study questionnaires. Stool was stored at -80C and spotted on Whatman 903 filter paper cards stored at room temperature. A total of 3,051 persons have been enrolled to date, of whom 2,623 met enrollment criteria. A minimum of 173 case-control age-matched pairs were analyzed by TAC per age group among the two study sites. We were able to utilize filter paper to demonstrate the difference in both qualitative and quantitative detection of select pathogens by age group. Additionally, we compared whole stool to filter paper TAC analyses to determine where adjustment factors may be needed. Findings showed the stability of the stool specimens preserved on filter paper for a period of up to 2 years from specimen collection, as compared to the whole stool stored at -80C. We demonstrated that stool specimens spotted on filter paper facilitate diarrheal surveillance among older populations, including the limited-studied population of persons older than 70 years of age. We assessed cut-offs for attribution of vaccine preventable pathogens such as shigella, rotavirus, and ETEC, in populations greater than 5 years of age, which have not been previously determined in a 1:1 case-control study in Africa. The application of this low-cost method has the potential to inform vaccination strategies to prevent disease and transmission in ages greater than 5 years.</w:t>
      </w:r>
    </w:p>
    <w:p w14:paraId="14D4F06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25-A-3792-ASTMH</w:t>
      </w:r>
    </w:p>
    <w:p w14:paraId="48185F1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Intestinal Nematodes</w:t>
      </w:r>
    </w:p>
    <w:p w14:paraId="6A03BE01"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Prevalence and Distribution of Intestinal Parasites in Rabbits from Selected Communities in the Ashanti Region, Ghana</w:t>
      </w:r>
    </w:p>
    <w:p w14:paraId="2C9D1A5C"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Rabbits are among the most commonly used laboratory animals in biological research worldwide. However, they are highly susceptible to various intestinal parasites, which can compromise their health and productivity. This study aimed to investigate the prevalence of intestinal parasites in rabbits across selected communities in the Ashanti Region of Ghana. A total of 309 faecal samples were collected from rabbits in different locations within the region and examined using standard parasitological methods, specifically the flotation technique. The findings revealed that 86.7% of the rabbits were infected with at least one type of intestinal parasite. The most prevalent parasites identified were </w:t>
      </w:r>
      <w:r w:rsidRPr="00AF28B8">
        <w:rPr>
          <w:rFonts w:ascii="Calibri" w:hAnsi="Calibri" w:cs="Calibri"/>
          <w:i/>
          <w:iCs/>
          <w:color w:val="000000"/>
          <w:sz w:val="22"/>
          <w:szCs w:val="22"/>
        </w:rPr>
        <w:t>Eimeria</w:t>
      </w:r>
      <w:r w:rsidRPr="00AF28B8">
        <w:rPr>
          <w:rFonts w:ascii="Calibri" w:hAnsi="Calibri" w:cs="Calibri"/>
          <w:color w:val="000000"/>
          <w:sz w:val="22"/>
          <w:szCs w:val="22"/>
        </w:rPr>
        <w:t> spp. (36.9%), followed by </w:t>
      </w:r>
      <w:r w:rsidRPr="00AF28B8">
        <w:rPr>
          <w:rFonts w:ascii="Calibri" w:hAnsi="Calibri" w:cs="Calibri"/>
          <w:i/>
          <w:iCs/>
          <w:color w:val="000000"/>
          <w:sz w:val="22"/>
          <w:szCs w:val="22"/>
        </w:rPr>
        <w:t>Passalurus</w:t>
      </w:r>
      <w:r w:rsidRPr="00AF28B8">
        <w:rPr>
          <w:rFonts w:ascii="Calibri" w:hAnsi="Calibri" w:cs="Calibri"/>
          <w:color w:val="000000"/>
          <w:sz w:val="22"/>
          <w:szCs w:val="22"/>
        </w:rPr>
        <w:t> spp. (33%), </w:t>
      </w:r>
      <w:r w:rsidRPr="00AF28B8">
        <w:rPr>
          <w:rFonts w:ascii="Calibri" w:hAnsi="Calibri" w:cs="Calibri"/>
          <w:i/>
          <w:iCs/>
          <w:color w:val="000000"/>
          <w:sz w:val="22"/>
          <w:szCs w:val="22"/>
        </w:rPr>
        <w:t>Isospora</w:t>
      </w:r>
      <w:r w:rsidRPr="00AF28B8">
        <w:rPr>
          <w:rFonts w:ascii="Calibri" w:hAnsi="Calibri" w:cs="Calibri"/>
          <w:color w:val="000000"/>
          <w:sz w:val="22"/>
          <w:szCs w:val="22"/>
        </w:rPr>
        <w:t> spp. (30.4%), and </w:t>
      </w:r>
      <w:r w:rsidRPr="00AF28B8">
        <w:rPr>
          <w:rFonts w:ascii="Calibri" w:hAnsi="Calibri" w:cs="Calibri"/>
          <w:i/>
          <w:iCs/>
          <w:color w:val="000000"/>
          <w:sz w:val="22"/>
          <w:szCs w:val="22"/>
        </w:rPr>
        <w:t>Trichostrongylus</w:t>
      </w:r>
      <w:r w:rsidRPr="00AF28B8">
        <w:rPr>
          <w:rFonts w:ascii="Calibri" w:hAnsi="Calibri" w:cs="Calibri"/>
          <w:color w:val="000000"/>
          <w:sz w:val="22"/>
          <w:szCs w:val="22"/>
        </w:rPr>
        <w:t> spp. (1.6%). The prevalence of infection varied significantly by location and age group. Nsuta recorded the highest infection rate at 40.3%, followed by Kumawu (20.2%), while Ejisu had the lowest prevalence at 5.2%. Male rabbits had a higher rate of infection (46.0%) compared to females (40.7%). Age also influenced infection rates, with rabbits under 1 year old recording the highest prevalence (33.5%), followed by 1-year-old rabbits (28.5%), and rabbits over 1 year old showing the lowest prevalence (24.7%). Mixed infections were observed in several samples. These findings underscore the need for regular monitoring, timely treatment, and improved management practices to control intestinal parasitic infections in rabbits. Routine faecal analysis, particularly in large-scale rabbitries, is recommended to monitor parasite loads and prevent potential outbreaks.</w:t>
      </w:r>
    </w:p>
    <w:p w14:paraId="220907C7"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25-A-3793-ASTMH</w:t>
      </w:r>
    </w:p>
    <w:p w14:paraId="4F7C144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66234128"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Latent tuberculosis infections amongst healthcare workers and close contacts of tuberculosis patients in Sri Lanka</w:t>
      </w:r>
    </w:p>
    <w:p w14:paraId="71879968"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Tuberculosis (TB) is considered a deadly infectious disease with ~8000 cases reported annually in Sri Lanka, despite the availability of a national preventive programme and early diagnostic procedures. According to WHO, pulmonary tuberculosis (TB) is the second leading infectious disease in Sri Lanka, caused by </w:t>
      </w:r>
      <w:r w:rsidRPr="00AF28B8">
        <w:rPr>
          <w:rFonts w:ascii="Calibri" w:hAnsi="Calibri" w:cs="Calibri"/>
          <w:i/>
          <w:iCs/>
          <w:color w:val="000000"/>
          <w:sz w:val="22"/>
          <w:szCs w:val="22"/>
        </w:rPr>
        <w:t>Mycobacterium tuberculosis</w:t>
      </w:r>
      <w:r w:rsidRPr="00AF28B8">
        <w:rPr>
          <w:rFonts w:ascii="Calibri" w:hAnsi="Calibri" w:cs="Calibri"/>
          <w:color w:val="000000"/>
          <w:sz w:val="22"/>
          <w:szCs w:val="22"/>
        </w:rPr>
        <w:t>. Latent tuberculosis infection (LTBI) is the dormant asymptomatic state of the disease, with an ongoing immune response towards the infection. Thus, understanding the Latent TB infection prevalence in the hospital environment and patient exposure is clinically important in early diagnosis and for targeted therapeutic approaches leading to the control of TB. The primary aim of this study is to evaluate the number of LTBI cases among health care workers (HCW) and close contacts of active TB patients/ household contacts (HHC) in Sri Lanka. After consent blood was obtained from individuals (n=393) exposed to TB patients from 4 hospitals and tested by TB interferon-gamma release assay (IGRA). Additional data on comorbidities (Hypertension, Diabetes, Dyslipidemia etc.), BMI (Bio-metric Index), lifestyle habits such as smoking &amp; alcohol consumption were collected. These data were analyzed and processed using Pearson correlation Analysis via “R” version 4.4.1. In the combined cohort of HCWs and HHCs, 18.3% of individuals tested IGRA-positive (indicative of latent TB infection). Notably, IGRA positivity was substantially higher among HHCs (30.4%) compared to HCWs (16.7%). This indicating that household contacts of TB patients had roughly double the rate of latent TB infection as HCWs, highlighting a greater burden in the HHC group. In correlation to other variables considered for preliminary analysis, the strongest positive correlation with IGRA positivity was observed for alcohol use (r ≈ 0.08) and smoking (r ≈ 0.04). This is the first such study to screen for LTBI using IGRA testing in Sri Lanka. It provides valuable insight, on the number of exposed individuals who may harbor the bacteria or have been exposed but able to avoid symptomatic disease, for the elimination of TB in Sri Lanka.</w:t>
      </w:r>
    </w:p>
    <w:p w14:paraId="7A1530F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25-A-3794-ASTMH</w:t>
      </w:r>
    </w:p>
    <w:p w14:paraId="1A04CCF3"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45374FEF"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Optimizing boil extraction and qPCR for Vibrio cholerae detection in stool: from lab validation to field application</w:t>
      </w:r>
    </w:p>
    <w:p w14:paraId="76024C80"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Rapid, sensitive, and cost-effective diagnostic tools are critical to enhance cholera surveillance in low-resource settings where Vibrio cholerae remains a public health threat. Post-COVID, molecular </w:t>
      </w:r>
      <w:r w:rsidRPr="00AF28B8">
        <w:rPr>
          <w:rFonts w:ascii="Calibri" w:hAnsi="Calibri" w:cs="Calibri"/>
          <w:color w:val="000000"/>
          <w:sz w:val="22"/>
          <w:szCs w:val="22"/>
        </w:rPr>
        <w:lastRenderedPageBreak/>
        <w:t>equipment and expertise are widely prevalent. Quantitative polymerase chain reaction (qPCR) offers excellent sensitivity when targeting V. cholerae, although field utilization is limited. This study evaluated DNA extraction methods paired with qPCR assays for V. cholerae detection. The qPCR evaluation had multiple goals: to compare the sensitivity of boil extraction to column extraction; to determine the sensitivity of the reference standard assay; to compare the efficacy of the reference standard assay with other in-house and commercial kits, including Bioperfectus; to evaluate the specificity of each assay with a panel of Vibrio species, cholera strains, and other pathogens of similar presentation; to validate the efficacy of the assays using specimens from different storage conditions; to perform a field evaluation of each extraction technique and assay using cholera samples from Cameroon. Findings show that using column-based extraction as the reference, cycle threshold (Ct) values of boil extraction (p=0.004) and filter paper specimen extraction (p&lt;0.001) were statistically significantly lower. Therefore, non-column extractions may offer improved limit of detection (LoD). In the PCR evaluations, two in-house assays were compared to the Bioperfectus commercial kit. We found competitive LoD among all qPCR assays tested, using both column-based extraction (10</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-10</w:t>
      </w:r>
      <w:r w:rsidRPr="00AF28B8">
        <w:rPr>
          <w:rFonts w:ascii="Calibri" w:hAnsi="Calibri" w:cs="Calibri"/>
          <w:color w:val="000000"/>
          <w:sz w:val="22"/>
          <w:szCs w:val="22"/>
          <w:vertAlign w:val="superscript"/>
        </w:rPr>
        <w:t>5</w:t>
      </w:r>
      <w:r w:rsidRPr="00AF28B8">
        <w:rPr>
          <w:rFonts w:ascii="Calibri" w:hAnsi="Calibri" w:cs="Calibri"/>
          <w:color w:val="000000"/>
          <w:sz w:val="22"/>
          <w:szCs w:val="22"/>
        </w:rPr>
        <w:t>) and boil extraction methods (10</w:t>
      </w:r>
      <w:r w:rsidRPr="00AF28B8">
        <w:rPr>
          <w:rFonts w:ascii="Calibri" w:hAnsi="Calibri" w:cs="Calibri"/>
          <w:color w:val="000000"/>
          <w:sz w:val="22"/>
          <w:szCs w:val="22"/>
          <w:vertAlign w:val="superscript"/>
        </w:rPr>
        <w:t>4</w:t>
      </w:r>
      <w:r w:rsidRPr="00AF28B8">
        <w:rPr>
          <w:rFonts w:ascii="Calibri" w:hAnsi="Calibri" w:cs="Calibri"/>
          <w:color w:val="000000"/>
          <w:sz w:val="22"/>
          <w:szCs w:val="22"/>
        </w:rPr>
        <w:t>). The lowest LoD were observed when using filter paper boil extracted samples (&lt;10</w:t>
      </w:r>
      <w:r w:rsidRPr="00AF28B8">
        <w:rPr>
          <w:rFonts w:ascii="Calibri" w:hAnsi="Calibri" w:cs="Calibri"/>
          <w:color w:val="000000"/>
          <w:sz w:val="22"/>
          <w:szCs w:val="22"/>
          <w:vertAlign w:val="superscript"/>
        </w:rPr>
        <w:t>1</w:t>
      </w:r>
      <w:r w:rsidRPr="00AF28B8">
        <w:rPr>
          <w:rFonts w:ascii="Calibri" w:hAnsi="Calibri" w:cs="Calibri"/>
          <w:color w:val="000000"/>
          <w:sz w:val="22"/>
          <w:szCs w:val="22"/>
        </w:rPr>
        <w:t>). We found a lower LoD using the in-house assay compared to the commercial kit. However, the commercial kit was the easiest to use with the shortest assay time. Conventional PCR performed comparably to qPCR assays and was the cheapest molecular assay. All assays demonstrated 100% specificity. These results have strong implications for how low-resource settings can effectively utilize molecular methods for cholera diagnosis and surveillance.</w:t>
      </w:r>
    </w:p>
    <w:p w14:paraId="513DD20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25-A-3795-ASTMH</w:t>
      </w:r>
    </w:p>
    <w:p w14:paraId="4BAFE077"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3543015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Genomic and Epidemiological Characterization of DENV and CHIKV in Minas Gerais, Brazil, 2024</w:t>
      </w:r>
    </w:p>
    <w:p w14:paraId="6697EEE0"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Arboviruses pose a major public health concern due to their epidemic potential and burden on health systems. In 2024, Brazil reported nearly 7 million probable cases, with Minas Gerais (MG) among the most affected states. This study presents an epidemiological analysis of arbovirus cases in MG, focusing on Dengue virus (DENV) and Chikungunya virus (CHIKV). In collaboration with the municipality of Belo Horizonte (PBH) and Hospital Eduardo de Menezes (HEM), 5,051 blood samples (553 from HEM and 3,932 from PBH) collected between February–May 2024 were analyzed at the René Rachou Institute (CAAE: 79060024.8.0000.5091). RT-qPCR was used to detect DENV, CHIKV, Zika virus (ZIKV), Oropouche virus (OROV), and Mayaro virus (MAYV). DENV IgM/IgG serology was performed on the HEM cohort. Among PBH samples, 2,070 (52.6%) tested positive for DENV, 1,866 were serotyped, 464 (11.8%) were CHIKV-positive, and none tested positive for ZIKV, MAYV, or OROV. Of the 553 HEM samples, 256 were positive for DENV1, 34 for DENV2, 9 for DENV1/2, 2 for DENV3, and 258 were negative. Among 300 DENV+ samples, 271 were IgM+ and 278 IgG+; among 252 DENV– samples, 154 were IgM+ and 232 IgG+. High IgM levels were likely due to sample timing. CHIKV was detected in 5 HEM samples, with one co-detection with DENV2. All PBH samples underwent sequencing using the Illumina MiSeq platform. Phylogenetic analysis showed that 98.2% of DENV1 sequences were genotype V, lineage E; DENV2 samples (50%) were genotype II (Cosmopolitan F.1.1.2); DENV3 was genotype III_B3. All 66 CHIKV sequences belonged to the ECSA genotype. The results highlight the cocirculation of arboviruses in Belo Horizonte and reinforce the importance of integrated genomic and epidemiological surveillance in guiding public health responses. Ongoing studies include antibody kinetics and comparisons between hospitalized and non-hospitalized patients.</w:t>
      </w:r>
    </w:p>
    <w:p w14:paraId="6DB3FA03"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25-A-3796-ASTMH</w:t>
      </w:r>
    </w:p>
    <w:p w14:paraId="2C8B41D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7569E5F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Integrating fine scale molecular epidemiology and surveillance of West Nile virus to identify drivers of transmission in New York State</w:t>
      </w:r>
    </w:p>
    <w:p w14:paraId="7AA72CA8"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West Nile virus (WNV) is the most prevalent arbovirus in the U.S. and is primarily transmitted by </w:t>
      </w:r>
      <w:r w:rsidRPr="00AF28B8">
        <w:rPr>
          <w:rFonts w:ascii="Calibri" w:hAnsi="Calibri" w:cs="Calibri"/>
          <w:i/>
          <w:iCs/>
          <w:color w:val="000000"/>
          <w:sz w:val="22"/>
          <w:szCs w:val="22"/>
        </w:rPr>
        <w:t>Culex</w:t>
      </w:r>
      <w:r w:rsidRPr="00AF28B8">
        <w:rPr>
          <w:rFonts w:ascii="Calibri" w:hAnsi="Calibri" w:cs="Calibri"/>
          <w:color w:val="000000"/>
          <w:sz w:val="22"/>
          <w:szCs w:val="22"/>
        </w:rPr>
        <w:t> mosquitoes. This study was designed to assess the genomic landscape of WNV and determine the utility of large-scale genomic surveillance using six years of surveillance samples from distinct geographic locations throughout New York State (NYS). Both increasing prevalence in mosquitoes and increasing human cases have been recorded in NYS since 2018. Full-genome, deep-sequencing was performed on Illumina MiSeq or NextSeq platforms with WNV amplicons generated directly from 10-15 positive mosquito pools/year from 2018-2023. In 2024, the highest historic prevalence of WNV in NYS </w:t>
      </w:r>
      <w:r w:rsidRPr="00AF28B8">
        <w:rPr>
          <w:rFonts w:ascii="Calibri" w:hAnsi="Calibri" w:cs="Calibri"/>
          <w:i/>
          <w:iCs/>
          <w:color w:val="000000"/>
          <w:sz w:val="22"/>
          <w:szCs w:val="22"/>
        </w:rPr>
        <w:t>Culex</w:t>
      </w:r>
      <w:r w:rsidRPr="00AF28B8">
        <w:rPr>
          <w:rFonts w:ascii="Calibri" w:hAnsi="Calibri" w:cs="Calibri"/>
          <w:color w:val="000000"/>
          <w:sz w:val="22"/>
          <w:szCs w:val="22"/>
        </w:rPr>
        <w:t> mosquito pools was measured since the 1999 emergence, with ~1 positive/100 mosquitoes. To determine if this increase was associated with emergence of unique genotypes and provide an unprecedented assessment of intra-season temporal and geographic diversity, we sequenced 85 WNV positives from throughout the 2024 transmission season from nine NYS counties. Sequences from all years were then compiled and analyzed to assess genetic diversity, novel mutations, selective pressures, and geographic structure. We additionally utilized GeoSeeq, an integrative platform incorporating a novel bioinformatics pipeline, environmental factors, and surveillance data to investigate drivers of WNV evolution and transmission. Initial analysis demonstrates geographic mixing and similar diversity within and between seasons, with a mean pairwise divergence of 1.3%. Despite this, 3 distinct clades were circulating in 2024, up from 2 in 2019-2023. The previously identified NY10 and NY07 genotypes remain dominant, although the G4088A NY10 mutation was lost in a cluster of 2022-24 pools. A total of 10 codons demonstrated evidence of positive selection, including 8 novel substitutions in the NS4 protein. These findings, informed by our fine scale molecular dataset, demonstrate that continued WNV diversification and favorable environmental trends likely contribute to increased WNV transmission in NYS.</w:t>
      </w:r>
    </w:p>
    <w:p w14:paraId="7A692EA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25-A-3797-ASTMH</w:t>
      </w:r>
    </w:p>
    <w:p w14:paraId="302EAB3C"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Physiology and Immunity</w:t>
      </w:r>
    </w:p>
    <w:p w14:paraId="096BE10F"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i/>
          <w:iCs/>
          <w:color w:val="000000"/>
          <w:sz w:val="22"/>
          <w:szCs w:val="22"/>
        </w:rPr>
        <w:t>Anopheles</w:t>
      </w:r>
      <w:r w:rsidRPr="00AF28B8">
        <w:rPr>
          <w:rFonts w:ascii="Calibri" w:hAnsi="Calibri" w:cs="Calibri"/>
          <w:color w:val="000000"/>
          <w:sz w:val="22"/>
          <w:szCs w:val="22"/>
        </w:rPr>
        <w:t> mosquitoes exposed to long-acting antimalarials via drug-spiked bloodmeal absorb drug but do not suffer fitness cost</w:t>
      </w:r>
    </w:p>
    <w:p w14:paraId="0AA5C223"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Millions of people regularly take long-acting antimalarials for prophylaxis and mass treatment, leaving many people with antimalarials in their blood for extended time. Both infected and uninfected mosquitoes re-feed often (up to ≥4 bloodmeals per lifespan), providing many opportunities to ingest antimalarials when feeding on people taking these drugs. Whether antimalarials impact the vector and/or parasites developing within them is unknown. To address this, we investigated physiologic level exposure to long-acting human antimalarials in the </w:t>
      </w:r>
      <w:r w:rsidRPr="00AF28B8">
        <w:rPr>
          <w:rFonts w:ascii="Calibri" w:hAnsi="Calibri" w:cs="Calibri"/>
          <w:i/>
          <w:iCs/>
          <w:color w:val="000000"/>
          <w:sz w:val="22"/>
          <w:szCs w:val="22"/>
        </w:rPr>
        <w:t>Anopheles</w:t>
      </w:r>
      <w:r w:rsidRPr="00AF28B8">
        <w:rPr>
          <w:rFonts w:ascii="Calibri" w:hAnsi="Calibri" w:cs="Calibri"/>
          <w:color w:val="000000"/>
          <w:sz w:val="22"/>
          <w:szCs w:val="22"/>
        </w:rPr>
        <w:t> vector via drug-spiked bloodmeals. We did not observe any significant differences in feeding rates, flying behavior, fertility (eggs laid and percent laying), or viability (up to 14d) after ingestion of amodiaquine (or its metabolite desethylamodiaquine (DEAQ)), piperaquine, and sulfadoxine-pyrimethamine in lab </w:t>
      </w:r>
      <w:r w:rsidRPr="00AF28B8">
        <w:rPr>
          <w:rFonts w:ascii="Calibri" w:hAnsi="Calibri" w:cs="Calibri"/>
          <w:i/>
          <w:iCs/>
          <w:color w:val="000000"/>
          <w:sz w:val="22"/>
          <w:szCs w:val="22"/>
        </w:rPr>
        <w:t>An. gambiae</w:t>
      </w:r>
      <w:r w:rsidRPr="00AF28B8">
        <w:rPr>
          <w:rFonts w:ascii="Calibri" w:hAnsi="Calibri" w:cs="Calibri"/>
          <w:color w:val="000000"/>
          <w:sz w:val="22"/>
          <w:szCs w:val="22"/>
        </w:rPr>
        <w:t> or field </w:t>
      </w:r>
      <w:r w:rsidRPr="00AF28B8">
        <w:rPr>
          <w:rFonts w:ascii="Calibri" w:hAnsi="Calibri" w:cs="Calibri"/>
          <w:i/>
          <w:iCs/>
          <w:color w:val="000000"/>
          <w:sz w:val="22"/>
          <w:szCs w:val="22"/>
        </w:rPr>
        <w:t>An. coluzzii</w:t>
      </w:r>
      <w:r w:rsidRPr="00AF28B8">
        <w:rPr>
          <w:rFonts w:ascii="Calibri" w:hAnsi="Calibri" w:cs="Calibri"/>
          <w:color w:val="000000"/>
          <w:sz w:val="22"/>
          <w:szCs w:val="22"/>
        </w:rPr>
        <w:t> mosquitoes (n=50 per condition; performed in triplicate). Interrogating drug distribution within mosquitoes utilizing LC-MS/MS, DEAQ was fed at 2 concentrations (half and twice reported plasma Cmax), with drug detected in pooled (n=5, in triplicate) whole mosquitoes as well as isolated midguts and hemolymph circulatory fluid. Between 2 experiments, drug was detected in a dose-dependent manner in all compartments. This was significant for whole mosquitoes harvested at 24hrs (mean 6.7 vs 42.4 ng/ml, p&lt;0.0001) and 120hrs (5.7 vs 37.7 ng/ml, p&lt;0.0001), and midguts harvested at 24hrs (mean 3.2 vs 33.2 ng/ml, p&lt;0.0001). Dose dependent detection trends also existed for midguts at 120hrs (mean 0.7 vs 4.4 ng/ml), and hemolymph at 24hrs (mean 0 vs 0.5 ng/ml) and 120hrs (mean 0.2 vs 0.9 ng/ml) (though not significant). Between 24 to 120 hrs, drug decreased in midguts but increased in hemolymph (trends present for both fed concentrations) - further evidence of lasting absorption beyond midgut epithelium. Our results show biochemical evidence of antimalarial absorption into </w:t>
      </w:r>
      <w:r w:rsidRPr="00AF28B8">
        <w:rPr>
          <w:rFonts w:ascii="Calibri" w:hAnsi="Calibri" w:cs="Calibri"/>
          <w:i/>
          <w:iCs/>
          <w:color w:val="000000"/>
          <w:sz w:val="22"/>
          <w:szCs w:val="22"/>
        </w:rPr>
        <w:t>Anopheles</w:t>
      </w:r>
      <w:r w:rsidRPr="00AF28B8">
        <w:rPr>
          <w:rFonts w:ascii="Calibri" w:hAnsi="Calibri" w:cs="Calibri"/>
          <w:color w:val="000000"/>
          <w:sz w:val="22"/>
          <w:szCs w:val="22"/>
        </w:rPr>
        <w:t> hemolymph following bloodmeal ingestion. Future work will assess antimalarial impact on infected mosquitoes, which could in turn influence drug resistance spread.</w:t>
      </w:r>
    </w:p>
    <w:p w14:paraId="1415695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25-A-3798-ASTMH</w:t>
      </w:r>
    </w:p>
    <w:p w14:paraId="14772A64"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3AA1F48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Characterization of the enzymatic activities of cultured human fecal bacteria and their anti-</w:t>
      </w:r>
      <w:r w:rsidRPr="00AF28B8">
        <w:rPr>
          <w:rFonts w:ascii="Calibri" w:hAnsi="Calibri" w:cs="Calibri"/>
          <w:b/>
          <w:bCs/>
          <w:i/>
          <w:iCs/>
          <w:color w:val="000000"/>
          <w:sz w:val="22"/>
          <w:szCs w:val="22"/>
        </w:rPr>
        <w:t>Blastocystis</w:t>
      </w:r>
      <w:r w:rsidRPr="00AF28B8">
        <w:rPr>
          <w:rFonts w:ascii="Calibri" w:hAnsi="Calibri" w:cs="Calibri"/>
          <w:b/>
          <w:bCs/>
          <w:color w:val="000000"/>
          <w:sz w:val="22"/>
          <w:szCs w:val="22"/>
        </w:rPr>
        <w:t> effects</w:t>
      </w:r>
    </w:p>
    <w:p w14:paraId="722DB8D9"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intestine is considered a habitat for both bacteria and parasites. In this study, we have isolated fecal bacteria and </w:t>
      </w:r>
      <w:r w:rsidRPr="00AF28B8">
        <w:rPr>
          <w:rFonts w:ascii="Calibri" w:hAnsi="Calibri" w:cs="Calibri"/>
          <w:i/>
          <w:iCs/>
          <w:color w:val="000000"/>
          <w:sz w:val="22"/>
          <w:szCs w:val="22"/>
        </w:rPr>
        <w:t>Blastocystis</w:t>
      </w:r>
      <w:r w:rsidRPr="00AF28B8">
        <w:rPr>
          <w:rFonts w:ascii="Calibri" w:hAnsi="Calibri" w:cs="Calibri"/>
          <w:color w:val="000000"/>
          <w:sz w:val="22"/>
          <w:szCs w:val="22"/>
        </w:rPr>
        <w:t> protozoa from the stool of individuals with gastrointestinal conditions. A specific protease was extracted and characterized from a cultured fecal strain of </w:t>
      </w:r>
      <w:r w:rsidRPr="00AF28B8">
        <w:rPr>
          <w:rFonts w:ascii="Calibri" w:hAnsi="Calibri" w:cs="Calibri"/>
          <w:i/>
          <w:iCs/>
          <w:color w:val="000000"/>
          <w:sz w:val="22"/>
          <w:szCs w:val="22"/>
        </w:rPr>
        <w:t>Pseudomonas aeruginosa</w:t>
      </w:r>
      <w:r w:rsidRPr="00AF28B8">
        <w:rPr>
          <w:rFonts w:ascii="Calibri" w:hAnsi="Calibri" w:cs="Calibri"/>
          <w:color w:val="000000"/>
          <w:sz w:val="22"/>
          <w:szCs w:val="22"/>
        </w:rPr>
        <w:t> and studied for its effects on cultured fecal </w:t>
      </w:r>
      <w:r w:rsidRPr="00AF28B8">
        <w:rPr>
          <w:rFonts w:ascii="Calibri" w:hAnsi="Calibri" w:cs="Calibri"/>
          <w:i/>
          <w:iCs/>
          <w:color w:val="000000"/>
          <w:sz w:val="22"/>
          <w:szCs w:val="22"/>
        </w:rPr>
        <w:t>Blastocystis</w:t>
      </w:r>
      <w:r w:rsidRPr="00AF28B8">
        <w:rPr>
          <w:rFonts w:ascii="Calibri" w:hAnsi="Calibri" w:cs="Calibri"/>
          <w:color w:val="000000"/>
          <w:sz w:val="22"/>
          <w:szCs w:val="22"/>
        </w:rPr>
        <w:t>. The selected strain was isolated from one hundred and forty-six samples of patients with gastrointestinal conditions subjected to protease activity. It exhibited maximal protease productivity at pH 8.0 (30.21 U/ml), 35 °C (60.56 U/ml), after 48 h of incubation. Enzymatic activity was repressed by Zn</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and Hg</w:t>
      </w:r>
      <w:r w:rsidRPr="00AF28B8">
        <w:rPr>
          <w:rFonts w:ascii="Calibri" w:hAnsi="Calibri" w:cs="Calibri"/>
          <w:color w:val="000000"/>
          <w:sz w:val="22"/>
          <w:szCs w:val="22"/>
          <w:vertAlign w:val="superscript"/>
        </w:rPr>
        <w:t>2+</w:t>
      </w:r>
      <w:r w:rsidRPr="00AF28B8">
        <w:rPr>
          <w:rFonts w:ascii="Calibri" w:hAnsi="Calibri" w:cs="Calibri"/>
          <w:color w:val="000000"/>
          <w:sz w:val="22"/>
          <w:szCs w:val="22"/>
        </w:rPr>
        <w:t> ions and was greatly stimulated by Fe</w:t>
      </w:r>
      <w:r w:rsidRPr="00AF28B8">
        <w:rPr>
          <w:rFonts w:ascii="Calibri" w:hAnsi="Calibri" w:cs="Calibri"/>
          <w:color w:val="000000"/>
          <w:sz w:val="22"/>
          <w:szCs w:val="22"/>
          <w:vertAlign w:val="superscript"/>
        </w:rPr>
        <w:t>3+</w:t>
      </w:r>
      <w:r w:rsidRPr="00AF28B8">
        <w:rPr>
          <w:rFonts w:ascii="Calibri" w:hAnsi="Calibri" w:cs="Calibri"/>
          <w:color w:val="000000"/>
          <w:sz w:val="22"/>
          <w:szCs w:val="22"/>
        </w:rPr>
        <w:t> ions. Additionally, it was inhibited by PMSF, TLCK, aprotinin, benzamidine, and SBTI, which suggests that it belongs to the serine protease family. It showed thermostability at 60°C with a half-life time (</w:t>
      </w:r>
      <w:r w:rsidRPr="00AF28B8">
        <w:rPr>
          <w:rFonts w:ascii="Calibri" w:hAnsi="Calibri" w:cs="Calibri"/>
          <w:i/>
          <w:iCs/>
          <w:color w:val="000000"/>
          <w:sz w:val="22"/>
          <w:szCs w:val="22"/>
        </w:rPr>
        <w:t>T</w:t>
      </w:r>
      <w:r w:rsidRPr="00AF28B8">
        <w:rPr>
          <w:rFonts w:ascii="Calibri" w:hAnsi="Calibri" w:cs="Calibri"/>
          <w:color w:val="000000"/>
          <w:sz w:val="22"/>
          <w:szCs w:val="22"/>
          <w:vertAlign w:val="subscript"/>
        </w:rPr>
        <w:t>1/2</w:t>
      </w:r>
      <w:r w:rsidRPr="00AF28B8">
        <w:rPr>
          <w:rFonts w:ascii="Calibri" w:hAnsi="Calibri" w:cs="Calibri"/>
          <w:color w:val="000000"/>
          <w:sz w:val="22"/>
          <w:szCs w:val="22"/>
        </w:rPr>
        <w:t>) of 200.04 min and showed pH stability at 5.0-9.5. Interestingly, the enzyme showed a biological control activity against the </w:t>
      </w:r>
      <w:r w:rsidRPr="00AF28B8">
        <w:rPr>
          <w:rFonts w:ascii="Calibri" w:hAnsi="Calibri" w:cs="Calibri"/>
          <w:i/>
          <w:iCs/>
          <w:color w:val="000000"/>
          <w:sz w:val="22"/>
          <w:szCs w:val="22"/>
        </w:rPr>
        <w:t>Blastocystis </w:t>
      </w:r>
      <w:r w:rsidRPr="00AF28B8">
        <w:rPr>
          <w:rFonts w:ascii="Calibri" w:hAnsi="Calibri" w:cs="Calibri"/>
          <w:color w:val="000000"/>
          <w:sz w:val="22"/>
          <w:szCs w:val="22"/>
        </w:rPr>
        <w:t>parasite. SEM analysis showed that most </w:t>
      </w:r>
      <w:r w:rsidRPr="00AF28B8">
        <w:rPr>
          <w:rFonts w:ascii="Calibri" w:hAnsi="Calibri" w:cs="Calibri"/>
          <w:i/>
          <w:iCs/>
          <w:color w:val="000000"/>
          <w:sz w:val="22"/>
          <w:szCs w:val="22"/>
        </w:rPr>
        <w:t>Blastocystis </w:t>
      </w:r>
      <w:r w:rsidRPr="00AF28B8">
        <w:rPr>
          <w:rFonts w:ascii="Calibri" w:hAnsi="Calibri" w:cs="Calibri"/>
          <w:color w:val="000000"/>
          <w:sz w:val="22"/>
          <w:szCs w:val="22"/>
        </w:rPr>
        <w:t>cells lost their integrity, suffered damage, and underwent perforation after 4 h of anaerobic incubation. This finding suggests that this protease may be a promising anti-</w:t>
      </w:r>
      <w:r w:rsidRPr="00AF28B8">
        <w:rPr>
          <w:rFonts w:ascii="Calibri" w:hAnsi="Calibri" w:cs="Calibri"/>
          <w:i/>
          <w:iCs/>
          <w:color w:val="000000"/>
          <w:sz w:val="22"/>
          <w:szCs w:val="22"/>
        </w:rPr>
        <w:t>Blastocystis</w:t>
      </w:r>
      <w:r w:rsidRPr="00AF28B8">
        <w:rPr>
          <w:rFonts w:ascii="Calibri" w:hAnsi="Calibri" w:cs="Calibri"/>
          <w:color w:val="000000"/>
          <w:sz w:val="22"/>
          <w:szCs w:val="22"/>
        </w:rPr>
        <w:t> natural alternative.</w:t>
      </w:r>
    </w:p>
    <w:p w14:paraId="5F1961A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25-A-3799-ASTMH</w:t>
      </w:r>
    </w:p>
    <w:p w14:paraId="6BC52BF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0635C30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pre-severe dengue: a comparative analysis of moderate disease in children and adult</w:t>
      </w:r>
    </w:p>
    <w:p w14:paraId="5787EB3D"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recent dengue epidemics, pediatric cases have been incremented as well as proportion with DWWS, but severe cases remain difficult to identify early. WHO classification could be complemented with results evidence-based and expert consensus to optimize clinical care. We hypothesize there is a clinical significant difference in severe dengue cases proportion meeting moderate dengue (MD) criteria compared with proportion observed of DWWS cases, and this is similar by age group. The aim is to describe laboratory confirmed dengue cases meeting criteria for MD definition based on WHO-warning signs and feasible criteria of Tomashek et al. as a proxy for pre-severe forms, also comparing it between children and adults. In a primary care center in Bucaramanga-Colombia, we are retraining physicians in PAHO-WHO evidence-based guidelines. Having their clinical description as input, we have been reviewing in prospective concurrent way medical records of 1830 cases who consulted at the emergency room during 2 epidemic periods (Dec2018 to Feb2020 and the ongoing outbreak from May2023). Preliminary results until July 2024, 62% were &lt;15 years old and 51% were male. Total cases were classified into DNWS (n=884, 67%&lt;15y, 33%&gt;15y) DWWS (n=928, 57%&lt;15y, 43%&gt;15y) and SD (n=18, 56%&lt;15y, 44%&gt;15y). 18% met at least 1 of the following criteria for MD: platelet count &lt;50x103/mm3 (n=167, 35%&lt;15y, 65%&gt;15y), absolute hematocrit &gt;50% (n=72, 21%&lt;15y, 79%&gt;15y), hematocrit change from baseline &gt;15% (n=79, 67%&lt;15y, 33%&gt;15y), fluid accumulation (pleural effusion or ascites on clinical exam or radiology) (n=30, 57%&lt;15y, 43%&gt;15y), AST/ALT &gt;400 IU/L (n=65, 37%&lt;15y, 63%&gt;15y), bleeding requiring intervention (n=6, 50%&lt;15y, 50%&gt;15y). In MD group gradient effect was observed by care service: inpatients (n=123/630, 20%) and referred to higher care level (n=124/270, 51%). 83% of 18 severe cases met at least 1 MD criteria. Recently, the number of severe adult cases is increasing and we will finish the hypothesis evaluation in the middle of 2025. Using specific criteria could support clinical practice to identify and to prevent severe forms, regardless of the age of the patients.</w:t>
      </w:r>
    </w:p>
    <w:p w14:paraId="14585B2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25-A-3801-ASTMH</w:t>
      </w:r>
    </w:p>
    <w:p w14:paraId="1CACBDE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29FE3A9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Mpox Seroprevalence in South Kivu, Democratic Republic of the Congo: A Comparative Description of Urban Pre-Outbreak and Rural Outbreak Settings</w:t>
      </w:r>
    </w:p>
    <w:p w14:paraId="191B3789"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Since the WHO declared mpox a PHEIC on August 14, 2024, the virus has spread across all 26 provinces of the DR Congo. This study assesses mpox seroprevalence in South Kivu, comparing pre-outbreak urban </w:t>
      </w:r>
      <w:r w:rsidRPr="00AF28B8">
        <w:rPr>
          <w:rFonts w:ascii="Calibri" w:hAnsi="Calibri" w:cs="Calibri"/>
          <w:color w:val="000000"/>
          <w:sz w:val="22"/>
          <w:szCs w:val="22"/>
        </w:rPr>
        <w:lastRenderedPageBreak/>
        <w:t>data with rural data collected during the outbreak. The pre-outbreak serosurvey was conducted in urban setting from April 7 to May 28, 2023, and the rural serosurvey from July 3 to August 27, 2024. For the urban serosurvey, we included pregnant women, voluntary blood donors, and livestock breeders who consented to participate. For the rural serosurvey, we included households of livestock breeders’ villagers. In addition to sociodemographic and epidemiological data, we also collected blood samples on protein-saver cards. We performed serological analysis using Luminex® to detect IgG antibodies against three peptides of mpox virus (B21R179/180, B21R180/186, B22R64/65). Quantile normalization was applied to adjust for potential laboratory-related variability. Of the 1,427 participants of the first serosurvey, complete data were available for 1,265. In the second serosurvey, 981 out of 986 participants had complete data. Considering the positivity to at least one antigen, the seroprevalence was 17,2% (217/1265) for the first serosurvey, and 27,5% (270/981) for the second. The difference in seropositivity was not significant for age, sex, sharing a house with animals, history of fever, and skin rash in the last six months for both first and second serosurveys. However, seropositivity was significantly higher in livestock breeders, and in participants who reported eating animals’ dead from unknown causes for the first serosurvey, respectively 73,7% (160/217), 77,9% (169/217), p&lt; 0.0001. We performed a homogeneity test to compare both urban and rural seroprevalences, and reported a p&lt;0.0001, showing a significant difference in compared populations geographic locations, with higher seroprevalence in the rural outbreak setting. These findings reveal a seroprevalence gap between urban pre-outbreak and rural outbreak settings, underscoring the dynamic of mpox transmission. Pre-outbreak data further support mpox endemicity in DRC.</w:t>
      </w:r>
    </w:p>
    <w:p w14:paraId="442E337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25-A-3802-ASTMH</w:t>
      </w:r>
    </w:p>
    <w:p w14:paraId="3B79855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3FFD5962" w14:textId="68A83AAC"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Comparison of Preservation and Isolation Techniques for Vibrio cholerae Whole Genome Sequencing</w:t>
      </w:r>
    </w:p>
    <w:p w14:paraId="755AEB53"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Cholera is responsible for 20,851 new cases and 374 new deaths in 2025, with outbreaks disproportionately affecting areas lacking laboratory infrastructure. Whole genome sequencing (WGS) offers a powerful tool for outbreak surveillance and antimicrobial resistance tracking. Current approaches rely on cultured isolates and require cold chain logistics, both often infeasible in outbreak-prone settings. Culture-independent and temperature-stable sample preservation techniques may provide alternatives, but their performance for WGS has not been systematically evaluated. We performed WGS on matched </w:t>
      </w:r>
      <w:r w:rsidRPr="00AF28B8">
        <w:rPr>
          <w:rFonts w:ascii="Calibri" w:hAnsi="Calibri" w:cs="Calibri"/>
          <w:i/>
          <w:iCs/>
          <w:color w:val="000000"/>
          <w:sz w:val="22"/>
          <w:szCs w:val="22"/>
        </w:rPr>
        <w:t>Vibrio cholerae</w:t>
      </w:r>
      <w:r w:rsidRPr="00AF28B8">
        <w:rPr>
          <w:rFonts w:ascii="Calibri" w:hAnsi="Calibri" w:cs="Calibri"/>
          <w:color w:val="000000"/>
          <w:sz w:val="22"/>
          <w:szCs w:val="22"/>
        </w:rPr>
        <w:t>-positive samples collected through filter paper spotting, direct stool, rectal swabs, APW-enriched samples, and wicks from rapid diagnostic tests (RDT) compared to the gold-standard of cultured isolates. We optimized DNA extraction and sequencing library preparation for each method and assessed their performance for sensitivity (presence of </w:t>
      </w:r>
      <w:r w:rsidRPr="00AF28B8">
        <w:rPr>
          <w:rFonts w:ascii="Calibri" w:hAnsi="Calibri" w:cs="Calibri"/>
          <w:i/>
          <w:iCs/>
          <w:color w:val="000000"/>
          <w:sz w:val="22"/>
          <w:szCs w:val="22"/>
        </w:rPr>
        <w:t>V. cholerae</w:t>
      </w:r>
      <w:r w:rsidRPr="00AF28B8">
        <w:rPr>
          <w:rFonts w:ascii="Calibri" w:hAnsi="Calibri" w:cs="Calibri"/>
          <w:color w:val="000000"/>
          <w:sz w:val="22"/>
          <w:szCs w:val="22"/>
        </w:rPr>
        <w:t> reads), analytical specificity (percentage of reads mapping to the reference genome), and genome completeness (coverage, depth, and assembly metrics). SNP distance, accessory genome recovery, and intrahost diversity were compared to the standard. Cost per sample was estimated by accounting for culturing, extraction, library prep, and sequencing requirements. Several techniques yielded sufficient </w:t>
      </w:r>
      <w:r w:rsidRPr="00AF28B8">
        <w:rPr>
          <w:rFonts w:ascii="Calibri" w:hAnsi="Calibri" w:cs="Calibri"/>
          <w:i/>
          <w:iCs/>
          <w:color w:val="000000"/>
          <w:sz w:val="22"/>
          <w:szCs w:val="22"/>
        </w:rPr>
        <w:t>V. cholerae</w:t>
      </w:r>
      <w:r w:rsidRPr="00AF28B8">
        <w:rPr>
          <w:rFonts w:ascii="Calibri" w:hAnsi="Calibri" w:cs="Calibri"/>
          <w:color w:val="000000"/>
          <w:sz w:val="22"/>
          <w:szCs w:val="22"/>
        </w:rPr>
        <w:t> reads and comparable genome completeness to the standard. Filter paper-based methods showed high sensitivity and reduced costs, with variable performance in AMR gene recovery and intrahost variant detection. Culture-independent methods required greater sequencing depth, influencing per-sample cost depending on target coverage. Rarefaction curves highlighted trade-offs between sequencing efficiency and data quality across the methods. Alternative preservation and isolation methods can enable accurate </w:t>
      </w:r>
      <w:r w:rsidRPr="00AF28B8">
        <w:rPr>
          <w:rFonts w:ascii="Calibri" w:hAnsi="Calibri" w:cs="Calibri"/>
          <w:i/>
          <w:iCs/>
          <w:color w:val="000000"/>
          <w:sz w:val="22"/>
          <w:szCs w:val="22"/>
        </w:rPr>
        <w:t>V. cholerae</w:t>
      </w:r>
      <w:r w:rsidRPr="00AF28B8">
        <w:rPr>
          <w:rFonts w:ascii="Calibri" w:hAnsi="Calibri" w:cs="Calibri"/>
          <w:color w:val="000000"/>
          <w:sz w:val="22"/>
          <w:szCs w:val="22"/>
        </w:rPr>
        <w:t> WGS. Method selection should consider cost, sample integrity, and intended downstream analyses, allowing flexible genomic surveillance strategies during cholera outbreaks.</w:t>
      </w:r>
    </w:p>
    <w:p w14:paraId="3C02D07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25-A-3803-ASTMH</w:t>
      </w:r>
    </w:p>
    <w:p w14:paraId="5304C5F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Molecular Biology, Population Genetics and Genomics</w:t>
      </w:r>
    </w:p>
    <w:p w14:paraId="792A7E6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Integrating Genomics, Remote Sensing, and Machine Learning to Predict the Environmental Adaptation and Spatial Expansion of </w:t>
      </w:r>
      <w:r w:rsidRPr="00AF28B8">
        <w:rPr>
          <w:rFonts w:ascii="Calibri" w:hAnsi="Calibri" w:cs="Calibri"/>
          <w:i/>
          <w:iCs/>
          <w:color w:val="000000"/>
          <w:sz w:val="22"/>
          <w:szCs w:val="22"/>
        </w:rPr>
        <w:t>Aedes aegypti</w:t>
      </w:r>
      <w:r w:rsidRPr="00AF28B8">
        <w:rPr>
          <w:rFonts w:ascii="Calibri" w:hAnsi="Calibri" w:cs="Calibri"/>
          <w:color w:val="000000"/>
          <w:sz w:val="22"/>
          <w:szCs w:val="22"/>
        </w:rPr>
        <w:t> in an Urban Desert Ecosystem</w:t>
      </w:r>
    </w:p>
    <w:p w14:paraId="6E40E733"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Since its initial detection in just four zip codes in 2017, </w:t>
      </w:r>
      <w:r w:rsidRPr="00AF28B8">
        <w:rPr>
          <w:rFonts w:ascii="Calibri" w:hAnsi="Calibri" w:cs="Calibri"/>
          <w:i/>
          <w:iCs/>
          <w:color w:val="000000"/>
          <w:sz w:val="22"/>
          <w:szCs w:val="22"/>
        </w:rPr>
        <w:t>Aedes aegypti</w:t>
      </w:r>
      <w:r w:rsidRPr="00AF28B8">
        <w:rPr>
          <w:rFonts w:ascii="Calibri" w:hAnsi="Calibri" w:cs="Calibri"/>
          <w:color w:val="000000"/>
          <w:sz w:val="22"/>
          <w:szCs w:val="22"/>
        </w:rPr>
        <w:t>—the primary vector for dengue, Zika, and chikungunya viruses—has rapidly expanded its range across Clark County, Nevada, now established in 57 zip codes as of 2024. This dramatic spread within a hot, arid desert ecosystem poses growing public health concerns, especially as regional dengue cases rise, and dengue-positive mosquito pools are reported in neighboring Arizona. In this study, we combine whole genome sequencing, remote sensing, and advanced machine learning to investigate both the environmental adaptation and predicted spatial expansion of </w:t>
      </w:r>
      <w:r w:rsidRPr="00AF28B8">
        <w:rPr>
          <w:rFonts w:ascii="Calibri" w:hAnsi="Calibri" w:cs="Calibri"/>
          <w:i/>
          <w:iCs/>
          <w:color w:val="000000"/>
          <w:sz w:val="22"/>
          <w:szCs w:val="22"/>
        </w:rPr>
        <w:t>Ae. aegypti</w:t>
      </w:r>
      <w:r w:rsidRPr="00AF28B8">
        <w:rPr>
          <w:rFonts w:ascii="Calibri" w:hAnsi="Calibri" w:cs="Calibri"/>
          <w:color w:val="000000"/>
          <w:sz w:val="22"/>
          <w:szCs w:val="22"/>
        </w:rPr>
        <w:t> in Southern Nevada. A total of 42 specimens collected from 18 zip codes between 2022 and 2023 were sequenced, revealing two genetically distinct clusters and 86 genes under potential selection pressure—likely reflecting local adaptation to extreme desert conditions. To model mosquito presence across space and time, we leveraged historical </w:t>
      </w:r>
      <w:r w:rsidRPr="00AF28B8">
        <w:rPr>
          <w:rFonts w:ascii="Calibri" w:hAnsi="Calibri" w:cs="Calibri"/>
          <w:i/>
          <w:iCs/>
          <w:color w:val="000000"/>
          <w:sz w:val="22"/>
          <w:szCs w:val="22"/>
        </w:rPr>
        <w:t>Ae. aegypti</w:t>
      </w:r>
      <w:r w:rsidRPr="00AF28B8">
        <w:rPr>
          <w:rFonts w:ascii="Calibri" w:hAnsi="Calibri" w:cs="Calibri"/>
          <w:color w:val="000000"/>
          <w:sz w:val="22"/>
          <w:szCs w:val="22"/>
        </w:rPr>
        <w:t> trap data from the Southern Nevada Health District (2017-2024), linked with environmental covariates derived from Google Earth Engine. Key predictive features included vapor pressure deficit, total precipitation, the Human Modification Index, humidity, and soil moisture. Among tested algorithms, ensemble machine learning models outperformed traditional count-based approaches. A hybrid model combining XGBoost and Random Forest achieved the best performance (RMSE= 0.5791, R²= 0.3546), compared to Poisson and Negative Binomial models (R²= 0.15). These findings highlight the value of integrating genomic, environmental, and spatial data to inform predictive modeling of vector ecology. This interdisciplinary framework not only enhances our understanding of </w:t>
      </w:r>
      <w:r w:rsidRPr="00AF28B8">
        <w:rPr>
          <w:rFonts w:ascii="Calibri" w:hAnsi="Calibri" w:cs="Calibri"/>
          <w:i/>
          <w:iCs/>
          <w:color w:val="000000"/>
          <w:sz w:val="22"/>
          <w:szCs w:val="22"/>
        </w:rPr>
        <w:t>Ae. aegypti</w:t>
      </w:r>
      <w:r w:rsidRPr="00AF28B8">
        <w:rPr>
          <w:rFonts w:ascii="Calibri" w:hAnsi="Calibri" w:cs="Calibri"/>
          <w:color w:val="000000"/>
          <w:sz w:val="22"/>
          <w:szCs w:val="22"/>
        </w:rPr>
        <w:t> invasion biology but also supports the development of more targeted and adaptive vector surveillance strategies in rapidly urbanizing and climate-challenged regions.</w:t>
      </w:r>
    </w:p>
    <w:p w14:paraId="4AF2740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25-A-3804-ASTMH</w:t>
      </w:r>
    </w:p>
    <w:p w14:paraId="52593A8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44274A0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Identifying risk factors of chikungunya infection in transient tourist populations in Latin America and the Caribbean</w:t>
      </w:r>
    </w:p>
    <w:p w14:paraId="324FA11F"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Following the initial incursion of chikungunya (CHIKV) into the Western Hemisphere, there have been recurrent outbreaks throughout Latin America and the Caribbean. While cases in returning travelers have been sporadic, there remains a need to determine which factors may contribute to an increase in risk in these transient populations. We constructed an SEIR-SEI model to investigate the role of several key parameters on transmission in tourist populations. Tourist and local populations were modeled separately, toggling key parameters such as the biting rate on each human population, the length of stay of tourists, and the population size of tourists relative to the local population. We found that the size of the immunologically naïve tourist population plays an important role in sustaining transmission within that group, and that low-level endemicity in the local population was necessary primarily for initiation of transmission in the tourist population. When we examine the susceptibility profiles of the two human populations, it appears that the regular influx of tourists supports a stable, maximum susceptibility profile, while transmission is enough to maintain the comparative immune profiles in the native population. Intuitively, the biting rate on the tourist population was strongly, positively correlated with the post-peak cumulative case count in the tourist population (Partial Rank Correlation Coefficient (PRCC) = 0.77). Further, the arrival rate of tourists per day was strongly correlated with post-peak cases (PRCC = 0.88). The strongest correlation was observed with the length of stay (# days</w:t>
      </w:r>
      <w:r w:rsidRPr="00AF28B8">
        <w:rPr>
          <w:rFonts w:ascii="Calibri" w:hAnsi="Calibri" w:cs="Calibri"/>
          <w:color w:val="000000"/>
          <w:sz w:val="22"/>
          <w:szCs w:val="22"/>
          <w:vertAlign w:val="superscript"/>
        </w:rPr>
        <w:t>-1</w:t>
      </w:r>
      <w:r w:rsidRPr="00AF28B8">
        <w:rPr>
          <w:rFonts w:ascii="Calibri" w:hAnsi="Calibri" w:cs="Calibri"/>
          <w:color w:val="000000"/>
          <w:sz w:val="22"/>
          <w:szCs w:val="22"/>
        </w:rPr>
        <w:t>) with PRCC= -0.94, indicating that a longer length of stay increases risk of infection. Outbreaks of CHIKV are difficult to predict due to the unknown seroprevalence in a given region, changing vector competence and density, and underdiagnosis and misdiagnosis with other arboviruses. It is important to prospectively determine CHIKV transmission factors that increase the risk to travelers, allowing for targeted, effective communication of interventions such as mosquito avoidance or vaccination.</w:t>
      </w:r>
    </w:p>
    <w:p w14:paraId="33E4ED0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25-A-3805-ASTMH</w:t>
      </w:r>
    </w:p>
    <w:p w14:paraId="70667D1C"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26DA8B44" w14:textId="18DFBBEB"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Assessing coverage of key malaria interventions and care-seeking behavior through yearly cross-sectional household surveys in select communities within Southern and Western provinces of Zambia (2022-2024)</w:t>
      </w:r>
    </w:p>
    <w:p w14:paraId="291D7F5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Zambia National Malaria Elimination Strategic Plan 2022-2026 (NMESP) aims to increase the implementation rate of malaria interventions to 95% by 2026. This included a mass insecticide-treated net (ITN) distribution, which occurred in study sites from December 2023-March 2024. This study assessed coverage of key malaria interventions and care-seeking behavior through yearly cross-sectional household surveys in 2022, (N=1982), 2023 (N=2553), and 2024 (N=2361) within 24 health facility catchment areas of Southern and Western provinces. Household ownership of at least one ITN increased significantly from 2023-2024, from 82.4% to 97.7% (p=&lt;0.001). However, only 60.5% of households in 2024 owned at least one ITN for every two people in the household (though a significant increase from 25.6% in 2023, p&lt;0.001). People who slept under an ITN the prior night also increased significantly between 2023-2024, from 63.6% to 90.1% (p&lt;0.001). Reported uptake of 3+ doses of intermittent preventive treatment of malaria in pregnancy among respondents who gave birth in the prior 12 months decreased significantly between 2022-2023 from 86.5% to 81.6% (p=0.025), then increased significantly to 88.5% in 2024 (p=0.001). Children &lt;5 with fever in the prior two weeks that sought care from a health facility or community health worker within 24 hours of fever onset increased significantly each year from 2022-2024, from 65.9% to 75.8% (p=&lt;0.001) to 81.2% (p=0.021). Among such children, 88.5% received a malaria test in 2024, a significant decrease from 94.6% in 2023 (p=&lt;0.001). Those who received malaria treatment after testing positive decreased significantly between 2022-2023 from 95.3% to 79.1% (p=&lt;0.001), then increased significantly to 98.9% in 2024 (p=&lt;0.001). To accomplish NMESP goals: 1) More ITNs are needed in ITN-targeted areas; the recent distribution increased ITN ownership and use, but there are still not enough ITNs to cover everyone. 2) Increase messaging encouraging prompt fever care-seeking. 3) Address bottlenecks to procurement and delivery of malaria tests and treatment, especially amidst the changing landscape of global aid funding.</w:t>
      </w:r>
    </w:p>
    <w:p w14:paraId="6BAB7CC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25-A-3806-ASTMH</w:t>
      </w:r>
    </w:p>
    <w:p w14:paraId="2CDDE8E2"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83BE7D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w:t>
      </w:r>
      <w:r w:rsidRPr="00AF28B8">
        <w:rPr>
          <w:rFonts w:ascii="Calibri" w:hAnsi="Calibri" w:cs="Calibri"/>
          <w:i/>
          <w:iCs/>
          <w:color w:val="000000"/>
          <w:sz w:val="22"/>
          <w:szCs w:val="22"/>
        </w:rPr>
        <w:t>EVITA Dengue</w:t>
      </w:r>
      <w:r w:rsidRPr="00AF28B8">
        <w:rPr>
          <w:rFonts w:ascii="Calibri" w:hAnsi="Calibri" w:cs="Calibri"/>
          <w:color w:val="000000"/>
          <w:sz w:val="22"/>
          <w:szCs w:val="22"/>
        </w:rPr>
        <w:t> trial: Drivers of sustained introgression of </w:t>
      </w:r>
      <w:r w:rsidRPr="00AF28B8">
        <w:rPr>
          <w:rFonts w:ascii="Calibri" w:hAnsi="Calibri" w:cs="Calibri"/>
          <w:i/>
          <w:iCs/>
          <w:color w:val="000000"/>
          <w:sz w:val="22"/>
          <w:szCs w:val="22"/>
        </w:rPr>
        <w:t>Wolbachia</w:t>
      </w:r>
      <w:r w:rsidRPr="00AF28B8">
        <w:rPr>
          <w:rFonts w:ascii="Calibri" w:hAnsi="Calibri" w:cs="Calibri"/>
          <w:color w:val="000000"/>
          <w:sz w:val="22"/>
          <w:szCs w:val="22"/>
        </w:rPr>
        <w:t>-infected </w:t>
      </w:r>
      <w:r w:rsidRPr="00AF28B8">
        <w:rPr>
          <w:rFonts w:ascii="Calibri" w:hAnsi="Calibri" w:cs="Calibri"/>
          <w:i/>
          <w:iCs/>
          <w:color w:val="000000"/>
          <w:sz w:val="22"/>
          <w:szCs w:val="22"/>
        </w:rPr>
        <w:t>Aedes aegypti</w:t>
      </w:r>
      <w:r w:rsidRPr="00AF28B8">
        <w:rPr>
          <w:rFonts w:ascii="Calibri" w:hAnsi="Calibri" w:cs="Calibri"/>
          <w:color w:val="000000"/>
          <w:sz w:val="22"/>
          <w:szCs w:val="22"/>
        </w:rPr>
        <w:t> in a complex urban setting</w:t>
      </w:r>
    </w:p>
    <w:p w14:paraId="0D38FBD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cluster-randomized controlled trial </w:t>
      </w:r>
      <w:r w:rsidRPr="00AF28B8">
        <w:rPr>
          <w:rFonts w:ascii="Calibri" w:hAnsi="Calibri" w:cs="Calibri"/>
          <w:i/>
          <w:iCs/>
          <w:color w:val="000000"/>
          <w:sz w:val="22"/>
          <w:szCs w:val="22"/>
        </w:rPr>
        <w:t>EVITA Dengue</w:t>
      </w:r>
      <w:r w:rsidRPr="00AF28B8">
        <w:rPr>
          <w:rFonts w:ascii="Calibri" w:hAnsi="Calibri" w:cs="Calibri"/>
          <w:color w:val="000000"/>
          <w:sz w:val="22"/>
          <w:szCs w:val="22"/>
        </w:rPr>
        <w:t> (DMID 17-0111) is evaluating the effectiveness of releasing </w:t>
      </w:r>
      <w:r w:rsidRPr="00AF28B8">
        <w:rPr>
          <w:rFonts w:ascii="Calibri" w:hAnsi="Calibri" w:cs="Calibri"/>
          <w:i/>
          <w:iCs/>
          <w:color w:val="000000"/>
          <w:sz w:val="22"/>
          <w:szCs w:val="22"/>
        </w:rPr>
        <w:t>Wolbachia</w:t>
      </w:r>
      <w:r w:rsidRPr="00AF28B8">
        <w:rPr>
          <w:rFonts w:ascii="Calibri" w:hAnsi="Calibri" w:cs="Calibri"/>
          <w:color w:val="000000"/>
          <w:sz w:val="22"/>
          <w:szCs w:val="22"/>
        </w:rPr>
        <w:t> (</w:t>
      </w:r>
      <w:r w:rsidRPr="00AF28B8">
        <w:rPr>
          <w:rFonts w:ascii="Calibri" w:hAnsi="Calibri" w:cs="Calibri"/>
          <w:i/>
          <w:iCs/>
          <w:color w:val="000000"/>
          <w:sz w:val="22"/>
          <w:szCs w:val="22"/>
        </w:rPr>
        <w:t>w</w:t>
      </w:r>
      <w:r w:rsidRPr="00AF28B8">
        <w:rPr>
          <w:rFonts w:ascii="Calibri" w:hAnsi="Calibri" w:cs="Calibri"/>
          <w:color w:val="000000"/>
          <w:sz w:val="22"/>
          <w:szCs w:val="22"/>
        </w:rPr>
        <w:t>Mel)-infected </w:t>
      </w:r>
      <w:r w:rsidRPr="00AF28B8">
        <w:rPr>
          <w:rFonts w:ascii="Calibri" w:hAnsi="Calibri" w:cs="Calibri"/>
          <w:i/>
          <w:iCs/>
          <w:color w:val="000000"/>
          <w:sz w:val="22"/>
          <w:szCs w:val="22"/>
        </w:rPr>
        <w:t>Aedes aegypti</w:t>
      </w:r>
      <w:r w:rsidRPr="00AF28B8">
        <w:rPr>
          <w:rFonts w:ascii="Calibri" w:hAnsi="Calibri" w:cs="Calibri"/>
          <w:color w:val="000000"/>
          <w:sz w:val="22"/>
          <w:szCs w:val="22"/>
        </w:rPr>
        <w:t> mosquitoes to prevent arboviral infection among schoolchildren. We present findings on the trial’s secondary outcome of sustained </w:t>
      </w:r>
      <w:r w:rsidRPr="00AF28B8">
        <w:rPr>
          <w:rFonts w:ascii="Calibri" w:hAnsi="Calibri" w:cs="Calibri"/>
          <w:i/>
          <w:iCs/>
          <w:color w:val="000000"/>
          <w:sz w:val="22"/>
          <w:szCs w:val="22"/>
        </w:rPr>
        <w:t>w</w:t>
      </w:r>
      <w:r w:rsidRPr="00AF28B8">
        <w:rPr>
          <w:rFonts w:ascii="Calibri" w:hAnsi="Calibri" w:cs="Calibri"/>
          <w:color w:val="000000"/>
          <w:sz w:val="22"/>
          <w:szCs w:val="22"/>
        </w:rPr>
        <w:t>Mel introgression 4 years post intervention and its temporal drivers. In December 2019, 29 of 58 school based clusters (0.44–2 km²) in Belo Horizonte, Brazil, were block randomized to receive the intervention. From January 2021 to May 2022, a median of 120 </w:t>
      </w:r>
      <w:r w:rsidRPr="00AF28B8">
        <w:rPr>
          <w:rFonts w:ascii="Calibri" w:hAnsi="Calibri" w:cs="Calibri"/>
          <w:i/>
          <w:iCs/>
          <w:color w:val="000000"/>
          <w:sz w:val="22"/>
          <w:szCs w:val="22"/>
        </w:rPr>
        <w:t>w</w:t>
      </w:r>
      <w:r w:rsidRPr="00AF28B8">
        <w:rPr>
          <w:rFonts w:ascii="Calibri" w:hAnsi="Calibri" w:cs="Calibri"/>
          <w:color w:val="000000"/>
          <w:sz w:val="22"/>
          <w:szCs w:val="22"/>
        </w:rPr>
        <w:t>Mel-infected mosquitoes were released per inhabitant in intervention clusters. BG-trapping at 1649 sites was conducted by a blinded team to evaluate entomological outcomes. We analyzed trap-level introgression trends and used group-based trajectory modeling and temporally explicit Bayesian models to assess the influence of intervention design, meteorological, and entomological factors on introgression. By December 2024, median introgression in intervention clusters reached 83% (IQR, 57–94%). Three distinct trajectory groups emerged, with higher release doses per person per release and cumulatively associated with greater introgression stability. In temporal models, lower release dose, higher minimum temperature, and lower precipitation were associated with reduced introgression. Additional consolidation-phase releases were positively associated with introgression. Control clusters (&gt;200 m from intervention clusters) showed limited introgression (median, 5%; IQR, 0.2–10%), significantly associated with time since nearby </w:t>
      </w:r>
      <w:r w:rsidRPr="00AF28B8">
        <w:rPr>
          <w:rFonts w:ascii="Calibri" w:hAnsi="Calibri" w:cs="Calibri"/>
          <w:i/>
          <w:iCs/>
          <w:color w:val="000000"/>
          <w:sz w:val="22"/>
          <w:szCs w:val="22"/>
        </w:rPr>
        <w:t>w</w:t>
      </w:r>
      <w:r w:rsidRPr="00AF28B8">
        <w:rPr>
          <w:rFonts w:ascii="Calibri" w:hAnsi="Calibri" w:cs="Calibri"/>
          <w:color w:val="000000"/>
          <w:sz w:val="22"/>
          <w:szCs w:val="22"/>
        </w:rPr>
        <w:t>Mel releases. These findings demonstrate that </w:t>
      </w:r>
      <w:r w:rsidRPr="00AF28B8">
        <w:rPr>
          <w:rFonts w:ascii="Calibri" w:hAnsi="Calibri" w:cs="Calibri"/>
          <w:i/>
          <w:iCs/>
          <w:color w:val="000000"/>
          <w:sz w:val="22"/>
          <w:szCs w:val="22"/>
        </w:rPr>
        <w:t>w</w:t>
      </w:r>
      <w:r w:rsidRPr="00AF28B8">
        <w:rPr>
          <w:rFonts w:ascii="Calibri" w:hAnsi="Calibri" w:cs="Calibri"/>
          <w:color w:val="000000"/>
          <w:sz w:val="22"/>
          <w:szCs w:val="22"/>
        </w:rPr>
        <w:t>Mel mosquito releases achieved sustained introgression in a complex urban setting. Outcomes were influenced by release dose and meteorological factors. Control cluster contamination was limited. Similar levels of introgression have been associated with high levels of protection against arboviral disease in observational studies. Future work will assess the association of introgression measures with effectiveness in preventing arboviral infection. Effectiveness results are expected in early 2026.</w:t>
      </w:r>
    </w:p>
    <w:p w14:paraId="5E233D4D"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25-A-3807-ASTMH</w:t>
      </w:r>
    </w:p>
    <w:p w14:paraId="08F3A205"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059B54A4"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Determinants of human-to-mosquito transmission from the asymptomatic malaria reservoir in Bagamoyo, Tanzania</w:t>
      </w:r>
    </w:p>
    <w:p w14:paraId="330ABB3F"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Asymptomatic malaria carriers often harbor low parasite densities that evade detection yet contribute to transmission. To investigate determinants of human-to-mosquito transmission in an area of declining malaria endemicity, we performed approximately 600 direct skin feeding (DSF) assays from 2018-2021 in rural Bagamoyo district, Tanzania. Enrolled participants, aged &gt;5 years and positive for P. falciparum via rapid diagnostic test (RDT) and/or real-time PCR, underwent DSFs with 50 colony-reared Anopheles gambiae mosquitoes fed on the posterior calves. Mosquito infection success required at least one oocyst-positive midgut among 25 dissected mosquitoes eight days post-feeding. Among 491 participants with evaluable DSFs and a median parasite density of 5.1 parasites/μL, 22% (106) were infectious to mosquitoes, including 25% (54/218) of RDT-positive participants and 19% (52/273) of those who screened PCR-positive only. Nearly half of the latter group were PCR-negative at the time of skin feeding, suggesting that infections with parasites circulating at the limit of PCR detection commonly infect mosquitoes. While half of infectious participants infected a single mosquito, 3% (16 individuals) were responsible for 57% (196/342) of infected mosquitoes. The proportion of infectious carriers peaked during the peak rainfall month, while gametocyte carriage peaked one month later without differences in gametocyte density, indicating infectivity is not solely driven by gametocyte density. Multivariate analysis using a log-binomial regression model showed that, in addition to high gametocyte density, mosquito infection rates were associated with school-aged participants (&lt;16 years), males, RDT positivity, and recent rainfall. In-host parasite complexity of infection also correlated with increased infectiousness. The study was not population-based sampling and cross-sectional rather than longitudinal in nature. Despite this, our findings highlight the efficient yet uneven nature of P. falciparum transmission from humans to mosquitoes and the potential for targeted interventions to interrupt transmission.</w:t>
      </w:r>
    </w:p>
    <w:p w14:paraId="3DBE250C"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25-A-3808-ASTMH</w:t>
      </w:r>
    </w:p>
    <w:p w14:paraId="42A009F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10AA0818"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Vibrio cholerae antimicrobial genes resitance monitoring through genomic surveillance in the context of resurgent epidemics in DRCongo</w:t>
      </w:r>
    </w:p>
    <w:p w14:paraId="66053444"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Cholera, a severe enteric diarrheal disease caused by Vibrio cholerae, remains a global public health threat, especially in the Democratic Republic of the Congo, despite modern prevention and treatment measures.To date, serogroups O1 and/or O139 are known to be responsible of the diseace.and involved in the recurrent outbreaks. Stool samples were collected from suspected cases as part of the surveillance program. Confirmation coproculture was carried out at the INRB Goma bacteriology laboratory, using Leminor gallery. After identification of the germ, we extracted DNA with the QIAGEN DNA kit, prepared the library with the Nextera DNA Prep kit, before to load onto the Nextseq, Iseq and Miseq sequencers. Overall 187 samples from Nord-Kivu, Sud-Kivu and Tanganyika provinces have been analyzed. The raw data generated were analyzed using the Bacpage pipeline. Genomic surveillance of Vibrio cholerae enabled the detection of various circulating strains ,including genes Vibrio_cholerae_varG, CRP, catB9 and almG involved in antimicrobial resistance. The Vibrio_cholerae_varG gene is most resistant to carbapenem (25.7%), followed by theCRP gene, which is resistant to fluoroquinolone, macrolide, penam (25.1%) peptide (24.6)and phenicol (24.6%). Vibrio cholerae resistance to an antibiotic depends on its gene (p 0.001).These findings underline the critical need to sustain genomic surveillance for surveillance at country level to better predict and mitigate future epidemics, and understand genetic evolution for effective public health responses.</w:t>
      </w:r>
    </w:p>
    <w:p w14:paraId="70B313B4"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25-A-3809-ASTMH</w:t>
      </w:r>
    </w:p>
    <w:p w14:paraId="2107DC06"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Global Health - Other</w:t>
      </w:r>
    </w:p>
    <w:p w14:paraId="4590A0EE" w14:textId="5A38DB45"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Quality of Life in Rural and Peri-Urban Schistosomiasis-Endemic Communities in Cameroon: A Capability Approach</w:t>
      </w:r>
    </w:p>
    <w:p w14:paraId="587AA0A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extensive annual mass drug administration campaigns and investments in control and prevention strategies—including water, sanitation, and hygiene improvements—schistosomiasis remains a significant public health challenge in Cameroon and beyond. Although preference-based instruments have been employed to estimate associations between schistosomiasis and health-related quality of life (HRQoL), the paucity and inconsistency of the evidence hinder robust disease monitoring and evaluation.Adopting a capability approach, our study aims to rigorously measure well-being and quality of life among individuals in schistosomiasis-endemic settings. Voluntary participants will be recruited by local community health workers (CHWs) across diverse community settings such as schools, religious centres, marketplaces, local health clinics, and hospitals. Employing stratified random sampling, we will identify 100 potential participants aged 2 years and above in each of two communities in Bafia—one rural and one peri-urban—yielding a total sample of 200 individuals.Participants will complete a standardised questionnaire evaluating HRQoL, capabilities, and mental health. In addition, a subset of participants will be invited to engage in focus group discussions and in-depth interviews. The insights gained will be essential for developing contextually relevant instruments to understand better how schistosomiasis affects and limits quality of life and capability wellbeing. Ultimately, the results are expected to identify key wellbeing attributes that can be compared across various schistosomiasis-affected settings, thereby enhancing disease monitoring and informing future public health interventions.</w:t>
      </w:r>
    </w:p>
    <w:p w14:paraId="737115F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25-A-3810-ASTMH</w:t>
      </w:r>
    </w:p>
    <w:p w14:paraId="546521B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46CA3F2B"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Risk of malaria in adults with type 2 diabetes followed for a one-year period: Results from a prospective cohort study in Cameroon</w:t>
      </w:r>
    </w:p>
    <w:p w14:paraId="57E6337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prevalence of lifestyle-associated diseases is increasing in sub-Saharan Africa. Recently, we found that diabetes and metabolic syndrome (MetS) were associated with severe malaria in adults diagnosed in hospital settings in Cameroon. However, the risk of asymptomatic malaria (ASM) in persons with type 2 diabetes has not been evaluated in a prospective study. Here, we investigated whether diabetes with or without MetS affects the risk of ASM and antibody-mediated immunity to malaria. Adults with type 2 diabetes attending Limbe Regional Hospital Diabetes Clinic and diabetes-free individuals matched for age and health catchment were included after informed consent. At baseline, all individuals were assessed with malaria microscopy and rapid diagnostic testing (RDT), full blood count, lipids, fasting blood glucose, glycated haemoglobin, creatinine, blood pressure and BMI. Demographic and medical history data were acquired using a questionnaire. Study participants were followed for one year with sampling and clinical assessment at 4-month intervals. Venous EDTA blood from all visits has been stored as plasma and packed cells at -80°C for subsequent malaria qPCR and </w:t>
      </w:r>
      <w:r w:rsidRPr="00AF28B8">
        <w:rPr>
          <w:rFonts w:ascii="Calibri" w:hAnsi="Calibri" w:cs="Calibri"/>
          <w:i/>
          <w:iCs/>
          <w:color w:val="000000"/>
          <w:sz w:val="22"/>
          <w:szCs w:val="22"/>
        </w:rPr>
        <w:t>P. falciparum</w:t>
      </w:r>
      <w:r w:rsidRPr="00AF28B8">
        <w:rPr>
          <w:rFonts w:ascii="Calibri" w:hAnsi="Calibri" w:cs="Calibri"/>
          <w:color w:val="000000"/>
          <w:sz w:val="22"/>
          <w:szCs w:val="22"/>
        </w:rPr>
        <w:t> antibody response using ELISA and a multiplex bead-based immunoassay. A total of 406 adults, 202 with diabetes and 204 without, were enrolled. MetS was found in 66% (134/202) of diabetics and 9% (22/204) of diabetes-free (p&lt;0.001) participants. ASM (by RDT or microscopy) was 11% (22/202) in the diabetes group vs 5% (11/204) in the diabetes-free (p=032). The results will be updated with data from follow-up visits and malaria qPCR. Cox proportional hazards regression will be used to estimate the risk of </w:t>
      </w:r>
      <w:r w:rsidRPr="00AF28B8">
        <w:rPr>
          <w:rFonts w:ascii="Calibri" w:hAnsi="Calibri" w:cs="Calibri"/>
          <w:i/>
          <w:iCs/>
          <w:color w:val="000000"/>
          <w:sz w:val="22"/>
          <w:szCs w:val="22"/>
        </w:rPr>
        <w:t>Plasmodium </w:t>
      </w:r>
      <w:r w:rsidRPr="00AF28B8">
        <w:rPr>
          <w:rFonts w:ascii="Calibri" w:hAnsi="Calibri" w:cs="Calibri"/>
          <w:color w:val="000000"/>
          <w:sz w:val="22"/>
          <w:szCs w:val="22"/>
        </w:rPr>
        <w:t>infection, with interaction terms to evaluate if BMI or metabolic control modifies the risk. The preliminary results indicate a high prevalence of ASM among adults with type 2 diabetes in a malaria-endemic setting. Identifying risk groups for asymptomatic </w:t>
      </w:r>
      <w:r w:rsidRPr="00AF28B8">
        <w:rPr>
          <w:rFonts w:ascii="Calibri" w:hAnsi="Calibri" w:cs="Calibri"/>
          <w:i/>
          <w:iCs/>
          <w:color w:val="000000"/>
          <w:sz w:val="22"/>
          <w:szCs w:val="22"/>
        </w:rPr>
        <w:t>Plamodium </w:t>
      </w:r>
      <w:r w:rsidRPr="00AF28B8">
        <w:rPr>
          <w:rFonts w:ascii="Calibri" w:hAnsi="Calibri" w:cs="Calibri"/>
          <w:color w:val="000000"/>
          <w:sz w:val="22"/>
          <w:szCs w:val="22"/>
        </w:rPr>
        <w:t>infections could guide future malaria control interventions such as malaria screening, intermittent preventive treatment and possibly vaccination in adults with certain comorbidities.</w:t>
      </w:r>
    </w:p>
    <w:p w14:paraId="3551CDE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25-A-3813-ASTMH</w:t>
      </w:r>
    </w:p>
    <w:p w14:paraId="1E53DC33"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Malaria - Antimalarial Resistance and Chemotherapy</w:t>
      </w:r>
    </w:p>
    <w:p w14:paraId="1233517E"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Clinical performance of a new point-of-care test for glucose-6-phosphate dehydrogenase (G6PD) deficiency in Brazil</w:t>
      </w:r>
    </w:p>
    <w:p w14:paraId="55CA14C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Current treatment guidelines for radical cure of </w:t>
      </w:r>
      <w:r w:rsidRPr="00AF28B8">
        <w:rPr>
          <w:rFonts w:ascii="Calibri" w:hAnsi="Calibri" w:cs="Calibri"/>
          <w:i/>
          <w:iCs/>
          <w:color w:val="000000"/>
          <w:sz w:val="22"/>
          <w:szCs w:val="22"/>
        </w:rPr>
        <w:t>Plasmodium vivax </w:t>
      </w:r>
      <w:r w:rsidRPr="00AF28B8">
        <w:rPr>
          <w:rFonts w:ascii="Calibri" w:hAnsi="Calibri" w:cs="Calibri"/>
          <w:color w:val="000000"/>
          <w:sz w:val="22"/>
          <w:szCs w:val="22"/>
        </w:rPr>
        <w:t>malaria recommend the use of 8-aminoquinolines, which can result in potentially life-threatening complications for people with low glucose-6-phosphate dehydrogenase (G6PD) enzyme activity. Accordingly, WHO guidelines recommend testing for G6PD status prior to administration of such drugs. The Wondfo G6PD/Hb Test is a new quantitative point-of-care (POC) G6PD test that can help decentralize testing and expand safe access to treatment methods. A prospective clinical performance evaluation of the test is ongoing and will be completed in two countries. Participants are recruited at clinics and through an enriched sample of individuals with known G6PD status. At the point of care, the Wondfo test along with the HemoCue 201+ and standard of care malaria tests are conducted on fresh capillary blood. Venous blood is collected and transferred to a laboratory, where testing is repeated alongside reference G6PD (spectrophotometer) and hemoglobin (complete blood count) testing. To date, recruitment has begun in Porto Velho and Manaus, Brazil, where 1,282 participants (45.9% female) have been enrolled. Recruitment is anticipated to conclude in Q3 2025. In Manaus, 674 participants (44.4% female), have been enrolled including 82 malaria positive, 37 deficient (&lt;30% G6PD activity) and 23 intermediate (30-70% G6PD activity, females only) per reference testing. In Porto Velho, 608 participants (47.5% female) have been enrolled, including 60 malaria positive, 20 deficient and 11 intermediate per reference testing. Diagnostic performance for G6PD, including sensitivity, specificity, and overall percent agreement will be presented. Data from this study will determine if the performance is sufficiently accurate and reliable to inform the clinical decision-making of frontline health workers.</w:t>
      </w:r>
    </w:p>
    <w:p w14:paraId="448B22F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25-A-3814-ASTMH</w:t>
      </w:r>
    </w:p>
    <w:p w14:paraId="28C9BC1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5E42A8EF"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and initial validation of a novel (Nas-14) antigen diagnostic assay for loiasis</w:t>
      </w:r>
    </w:p>
    <w:p w14:paraId="3E57B11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Loiasis complicates efforts to eliminate Bancroftian filariasis and onchocerciasis because individuals with heavy </w:t>
      </w:r>
      <w:r w:rsidRPr="00AF28B8">
        <w:rPr>
          <w:rFonts w:ascii="Calibri" w:hAnsi="Calibri" w:cs="Calibri"/>
          <w:i/>
          <w:iCs/>
          <w:color w:val="000000"/>
          <w:sz w:val="22"/>
          <w:szCs w:val="22"/>
        </w:rPr>
        <w:t>Loa loa</w:t>
      </w:r>
      <w:r w:rsidRPr="00AF28B8">
        <w:rPr>
          <w:rFonts w:ascii="Calibri" w:hAnsi="Calibri" w:cs="Calibri"/>
          <w:color w:val="000000"/>
          <w:sz w:val="22"/>
          <w:szCs w:val="22"/>
        </w:rPr>
        <w:t> infections must be excluded from mass drug administration (MDA) targeting these diseases. Improved diagnostic tests for loiasis are needed for mapping of loiasis endemic areas, and, ideally, to exclude individuals with heavy </w:t>
      </w:r>
      <w:r w:rsidRPr="00AF28B8">
        <w:rPr>
          <w:rFonts w:ascii="Calibri" w:hAnsi="Calibri" w:cs="Calibri"/>
          <w:i/>
          <w:iCs/>
          <w:color w:val="000000"/>
          <w:sz w:val="22"/>
          <w:szCs w:val="22"/>
        </w:rPr>
        <w:t>L. loa</w:t>
      </w:r>
      <w:r w:rsidRPr="00AF28B8">
        <w:rPr>
          <w:rFonts w:ascii="Calibri" w:hAnsi="Calibri" w:cs="Calibri"/>
          <w:color w:val="000000"/>
          <w:sz w:val="22"/>
          <w:szCs w:val="22"/>
        </w:rPr>
        <w:t> infections from MDA. We previously found that </w:t>
      </w:r>
      <w:r w:rsidRPr="00AF28B8">
        <w:rPr>
          <w:rFonts w:ascii="Calibri" w:hAnsi="Calibri" w:cs="Calibri"/>
          <w:i/>
          <w:iCs/>
          <w:color w:val="000000"/>
          <w:sz w:val="22"/>
          <w:szCs w:val="22"/>
        </w:rPr>
        <w:t>L. loa </w:t>
      </w:r>
      <w:r w:rsidRPr="00AF28B8">
        <w:rPr>
          <w:rFonts w:ascii="Calibri" w:hAnsi="Calibri" w:cs="Calibri"/>
          <w:color w:val="000000"/>
          <w:sz w:val="22"/>
          <w:szCs w:val="22"/>
        </w:rPr>
        <w:t>Nas-14 family metalloproteases are detectable by mass spectrometry in plasma from &gt;95% of individuals with high (&gt;20,000/mL) </w:t>
      </w:r>
      <w:r w:rsidRPr="00AF28B8">
        <w:rPr>
          <w:rFonts w:ascii="Calibri" w:hAnsi="Calibri" w:cs="Calibri"/>
          <w:i/>
          <w:iCs/>
          <w:color w:val="000000"/>
          <w:sz w:val="22"/>
          <w:szCs w:val="22"/>
        </w:rPr>
        <w:t>L. loa</w:t>
      </w:r>
      <w:r w:rsidRPr="00AF28B8">
        <w:rPr>
          <w:rFonts w:ascii="Calibri" w:hAnsi="Calibri" w:cs="Calibri"/>
          <w:color w:val="000000"/>
          <w:sz w:val="22"/>
          <w:szCs w:val="22"/>
        </w:rPr>
        <w:t> microfilarial loads. To test the hypothesis that Nas-14 can be used as a biomarker for predicting </w:t>
      </w:r>
      <w:r w:rsidRPr="00AF28B8">
        <w:rPr>
          <w:rFonts w:ascii="Calibri" w:hAnsi="Calibri" w:cs="Calibri"/>
          <w:i/>
          <w:iCs/>
          <w:color w:val="000000"/>
          <w:sz w:val="22"/>
          <w:szCs w:val="22"/>
        </w:rPr>
        <w:t>L. loa</w:t>
      </w:r>
      <w:r w:rsidRPr="00AF28B8">
        <w:rPr>
          <w:rFonts w:ascii="Calibri" w:hAnsi="Calibri" w:cs="Calibri"/>
          <w:color w:val="000000"/>
          <w:sz w:val="22"/>
          <w:szCs w:val="22"/>
        </w:rPr>
        <w:t> microfilaremia, we generated a quantitative antigen capture ELISA. We immunized mice with purified, recombinant Nas-14 (WormBase ParaSite accession EN70_10459) and generated hybridomas expressing anti-Nas-14 monoclonal antibodies (mAbs). We screened hybridoma supernatants for their ability to bind to recombinant antigen and to</w:t>
      </w:r>
      <w:r w:rsidRPr="00AF28B8">
        <w:rPr>
          <w:rFonts w:ascii="Calibri" w:hAnsi="Calibri" w:cs="Calibri"/>
          <w:i/>
          <w:iCs/>
          <w:color w:val="000000"/>
          <w:sz w:val="22"/>
          <w:szCs w:val="22"/>
        </w:rPr>
        <w:t> L. loa</w:t>
      </w:r>
      <w:r w:rsidRPr="00AF28B8">
        <w:rPr>
          <w:rFonts w:ascii="Calibri" w:hAnsi="Calibri" w:cs="Calibri"/>
          <w:color w:val="000000"/>
          <w:sz w:val="22"/>
          <w:szCs w:val="22"/>
        </w:rPr>
        <w:t> Nas-14 in human plasma, selecting the two best performers, IgG mAbs 2C8 and 2G12, for further assay development. Our best-performing assays uses IgM mAb DH6.5, which binds a filarial glycan epitope present on many loiasis antigens, as the capture antibody, and HRP-labeled 2C8 or 2G12 (which work equivalently) as detection antibodies. Using this ELISA format, we tested loiasis samples with Mf counts ranging from 40 to 110,460 per mL. Using a cutoff of 3 SD above the mean of uninfected control samples, 50/85 (59%) microfilaremic </w:t>
      </w:r>
      <w:r w:rsidRPr="00AF28B8">
        <w:rPr>
          <w:rFonts w:ascii="Calibri" w:hAnsi="Calibri" w:cs="Calibri"/>
          <w:i/>
          <w:iCs/>
          <w:color w:val="000000"/>
          <w:sz w:val="22"/>
          <w:szCs w:val="22"/>
        </w:rPr>
        <w:t>L. loa </w:t>
      </w:r>
      <w:r w:rsidRPr="00AF28B8">
        <w:rPr>
          <w:rFonts w:ascii="Calibri" w:hAnsi="Calibri" w:cs="Calibri"/>
          <w:color w:val="000000"/>
          <w:sz w:val="22"/>
          <w:szCs w:val="22"/>
        </w:rPr>
        <w:t>samples and 40/42 (95%) samples from individuals with </w:t>
      </w:r>
      <w:r w:rsidRPr="00AF28B8">
        <w:rPr>
          <w:rFonts w:ascii="Calibri" w:hAnsi="Calibri" w:cs="Calibri"/>
          <w:i/>
          <w:iCs/>
          <w:color w:val="000000"/>
          <w:sz w:val="22"/>
          <w:szCs w:val="22"/>
        </w:rPr>
        <w:t>L. loa</w:t>
      </w:r>
      <w:r w:rsidRPr="00AF28B8">
        <w:rPr>
          <w:rFonts w:ascii="Calibri" w:hAnsi="Calibri" w:cs="Calibri"/>
          <w:color w:val="000000"/>
          <w:sz w:val="22"/>
          <w:szCs w:val="22"/>
        </w:rPr>
        <w:t> Mf counts &gt;20,000/mL tested positive. Only 1/29 (3.5%) onchocerciasis samples and 0/11 (0%) </w:t>
      </w:r>
      <w:r w:rsidRPr="00AF28B8">
        <w:rPr>
          <w:rFonts w:ascii="Calibri" w:hAnsi="Calibri" w:cs="Calibri"/>
          <w:i/>
          <w:iCs/>
          <w:color w:val="000000"/>
          <w:sz w:val="22"/>
          <w:szCs w:val="22"/>
        </w:rPr>
        <w:t>Wuchereria bancrofti</w:t>
      </w:r>
      <w:r w:rsidRPr="00AF28B8">
        <w:rPr>
          <w:rFonts w:ascii="Calibri" w:hAnsi="Calibri" w:cs="Calibri"/>
          <w:color w:val="000000"/>
          <w:sz w:val="22"/>
          <w:szCs w:val="22"/>
        </w:rPr>
        <w:t> samples tested positive, suggesting good specificity for loiasis. These data suggest that Nas-14 is a viable antigen biomarker for loiasis. Because it does not detect all individuals with &gt;20,000 Mf/mL, the current assay is not well suited for excluding individuals from MDA. However, In a lateral flow format, this antigen detection assay may prove highly useful for mapping loiasis endemic areas.</w:t>
      </w:r>
    </w:p>
    <w:p w14:paraId="4531982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25-A-3815-ASTMH</w:t>
      </w:r>
    </w:p>
    <w:p w14:paraId="1AA6A6A6"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Viruses - Field and ecological studies of viruses, including surveillance and spillover risk and emergence</w:t>
      </w:r>
    </w:p>
    <w:p w14:paraId="0653F4AB"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Persisting neurocognitive/neurosensory sequelae in adult Ebola survivors from the 2018-2020 outbreak in the north Kivu of the DR Congo at 3-to-4-year follow-up</w:t>
      </w:r>
    </w:p>
    <w:p w14:paraId="5DDDE6BD"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Ebolaviruses are among the deadliest known pathogens, with a mortality rate of 25-90% depending on the species. We present neurocognitive outcomes from a case-control study of adult Ebola survivors (EBV) (n=120) from the 2018-2020 outbreak in Democratic Republic of Congo (north Kivu epicenter), their gender- and age-matched close contacts (n=120) and noncontact (healthy) controls (n=120). Mean age was comparable among survivors (29.7±10.6), close contacts (28.9±11.1) and noncontact controls (29.3±10.6). EBV persons had: (1) survived EBOV infection, (2) had symptoms meeting the case definition of acute EVD, (3) tested positive for the presence of EBOV (RT-PCR) at the time of the outbreak, and (4) were registered as survivors in the outbreak surveillance database. Close contacts resided with the EBV survivor but tested negative for the presence of EBOV as did noncontact participants outside the household. Noncontact controls resided in the outbreak area at onset but had not been in contact with confirmed survivor or contact persons and had never developed Ebola-like symptoms or symptoms for other known disease leading to CNS injury (e.g., cerebral malaria, HIV, TBI, diabetes). Mean time from EBV disease onset to clinical follow-up was 3.5±0.5 (2.5-4.2) yrs. Clinical follow-up included a tablet-based 30-min neuromarker/sensory platform (altoida.com) at enrollment and at several successive 8-month intervals, to gauge neurocognitive sequelae. Adjusting for age, gender, and education, significant EBV deficits were for the global performance, perceptual coordination, processing speed, ocular-motor speed, attention, reasoning, working memory, and problem-solving flexibility tests. For the EBV cohort over time, global performance, perceptual coordination, and working memory declined and were related to optic neuropathy and several plasma neuro-inflammatory biomarkers (7 Olink Explore 384 Assay). During acute illness16 EBV participants had been treated with mAb114, 21 with Regeneron, 7 with ZMapp, and 12 with Remdesivir. Exploratory analyses revealed no neurocognitive sequelae differences among these treatment subgroups.</w:t>
      </w:r>
    </w:p>
    <w:p w14:paraId="24E9B75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25-A-3816-ASTMH</w:t>
      </w:r>
    </w:p>
    <w:p w14:paraId="352BD79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(Immunology)</w:t>
      </w:r>
    </w:p>
    <w:p w14:paraId="6DFB1BF7"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Bma-LAD-2 as a possible novel therapeutic and vaccine target for Lymphatic Filariasis</w:t>
      </w:r>
    </w:p>
    <w:p w14:paraId="556CB79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Lymphatic Filariasis elimination efforts are primarily focused on Mass Drug Administration (MDA) of drugs that are predominantly effective at killing microfilariae. As adult worms can persist for years, MDA typically needs to be repeated in the same communities for several years. Additionally, due to inflammatory side effects induced by anthelmintics with strong microfilaricidal activity, MDA options are suboptimal in areas co-endemic for </w:t>
      </w:r>
      <w:r w:rsidRPr="00AF28B8">
        <w:rPr>
          <w:rFonts w:ascii="Calibri" w:hAnsi="Calibri" w:cs="Calibri"/>
          <w:i/>
          <w:iCs/>
          <w:color w:val="000000"/>
          <w:sz w:val="22"/>
          <w:szCs w:val="22"/>
        </w:rPr>
        <w:t>Loa loa </w:t>
      </w:r>
      <w:r w:rsidRPr="00AF28B8">
        <w:rPr>
          <w:rFonts w:ascii="Calibri" w:hAnsi="Calibri" w:cs="Calibri"/>
          <w:color w:val="000000"/>
          <w:sz w:val="22"/>
          <w:szCs w:val="22"/>
        </w:rPr>
        <w:t>or </w:t>
      </w:r>
      <w:r w:rsidRPr="00AF28B8">
        <w:rPr>
          <w:rFonts w:ascii="Calibri" w:hAnsi="Calibri" w:cs="Calibri"/>
          <w:i/>
          <w:iCs/>
          <w:color w:val="000000"/>
          <w:sz w:val="22"/>
          <w:szCs w:val="22"/>
        </w:rPr>
        <w:t>Onchocerca volvulus</w:t>
      </w:r>
      <w:r w:rsidRPr="00AF28B8">
        <w:rPr>
          <w:rFonts w:ascii="Calibri" w:hAnsi="Calibri" w:cs="Calibri"/>
          <w:color w:val="000000"/>
          <w:sz w:val="22"/>
          <w:szCs w:val="22"/>
        </w:rPr>
        <w:t>. These limitations of current MDA highlight the need for novel macrofilaricidal agents. In this study, we are testing whether agents targeting Bma-LAD-2 can function as novel macrofilaricidal therapeutics. We have previously shown that Bma-LAD-2, a tight junction intestinal protein in </w:t>
      </w:r>
      <w:r w:rsidRPr="00AF28B8">
        <w:rPr>
          <w:rFonts w:ascii="Calibri" w:hAnsi="Calibri" w:cs="Calibri"/>
          <w:i/>
          <w:iCs/>
          <w:color w:val="000000"/>
          <w:sz w:val="22"/>
          <w:szCs w:val="22"/>
        </w:rPr>
        <w:t>Brugia malayi, </w:t>
      </w:r>
      <w:r w:rsidRPr="00AF28B8">
        <w:rPr>
          <w:rFonts w:ascii="Calibri" w:hAnsi="Calibri" w:cs="Calibri"/>
          <w:color w:val="000000"/>
          <w:sz w:val="22"/>
          <w:szCs w:val="22"/>
        </w:rPr>
        <w:t>is essential for adult worm fecundity, metabolism, and motility. We have recombinantly expressed a soluble form of the outer binding Ig domains of Bma-LAD-2 (Bma-LAD-2 Ig1-4) and have created stably transfected HEK293 cells expressing the full-length transmembrane Bma-LAD-2 protein. Bma-LAD-2 transfected HEK293 cells were found to have higher electrical resistance across a monolayer than non-transfected HEK cells by TransEpithelial Electrical Resistance (TEER) assay. Addition of polyclonal rabbit antibodies against Bma-LAD-2 Ig1-4 to the transfected cell line decreased electrical resistance to a level similar to that of non-transfected cells. When adult female </w:t>
      </w:r>
      <w:r w:rsidRPr="00AF28B8">
        <w:rPr>
          <w:rFonts w:ascii="Calibri" w:hAnsi="Calibri" w:cs="Calibri"/>
          <w:i/>
          <w:iCs/>
          <w:color w:val="000000"/>
          <w:sz w:val="22"/>
          <w:szCs w:val="22"/>
        </w:rPr>
        <w:t>B.malayi </w:t>
      </w:r>
      <w:r w:rsidRPr="00AF28B8">
        <w:rPr>
          <w:rFonts w:ascii="Calibri" w:hAnsi="Calibri" w:cs="Calibri"/>
          <w:color w:val="000000"/>
          <w:sz w:val="22"/>
          <w:szCs w:val="22"/>
        </w:rPr>
        <w:t>worms were treated with these anti-Bma-LAD-2 antibodies, release of microfilariae increased significantly as compared to treatment with a control antibody, and release of eggs was also seen. These findings suggest that the targeting of Bma-LAD-2 leads to substantial stress on the worm. We have also created an mRNA vaccine against Bma-LAD-2, with which we have vaccinated mice and collected serum. This serum is currently being tested with our cell line TEER assays and on adult female </w:t>
      </w:r>
      <w:r w:rsidRPr="00AF28B8">
        <w:rPr>
          <w:rFonts w:ascii="Calibri" w:hAnsi="Calibri" w:cs="Calibri"/>
          <w:i/>
          <w:iCs/>
          <w:color w:val="000000"/>
          <w:sz w:val="22"/>
          <w:szCs w:val="22"/>
        </w:rPr>
        <w:t>B.malayi</w:t>
      </w:r>
      <w:r w:rsidRPr="00AF28B8">
        <w:rPr>
          <w:rFonts w:ascii="Calibri" w:hAnsi="Calibri" w:cs="Calibri"/>
          <w:color w:val="000000"/>
          <w:sz w:val="22"/>
          <w:szCs w:val="22"/>
        </w:rPr>
        <w:t> worms. The results of this study suggest that targeting adhesion molecules of nematode intestinal tracts may be a productive approach to the development of novel therapeutics that kill adult nematodes.</w:t>
      </w:r>
    </w:p>
    <w:p w14:paraId="46CBBBD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25-A-3818-ASTMH</w:t>
      </w:r>
    </w:p>
    <w:p w14:paraId="10F2632E"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3DD38C0A"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Why are Fitness Costs of Multidrug Resistant Parasites Lower than Expected? Insights from Single Cell RNA Sequencing</w:t>
      </w:r>
    </w:p>
    <w:p w14:paraId="77B03B8A"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Genetic mutations in malaria parasites which confer resistance to antimalarial drugs typically come with significant fitness costs. These are expected to limit the acquisition of multidrug resistance, under the assumption that fitness costs are additive. However, parasites that are resistant to multiple drugs are common, suggesting that the assumption that fitness costs for acquisition of multiple drug resistance mutations must always be additive should be rigorously tested. We generated malaria parasite lines containing mutations to chloroquine resistance transporter (PfCRT) and Kelch13 which confer resistance to piperaquine (PPQ) and artemisinin (ART), respectively. The CRT-F145I mutation carried a selection coefficient of -0.51, and Kelch13-C580Y mutation carried a selection coefficient of -0.22. However, parasites containing both mutations only had a selection coefficient of -0.5, indicating that the double mutant parasites did not carry any additional fitness cost over CRT mutation alone. In this case, parasites with both mutations are fitter than expected (positive epistasis) contrary to expectation of additive fitness costs. Understanding the mechanisms underlying this positive epistasis is critical to better understand evolution of multidrug resistance. To address this, we used single cell RNA sequencing to investigate how drug resistance mutations, either on their own or in combination, impact transcriptomic variation. We observed that genes which are overexpressed or under expressed in CRT or Kelch13 mutants relative to wild-type are also altered in double-mutant parasites, but to a more moderate degree. Additionally, double mutant parasites uniquely expressed higher levels of CPN60, a chaperone which maintains protein folding in the apicoplast, as well as several genes which facilitate transport of proteins across the parasitophorous vacuolar membrane. These transcriptomic alterations may help compensate for the hemoglobin endocytosis and digestion defects associated with Kelch13 and CRT mutation, respectively.</w:t>
      </w:r>
    </w:p>
    <w:p w14:paraId="3EE90A27"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25-A-3820-ASTMH</w:t>
      </w:r>
    </w:p>
    <w:p w14:paraId="0D375F1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20480F4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i/>
          <w:iCs/>
          <w:color w:val="000000"/>
          <w:sz w:val="22"/>
          <w:szCs w:val="22"/>
        </w:rPr>
        <w:t>Assessing the cryoprotective effect of trehalose dihydrate and its role in establishing mosquito infections using frozen Rift Valley fever virus stocks</w:t>
      </w:r>
    </w:p>
    <w:p w14:paraId="077E3444"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Rift Valley fever (RVF) is a viral disease that affects livestock and can infect humans causing significant morbidity and mortality. It is transmitted by mosquitoes, particularly </w:t>
      </w:r>
      <w:r w:rsidRPr="00AF28B8">
        <w:rPr>
          <w:rFonts w:ascii="Calibri" w:hAnsi="Calibri" w:cs="Calibri"/>
          <w:i/>
          <w:iCs/>
          <w:color w:val="000000"/>
          <w:sz w:val="22"/>
          <w:szCs w:val="22"/>
        </w:rPr>
        <w:t>Aedes</w:t>
      </w:r>
      <w:r w:rsidRPr="00AF28B8">
        <w:rPr>
          <w:rFonts w:ascii="Calibri" w:hAnsi="Calibri" w:cs="Calibri"/>
          <w:color w:val="000000"/>
          <w:sz w:val="22"/>
          <w:szCs w:val="22"/>
        </w:rPr>
        <w:t> and </w:t>
      </w:r>
      <w:r w:rsidRPr="00AF28B8">
        <w:rPr>
          <w:rFonts w:ascii="Calibri" w:hAnsi="Calibri" w:cs="Calibri"/>
          <w:i/>
          <w:iCs/>
          <w:color w:val="000000"/>
          <w:sz w:val="22"/>
          <w:szCs w:val="22"/>
        </w:rPr>
        <w:t>Culex</w:t>
      </w:r>
      <w:r w:rsidRPr="00AF28B8">
        <w:rPr>
          <w:rFonts w:ascii="Calibri" w:hAnsi="Calibri" w:cs="Calibri"/>
          <w:color w:val="000000"/>
          <w:sz w:val="22"/>
          <w:szCs w:val="22"/>
        </w:rPr>
        <w:t> species. To provide deeper insights into the virus's behavior within its vectors and help identify potential intervention strategies, researchers need to utilize models that involve infection of mosquitoes with RVFV. Our preliminary data demonstrate a lack of infectivity of mosquitoes with frozen stocks of RVFV. Therefore, the standard protocol involves culturing freshly-grown virus for inclusion in infectious bloodmeal preparations. While infections are readily established with freshly prepared stocks of RVFV, it causes variability of the viral titer in the bloodmeal between experiments. This study investigates the use of trehalose dihydrate, a natural disaccharide, to enhance the viability of RVFV frozen stocks and help standardize viral titers during bloodmeal preparations. The RVFV vaccine strain MP12 was cultivated on vero cells and stored in Dulbecco's modified Eagle's medium with trehalose and 20% fetal bovine serum (FBS). Stocks were subsequently put through freeze-thaw cycles at 24-hour intervals, during which aliquots were taken for plaque titrations and growth kinetics. In laboratory trials, </w:t>
      </w:r>
      <w:r w:rsidRPr="00AF28B8">
        <w:rPr>
          <w:rFonts w:ascii="Calibri" w:hAnsi="Calibri" w:cs="Calibri"/>
          <w:i/>
          <w:iCs/>
          <w:color w:val="000000"/>
          <w:sz w:val="22"/>
          <w:szCs w:val="22"/>
        </w:rPr>
        <w:t>Culex tarsalis</w:t>
      </w:r>
      <w:r w:rsidRPr="00AF28B8">
        <w:rPr>
          <w:rFonts w:ascii="Calibri" w:hAnsi="Calibri" w:cs="Calibri"/>
          <w:color w:val="000000"/>
          <w:sz w:val="22"/>
          <w:szCs w:val="22"/>
        </w:rPr>
        <w:t> and </w:t>
      </w:r>
      <w:r w:rsidRPr="00AF28B8">
        <w:rPr>
          <w:rFonts w:ascii="Calibri" w:hAnsi="Calibri" w:cs="Calibri"/>
          <w:i/>
          <w:iCs/>
          <w:color w:val="000000"/>
          <w:sz w:val="22"/>
          <w:szCs w:val="22"/>
        </w:rPr>
        <w:t>Cx. quinquefasciatus</w:t>
      </w:r>
      <w:r w:rsidRPr="00AF28B8">
        <w:rPr>
          <w:rFonts w:ascii="Calibri" w:hAnsi="Calibri" w:cs="Calibri"/>
          <w:color w:val="000000"/>
          <w:sz w:val="22"/>
          <w:szCs w:val="22"/>
        </w:rPr>
        <w:t xml:space="preserve"> mosquitoes were exposed to the trehalose-MP12 frozen stocks via ingestion of an artificial bloodmeal preparation. The viral replication in body tissues and saliva of mosquitoes was estimated using quantitative real-time PCR and plaque assays, respectively. Our preliminary findings show that trehalose maintained MP12 titers during freeze/thaw cycles. Additionally, trehalose-MP12 frozen stocks showed a significant increase in infectivity towards mosquitoes, when compared to virus stocks preserved with conventional 20% FBS. These findings </w:t>
      </w:r>
      <w:r w:rsidRPr="00AF28B8">
        <w:rPr>
          <w:rFonts w:ascii="Calibri" w:hAnsi="Calibri" w:cs="Calibri"/>
          <w:color w:val="000000"/>
          <w:sz w:val="22"/>
          <w:szCs w:val="22"/>
        </w:rPr>
        <w:lastRenderedPageBreak/>
        <w:t>suggest that trehalose preserves infectious virus and may enhance the infectivity of MP12-frozen stocks in mosquitoes, an important step toward regulating viral titers during infection experiments.</w:t>
      </w:r>
    </w:p>
    <w:p w14:paraId="0FA7CDA7"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25-A-3821-ASTMH</w:t>
      </w:r>
    </w:p>
    <w:p w14:paraId="338934F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31C0E10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Brugia Test Plus (BT+), a field-deployable, cost-effective, highly sensitive and specific Rapid Diagnostic Test (RDT) for the surveillance of lymphatic filariasis (LF)</w:t>
      </w:r>
    </w:p>
    <w:p w14:paraId="4F84F34D"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Lymphatic filariasis (LF) is a disfiguring disease caused by roundworms </w:t>
      </w:r>
      <w:r w:rsidRPr="00AF28B8">
        <w:rPr>
          <w:rFonts w:ascii="Calibri" w:hAnsi="Calibri" w:cs="Calibri"/>
          <w:i/>
          <w:iCs/>
          <w:color w:val="000000"/>
          <w:sz w:val="22"/>
          <w:szCs w:val="22"/>
        </w:rPr>
        <w:t>W. bancrofti</w:t>
      </w:r>
      <w:r w:rsidRPr="00AF28B8">
        <w:rPr>
          <w:rFonts w:ascii="Calibri" w:hAnsi="Calibri" w:cs="Calibri"/>
          <w:color w:val="000000"/>
          <w:sz w:val="22"/>
          <w:szCs w:val="22"/>
        </w:rPr>
        <w:t> and </w:t>
      </w:r>
      <w:r w:rsidRPr="00AF28B8">
        <w:rPr>
          <w:rFonts w:ascii="Calibri" w:hAnsi="Calibri" w:cs="Calibri"/>
          <w:i/>
          <w:iCs/>
          <w:color w:val="000000"/>
          <w:sz w:val="22"/>
          <w:szCs w:val="22"/>
        </w:rPr>
        <w:t>B. malayi</w:t>
      </w:r>
      <w:r w:rsidRPr="00AF28B8">
        <w:rPr>
          <w:rFonts w:ascii="Calibri" w:hAnsi="Calibri" w:cs="Calibri"/>
          <w:color w:val="000000"/>
          <w:sz w:val="22"/>
          <w:szCs w:val="22"/>
        </w:rPr>
        <w:t>. Elimination programs led by WHO and local ministries of health require sensitive and specific rapid tests for Transmission Assessment Surveys (TAS). Here, we report a new rapid test for </w:t>
      </w:r>
      <w:r w:rsidRPr="00AF28B8">
        <w:rPr>
          <w:rFonts w:ascii="Calibri" w:hAnsi="Calibri" w:cs="Calibri"/>
          <w:i/>
          <w:iCs/>
          <w:color w:val="000000"/>
          <w:sz w:val="22"/>
          <w:szCs w:val="22"/>
        </w:rPr>
        <w:t>B. malayi</w:t>
      </w:r>
      <w:r w:rsidRPr="00AF28B8">
        <w:rPr>
          <w:rFonts w:ascii="Calibri" w:hAnsi="Calibri" w:cs="Calibri"/>
          <w:color w:val="000000"/>
          <w:sz w:val="22"/>
          <w:szCs w:val="22"/>
        </w:rPr>
        <w:t>, called Brugia Test Plus (BT+). This lateral flow test detects human IgG4 antibodies specific for Brugia immunogenic protein BmR1. A first prototype of BT+ was shown to perform exceptionally well both in laboratory (100% sensitivity, 100% specificity) and field settings (85% sensitivity, Belitung-East/Indonesia) and satisfies all key criteria of WHO’s Target Product Profile (TPP) for the surveillance of LF (sensitivity, specificity, shelf life, time-to-result, portability, cost). An additional study conducted in endemic areas of Sabah, Malaysia validated the performance of BT+ across various matrices, including venous blood, capillary blood, plasma, and dried blood spots. BT+ demonstrated high concordance across matrices as well as 100% diagnostic sensitivity compared to microscopy. A second version of BT+ (v2) was developed to ensure reproducible large-scale manufacturing and robust supply chain. A custom anti-Human IgG4 antibody was developed that yields a more stable and sensitive detector particle conjugate. Six antibody lots were qualified, and their conjugation to nanoparticles was determined to be reproducible at small and large scales. The sequence of BmR1 antigen was modified to provide significantly higher yields when expressed in </w:t>
      </w:r>
      <w:r w:rsidRPr="00AF28B8">
        <w:rPr>
          <w:rFonts w:ascii="Calibri" w:hAnsi="Calibri" w:cs="Calibri"/>
          <w:i/>
          <w:iCs/>
          <w:color w:val="000000"/>
          <w:sz w:val="22"/>
          <w:szCs w:val="22"/>
        </w:rPr>
        <w:t>E. coli</w:t>
      </w:r>
      <w:r w:rsidRPr="00AF28B8">
        <w:rPr>
          <w:rFonts w:ascii="Calibri" w:hAnsi="Calibri" w:cs="Calibri"/>
          <w:color w:val="000000"/>
          <w:sz w:val="22"/>
          <w:szCs w:val="22"/>
        </w:rPr>
        <w:t>, thus enabling larger scale production, and to eliminate protein degradation after multiple freeze-thaw cycles. Prototype v2 tests incorporating the new detector antibody and improved BmR1 antigen were manufactured and validated side-by-side with the v1 prototype at external laboratories. BT+v2 demonstrated improved analytical sensitivity without compromise to specificity compared to the v1 prototype. Process development efforts are currently underway for transfer of the BT+v2 assay to large scale manufacturing and design verification studies.</w:t>
      </w:r>
    </w:p>
    <w:p w14:paraId="3A76A83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25-A-3822-ASTMH</w:t>
      </w:r>
    </w:p>
    <w:p w14:paraId="751F23C2"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46ABC00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and validation of a Multiplex Lateral Flow Assay for Simultaneous Point-of-Care Detection of HIV, Syphilis, Malaria, and Anaemia in Antenatal Populations in Ghana</w:t>
      </w:r>
    </w:p>
    <w:p w14:paraId="45F21AB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HIV, syphilis, malaria, and anaemia are significant contributors to adverse pregnancy outcomes in sub-Saharan Africa (SSA), where co-infections and delayed diagnoses remain prevalent. Despite WHO’s endorsement of integrated disease screening in antenatal care (ANC), most health systems still operate fragmented testing services, limiting early detection and effective intervention. We conducted a baseline survey across 132 primary health facilities (CHPS compounds and health centres) in Ghana’s Ashanti Region to assess existing testing rates for HIV, syphilis, malaria, and anaemia among pregnant women. Based on identified gaps, we developed and integrated affordable POCT kits for simultaneous screening of all four conditions during ANC. Kit validation was performed in laboratory settings to assess performance characteristics against gold-standard diagnostics. Baseline testing rates varied significantly: malaria (74%), HIV (72.4%), syphilis (53%), anaemia (28.6%), and combined HIV/syphilis testing (42%). The average combined testing rate across all four conditions was 54%. Cost analysis showed an average testing cost of 120 Ghana cedis (range: 80-160 cedis), while the newly developed integrated POCT kits had a production cost of 17.38 cedis per kit. Performance validation among 320 women demonstrated high diagnostic accuracy. Malaria testing using Pf/Pan compared to microscopy demonstrated an accuracy rate of 99.2%. Similarly, HIV 1&amp;2 testing against the SD Bioline method achieved an accuracy of 99.7%. Ferritin testing for anaemia, when compared to ELISA, exhibited a concordance rate of 98.6%. Finally, syphilis testing in comparison with the SD Bioline method yielded an accuracy rate of 97.9%. </w:t>
      </w:r>
      <w:r w:rsidRPr="00AF28B8">
        <w:rPr>
          <w:rFonts w:ascii="Calibri" w:hAnsi="Calibri" w:cs="Calibri"/>
          <w:color w:val="000000"/>
          <w:sz w:val="22"/>
          <w:szCs w:val="22"/>
        </w:rPr>
        <w:lastRenderedPageBreak/>
        <w:t>Integrated POCTs for HIV, syphilis, malaria, and anaemia significantly enhance the capacity of primary health facilities to deliver comprehensive ANC. Our findings highlight the feasibility, affordability, and high diagnostic accuracy of this approach. This model offers a scalable solution to strengthen maternal health systems across SSA, particularly in rural and resource-limited settings.</w:t>
      </w:r>
    </w:p>
    <w:p w14:paraId="73F7C05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25-A-3823-ASTMH</w:t>
      </w:r>
    </w:p>
    <w:p w14:paraId="029A85A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7D0511A1"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Seasonal variation of Aedes aegypti daily biting activity and resting behaviour across an urbanization gradient in Burkina Faso</w:t>
      </w:r>
    </w:p>
    <w:p w14:paraId="46824AC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2023, Burkina Faso experienced one of the deadliest dengue outbreaks in West Africa, resulting in 154,867 cases and 709 deaths, alongside significant cases of chikungunya. The bionomics of Aedes aegypti the main vector has recently gained increased attention in response to recurrent outbreaks. Despite this, important knowledge gaps remain regarding its resting and blood-feeding behaviour</w:t>
      </w:r>
      <w:r w:rsidRPr="00AF28B8">
        <w:rPr>
          <w:rFonts w:ascii="Calibri" w:hAnsi="Calibri" w:cs="Calibri"/>
          <w:i/>
          <w:iCs/>
          <w:color w:val="000000"/>
          <w:sz w:val="22"/>
          <w:szCs w:val="22"/>
        </w:rPr>
        <w:t>,</w:t>
      </w:r>
      <w:r w:rsidRPr="00AF28B8">
        <w:rPr>
          <w:rFonts w:ascii="Calibri" w:hAnsi="Calibri" w:cs="Calibri"/>
          <w:color w:val="000000"/>
          <w:sz w:val="22"/>
          <w:szCs w:val="22"/>
        </w:rPr>
        <w:t> which are crucial for outbreak prediction and control. In this study, we aimed to assess daily variation in blood-feeding activity and to identify biting and resting locations of Ae. aegypti along an urbanisation gradient in Burkina Faso. Coinciding with the 2023 outbreak, we conducted a six-month survey during the rainy and dry seasons, in Paspanga (urban), Zongo (peri-urban) and Goundry (rural). Biting rates were assessed using 48-hour weekly Human Landing Catches (HLC), both indoors and outdoors. Resting mosquitoes were simultaneously collected over the same period using Prokopack aspirators (PKA). A total of 5,851 Ae. aegypti were caught through HLC, and 3,588 resting mosquitoes were collected using PKA. The number of bites per person varied between 1,000 outdoors and 100 indoors every 48 hours in urban areas. Contrary to the prevailing assumption that </w:t>
      </w:r>
      <w:r w:rsidRPr="00AF28B8">
        <w:rPr>
          <w:rFonts w:ascii="Calibri" w:hAnsi="Calibri" w:cs="Calibri"/>
          <w:i/>
          <w:iCs/>
          <w:color w:val="000000"/>
          <w:sz w:val="22"/>
          <w:szCs w:val="22"/>
        </w:rPr>
        <w:t>Ae. aegypti</w:t>
      </w:r>
      <w:r w:rsidRPr="00AF28B8">
        <w:rPr>
          <w:rFonts w:ascii="Calibri" w:hAnsi="Calibri" w:cs="Calibri"/>
          <w:color w:val="000000"/>
          <w:sz w:val="22"/>
          <w:szCs w:val="22"/>
        </w:rPr>
        <w:t> is strictly diurnal, we observed continuous biting over a 24-hour period, with two distinct peaks: one between 5 a.m. and 9 a.m., and another between 4 p.m. and 7 p.m. Biting rates decreased from urban to rural localities, accompanied by shifts in daily biting patterns. While the evening peak remained consistent across all sites, the morning peak was absent in rural areas. </w:t>
      </w:r>
      <w:r w:rsidRPr="00AF28B8">
        <w:rPr>
          <w:rFonts w:ascii="Calibri" w:hAnsi="Calibri" w:cs="Calibri"/>
          <w:i/>
          <w:iCs/>
          <w:color w:val="000000"/>
          <w:sz w:val="22"/>
          <w:szCs w:val="22"/>
        </w:rPr>
        <w:t>Aedes aegypti </w:t>
      </w:r>
      <w:r w:rsidRPr="00AF28B8">
        <w:rPr>
          <w:rFonts w:ascii="Calibri" w:hAnsi="Calibri" w:cs="Calibri"/>
          <w:color w:val="000000"/>
          <w:sz w:val="22"/>
          <w:szCs w:val="22"/>
        </w:rPr>
        <w:t>predominantly rested outdoors in both urban and rural locations, with outdoor-to-indoor ratios ranging from 1.5 to 2.6. These proportions declined during the dry season, with shift from outdoor to indoor resting in urban and peri-urban areas during the dry season. The underlying causes of these atypical and varying behaviours require further investigation, including the potential roles of genomic variation and climatic influences.</w:t>
      </w:r>
    </w:p>
    <w:p w14:paraId="0F7B4D1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25-A-3824-ASTMH</w:t>
      </w:r>
    </w:p>
    <w:p w14:paraId="0849704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0465367A"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descriptive analysis of mortality in rural Western Kenya using Health and Demographic Surveillance System data, 2008-2023</w:t>
      </w:r>
    </w:p>
    <w:p w14:paraId="39E7A243"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Vital statistics are critical for estimating annual changes in population size and structure. Most low- and middle-income countries lack a robust civil registration system. The Kenya Medical Research Institute together with Emory University runs the Karemo and Manyatta Health and Demographic Surveillance Systems (HDSS) with an aim of monitoring population dynamics including changes in morbidity changes and impact of interventions. Here, we describe mortality in Karemo and Manyatta respectively. We calculated mortality rates and assessed differences in mortality across three intervals by age and sex in Karemo and two intervals by age and sex in Manyatta. We used Kaplan- Meier method to calculate the period survival function, median survival and mean life expectancies. We estimated trend and seasonality by plotting monthly mortality rates. In Karemo, overall mortality declined by 37.3%. Overtime, we noted a decrease of 11%, 60%, 49%, 50% and 1% among 0-28 days old, 29 days-365 days old, &lt;5 years old, 15-54 years old and ≥75 years old respectively. In Manyatta, overall mortality declined by 17%. Overtime, we noted an increase of 10% and 2.3 % among 29-365 days old and &lt;5 years old respectively, a decrease of 31% among 15-54 years and ≥75 years old. Life expectancies at birth increased by from 62.95 years to 65.80 years in Karemo and from 63.39 years to 66.04 years in Manyatta. Females survived longer than males by 1.38 years in Karemo and 1.40 years in Manyatta. </w:t>
      </w:r>
      <w:r w:rsidRPr="00AF28B8">
        <w:rPr>
          <w:rFonts w:ascii="Calibri" w:hAnsi="Calibri" w:cs="Calibri"/>
          <w:color w:val="000000"/>
          <w:sz w:val="22"/>
          <w:szCs w:val="22"/>
        </w:rPr>
        <w:lastRenderedPageBreak/>
        <w:t>Seasonality was observed in the 1-4-year age category in Karemo and no seasonality observed in Manyatta. Mortality in Karemo has declined substantially among children and young adults but not in neonates while mortality increased among &lt; 5 children in Manyatta. There is need for targeted intervention to reduce neonatal and under five mortalities in Karemo and Manyatta respectively. The observed increase in life expectancies suggests possible improvement in living standards.</w:t>
      </w:r>
    </w:p>
    <w:p w14:paraId="0648CA2C"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25-A-3825-ASTMH</w:t>
      </w:r>
    </w:p>
    <w:p w14:paraId="3180A7B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2FAE038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Testing the feasibility of high frequency parent-collected respiratory and diarrheal symptom data for children under 5</w:t>
      </w:r>
    </w:p>
    <w:p w14:paraId="41C902F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Collecting quality, high-frequency symptom data to study pediatric acute respiratory illnesses (ARI) and diarrheal illness is challenging in settings with limited smartphone penetration and/or where it is not feasible to conduct regular fieldworker visits. To assess the feasibility and quality of parent-administered daily checklists for ARI and diarrheal symptoms among children under five years of age, we conducted a 12-week pilot in Chitwan, Nepal. The pilot is nested within a household panel study ongoing for 30 years, the Chitwan Valley Family Study. We enrolled 56 children in 40 households. Households were 1:1 randomized to receive a daily reminder text message (versus none). Parents were instructed to complete a set of daily checklists of seven symptoms with specified definitions (yes/no): diarrhea, fever, runny nose, cough, difficulty breathing or wheezing, fatigue, and loss of appetite for each child under five in the household. Trained interviewers called respondents weekly to collect reports of daily diary data. In the final week, we administered additional survey questions related to respondents’ experience participating in the pilot. We analyzed indicators of completion and study participation to assess feasibility. Overall, parents completed 86.9% of weekly data collections. Each week, at least 90% of respondents completed the daily diary for one or more days. The total percentage of parents who completed a full week of data diaries ranged from 85.0% to 95.0%, except in the first and last weeks (65.0%; 75.0% respectively). Completion did not vary depending on the number of children per household. Receiving a reminder text message did not significantly affect daily diary completion, though all respondents receiving text reminders reported it helpful and the majority that did not reported that they would prefer a text reminder (73.7%). Symptom reporting did not vary over time, number of children in the household, or whether the parent received a reminder text. In conclusion, our pilot demonstrated feasibility of this data collection protocol, though it is possible we will observe greater dropout over time in a longer study period.</w:t>
      </w:r>
    </w:p>
    <w:p w14:paraId="5782AF4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25-A-3826-ASTMH</w:t>
      </w:r>
    </w:p>
    <w:p w14:paraId="4B8B9E9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4651137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analysis reveals clonal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populations with structured patterns across geographically distant communities in the Peruvian Amazon</w:t>
      </w:r>
    </w:p>
    <w:p w14:paraId="2F640CE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 vivax</w:t>
      </w:r>
      <w:r w:rsidRPr="00AF28B8">
        <w:rPr>
          <w:rFonts w:ascii="Calibri" w:hAnsi="Calibri" w:cs="Calibri"/>
          <w:color w:val="000000"/>
          <w:sz w:val="22"/>
          <w:szCs w:val="22"/>
        </w:rPr>
        <w:t> remains a challenging parasite in malaria elimination efforts. Investigating its population genomics provide insights into transmission patterns, geographic distribution, and surveillance of resistance genes. This study compared the population genomics of </w:t>
      </w:r>
      <w:r w:rsidRPr="00AF28B8">
        <w:rPr>
          <w:rFonts w:ascii="Calibri" w:hAnsi="Calibri" w:cs="Calibri"/>
          <w:i/>
          <w:iCs/>
          <w:color w:val="000000"/>
          <w:sz w:val="22"/>
          <w:szCs w:val="22"/>
        </w:rPr>
        <w:t>P. vivax</w:t>
      </w:r>
      <w:r w:rsidRPr="00AF28B8">
        <w:rPr>
          <w:rFonts w:ascii="Calibri" w:hAnsi="Calibri" w:cs="Calibri"/>
          <w:color w:val="000000"/>
          <w:sz w:val="22"/>
          <w:szCs w:val="22"/>
        </w:rPr>
        <w:t> across different years and communities in the Loreto region of Peru. Capillary blood samples were collected through weekly active and passive case detection, as well as population screenings, from February to August in 2021-2022, in Libertad and Urcomiraño communities in Mazan district. Out of 34 samples conveniently selected for whole-genome sequencing, 23 passed the quality control filters. Additionally, 42 publicly available </w:t>
      </w:r>
      <w:r w:rsidRPr="00AF28B8">
        <w:rPr>
          <w:rFonts w:ascii="Calibri" w:hAnsi="Calibri" w:cs="Calibri"/>
          <w:i/>
          <w:iCs/>
          <w:color w:val="000000"/>
          <w:sz w:val="22"/>
          <w:szCs w:val="22"/>
        </w:rPr>
        <w:t>P. vivax</w:t>
      </w:r>
      <w:r w:rsidRPr="00AF28B8">
        <w:rPr>
          <w:rFonts w:ascii="Calibri" w:hAnsi="Calibri" w:cs="Calibri"/>
          <w:color w:val="000000"/>
          <w:sz w:val="22"/>
          <w:szCs w:val="22"/>
        </w:rPr>
        <w:t> genomes from Loreto were also included for the analysis. Genomic diversity, population differentiation, identity-by-descent (IBD), and population structure were analyzed using around 19,000 bi-allelic SNPs. Results indicated modest genetic differentiation (Fst</w:t>
      </w:r>
      <w:r w:rsidRPr="00AF28B8">
        <w:rPr>
          <w:rFonts w:ascii="Calibri" w:hAnsi="Calibri" w:cs="Calibri"/>
          <w:color w:val="000000"/>
          <w:sz w:val="22"/>
          <w:szCs w:val="22"/>
          <w:vertAlign w:val="subscript"/>
        </w:rPr>
        <w:t>W-C</w:t>
      </w:r>
      <w:r w:rsidRPr="00AF28B8">
        <w:rPr>
          <w:rFonts w:ascii="Calibri" w:hAnsi="Calibri" w:cs="Calibri"/>
          <w:color w:val="000000"/>
          <w:sz w:val="22"/>
          <w:szCs w:val="22"/>
        </w:rPr>
        <w:t>=0.06) between Libertad and Urcomiraño, with moderate differentiation (Fst</w:t>
      </w:r>
      <w:r w:rsidRPr="00AF28B8">
        <w:rPr>
          <w:rFonts w:ascii="Calibri" w:hAnsi="Calibri" w:cs="Calibri"/>
          <w:color w:val="000000"/>
          <w:sz w:val="22"/>
          <w:szCs w:val="22"/>
          <w:vertAlign w:val="subscript"/>
        </w:rPr>
        <w:t>W-C</w:t>
      </w:r>
      <w:r w:rsidRPr="00AF28B8">
        <w:rPr>
          <w:rFonts w:ascii="Calibri" w:hAnsi="Calibri" w:cs="Calibri"/>
          <w:color w:val="000000"/>
          <w:sz w:val="22"/>
          <w:szCs w:val="22"/>
        </w:rPr>
        <w:t xml:space="preserve">&gt;0.14) observed relative to samples from the rest of communities. Five subpopulations (K=5) were identified across all places and time in the admixture analysis, although one was predominant in 2022, corresponding to Libertad and </w:t>
      </w:r>
      <w:r w:rsidRPr="00AF28B8">
        <w:rPr>
          <w:rFonts w:ascii="Calibri" w:hAnsi="Calibri" w:cs="Calibri"/>
          <w:color w:val="000000"/>
          <w:sz w:val="22"/>
          <w:szCs w:val="22"/>
        </w:rPr>
        <w:lastRenderedPageBreak/>
        <w:t>Urcomiraño. IBD analysis revealed a highly clonal population between Libertad and Urcomiraño (IBD ≥ 90%). These findings suggest a dynamic shift toward clonal </w:t>
      </w:r>
      <w:r w:rsidRPr="00AF28B8">
        <w:rPr>
          <w:rFonts w:ascii="Calibri" w:hAnsi="Calibri" w:cs="Calibri"/>
          <w:i/>
          <w:iCs/>
          <w:color w:val="000000"/>
          <w:sz w:val="22"/>
          <w:szCs w:val="22"/>
        </w:rPr>
        <w:t>P. vivax</w:t>
      </w:r>
      <w:r w:rsidRPr="00AF28B8">
        <w:rPr>
          <w:rFonts w:ascii="Calibri" w:hAnsi="Calibri" w:cs="Calibri"/>
          <w:color w:val="000000"/>
          <w:sz w:val="22"/>
          <w:szCs w:val="22"/>
        </w:rPr>
        <w:t> populations, potentially influenced by Peru’s 'Malaria Zero' control program, which began in 2017 and has been changed to a national elimination plan currently. These results provide insights into a potential bottleneck effect imposed by ongoing interventions. The emergence of clonality indicates reduced and potentially focal transmission, a pattern often associated with residual or declining malaria transmission. These findings should be integrated into future strategies within the current elimination plan.</w:t>
      </w:r>
    </w:p>
    <w:p w14:paraId="2C4ECF02"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25-A-3827-ASTMH</w:t>
      </w:r>
    </w:p>
    <w:p w14:paraId="66684D33"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4A6696B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Impact of pre-Treatment Food Intake on Praziquantel Absorption, Metabolism, Treatment-associated Side Effects and Efficacy: A Systematic Review</w:t>
      </w:r>
    </w:p>
    <w:p w14:paraId="5CAFACC3"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Praziquantel (PZQ) is the drug of choice for diseases such as schistosomiasis, opisthorchiasis and taeniasis. The WHO advises administering PZQ with food to decrease side effects. However, there is a scarcity of evidence of food types' effects on treatment outcomes and many PZQ mass drug administration programs do not provide food. This review aims to close the knowledge gap by i) examining whether studies report pre-treatment food intake, and ii) assessing whether the presence of, and/or type of, food impacts four key treatment outcomes in humans: absorption, metabolism, side effects and efficacy. A systematic literature search was conducted in Embase, PubMed, Web of Science, and African Index Medicus on 26/02/2025. The search strategy was based on three key concepts: i) PZQ, ii) Food, and iii) not a study on animals only. Titles and abstracts were screened for any of the key treatment outcomes: absorption, metabolism, side effects or efficacy. Full texts of potentially relevant articles were reviewed, and studies reporting on pre-treatment food were included in the analysis. The search yielded</w:t>
      </w:r>
      <w:r w:rsidRPr="00AF28B8">
        <w:rPr>
          <w:rFonts w:ascii="Calibri" w:hAnsi="Calibri" w:cs="Calibri"/>
          <w:b/>
          <w:bCs/>
          <w:color w:val="000000"/>
          <w:sz w:val="22"/>
          <w:szCs w:val="22"/>
        </w:rPr>
        <w:t> </w:t>
      </w:r>
      <w:r w:rsidRPr="00AF28B8">
        <w:rPr>
          <w:rFonts w:ascii="Calibri" w:hAnsi="Calibri" w:cs="Calibri"/>
          <w:color w:val="000000"/>
          <w:sz w:val="22"/>
          <w:szCs w:val="22"/>
        </w:rPr>
        <w:t>9881 records, of which 4047 duplicates were excluded. In total, 655 full-texts were retrieved, of which 64 (9.7%) reported whether food was administered with PZQ. Of the 64 articles, 58 (90.6%) indicated pre-treatment food intake or fasting but did not assess the treatment outcomes, 4 (6.3%) compared different pre-treatment food types to fasting and found increased drug bioavailability with food intake and another 2 (3.1%) reported that pre-treatment food intake reduced side effects, especially with fatty meals. There is a scarcity of publications reporting food alongside PZQ. Even fewer studies investigated the impact of pre-treatment food intake on praziquantel absorption, metabolism, side effects and efficacy. There is a clear need for research to determine the effect of not feeding/feeding on the impact of PZQ and whether/how co-administration of PZQ with specific food types impacts absorption, metabolism, side effects, and efficacy, particularly in individuals living in areas endemic for the parasites PZQ targets such as </w:t>
      </w:r>
      <w:r w:rsidRPr="00AF28B8">
        <w:rPr>
          <w:rFonts w:ascii="Calibri" w:hAnsi="Calibri" w:cs="Calibri"/>
          <w:i/>
          <w:iCs/>
          <w:color w:val="000000"/>
          <w:sz w:val="22"/>
          <w:szCs w:val="22"/>
        </w:rPr>
        <w:t>Schistosoma</w:t>
      </w:r>
      <w:r w:rsidRPr="00AF28B8">
        <w:rPr>
          <w:rFonts w:ascii="Calibri" w:hAnsi="Calibri" w:cs="Calibri"/>
          <w:color w:val="000000"/>
          <w:sz w:val="22"/>
          <w:szCs w:val="22"/>
        </w:rPr>
        <w:t> spp.</w:t>
      </w:r>
    </w:p>
    <w:p w14:paraId="5A8391F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25-A-3829-ASTMH</w:t>
      </w:r>
    </w:p>
    <w:p w14:paraId="0483F532"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Vaccine Clinical Trials</w:t>
      </w:r>
    </w:p>
    <w:p w14:paraId="55623CAE"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Long-term persistence and boostability of immune responses following different rabies pre-exposure prophylaxis priming schedules of a PCEC rabies vaccine</w:t>
      </w:r>
    </w:p>
    <w:p w14:paraId="34BEBDEC"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Rabies remains a significant public health issue, particularly in regions where the disease is endemic, necessitating effective and lasting vaccination strategies.This study aims to evaluate the long-term persistence of rabies virus-neutralizing antibody (RVNA) responses in subjects following different rabies pre-exposure prophylaxis (PrEP) primary schedules and the antibody responses to a booster dose using the purified chick embryo cell rabies vaccine (PCEC-RV). Adults who completed the parent study (NCT01662440; safety and immunogenicity of different primary PrEP regimens with PCEC and Japanese encephalitis [JE] vaccine) and received full rabies PrEP regimens (Rabies+JE-Accelerated, Rabies+JE-Conventional, and Rabies-Conventional) were enrolled in this phase III, open-label extension study (NCT02545517). Immunogenicity was assessed by rabies virus neutralizing antibody (RVNA) concentrations, and levels ≥0.5 international units (IU)/mL were considered adequate for protection. Participants with RVNA concentrations &lt;0.5 IU/mL were eligible to receive a PCEC-RV booster. After 10 </w:t>
      </w:r>
      <w:r w:rsidRPr="00AF28B8">
        <w:rPr>
          <w:rFonts w:ascii="Calibri" w:hAnsi="Calibri" w:cs="Calibri"/>
          <w:color w:val="000000"/>
          <w:sz w:val="22"/>
          <w:szCs w:val="22"/>
        </w:rPr>
        <w:lastRenderedPageBreak/>
        <w:t>years, the probability of detecting adequate RVNA concentrations was 57.8% for the Rabies + JE-Accelerated group, 60.2% for the Rabies + JE-conventional, and 62.0% for the Rabies-Conventional group. The study demonstrated a strong immunogenic response to a PCEC rabies vaccine booster dose, irrespective of the primary regimen received. Furthermore, the response was independent of the time elapsed since the last primary vaccine dose administration.</w:t>
      </w:r>
    </w:p>
    <w:p w14:paraId="1488D0F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25-A-3833-ASTMH</w:t>
      </w:r>
    </w:p>
    <w:p w14:paraId="5FC653F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6905E08"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Sustainability of Indoor Residual Spraying (IRS) gains in Uganda, Past and current experiences and implications to the country’s malaria elimination efforts</w:t>
      </w:r>
    </w:p>
    <w:p w14:paraId="7B744C4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Uganda is the third leading contributor to the global malaria burden representing 4.8% of the 263 million cases and 2.7% of 597,000 deaths (WHO 2024</w:t>
      </w:r>
      <w:r w:rsidRPr="00AF28B8">
        <w:rPr>
          <w:rFonts w:ascii="Calibri" w:hAnsi="Calibri" w:cs="Calibri"/>
          <w:b/>
          <w:bCs/>
          <w:color w:val="000000"/>
          <w:sz w:val="22"/>
          <w:szCs w:val="22"/>
        </w:rPr>
        <w:t>). </w:t>
      </w:r>
      <w:r w:rsidRPr="00AF28B8">
        <w:rPr>
          <w:rFonts w:ascii="Calibri" w:hAnsi="Calibri" w:cs="Calibri"/>
          <w:color w:val="000000"/>
          <w:sz w:val="22"/>
          <w:szCs w:val="22"/>
        </w:rPr>
        <w:t>The Ministry of Health through the National Malaria Elimination Division has put in place several interventions including insecticide treated nets, indoor residual spraying, seasonal malaria chemoprevention (SMC), case management and more recently malaria vaccines among others to combat malaria. The Indoor residual spraying has been implemented in Uganda since 2006. In 2009, ten districts in northern Uganda had been enrolled followed by 16 districts in eastern Uganda in 2015 and 9 districts in West Nile in 2022. The implementation of IRS has been financed through external funding particularly the Presidents’ Malaria Initiative (PMI) and the Global Fund. However, there has been progressive reduction in scope of funding which has affected the scale of implementation and potential impact from IRS. A review of the IRS program implementation over the previous two decades was conducted through a comprehensive review of literature supplemented by program observations to generate evidence as part of the efforts for the future elimination plans. From 2009-2014, IRS was implemented in 10 districts in Northern Uganda where malaria prevalence reduced from 63% to 7.5%. Exit from these districts in 2014 resulted in an unprecedented malaria epidemic in 2015-2016 which led to the reversal of the gains to the pre IRS levels. (Uganda Malaria Indicator Survey, 2014). In 2014, IRS was moved to 16 historically high-burden districts in North-Eastern Uganda where malaria prevalence reduced from 13% (2014) to 3.4% (2018-19). This was invariably followed by a malaria epidemic in 2021-2022. UMIS 2018/19). In 2022, IRS was introduced in 9 districts in the West Nile region and re-introduced in 4 districts in the mid-north region. In 2025, IRS campaigns in 7 of the 20 districts in eastern Uganda was interrupted by the United States Government Stop work order. The disruption has demonstrated vulnerability of the IRS program and therefore calls for domestic (co)-financing to support the sustainability of the program.</w:t>
      </w:r>
    </w:p>
    <w:p w14:paraId="379FCEF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25-A-3834-ASTMH</w:t>
      </w:r>
    </w:p>
    <w:p w14:paraId="08D374A2"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332E265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Bacterial resistance profiles in trauma patients treated at a Fracture Care Center in Montería,Córdoba, Colombia (2022-2023)</w:t>
      </w:r>
    </w:p>
    <w:p w14:paraId="0C81E05A"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Antimicrobial resistance (AMR) poses a critical threat in orthopedic trauma care, where infections complicate recovery and increase morbidity. This study characterizes bacterial isolates and resistance patterns in a fracture care center in Montería, Colombia, to inform local stewardship efforts.From 2022-2023, 65 clinical samples (primarily purulent wound secretions) were collected from post-traumatic/surgical sites (lower limbs, knees, feet) and processed using standard microbiological protocols. Antimicrobial susceptibility testing followed CLSI guidelines.Staphylococcus aureus (40% of isolates), Escherichia coli, and Pseudomonas aeruginosa were the most prevalent pathogens. Multidrug resistance (MDR) was prominent: P. aeruginosa exhibited resistance to ceftazidime (45%) and ciprofloxacin (38%); Klebsiella pneumoniae showed carbapenem resistance (15%). ESBL production was detected in 22% of E. coli and Klebsiella spp. isolates. Osteosynthesis hardware (plates/screws) was frequently associated with polymicrobial infections.High MDR prevalence, including carbapenem-resistant Enterobacterales and fluoroquinolone-resistant Pseudomonas, highlights urgent needs for </w:t>
      </w:r>
      <w:r w:rsidRPr="00AF28B8">
        <w:rPr>
          <w:rFonts w:ascii="Calibri" w:hAnsi="Calibri" w:cs="Calibri"/>
          <w:color w:val="000000"/>
          <w:sz w:val="22"/>
          <w:szCs w:val="22"/>
        </w:rPr>
        <w:lastRenderedPageBreak/>
        <w:t>enhanced infection prevention protocols and antibiotic stewardship in trauma care. These findings underscore regional AMR trends demanding tailored interventions to mitigate treatment failures.</w:t>
      </w:r>
    </w:p>
    <w:p w14:paraId="6D88A32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25-A-3835-ASTMH</w:t>
      </w:r>
    </w:p>
    <w:p w14:paraId="2DE6F8F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10E8E1D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Vector Control Failure Modes and Troubleshooting</w:t>
      </w:r>
    </w:p>
    <w:p w14:paraId="512C8FA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vector control - through larval source management (LSM), indoor residual spraying (IRS), and mass distribution of long-lasting insecticide treated bed nets (LLINs) - has played an important role in controlling malaria transmission over more than a century, saving millions of lives. A challenge for vector control, for malaria programs and in randomized control trials, is what to do when it fails to fulfill its objectives: what are the failure modes for vector control? Using data from the Bioko Island Malaria Elimination Project and other well-documented vector control programs, we identify some reasons for failure related to baseline transmission intensity and seasonality, human mobility, mosquito mobility, the overall coverage targets, failure to achieve those targets, heterogeneous coverage, refractory mosquito behaviors including minor vectors, insecticide resistance, changes in the baseline due to unusual weather events, insecticide failure, insecticide resistance, and drug resistance. If malaria transmission has saturated, or if resistance to drugs has evolved, vector control can suppress transmission but show disappointing disease outcomes in the follow up. Accurate assessments of the outcome of vector control in these situations can be handled, in some cases, by measuring entomological outcomes. Troubleshooting other failures should ask a series of other questions: What fraction of malaria was locally acquired? Was the malaria vector control implemented at a large enough scale? What level of coverage was truly achieved? What is the spatial distribution of that coverage? Did something else change? Does the local mosquito population have behaviors that need to be considered to increase the effects? Are the resting sites of mosquitoes being sprayed? Have the mosquitoes evolved new physiological mechanisms that reduce the effects of the insecticides? Answers to these questions require robust data, so programs should invest in data-driven decision support systems that are adaptable to changing conditions to readily respond by collecting new data fit for particular problems.</w:t>
      </w:r>
    </w:p>
    <w:p w14:paraId="358EF8D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25-A-3836-ASTMH</w:t>
      </w:r>
    </w:p>
    <w:p w14:paraId="48EE2D45"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Genomics, Proteomics and Metabolomics, Molecular Therapeutic Targets (Including Leishmania and Trypanosomes)</w:t>
      </w:r>
    </w:p>
    <w:p w14:paraId="744B9AF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Beyond the Vector: The Important Role of Congenital Transmission in Chagas Disease</w:t>
      </w:r>
    </w:p>
    <w:p w14:paraId="1385BD78"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recent decades, molecular diagnosis for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infection has gained prominence, particularly in critical applications such as early detection of congenital transmission. This mode of transmission, prevalent outside endemic regions, significantly contributes to the urbanization of the disease. Congenitally infected infants may exhibit severe manifestations, but most remain asymptomatic, making diagnosis and treatment unlikely unless actively sought. Over 1.1 million women of childbearing age in Latin America are infected with the parasite. Approximately 8,668 new cases of congenital Chagas disease occur each year. This study analyzed 90 clinical samples, 57 maternal blood (MB) and 33 umbilical cord blood (CB), from Argentina, Honduras, and Mexico using next-generation sequencing (NGS) of the mini-exon gene. The samples were genotyped to identify mini-exon gene haplotypes (HTs) and determine the presence of mixed infections (multiple Discrete Typing Units (DTUs)). The sequencing data was mapped to seven DTU reference sequences (TcI-TcVI and TcBat) to assess genetic diversity and phylogenetic relationships. This revealed multiple HTs across all samples, with mixed infections in most. Phylogenetic analysis showed a predominance of TcII, TcV, and TcVI, as well TcI. The diversity of dominant HTs (&gt;1%) from each DTU varied depending on the country of origin. Paired MB and CB samples from multiple regions revealed diverse </w:t>
      </w:r>
      <w:r w:rsidRPr="00AF28B8">
        <w:rPr>
          <w:rFonts w:ascii="Calibri" w:hAnsi="Calibri" w:cs="Calibri"/>
          <w:i/>
          <w:iCs/>
          <w:color w:val="000000"/>
          <w:sz w:val="22"/>
          <w:szCs w:val="22"/>
        </w:rPr>
        <w:t>T. cruzi</w:t>
      </w:r>
      <w:r w:rsidRPr="00AF28B8">
        <w:rPr>
          <w:rFonts w:ascii="Calibri" w:hAnsi="Calibri" w:cs="Calibri"/>
          <w:color w:val="000000"/>
          <w:sz w:val="22"/>
          <w:szCs w:val="22"/>
        </w:rPr>
        <w:t xml:space="preserve"> HTs across DTUs TcI, TcII, TcV, and TcVI. In Honduras, HTs identified in MB included TcV, TcII, and TcIV, while CB samples showed TcV and TcI, suggesting potential vertical transmission diversity. Samples from Mexico displayed concordant HT presence between MB and CB, primarily TcV and TcVI. Cumulative analysis across Argentina, </w:t>
      </w:r>
      <w:r w:rsidRPr="00AF28B8">
        <w:rPr>
          <w:rFonts w:ascii="Calibri" w:hAnsi="Calibri" w:cs="Calibri"/>
          <w:color w:val="000000"/>
          <w:sz w:val="22"/>
          <w:szCs w:val="22"/>
        </w:rPr>
        <w:lastRenderedPageBreak/>
        <w:t>Honduras, and Mexico indicated the highest HT diversity in TcV (46 HTs), followed by TcII (31), TcVI (26), and TcI (23), reflecting regional variation in HT DTU distribution, instead of DTU level variation as previously reported. This study validates the use of NGS for parasite genotyping and detecting multiclonal infections in congenital Chagas disease cases.</w:t>
      </w:r>
    </w:p>
    <w:p w14:paraId="0CC26B41"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25-A-3837-ASTMH</w:t>
      </w:r>
    </w:p>
    <w:p w14:paraId="19995B1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2B48E105"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Accelerating elimination of Neglected Tropical diseases: A community-centered approach to identify challenges and locally available resources for effective interventions in Cameroon</w:t>
      </w:r>
    </w:p>
    <w:p w14:paraId="25ED37DD"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main targets of Cameroon’s National elimination plan for Neglected Tropical Diseases (NTDs) include the end of Onchocerciasis and Yaws transmission specifically. Despite efforts for elimination of NTDs, prevalence of these diseases remains high in several regions. Community-drug distributors are often used for mass drug administration, but their efficiency seems to be limited given the persistence of certain NTDs in communities. With the ongoing challenges in global health, it is crucial to develop and leverage local solutions for improved effectiveness and sustainability. This study aims to use a participatory approach using the community to assess challenges and bottlenecks to the implementation of effective interventions for NTDs control, but also to determine local resources and solutions that can help accelerate elimination towards 2030. Because women have shown to be disproportionately affected by NTDs, as patients and as caretakers, due to social, cultural and economic factors, this study will also focus on a gender approach to improve access for vulnerable populations. This study is a gap analysis conducted in the Far North region, which is a humanitarian zone, and in the South region of Cameroon, between March and August 2025. The study is a mixed methods including quantitative (questionnaires and participatory community mapping), and qualitative (focus group discussion) data. The study participants include local authorities, community members, community drug distributors, patients, health personnel. The expected outcomes are to make recommendations which will improve effective interventions using a community-centered approach, and eventually accelerate elimination of Onchocerciasis and Yaws. The result from this study will inform community action plans and can also serve as policy briefs to inform policy makers, government officials, UN agencies, NGOs, and other public health actors. This study will serve as a pilot that can be extended to other regions or replicated in other countries to accelerate NTDs elimination, and can also be generalizable to other programs, for instance vaccination.</w:t>
      </w:r>
    </w:p>
    <w:p w14:paraId="1884D1DC"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25-A-3838-ASTMH</w:t>
      </w:r>
    </w:p>
    <w:p w14:paraId="3A739DB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(Epidemiology)</w:t>
      </w:r>
    </w:p>
    <w:p w14:paraId="0076698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criteria to stop mass drug administration for lymphatic filariasis have been achieved in Abia, Anambra, Delta, Ebonyi, Edo, Enugu, and Imo states of Nigeria</w:t>
      </w:r>
    </w:p>
    <w:p w14:paraId="59BBE13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Nigeria bears the highest burden of lymphatic filariasis (LF) in Africa. The LF implementation unit in Nigeria is the local government area (LGA). In 7 Nigerian states (Abia, Anambra, Delta, Ebonyi, Edo, Enugu and Imo), 111 of the 138 LGAs were endemic for LF and received 5 or more (median: 6, range: 5 - 8) annual rounds of effective (≥ 65% therapeutic coverage) mass drug administration (MDA) with ivermectin and albendazole starting in 2014. We conducted preliminary transmission assessment surveys (pre-TAS) and the first transmission assessment survey (TAS-1) in the endemic LGAs. For pre-TAS, blood samples were collected from at least 300 people 5 years and older in each of 1 sentinel and 1 spot-check village in each LGA and tested for circulating filarial antigen (CFA) using Alere Filariasis Test Strips (FTS). All 111 LGAs passed pre-TAS with &lt;2% antigenemia in each village, becoming eligible for TAS-1. 107 of the 111 LGAs were grouped into 79 evaluation units (EUs) for TAS-1. In each EU, blood samples were taken for FTS from primary class 1 and 2 pupils (assumed to be 6 or 7 years old) in primary schools randomly selected using the World Health Organization (WHO) Survey Sample Builder (SSB). The target sample size for each EU (range: 606 - 1,617) was achieved. 66 EUs had no positive cases. Positive samples in 13 EUs (range: 1 - 2) were less than the SSB-defined threshold (range: 7 - 18). All 79 EUS </w:t>
      </w:r>
      <w:r w:rsidRPr="00AF28B8">
        <w:rPr>
          <w:rFonts w:ascii="Calibri" w:hAnsi="Calibri" w:cs="Calibri"/>
          <w:color w:val="000000"/>
          <w:sz w:val="22"/>
          <w:szCs w:val="22"/>
        </w:rPr>
        <w:lastRenderedPageBreak/>
        <w:t>passed TAS-1, thus meeting the WHO criteria to stop LF MDA. Treatment was stopped for 28,316,865people in 107 of the 583 endemic LGAs in Nigeria, which now enter 3-5 years of post-treatment surveillance, marking significant progress towards elimination for Nigeria.</w:t>
      </w:r>
    </w:p>
    <w:p w14:paraId="17BB23F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25-A-3839-ASTMH</w:t>
      </w:r>
    </w:p>
    <w:p w14:paraId="01608AA3"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6FB34E01"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Exploiting flavivirus cross-reactivity to generate a universal flavivirus vaccine</w:t>
      </w:r>
    </w:p>
    <w:p w14:paraId="4CC45E7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Flaviviruses including Zika, dengue, yellow fever and West Nile viruses share endemic regions, which increases the chances for people living in those places to be exposed to multiple different flaviviruses in their lifetime. There is also a high degree of genetic similarity between flaviviruses, and we and others have shown that there are differences in the immune responses in individuals who have had a prior flavivirus exposure compared to those who are flavivirus naive. This cross-recognition or immune cross-reactivity between flaviviruses after secondary flavivirus infection is known to influence disease outcome. With the evidence of flavivirus immune cross-reactivity in mind we wondered if we could leverage the immune cross-reactivity to generate a universal flavivirus vaccine. To begin to test this, we first established a heterologous infection mouse model where Ifnar1-/- mice received a sublethal dose of DENV2, DENV3, ZIKV, YF-17D or PBS, followed 30 days later with a lethal dose of ZIKV. Our results showed that mice with prior flavivirus exposure had increased survival, less weight loss and improved neurological scores when compared to the control receiving a primary flavivirus infection. By comparing the ability of the cross-reactive T cell and antibody responses to control infection we showed that cross-reactive CD8 T cell responses significantly correlated with lower viral burden. We then went on to identify the T cell epitopes that contributed to this cross-protection. Currently we are designing T cell centric mRNA vaccines expressing different cross-reactive T cell epitopes to identify the optimal T cell epitopes to include in a universal flavivirus vaccine.</w:t>
      </w:r>
    </w:p>
    <w:p w14:paraId="246817F4"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25-A-3840-ASTMH</w:t>
      </w:r>
    </w:p>
    <w:p w14:paraId="486BABA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65A41DF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Stop-Treatment Assessments for Lymphatic Filariasis Transmission in Illu Ababora zone, Oromia Region, Ethiopia</w:t>
      </w:r>
    </w:p>
    <w:p w14:paraId="641EB52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Mapping for lymphatic filariasis (LF) in 2009 initially identified five districts in Illu Ababora zone in the Oromia region of Ethiopia as non-endemic. However, re-mapping in 2019 reclassified these districts as endemic. The prevalence of circulating filarial antigen (CFA) from remapping was 6% in Alge Sachi district, 8% in Bilo Nopa and Yayu districts, 20% in Darimu, and 32% in Bure. In response, the Ministry of Health initiated mass drug administration (MDA) with albendazole and ivermectin. All 5 districts received 3 effective (&gt;65% population coverage) rounds of MDA between 2021 and 2024. Pre-transmission assessment surveys (pre-TAS) were conducted in all 5 districts, followed by TAS-1 in 4 districts between April and May 2024. FTS supply shortages prevented TAS-1 in Alge Sachi. Pre-TAS involved 1 sentinel, and 1 spot-check site per district for individuals aged ≥5 years. TAS-1 was conducted in 133 villages among 5,505 children aged 6-7 years across the districts using a cluster sampling technique based on the WHO LF Survey Sample Builder. Each district was considered an evaluation unit. All surveys used the Alere FTS. Pre-TAS results showed &lt;2% CFA prevalence in all sites, qualifying all 5 districts for TAS-1: with mean prevalence of 0% in Bilo Nopa (0/642), Alge Sachi (0/643), and Yayo (0/643), 0.003% in Darimu (2/643), and 1% in Bure (7/643). In the four districts that conducted TAS-1, target sample sizes were achieved, and the numbers of CFA-positives were below the SSB-determined critical cut-offs of 14, 9, 18, and 14, respectively: Bure (0/1,228), Bilo Nopa (0/1,445), Darimu (5/1,532), and Yayo (0/1,300). The findings qualify Bilo Nopa, Bure, Darimu, and Yayo districts to stop MDA for LF and to begin post-treatment surveillance. The rapid achievement may be due to low baseline endemicity or other ongoing interventions, including semi-annual MDA for onchocerciasis and annual community-wide MDA for soil-transmitted helminthiases. These results highlight the value of public health </w:t>
      </w:r>
      <w:r w:rsidRPr="00AF28B8">
        <w:rPr>
          <w:rFonts w:ascii="Calibri" w:hAnsi="Calibri" w:cs="Calibri"/>
          <w:color w:val="000000"/>
          <w:sz w:val="22"/>
          <w:szCs w:val="22"/>
        </w:rPr>
        <w:lastRenderedPageBreak/>
        <w:t>monitoring for LF elimination. Programs in lower-burden areas may consider interim evaluations to monitor LF elimination progress to stop MDA and reduce costs.</w:t>
      </w:r>
    </w:p>
    <w:p w14:paraId="0919190D"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25-A-3841-ASTMH</w:t>
      </w:r>
    </w:p>
    <w:p w14:paraId="22E2C6D0"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70F1F127"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Prenatal and postnatal environmental influences on child growth trajectories: an analysis of a longitudinal birth cohort from northwest Ecuador</w:t>
      </w:r>
    </w:p>
    <w:p w14:paraId="0CBD4BF9"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Early childhood growth, a key indicator of child well-being, is shaped by a complex interplay of environmental factors starting in utero. We analyzed associations between household environmental factors and growth trajectories in a longitudinal birth cohort across four settings in Ecuador with varied urbanicity (urban city, intermediate town, rural villages connected by road, and rural villages connected by river). Pregnant women were enrolled from 2021-2022 and their children were followed for 24 months. We used variables mapped to UNICEF’s Malnutrition Framework, including demographics, maternal characteristics, household infrastructure, and environmental contamination (measured via drinking water and hand rinse samples) as exposures and analyzed against 3 outcomes: length-for-gestational-age Z-score (LGAZ) and change in 3-month length-for-age Z-score (ΔLAZ) in two age groups, 0-6 and 6-24 months. We used generalized estimating equations (ΔLAZ), adjusting for starting LAZ to isolate subsequent changes, and linear models (LGAZ) to obtain mean differences. Among 402 children, those in rural river sites were born the largest but their growth faltered more rapidly postnatally, resulting in 55% of children from rural river sites stunted (LAZ &lt; -2 SD) by 24 months (compared to urban: 8%, intermediate: 15%, rural road: 6%). Birth anthropometry was only significantly influenced by maternal height. In the first 6 months, male children faltered faster (-0.20 ΔLAZ compared to females; 95% CI: -0.35, -0.05) with no difference observed during 6-24 months. ΔLAZ was associated with multiple factors in 6-24 months. During this period, residing in non-urban sites, exposure to domestic animals, and the late dry season were associated with poorer subsequent growth. In contrast, household wealth, maternal height, and exclusive breastfeeding in the first 6 months were associated with better growth. These findings highlight the 6-24 month period of growth as particularly susceptible to environmental conditions, providing insight on the optimal timing of interventions targeting the broader household and community environment.</w:t>
      </w:r>
    </w:p>
    <w:p w14:paraId="55184B0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25-A-3842-ASTMH</w:t>
      </w:r>
    </w:p>
    <w:p w14:paraId="20030E8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305139B8"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Persistent Anti-PGL-1 Seropositivity Without Disease Progression Among Leprosy Contacts in Addis Ababa, Ethiopia: A One-Year Follow-Up</w:t>
      </w:r>
    </w:p>
    <w:p w14:paraId="3720182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While anti-PGL-1 IgM antibody tests (an antibody against an </w:t>
      </w:r>
      <w:r w:rsidRPr="00AF28B8">
        <w:rPr>
          <w:rFonts w:ascii="Calibri" w:hAnsi="Calibri" w:cs="Calibri"/>
          <w:i/>
          <w:iCs/>
          <w:color w:val="000000"/>
          <w:sz w:val="22"/>
          <w:szCs w:val="22"/>
        </w:rPr>
        <w:t>M. leprae</w:t>
      </w:r>
      <w:r w:rsidRPr="00AF28B8">
        <w:rPr>
          <w:rFonts w:ascii="Calibri" w:hAnsi="Calibri" w:cs="Calibri"/>
          <w:color w:val="000000"/>
          <w:sz w:val="22"/>
          <w:szCs w:val="22"/>
        </w:rPr>
        <w:t>-specific cell surface antigen) are biomarkers of </w:t>
      </w:r>
      <w:r w:rsidRPr="00AF28B8">
        <w:rPr>
          <w:rFonts w:ascii="Calibri" w:hAnsi="Calibri" w:cs="Calibri"/>
          <w:i/>
          <w:iCs/>
          <w:color w:val="000000"/>
          <w:sz w:val="22"/>
          <w:szCs w:val="22"/>
        </w:rPr>
        <w:t>Mycobacterium leprae</w:t>
      </w:r>
      <w:r w:rsidRPr="00AF28B8">
        <w:rPr>
          <w:rFonts w:ascii="Calibri" w:hAnsi="Calibri" w:cs="Calibri"/>
          <w:color w:val="000000"/>
          <w:sz w:val="22"/>
          <w:szCs w:val="22"/>
        </w:rPr>
        <w:t xml:space="preserve"> infection, their low sensitivity for leprosy, especially paucibacillary disease, makes them not very useful for diagnosis. In addition, their predictive value for disease progression is not well established, although some studies have shown that about an average of 7-10% of those positive go on to develop the disease. In this longitudinal study, we evaluated anti-PGL-1 serostatus and clinical outcomes in a cohort of individuals recruited from communities near the All-Africa Leprosy Rehabilitation and Training Center (ALERT) in Addis Ababa, Ethiopia. Of 319 participants in an initial cross-sectional survey, 118 (36.8%) tested positive for anti-PGL-1 IgM via lateral flow assay. At baseline, anti-PGL-1 positivity was more prevalent in men (64%), in individuals with no formal schooling (28%), and in those aged 33 years on average. One year later, 44 seropositive participants returned for follow-up. All but one remained seropositive, though several demonstrated reduced signal intensity, shifting from strongly positive to trace levels. None showed clinical signs of leprosy, and all physical exams were negative. These findings highlight the complexity of leprosy pathogenesis: persistent or waning seropositivity may reflect latent or self-limited infection. The possibility of occult infections and immune resolution suggests anti-PGL-1 serology is best interpreted in context. While anti-PGL-1 remains a useful epidemiological tool, our findings reinforce that it should not be used in isolation </w:t>
      </w:r>
      <w:r w:rsidRPr="00AF28B8">
        <w:rPr>
          <w:rFonts w:ascii="Calibri" w:hAnsi="Calibri" w:cs="Calibri"/>
          <w:color w:val="000000"/>
          <w:sz w:val="22"/>
          <w:szCs w:val="22"/>
        </w:rPr>
        <w:lastRenderedPageBreak/>
        <w:t>to predict short-term progression. Quantitative serologic monitoring, paired with improved biomarkers and consistent clinical follow-up, may enhance early detection strategies in endemic areas.</w:t>
      </w:r>
    </w:p>
    <w:p w14:paraId="654BF8A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25-A-3843-ASTMH</w:t>
      </w:r>
    </w:p>
    <w:p w14:paraId="2E8FAA2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587FD244"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Coordination of Infectious Disease Surveillance Through the Development of SOUTHCOM Network for Research and Surveillance in One Health (Red Americana de Investigación y Monitoreo - UnaSalud RAIMUS)</w:t>
      </w:r>
    </w:p>
    <w:p w14:paraId="3AB25FB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global health challenge of population growth and migration, geopolitical conflicts, and economic and climate pressures have altered the way humans interact with the environment and the transmission patterns of zoonotic pathogens. A multidisciplinary, coordinated approach integrating human, animal, environmental, social, and political sciences is necessary to prevent, detect, and respond to the emergence and re-emergence of zoonotic diseases. The SOUTHCOM Network for Research and Surveillance in One Health (Red Americana de Investigación Monitoreo Una Salud “RAIMUS”) is an initiative lead by researchers from the George Washington University, the US Naval Medical Research Unit South, and the Gorgas Memorial Institute to establish a network to leverage and harmonize infectious disease surveillance and response under the One Health (OH) concept across Latin America. Guided by a steering committee of project PIs, the network includes country liaisons and working groups engaging national leaders and experts. A preliminary survey has been distributed to contacts in the SOUTHCOM AOR, collating data on environmental, animal, and human health concerns regarding high priority pathogens, regional OH perceptions, and existing capacity of OH initiatives. Analysis of survey results have identified successful pilot programs, limited surveillance efforts, and the need for strengthening training and education. Identified high priority pathogens include vector-borne diseases, malaria, leishmaniasis, rabies, and tuberculosis. Information generated by the RAIMUS network will be made available via a data repository and will inform discussions of OH goals, transmission dynamics, and existing regional/international surveillance capacity and activities. Beyond pathogen detection and preparedness, the RAIMUS network will foster collaboration to improve disease prevention, health promotion, food, water, and energy security, and response and recovery from biosecurity threats through uniting professionals from government agencies, local health authorities, US and host nation militaries, research institutes, and academia.</w:t>
      </w:r>
    </w:p>
    <w:p w14:paraId="680E76E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25-A-3844-ASTMH</w:t>
      </w:r>
    </w:p>
    <w:p w14:paraId="0DF42EB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6BB1288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Enhanced Respiratory Virus Detection in Sri Lanka Using Virus Capture Metagenomic Sequencing</w:t>
      </w:r>
    </w:p>
    <w:p w14:paraId="066C9B2A"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Respiratory infections are a significant public health concern in Sri Lanka, particularly impacting vulnerable populations such as children, elderly, and individuals with chronic conditions. Despite this, molecular epidemiological surveillance of respiratory viruses remains limited in Sri Lanka. This study aimed to identify circulating respiratory viruses among patients and evaluate the added diagnostic value of virus capture metagenomic sequencing (VCS) alongside routine qPCR testing for Influenza A, Influenza B, and SARS-CoV-2. Between December 2022 and October 2024, 478 nasopharyngeal and oropharyngeal swabs were collected from pediatric and adult patients with fever and respiratory symptoms in two tertiary care hospitals, in Colombo, Sri Lanka. All samples were screened by qPCR targeting Influenza A, Influenza B, and SARS-CoV-2. 79/331 samples negative by qPCR were further analyzed using VCS. Sequencing data were processed using the Rapid Identification of Microbes (RIM) platform, with read mapping and alignment via Bowtie2 and MAFFT (v7). Out of 478 samples, a pathogen was detected in 147 (30.7%) samples by qPCR. Influenza A was detected in 73 (15.2%), Influenza B in 32 (6.7%), and SARS-CoV-2 in 42 (8.8%). 59/79 (74.7%) that underwent VCS had detectable viral sequences with 36 (61%) yielding complete respiratory virus genomes. Using VCS, influenza A was detected in 13 (22.0%), influenza B in 3 (5.1%), rhinovirus C in 7 (11.8%) and rhinovirus A in 4 (6.8%). Human bocavirus, human coronavirus 229E, human mastadenovirus B and C, human metapneumovirus, respiratory syncytial virus </w:t>
      </w:r>
      <w:r w:rsidRPr="00AF28B8">
        <w:rPr>
          <w:rFonts w:ascii="Calibri" w:hAnsi="Calibri" w:cs="Calibri"/>
          <w:color w:val="000000"/>
          <w:sz w:val="22"/>
          <w:szCs w:val="22"/>
        </w:rPr>
        <w:lastRenderedPageBreak/>
        <w:t>(RSV), parainfluenza virus 1, parainfluenza virus 3, and SARS-CoV-2 were detected in one sample each. Influenza A was the predominant virus in both children and adults. Among children, Influenza B was also common, whereas SARS-CoV-2 was more frequently found in adults. VCS appears to be a highly sensitive tool to identify respiratory pathogens causing outbreaks, and was more sensitive than qPCR in some instances. Therefore, it is likely to be an important technique in enhancing molecular surveillance and outbreak preparedness.</w:t>
      </w:r>
    </w:p>
    <w:p w14:paraId="0F893EC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25-A-3845-ASTMH</w:t>
      </w:r>
    </w:p>
    <w:p w14:paraId="1F3910D6"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6B47A75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Polyfunctional memory CD8 T cells correlate with vaccine-induced protection against fatal murine rickettsiosis</w:t>
      </w:r>
    </w:p>
    <w:p w14:paraId="36EBF7B8"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Tick-borne rickettsioses (TBRs) are potentially life-threatening, yet no licensed vaccine is currently available. We recently reported that a single dose immunization with </w:t>
      </w:r>
      <w:r w:rsidRPr="00AF28B8">
        <w:rPr>
          <w:rFonts w:ascii="Calibri" w:hAnsi="Calibri" w:cs="Calibri"/>
          <w:i/>
          <w:iCs/>
          <w:color w:val="000000"/>
          <w:sz w:val="22"/>
          <w:szCs w:val="22"/>
        </w:rPr>
        <w:t>Rickettsia parkeri</w:t>
      </w:r>
      <w:r w:rsidRPr="00AF28B8">
        <w:rPr>
          <w:rFonts w:ascii="Calibri" w:hAnsi="Calibri" w:cs="Calibri"/>
          <w:color w:val="000000"/>
          <w:sz w:val="22"/>
          <w:szCs w:val="22"/>
        </w:rPr>
        <w:t> mutant 3A2 confers complete protection against fatal </w:t>
      </w:r>
      <w:r w:rsidRPr="00AF28B8">
        <w:rPr>
          <w:rFonts w:ascii="Calibri" w:hAnsi="Calibri" w:cs="Calibri"/>
          <w:i/>
          <w:iCs/>
          <w:color w:val="000000"/>
          <w:sz w:val="22"/>
          <w:szCs w:val="22"/>
        </w:rPr>
        <w:t>R. parkeri</w:t>
      </w:r>
      <w:r w:rsidRPr="00AF28B8">
        <w:rPr>
          <w:rFonts w:ascii="Calibri" w:hAnsi="Calibri" w:cs="Calibri"/>
          <w:color w:val="000000"/>
          <w:sz w:val="22"/>
          <w:szCs w:val="22"/>
        </w:rPr>
        <w:t> rickettsiosis in mice. Here, we investigated the association of memory T cells with vaccine-induced protection. Upon infection with wild type (WT) </w:t>
      </w:r>
      <w:r w:rsidRPr="00AF28B8">
        <w:rPr>
          <w:rFonts w:ascii="Calibri" w:hAnsi="Calibri" w:cs="Calibri"/>
          <w:i/>
          <w:iCs/>
          <w:color w:val="000000"/>
          <w:sz w:val="22"/>
          <w:szCs w:val="22"/>
        </w:rPr>
        <w:t>R. parkeri</w:t>
      </w:r>
      <w:r w:rsidRPr="00AF28B8">
        <w:rPr>
          <w:rFonts w:ascii="Calibri" w:hAnsi="Calibri" w:cs="Calibri"/>
          <w:color w:val="000000"/>
          <w:sz w:val="22"/>
          <w:szCs w:val="22"/>
        </w:rPr>
        <w:t>, serum IFN-γ levels were significantly greater in 3A2 immunized mice on day 1 post-infection compared to controls, despite no detected difference in rickettsial load in tissues. Compared to mock immunization, 3A2 immunization elicited significantly higher frequencies of CD44</w:t>
      </w:r>
      <w:r w:rsidRPr="00AF28B8">
        <w:rPr>
          <w:rFonts w:ascii="Calibri" w:hAnsi="Calibri" w:cs="Calibri"/>
          <w:color w:val="000000"/>
          <w:sz w:val="22"/>
          <w:szCs w:val="22"/>
          <w:vertAlign w:val="superscript"/>
        </w:rPr>
        <w:t>high</w:t>
      </w:r>
      <w:r w:rsidRPr="00AF28B8">
        <w:rPr>
          <w:rFonts w:ascii="Calibri" w:hAnsi="Calibri" w:cs="Calibri"/>
          <w:color w:val="000000"/>
          <w:sz w:val="22"/>
          <w:szCs w:val="22"/>
        </w:rPr>
        <w:t>CD62L</w:t>
      </w:r>
      <w:r w:rsidRPr="00AF28B8">
        <w:rPr>
          <w:rFonts w:ascii="Calibri" w:hAnsi="Calibri" w:cs="Calibri"/>
          <w:color w:val="000000"/>
          <w:sz w:val="22"/>
          <w:szCs w:val="22"/>
          <w:vertAlign w:val="superscript"/>
        </w:rPr>
        <w:t>low</w:t>
      </w:r>
      <w:r w:rsidRPr="00AF28B8">
        <w:rPr>
          <w:rFonts w:ascii="Calibri" w:hAnsi="Calibri" w:cs="Calibri"/>
          <w:color w:val="000000"/>
          <w:sz w:val="22"/>
          <w:szCs w:val="22"/>
        </w:rPr>
        <w:t> effector memory, but not CD44</w:t>
      </w:r>
      <w:r w:rsidRPr="00AF28B8">
        <w:rPr>
          <w:rFonts w:ascii="Calibri" w:hAnsi="Calibri" w:cs="Calibri"/>
          <w:color w:val="000000"/>
          <w:sz w:val="22"/>
          <w:szCs w:val="22"/>
          <w:vertAlign w:val="superscript"/>
        </w:rPr>
        <w:t>high</w:t>
      </w:r>
      <w:r w:rsidRPr="00AF28B8">
        <w:rPr>
          <w:rFonts w:ascii="Calibri" w:hAnsi="Calibri" w:cs="Calibri"/>
          <w:color w:val="000000"/>
          <w:sz w:val="22"/>
          <w:szCs w:val="22"/>
        </w:rPr>
        <w:t>CD62L</w:t>
      </w:r>
      <w:r w:rsidRPr="00AF28B8">
        <w:rPr>
          <w:rFonts w:ascii="Calibri" w:hAnsi="Calibri" w:cs="Calibri"/>
          <w:color w:val="000000"/>
          <w:sz w:val="22"/>
          <w:szCs w:val="22"/>
          <w:vertAlign w:val="superscript"/>
        </w:rPr>
        <w:t>high</w:t>
      </w:r>
      <w:r w:rsidRPr="00AF28B8">
        <w:rPr>
          <w:rFonts w:ascii="Calibri" w:hAnsi="Calibri" w:cs="Calibri"/>
          <w:color w:val="000000"/>
          <w:sz w:val="22"/>
          <w:szCs w:val="22"/>
        </w:rPr>
        <w:t> central memory, splenic CD4⁺ and CD8⁺ T cells 120 days post-immunization. This response was accompanied by an increased proportion of IFN-γ⁺ and TNF-α⁺ memory CD4 and CD8 T cells upon </w:t>
      </w:r>
      <w:r w:rsidRPr="00AF28B8">
        <w:rPr>
          <w:rFonts w:ascii="Calibri" w:hAnsi="Calibri" w:cs="Calibri"/>
          <w:i/>
          <w:iCs/>
          <w:color w:val="000000"/>
          <w:sz w:val="22"/>
          <w:szCs w:val="22"/>
        </w:rPr>
        <w:t>ex vivo</w:t>
      </w:r>
      <w:r w:rsidRPr="00AF28B8">
        <w:rPr>
          <w:rFonts w:ascii="Calibri" w:hAnsi="Calibri" w:cs="Calibri"/>
          <w:color w:val="000000"/>
          <w:sz w:val="22"/>
          <w:szCs w:val="22"/>
        </w:rPr>
        <w:t> stimulation with </w:t>
      </w:r>
      <w:r w:rsidRPr="00AF28B8">
        <w:rPr>
          <w:rFonts w:ascii="Calibri" w:hAnsi="Calibri" w:cs="Calibri"/>
          <w:i/>
          <w:iCs/>
          <w:color w:val="000000"/>
          <w:sz w:val="22"/>
          <w:szCs w:val="22"/>
        </w:rPr>
        <w:t>R. parkeri</w:t>
      </w:r>
      <w:r w:rsidRPr="00AF28B8">
        <w:rPr>
          <w:rFonts w:ascii="Calibri" w:hAnsi="Calibri" w:cs="Calibri"/>
          <w:color w:val="000000"/>
          <w:sz w:val="22"/>
          <w:szCs w:val="22"/>
        </w:rPr>
        <w:t>. Interestingly, 3A2 immunization induced significantly greater frequencies of IFN-γ⁺ and TNF-α⁺ memory CD8⁺ T cells in the blood, but not memory CD4⁺ T cells, compared to controls. Strikingly, adoptively transfer of purified splenic CD8⁺ T cells of 3A2- or mock-immunized WT mice conferred complete protection to C3H-SCID mice against lethal rickettsial challenge. In contrast, adoptively transfer of splenic CD4⁺ T cells of 3A2-immunized WT mice only provided 50% protection compared to those of mock-immunized mice. Collectively, these findings identified that rickettsiae-specific and multifunctional effector memory CD8⁺ T cells in both spleen and blood as one of the key immune correlates of vaccine-induced protection against rickettsial infection.</w:t>
      </w:r>
    </w:p>
    <w:p w14:paraId="158B2763"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25-A-3846-ASTMH</w:t>
      </w:r>
    </w:p>
    <w:p w14:paraId="1672B6C4"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49DA40B7"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Smartphone Reader for Global Health Programs and Epidemiological Surveys</w:t>
      </w:r>
    </w:p>
    <w:p w14:paraId="54F1793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Diagnostics are essential in the fight against neglected tropical diseases (NTDs). The performance requirements for these tests, such as sensitivity and specificity, are becoming ever more stringent and have been defined in target product profiles (TPPs) published by WHO in the last 4 years. Prompted by these TPPs, many groups have initiated test development. The tests are typically lateral flow assays (LFAs), WHO’s preferred format for low- and middle-income countries (LMICs). While the tests themselves are becoming increasingly performant, results by visual interpretation can vary by operator, and the methods of collecting and storing results are typically paper based, which are both time-consuming and error prone. Drugs &amp; Diagnostics for Tropical Diseases (DDTD) in partnership with Novarum Dx and LifeArc has developed a smartphone-based Android app to supplement programmatic LFA testing. The app captures an image of the test (control line and test line/s) immediately after it is run in the field, provides an objective result, and stores the data in a cloud-based repository. Cellular signal or wifi connectivity are not required for image capture or data processing. Results are automatically uploaded to the cloud repository once the device is connected to wifi and can be viewed remotely by authorized users. In addition to eliminating human errors by removing ambiguity from interpretation of the visual result, the app provides data traceability and an extra layer of quality control, two often underestimated but very important features. Measures to ensure data sovereignty by countries and patient privacy protection have been incorporated. The smartphone-based app was developed for use with our monoplex LFA for Brugian lymphatic filariasis and our biplex LFA for </w:t>
      </w:r>
      <w:r w:rsidRPr="00AF28B8">
        <w:rPr>
          <w:rFonts w:ascii="Calibri" w:hAnsi="Calibri" w:cs="Calibri"/>
          <w:color w:val="000000"/>
          <w:sz w:val="22"/>
          <w:szCs w:val="22"/>
        </w:rPr>
        <w:lastRenderedPageBreak/>
        <w:t>onchocerciasis. The App is currently being validated in both laboratory and field settings in Malaysia and Ghana for the two LFA prototypes respectively. We hope that it will improve the quality of data and simplify its retrieval by stakeholders. We also hope to extend it to other indications.</w:t>
      </w:r>
    </w:p>
    <w:p w14:paraId="4EC3C018"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25-A-3847-ASTMH</w:t>
      </w:r>
    </w:p>
    <w:p w14:paraId="46AD2A64"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7C4017B7"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Increasing prevalence of artemisinin partial resistance and high level antifolate resistance in Kagera, Tanzania from 2021 to 2023</w:t>
      </w:r>
    </w:p>
    <w:p w14:paraId="41DABC1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Highly effective antimalarials are a cornerstone of malaria control/elimination, but emerging antimalarial resistance in Africa is threatening to undermine the effectiveness of these tools. The Kagera region of Tanzania contains both emerging artemisinin partial resistance (ART-R) and evidence of elevated resistance to Sulfadoxine-Pyrimethamine (SP). Detailed monitoring of resistance polymorphisms in this region is needed for determining malaria control interventions and for studying the emergence and spread of important antimalarial resistance mutations. The Molecular Surveillance of Malaria in Tanzania (MSMT) project (2020-2024) has sampled seven districts within Kagera from 2021-2023. Using high throughput molecular inversion probe (MIP) sequencing, we spatially and temporally tracked prevalence of critical drug resistance polymorphisms in P. falciparum genes, including those in kelch13 (k13), dihydrofolate reductase (dhfr), dihydropteroate synthase (dhps), multi drug resistance protein 1 (mdr1) and chloroquine resistance transporter (crt). We saw that most antimalarial resistance polymorphisms remained stable over this period, with SP resistance mutations dhfr 51I, dhfr 59R, dhfr 108N, dhfr 437G, and dhps 540E all above 90% in both 2021 and 2023. The prevalence of dhps 581G was variable across districts (ranging from 0 - 47%) but stable overall. The mutations showing the greatest changes in prevalence were k13 561H and dhfr 164L, which both increased in prevalence in five of seven districts in the Kagera region between 2021 and 2023. The number of districts with detectable k13 561H rose from three districts in 2021 to five districts in 2023. The Kagera region in Northwest Tanzania has evidence of increasing prevalence and spread of ART-R and elevated antifolate resistance that are concerning for the continued efficacy of therapeutic and chemopreventive options. Malaria molecular surveillance provides detailed, cost-effective, and broad surveillance information about the dynamics of antimalarial resistance for control programs.</w:t>
      </w:r>
    </w:p>
    <w:p w14:paraId="7F6DCA4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25-A-3848-ASTMH</w:t>
      </w:r>
    </w:p>
    <w:p w14:paraId="31F66B3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557C4ABD"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Pharmacological and computational profiling of a serotonin-responsive GPCR reveals a novel target for antiparasitic drug discovery</w:t>
      </w:r>
    </w:p>
    <w:p w14:paraId="1C4C171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Schistosomiasis affects over 250 million people globally, yet treatment relies exclusively on praziquantel (PZQ)—a single drug with emerging resistance and limited efficacy against juvenile parasites. To address this therapeutic gap, we are exploring bioaminergic G protein-coupled receptors (GPCRs), a validated but underexplored target class in schistosomes. Bioaminergic GPCRs regulate essential parasite behaviors, including motility and reproduction, and represent a promising avenue for next-generation anthelmintic discovery. Here, we present pharmacological and structural characterization of </w:t>
      </w:r>
      <w:r w:rsidRPr="00AF28B8">
        <w:rPr>
          <w:rFonts w:ascii="Calibri" w:hAnsi="Calibri" w:cs="Calibri"/>
          <w:i/>
          <w:iCs/>
          <w:color w:val="000000"/>
          <w:sz w:val="22"/>
          <w:szCs w:val="22"/>
        </w:rPr>
        <w:t>Sm</w:t>
      </w:r>
      <w:r w:rsidRPr="00AF28B8">
        <w:rPr>
          <w:rFonts w:ascii="Calibri" w:hAnsi="Calibri" w:cs="Calibri"/>
          <w:color w:val="000000"/>
          <w:sz w:val="22"/>
          <w:szCs w:val="22"/>
        </w:rPr>
        <w:t>.5HT</w:t>
      </w:r>
      <w:r w:rsidRPr="00AF28B8">
        <w:rPr>
          <w:rFonts w:ascii="Calibri" w:hAnsi="Calibri" w:cs="Calibri"/>
          <w:color w:val="000000"/>
          <w:sz w:val="22"/>
          <w:szCs w:val="22"/>
          <w:vertAlign w:val="subscript"/>
        </w:rPr>
        <w:t>7b</w:t>
      </w:r>
      <w:r w:rsidRPr="00AF28B8">
        <w:rPr>
          <w:rFonts w:ascii="Calibri" w:hAnsi="Calibri" w:cs="Calibri"/>
          <w:color w:val="000000"/>
          <w:sz w:val="22"/>
          <w:szCs w:val="22"/>
        </w:rPr>
        <w:t>, a previously uncharacterized serotonin-responsive GPCR in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Using a real-time cAMP biosensor in CHO cells, we validated </w:t>
      </w:r>
      <w:r w:rsidRPr="00AF28B8">
        <w:rPr>
          <w:rFonts w:ascii="Calibri" w:hAnsi="Calibri" w:cs="Calibri"/>
          <w:i/>
          <w:iCs/>
          <w:color w:val="000000"/>
          <w:sz w:val="22"/>
          <w:szCs w:val="22"/>
        </w:rPr>
        <w:t>Sm</w:t>
      </w:r>
      <w:r w:rsidRPr="00AF28B8">
        <w:rPr>
          <w:rFonts w:ascii="Calibri" w:hAnsi="Calibri" w:cs="Calibri"/>
          <w:color w:val="000000"/>
          <w:sz w:val="22"/>
          <w:szCs w:val="22"/>
        </w:rPr>
        <w:t>.5HT</w:t>
      </w:r>
      <w:r w:rsidRPr="00AF28B8">
        <w:rPr>
          <w:rFonts w:ascii="Calibri" w:hAnsi="Calibri" w:cs="Calibri"/>
          <w:color w:val="000000"/>
          <w:sz w:val="22"/>
          <w:szCs w:val="22"/>
          <w:vertAlign w:val="subscript"/>
        </w:rPr>
        <w:t>7b</w:t>
      </w:r>
      <w:r w:rsidRPr="00AF28B8">
        <w:rPr>
          <w:rFonts w:ascii="Calibri" w:hAnsi="Calibri" w:cs="Calibri"/>
          <w:color w:val="000000"/>
          <w:sz w:val="22"/>
          <w:szCs w:val="22"/>
        </w:rPr>
        <w:t> as a functional serotonin receptor with selective activation by serotonin (EC₅₀ = 400 ± 153 nM) and no response to other biogenic amines. We then constructed a high-quality homology model and performed </w:t>
      </w:r>
      <w:r w:rsidRPr="00AF28B8">
        <w:rPr>
          <w:rFonts w:ascii="Calibri" w:hAnsi="Calibri" w:cs="Calibri"/>
          <w:i/>
          <w:iCs/>
          <w:color w:val="000000"/>
          <w:sz w:val="22"/>
          <w:szCs w:val="22"/>
        </w:rPr>
        <w:t>in silico</w:t>
      </w:r>
      <w:r w:rsidRPr="00AF28B8">
        <w:rPr>
          <w:rFonts w:ascii="Calibri" w:hAnsi="Calibri" w:cs="Calibri"/>
          <w:color w:val="000000"/>
          <w:sz w:val="22"/>
          <w:szCs w:val="22"/>
        </w:rPr>
        <w:t> ligand docking, confirming canonical binding interactions of serotonin within the orthosteric binding site. These data enabled a preliminary pharmacological screen using a GPCR-targeted library of ligands aimed at characterizing the binding pocket of the receptor. To evaluate cross-species conservation, we extended our analysis to 5HT</w:t>
      </w:r>
      <w:r w:rsidRPr="00AF28B8">
        <w:rPr>
          <w:rFonts w:ascii="Calibri" w:hAnsi="Calibri" w:cs="Calibri"/>
          <w:color w:val="000000"/>
          <w:sz w:val="22"/>
          <w:szCs w:val="22"/>
          <w:vertAlign w:val="subscript"/>
        </w:rPr>
        <w:t>7b</w:t>
      </w:r>
      <w:r w:rsidRPr="00AF28B8">
        <w:rPr>
          <w:rFonts w:ascii="Calibri" w:hAnsi="Calibri" w:cs="Calibri"/>
          <w:color w:val="000000"/>
          <w:sz w:val="22"/>
          <w:szCs w:val="22"/>
        </w:rPr>
        <w:t> orthologs in </w:t>
      </w:r>
      <w:r w:rsidRPr="00AF28B8">
        <w:rPr>
          <w:rFonts w:ascii="Calibri" w:hAnsi="Calibri" w:cs="Calibri"/>
          <w:i/>
          <w:iCs/>
          <w:color w:val="000000"/>
          <w:sz w:val="22"/>
          <w:szCs w:val="22"/>
        </w:rPr>
        <w:t>S. haematobium</w:t>
      </w:r>
      <w:r w:rsidRPr="00AF28B8">
        <w:rPr>
          <w:rFonts w:ascii="Calibri" w:hAnsi="Calibri" w:cs="Calibri"/>
          <w:color w:val="000000"/>
          <w:sz w:val="22"/>
          <w:szCs w:val="22"/>
        </w:rPr>
        <w:t>, </w:t>
      </w:r>
      <w:r w:rsidRPr="00AF28B8">
        <w:rPr>
          <w:rFonts w:ascii="Calibri" w:hAnsi="Calibri" w:cs="Calibri"/>
          <w:i/>
          <w:iCs/>
          <w:color w:val="000000"/>
          <w:sz w:val="22"/>
          <w:szCs w:val="22"/>
        </w:rPr>
        <w:t>S. japonicum</w:t>
      </w:r>
      <w:r w:rsidRPr="00AF28B8">
        <w:rPr>
          <w:rFonts w:ascii="Calibri" w:hAnsi="Calibri" w:cs="Calibri"/>
          <w:color w:val="000000"/>
          <w:sz w:val="22"/>
          <w:szCs w:val="22"/>
        </w:rPr>
        <w:t>, </w:t>
      </w:r>
      <w:r w:rsidRPr="00AF28B8">
        <w:rPr>
          <w:rFonts w:ascii="Calibri" w:hAnsi="Calibri" w:cs="Calibri"/>
          <w:i/>
          <w:iCs/>
          <w:color w:val="000000"/>
          <w:sz w:val="22"/>
          <w:szCs w:val="22"/>
        </w:rPr>
        <w:t>Clonorchis sinensis</w:t>
      </w:r>
      <w:r w:rsidRPr="00AF28B8">
        <w:rPr>
          <w:rFonts w:ascii="Calibri" w:hAnsi="Calibri" w:cs="Calibri"/>
          <w:color w:val="000000"/>
          <w:sz w:val="22"/>
          <w:szCs w:val="22"/>
        </w:rPr>
        <w:t>, and </w:t>
      </w:r>
      <w:r w:rsidRPr="00AF28B8">
        <w:rPr>
          <w:rFonts w:ascii="Calibri" w:hAnsi="Calibri" w:cs="Calibri"/>
          <w:i/>
          <w:iCs/>
          <w:color w:val="000000"/>
          <w:sz w:val="22"/>
          <w:szCs w:val="22"/>
        </w:rPr>
        <w:t>Fasciola hepatica</w:t>
      </w:r>
      <w:r w:rsidRPr="00AF28B8">
        <w:rPr>
          <w:rFonts w:ascii="Calibri" w:hAnsi="Calibri" w:cs="Calibri"/>
          <w:color w:val="000000"/>
          <w:sz w:val="22"/>
          <w:szCs w:val="22"/>
        </w:rPr>
        <w:t>. Finally, we will present our results from a high-throughput virtual screen of </w:t>
      </w:r>
      <w:r w:rsidRPr="00AF28B8">
        <w:rPr>
          <w:rFonts w:ascii="Calibri" w:hAnsi="Calibri" w:cs="Calibri"/>
          <w:i/>
          <w:iCs/>
          <w:color w:val="000000"/>
          <w:sz w:val="22"/>
          <w:szCs w:val="22"/>
        </w:rPr>
        <w:t>Sm</w:t>
      </w:r>
      <w:r w:rsidRPr="00AF28B8">
        <w:rPr>
          <w:rFonts w:ascii="Calibri" w:hAnsi="Calibri" w:cs="Calibri"/>
          <w:color w:val="000000"/>
          <w:sz w:val="22"/>
          <w:szCs w:val="22"/>
        </w:rPr>
        <w:t>.5HT</w:t>
      </w:r>
      <w:r w:rsidRPr="00AF28B8">
        <w:rPr>
          <w:rFonts w:ascii="Calibri" w:hAnsi="Calibri" w:cs="Calibri"/>
          <w:color w:val="000000"/>
          <w:sz w:val="22"/>
          <w:szCs w:val="22"/>
          <w:vertAlign w:val="subscript"/>
        </w:rPr>
        <w:t>7b</w:t>
      </w:r>
      <w:r w:rsidRPr="00AF28B8">
        <w:rPr>
          <w:rFonts w:ascii="Calibri" w:hAnsi="Calibri" w:cs="Calibri"/>
          <w:color w:val="000000"/>
          <w:sz w:val="22"/>
          <w:szCs w:val="22"/>
        </w:rPr>
        <w:t xml:space="preserve"> aimed at discovering new, parasite-selective ligands. Together, these efforts represent the first integrated pharmacological and </w:t>
      </w:r>
      <w:r w:rsidRPr="00AF28B8">
        <w:rPr>
          <w:rFonts w:ascii="Calibri" w:hAnsi="Calibri" w:cs="Calibri"/>
          <w:color w:val="000000"/>
          <w:sz w:val="22"/>
          <w:szCs w:val="22"/>
        </w:rPr>
        <w:lastRenderedPageBreak/>
        <w:t>computational profiling of </w:t>
      </w:r>
      <w:r w:rsidRPr="00AF28B8">
        <w:rPr>
          <w:rFonts w:ascii="Calibri" w:hAnsi="Calibri" w:cs="Calibri"/>
          <w:i/>
          <w:iCs/>
          <w:color w:val="000000"/>
          <w:sz w:val="22"/>
          <w:szCs w:val="22"/>
        </w:rPr>
        <w:t>Sm</w:t>
      </w:r>
      <w:r w:rsidRPr="00AF28B8">
        <w:rPr>
          <w:rFonts w:ascii="Calibri" w:hAnsi="Calibri" w:cs="Calibri"/>
          <w:color w:val="000000"/>
          <w:sz w:val="22"/>
          <w:szCs w:val="22"/>
        </w:rPr>
        <w:t>.5HT</w:t>
      </w:r>
      <w:r w:rsidRPr="00AF28B8">
        <w:rPr>
          <w:rFonts w:ascii="Calibri" w:hAnsi="Calibri" w:cs="Calibri"/>
          <w:color w:val="000000"/>
          <w:sz w:val="22"/>
          <w:szCs w:val="22"/>
          <w:vertAlign w:val="subscript"/>
        </w:rPr>
        <w:t>7b</w:t>
      </w:r>
      <w:r w:rsidRPr="00AF28B8">
        <w:rPr>
          <w:rFonts w:ascii="Calibri" w:hAnsi="Calibri" w:cs="Calibri"/>
          <w:color w:val="000000"/>
          <w:sz w:val="22"/>
          <w:szCs w:val="22"/>
        </w:rPr>
        <w:t>. Our findings support this receptor as a viable drug target and (re)demonstrate the value in targeting bioaminergic GPCRs as anthelmintic targets.</w:t>
      </w:r>
    </w:p>
    <w:p w14:paraId="2E1FA74D"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25-A-3849-ASTMH</w:t>
      </w:r>
    </w:p>
    <w:p w14:paraId="0F6200CE"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3DC58B6B"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Applying an Equity-Gender Lens to Address the Malaria Burden in Liberia: Insights from the 2024 Malaria Equity Assessment</w:t>
      </w:r>
    </w:p>
    <w:p w14:paraId="5E8264A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elimination requires addressing how the intersection of poverty, gender-inequality, social-norms, and structural barriers hinder access to prevention, diagnosis, and treatment. Malaria Matchbox Toolkit was developed to assist countries in enhancing equitable malaria service delivery. In 2024, Liberia conducted its first Equity Assessment to identify gaps and propose inclusive strategies. The assessment focused on evaluating disparities in malaria services across diverse groups, with emphasis on underserved communities. It highlighted risk factors and systemic inequality barriers including gender, socio-economic status, and human rights; which impedes access to effective interventions. A mixed-methods approach was employed, integrating desk reviews, qualitative data from 60 Key Informant Interviews (KIIs) and 18 FGDs conducted across 5 counties and 14 districts. Data from national health surveys, program evaluations, and community feedback. The assessment identified multiple barriers: Household/community, health systems, structural, and communication gaps. At the household/community level, gender disparities, poverty, illiteracy, and cultural misconceptions hinder health-seeking behaviors. Health system barriers include negative provider attitudes, frequent stockouts, high treatment costs, long waiting times, and limited clinic hours. Structural barriers include poor road conditions, distant health facilities, and insecurity, especially in remote areas. Communication gaps include health messages not adapted for vulnerable groups, such as the lack of braille and adolescent-friendly formats. People seek private clinic care (when affordable) or traditional remedies due to barriers to healthcare access. Equitable malaria control requires addressing socio-economic, geographic, and gender-based disparities via gender-responsive, inclusive interventions; strengthening community engagement in health messaging design, improving infrastructure and malaria commodity supply chains, and addressing financial and geographic access challenges.</w:t>
      </w:r>
    </w:p>
    <w:p w14:paraId="4B5B6FBF"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25-A-3851-ASTMH</w:t>
      </w:r>
    </w:p>
    <w:p w14:paraId="0DDAC483"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Diagnosis and New Detection Tools (Including Leishmania and Trypanosomes)</w:t>
      </w:r>
    </w:p>
    <w:p w14:paraId="1CB18C11"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Candidate autoantibodies as biomarkers of therapeutic response following benznidazole treatment in chronic Chagas disease</w:t>
      </w:r>
    </w:p>
    <w:p w14:paraId="62571DAC"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(ChD) is a zoonotic infection with a protozoic parasite called </w:t>
      </w:r>
      <w:r w:rsidRPr="00AF28B8">
        <w:rPr>
          <w:rFonts w:ascii="Calibri" w:hAnsi="Calibri" w:cs="Calibri"/>
          <w:i/>
          <w:iCs/>
          <w:color w:val="000000"/>
          <w:sz w:val="22"/>
          <w:szCs w:val="22"/>
        </w:rPr>
        <w:t>Trypanasoma cruzi</w:t>
      </w:r>
      <w:r w:rsidRPr="00AF28B8">
        <w:rPr>
          <w:rFonts w:ascii="Calibri" w:hAnsi="Calibri" w:cs="Calibri"/>
          <w:color w:val="000000"/>
          <w:sz w:val="22"/>
          <w:szCs w:val="22"/>
        </w:rPr>
        <w:t xml:space="preserve"> that is spread by Triatomine insects. A neglected tropical disease, ChD is endemic to South and Central America, afflicting 6.5 million people and causing 10,000 deaths per year, with cases also being reported in 23 other countries. After initial infection and acute disease, ChD progresses to a chronic, latent phase with 30% of individuals developing Chagas cardiomyopathy (ChCM) characterized by distal conduction issues (arrhythmia), congestive heart failure, and sudden death. One contributing factor is hypothesized to be humoral autoimmunity whereby the formation of anti-cardiomyocyte autoantibodies leads to chronic inflammation and subsequent fibrosis of the heart. Currently, there is no diagnostic test to determine ChD cure after treatment with the standard-of-care therapy, benznidazole. Our lab has concurrently identified six candidate autoantibodies involved in ATP metabolism, sarcomere organization, and myosin filament formation as potential biomarkers for predicting ChCM progression. This study aims to assess how benznidazole treatment affects the levels of these anti-cardiac autoantibodies. To do so, sera from 27 patients with ChCM was collected before and after 60-day benznidazole treatment and the levels of the candidate autoantibodies measured by indirect ELISA. We found that there was a significant decrease in the concentration of all six candidate autoantibodies after benznidazole treatment. The observed reduction in anti-cardiac autoantibodies following benznidazole </w:t>
      </w:r>
      <w:r w:rsidRPr="00AF28B8">
        <w:rPr>
          <w:rFonts w:ascii="Calibri" w:hAnsi="Calibri" w:cs="Calibri"/>
          <w:color w:val="000000"/>
          <w:sz w:val="22"/>
          <w:szCs w:val="22"/>
        </w:rPr>
        <w:lastRenderedPageBreak/>
        <w:t>treatment raises the possibility that these antibodies could serve as potential biomarkers of treatment response or parasitological cure. However, further longitudinal studies are needed to assess their predictive value in relation to clinical outcomes and overall disease progression.</w:t>
      </w:r>
    </w:p>
    <w:p w14:paraId="431A43D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25-A-3852-ASTMH</w:t>
      </w:r>
    </w:p>
    <w:p w14:paraId="61A9B90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472CB35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Anticipating regional spread of measles from Texas using a parameter-free mobility model</w:t>
      </w:r>
    </w:p>
    <w:p w14:paraId="18E8CA0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 global rise in measles amid declining vaccination coverage is fuelling outbreaks in a number of countries including the United States. A measles outbreak which began in Texas state in early 2025 has spread into other US states and Mexico. The radiation model is a parameter-free spatial probability framework for approximating human ground mobility, based on population distribution and ease of travel between populations. The radiation model has been shown to approximate local movement patterns consistent with regular commuting, and can be useful for understanding regional connectivity when empirical data are lacking. In this study, we applied the radiation model, based on population distribution and realistic friction-based travel times to estimate the probability of ground travel from Texas state to all US and Mexican states within 2,000 km. There were 23 states in the US and Mexico with greater than 1% estimated likelihood of ground travel from Texas. Among these, 3 US states (New Mexico, Kansas, and Oklahoma) and Chihuahua state in Mexico have reported measles cases with known connections to the Texas outbreak as of April, 2025. Several other states including Louisiana, Arkansas, and Missouri in the US, and Nuevo Leone and Tamualipas in Mexico are also estimated to have relatively high connectivity to Texas by ground. While local efforts are critical to curtailing outbreaks at their origin, connected regions can be prioritized for enhanced surveillance, public awareness, and proactive efforts to prevent further spread. Local connectivity models such as the radiation model can be useful in addition to contextual knowledge about affected community networks to prioritize prevention efforts in locations beyond the outbreak epicentre.</w:t>
      </w:r>
    </w:p>
    <w:p w14:paraId="359A411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25-A-3853-ASTMH</w:t>
      </w:r>
    </w:p>
    <w:p w14:paraId="79BFAFB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49C53807"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Monocytes regulate pro-inflammatory response via MAPK signaling in neurocysticercosis</w:t>
      </w:r>
    </w:p>
    <w:p w14:paraId="2E034D1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Neurocysticercosis (NCC), a neglected parasitic disease caused by </w:t>
      </w:r>
      <w:r w:rsidRPr="00AF28B8">
        <w:rPr>
          <w:rFonts w:ascii="Calibri" w:hAnsi="Calibri" w:cs="Calibri"/>
          <w:i/>
          <w:iCs/>
          <w:color w:val="000000"/>
          <w:sz w:val="22"/>
          <w:szCs w:val="22"/>
        </w:rPr>
        <w:t>Taenia solium</w:t>
      </w:r>
      <w:r w:rsidRPr="00AF28B8">
        <w:rPr>
          <w:rFonts w:ascii="Calibri" w:hAnsi="Calibri" w:cs="Calibri"/>
          <w:color w:val="000000"/>
          <w:sz w:val="22"/>
          <w:szCs w:val="22"/>
        </w:rPr>
        <w:t>, is the main cause of acquired epilepsy globally. Intense inflammation, characterized by the production of pro-inflammatory cytokines, is the hallmark of NCC pathology. Although monocytes are a key source of inflammatory cytokines, intracellular pathways regulating their activation are ill-defined. To characterize the inflammatory cytokine profile of monocytes stimulated with </w:t>
      </w:r>
      <w:r w:rsidRPr="00AF28B8">
        <w:rPr>
          <w:rFonts w:ascii="Calibri" w:hAnsi="Calibri" w:cs="Calibri"/>
          <w:i/>
          <w:iCs/>
          <w:color w:val="000000"/>
          <w:sz w:val="22"/>
          <w:szCs w:val="22"/>
        </w:rPr>
        <w:t>T. solium</w:t>
      </w:r>
      <w:r w:rsidRPr="00AF28B8">
        <w:rPr>
          <w:rFonts w:ascii="Calibri" w:hAnsi="Calibri" w:cs="Calibri"/>
          <w:color w:val="000000"/>
          <w:sz w:val="22"/>
          <w:szCs w:val="22"/>
        </w:rPr>
        <w:t> antigens and to evaluate signaling pathways involved in their regulation. Human monocytes from healthy donors were stimulated with total </w:t>
      </w:r>
      <w:r w:rsidRPr="00AF28B8">
        <w:rPr>
          <w:rFonts w:ascii="Calibri" w:hAnsi="Calibri" w:cs="Calibri"/>
          <w:i/>
          <w:iCs/>
          <w:color w:val="000000"/>
          <w:sz w:val="22"/>
          <w:szCs w:val="22"/>
        </w:rPr>
        <w:t>T. solium</w:t>
      </w:r>
      <w:r w:rsidRPr="00AF28B8">
        <w:rPr>
          <w:rFonts w:ascii="Calibri" w:hAnsi="Calibri" w:cs="Calibri"/>
          <w:color w:val="000000"/>
          <w:sz w:val="22"/>
          <w:szCs w:val="22"/>
        </w:rPr>
        <w:t> antigen (Tsol) and rT24H recombinant antigen for 24, 48 and 72 h. Gene expression and secretion of pro-inflammatory cytokine levels (TNF-α, IL-1β and IL-6) were measured by RT-qPCR and ELISA, respectively. To study MAPK (p38 and ERK) and PI3K signaling pathways, monocytes with pre-treated with inhibitors (1-10 µM) before stimulation. We demonstrated that stimulation with Tsol and rT24H induced a potent pro-inflammatory response in monocytes, characterized by significant upregulation of TNF-α (</w:t>
      </w:r>
      <w:r w:rsidRPr="00AF28B8">
        <w:rPr>
          <w:rFonts w:ascii="Calibri" w:hAnsi="Calibri" w:cs="Calibri"/>
          <w:i/>
          <w:iCs/>
          <w:color w:val="000000"/>
          <w:sz w:val="22"/>
          <w:szCs w:val="22"/>
        </w:rPr>
        <w:t>p</w:t>
      </w:r>
      <w:r w:rsidRPr="00AF28B8">
        <w:rPr>
          <w:rFonts w:ascii="Calibri" w:hAnsi="Calibri" w:cs="Calibri"/>
          <w:color w:val="000000"/>
          <w:sz w:val="22"/>
          <w:szCs w:val="22"/>
        </w:rPr>
        <w:t>=0.0010), IL-1β (</w:t>
      </w:r>
      <w:r w:rsidRPr="00AF28B8">
        <w:rPr>
          <w:rFonts w:ascii="Calibri" w:hAnsi="Calibri" w:cs="Calibri"/>
          <w:i/>
          <w:iCs/>
          <w:color w:val="000000"/>
          <w:sz w:val="22"/>
          <w:szCs w:val="22"/>
        </w:rPr>
        <w:t>p</w:t>
      </w:r>
      <w:r w:rsidRPr="00AF28B8">
        <w:rPr>
          <w:rFonts w:ascii="Calibri" w:hAnsi="Calibri" w:cs="Calibri"/>
          <w:color w:val="000000"/>
          <w:sz w:val="22"/>
          <w:szCs w:val="22"/>
        </w:rPr>
        <w:t>=0.009) and IL-6 (</w:t>
      </w:r>
      <w:r w:rsidRPr="00AF28B8">
        <w:rPr>
          <w:rFonts w:ascii="Calibri" w:hAnsi="Calibri" w:cs="Calibri"/>
          <w:i/>
          <w:iCs/>
          <w:color w:val="000000"/>
          <w:sz w:val="22"/>
          <w:szCs w:val="22"/>
        </w:rPr>
        <w:t>p</w:t>
      </w:r>
      <w:r w:rsidRPr="00AF28B8">
        <w:rPr>
          <w:rFonts w:ascii="Calibri" w:hAnsi="Calibri" w:cs="Calibri"/>
          <w:color w:val="000000"/>
          <w:sz w:val="22"/>
          <w:szCs w:val="22"/>
        </w:rPr>
        <w:t>=0.01) secretion compared to control monocytes. Similarly, gene expression of these pro-inflammatory cytokines in response to NCC antigen stimulation was significantly increased (</w:t>
      </w:r>
      <w:r w:rsidRPr="00AF28B8">
        <w:rPr>
          <w:rFonts w:ascii="Calibri" w:hAnsi="Calibri" w:cs="Calibri"/>
          <w:i/>
          <w:iCs/>
          <w:color w:val="000000"/>
          <w:sz w:val="22"/>
          <w:szCs w:val="22"/>
        </w:rPr>
        <w:t>p</w:t>
      </w:r>
      <w:r w:rsidRPr="00AF28B8">
        <w:rPr>
          <w:rFonts w:ascii="Calibri" w:hAnsi="Calibri" w:cs="Calibri"/>
          <w:color w:val="000000"/>
          <w:sz w:val="22"/>
          <w:szCs w:val="22"/>
        </w:rPr>
        <w:t>&lt;0.0015). Activation of MAPK signaling was evident by enhanced phosphorylation of p38 and ERK in NCC antigen-stimulated monocytes. Inhibition of MAPK pathways led to a marked decrease in NCC-antigen induced TNF-α, IL-1β, and IL-6 secretion after 24 h of stimulation, with p38-MAPK inhibition showing the strongest reduction. On the contrary, inhibition of the PI3K signaling pathway did not show significant effect on NCC antigen-induced cytokines production (</w:t>
      </w:r>
      <w:r w:rsidRPr="00AF28B8">
        <w:rPr>
          <w:rFonts w:ascii="Calibri" w:hAnsi="Calibri" w:cs="Calibri"/>
          <w:i/>
          <w:iCs/>
          <w:color w:val="000000"/>
          <w:sz w:val="22"/>
          <w:szCs w:val="22"/>
        </w:rPr>
        <w:t>p</w:t>
      </w:r>
      <w:r w:rsidRPr="00AF28B8">
        <w:rPr>
          <w:rFonts w:ascii="Calibri" w:hAnsi="Calibri" w:cs="Calibri"/>
          <w:color w:val="000000"/>
          <w:sz w:val="22"/>
          <w:szCs w:val="22"/>
        </w:rPr>
        <w:t xml:space="preserve">=0.42). We show for the first time, that pro-inflammatory responses from monocytes are induced by these NCC antigens via MAPK-dependent signaling pathways, enhancing the understanding of NCC </w:t>
      </w:r>
      <w:r w:rsidRPr="00AF28B8">
        <w:rPr>
          <w:rFonts w:ascii="Calibri" w:hAnsi="Calibri" w:cs="Calibri"/>
          <w:color w:val="000000"/>
          <w:sz w:val="22"/>
          <w:szCs w:val="22"/>
        </w:rPr>
        <w:lastRenderedPageBreak/>
        <w:t>pathophysiology. Targeting MAPK signaling may provide a novel therapeutic approach for modulating neuroinflammation and improving clinical outcomes in NCC.</w:t>
      </w:r>
    </w:p>
    <w:p w14:paraId="4FB06DED"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25-A-3854-ASTMH</w:t>
      </w:r>
    </w:p>
    <w:p w14:paraId="3E75F464"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Maternal, Newborn and Child Health and Nutrition</w:t>
      </w:r>
    </w:p>
    <w:p w14:paraId="4E2D6B42"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Using a Co-created Video-animation to Improve Mothers' Knowledge, Attitude and Vaccination Completion Intentions: A Quasi-Experimental study in Calabar, Nigeria</w:t>
      </w:r>
    </w:p>
    <w:p w14:paraId="3F788F0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Globally, vaccination against poverty-related diseases remains one of the most cost-effective interventions in history. Despite this, poor knowledge and attitude continues to negatively influence vaccine uptake in resource-poor settings like Nigeria. Thus, under-five mortality from childhood killer diseases like pneumonia, measles, diarrhea, tuberculosis etc remains unacceptably high. We sought out to assess if a co-created video-animation can improve mothers’ knowledge, attitude and intention to complete their children’s vaccination. This non-equivalent quasi-experimental study involved 302 mothers (Intervention-group (IG):77 vs 72, Control-group (CG) :97 vs 56) visiting two health facilities in Calabar, Nigeria for their children’s vaccination. The intervention was developed using a co-creative process with the health workers, with the intervention group watching the video-animation and the control group receiving routine face-to-face health education. Mothers’ knowledge, attitude and intention to complete vaccination were assessed at 0 weeks (entry point into the national immunization programme) and 14 weeks and compared. We conducted a difference-in-difference analysis on Stata version 18, with significance level at p&lt;0.05. Baseline mean age (SD) for audiovisual and face-to-face groups was 28.05 (5.26) vs 29.14 (5.14) respectively. After adjusting for occupation, level of education and time effect, there was a 4.97 units increase in mean knowledge in the intervention group (95% CI 2.2-7.7 ; p=0.028) compared with control. While vaccination completion intention increased from 84.4% at baseline to 91.7% in the audiovisual arm after intervention(p=0.016), there was no statistically significant difference in mothers’ attitude towards vaccination. A locally developed video-animation co-created with frontline workers can improve the knowledge and vaccination completion intention among mothers in Calabar, Nigeria.</w:t>
      </w:r>
    </w:p>
    <w:p w14:paraId="0F13E76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25-A-3855-ASTMH</w:t>
      </w:r>
    </w:p>
    <w:p w14:paraId="09A0DE1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7B74EE5F"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Detection of anti-</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antibodies in incarcerated women in a low endemicity area, southern Brazil</w:t>
      </w:r>
    </w:p>
    <w:p w14:paraId="4FE9A06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Although schistosomiasis, caused by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has been found in 19/26 Brazilian states, affecting around 1.5 million people living in risk areas, transmission in the Paraná state has been reportedly restricted to focal areas. The main objectives of the schistosomiasis control program in Brazil have been reducing human infection in endemic areas and containing expansion to new geographic areas. As the presence of transmitting mollusks, poor sanitation, and low human development index contribute to the spreading of disease, this research aimed to assess the prevalence of anti-</w:t>
      </w:r>
      <w:r w:rsidRPr="00AF28B8">
        <w:rPr>
          <w:rFonts w:ascii="Calibri" w:hAnsi="Calibri" w:cs="Calibri"/>
          <w:i/>
          <w:iCs/>
          <w:color w:val="000000"/>
          <w:sz w:val="22"/>
          <w:szCs w:val="22"/>
        </w:rPr>
        <w:t>S. mansoni</w:t>
      </w:r>
      <w:r w:rsidRPr="00AF28B8">
        <w:rPr>
          <w:rFonts w:ascii="Calibri" w:hAnsi="Calibri" w:cs="Calibri"/>
          <w:color w:val="000000"/>
          <w:sz w:val="22"/>
          <w:szCs w:val="22"/>
        </w:rPr>
        <w:t> antibodies in women inmates and correctional officers at the Women's State Penitentiary of Parana, part of the third-largest incarceration complex in Brazil. Blood samplings were performed in 2020 and 2021 from 760 inmates and 109 correctional officers. Testing was based on </w:t>
      </w:r>
      <w:r w:rsidRPr="00AF28B8">
        <w:rPr>
          <w:rFonts w:ascii="Calibri" w:hAnsi="Calibri" w:cs="Calibri"/>
          <w:i/>
          <w:iCs/>
          <w:color w:val="000000"/>
          <w:sz w:val="22"/>
          <w:szCs w:val="22"/>
        </w:rPr>
        <w:t>S. mansoni</w:t>
      </w:r>
      <w:r w:rsidRPr="00AF28B8">
        <w:rPr>
          <w:rFonts w:ascii="Calibri" w:hAnsi="Calibri" w:cs="Calibri"/>
          <w:color w:val="000000"/>
          <w:sz w:val="22"/>
          <w:szCs w:val="22"/>
        </w:rPr>
        <w:t xml:space="preserve"> adult worms to prepare a total extract (TE) and a trichloroacetic acid-soluble fraction (TCA), which employed TE to detect IgG and TCA to detect IgM, in a reference panel of 30 positive and 37 negative samples. IgM presented a sensitivity (IC 95%) of 90.0% (74.4 - 96.5) and a specificity of 97.3% (86.2 - 99.9), while IgG showed a sensitivity of 92.6% (76.3 - 98.7) and a specificity of 97.4% (86.5 - 99.9). Out of 399 inmates sampled in 2020, seropositivity was 2.0% (0.8 - 3.9) by IgG-ELISA and 0.7% (0.1 - 2.1) by IgM-ELISA. Among the 361 inmates tested in 2021, seropositivity was 2.5% (1.1 - 4.7) by IgG-ELISA and 0.8% (0.2 - 2.4) by IgM-ELISA. For correctional officers, 1.2% (0.0 - 6.9) were seropositive by IgG-ELISA and IgM-ELISA in 2020, and 3.5% (0.1 - 19.8) by IgG-ELISA with no seropositive samples by IgM-ELISA in 2021. The National Policy for Comprehensive Health Care for People Deprived of Liberty in the Prison System </w:t>
      </w:r>
      <w:r w:rsidRPr="00AF28B8">
        <w:rPr>
          <w:rFonts w:ascii="Calibri" w:hAnsi="Calibri" w:cs="Calibri"/>
          <w:color w:val="000000"/>
          <w:sz w:val="22"/>
          <w:szCs w:val="22"/>
        </w:rPr>
        <w:lastRenderedPageBreak/>
        <w:t>(PNAISP) aims to guarantee this population access to comprehensive care from the Brazilian Unified Health System. Serology can be a sensitive and practical diagnostic tool for the diagnosis of </w:t>
      </w:r>
      <w:r w:rsidRPr="00AF28B8">
        <w:rPr>
          <w:rFonts w:ascii="Calibri" w:hAnsi="Calibri" w:cs="Calibri"/>
          <w:i/>
          <w:iCs/>
          <w:color w:val="000000"/>
          <w:sz w:val="22"/>
          <w:szCs w:val="22"/>
        </w:rPr>
        <w:t>S. mansoni</w:t>
      </w:r>
      <w:r w:rsidRPr="00AF28B8">
        <w:rPr>
          <w:rFonts w:ascii="Calibri" w:hAnsi="Calibri" w:cs="Calibri"/>
          <w:color w:val="000000"/>
          <w:sz w:val="22"/>
          <w:szCs w:val="22"/>
        </w:rPr>
        <w:t> infection in such vulnerable population, providing adequate diagnosis, healthcare, and prevention measure during incarceration.</w:t>
      </w:r>
    </w:p>
    <w:p w14:paraId="50BC87C8"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25-A-3856-ASTMH</w:t>
      </w:r>
    </w:p>
    <w:p w14:paraId="6BB1EC1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23BBA998"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Knowledge, attitudes, and practices of parents as factors of child seropositivity in Dhaka, Bangladesh</w:t>
      </w:r>
    </w:p>
    <w:p w14:paraId="7165E15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is endemic in Bangladesh, with increasing outbreaks since 2019. Factors such as rapid urbanization, population mobility, and climate change favor its expansion. The pediatric population is highly vulnerable to dengue infections, with hospitalization rates of up to 80%. Knowledge, attitude, and practice (KAP) questionnaires have been used to assess dengue preventive behaviors that can inform public health interventions. This study examined the association between childhood seropositivity and parental KAP in a hyperendemic setting. A cross-sectional study of parents with children aged 2-12 years in four different neighborhoods of Dhaka in December 2023. We collected information on previous dengue infection, sociodemographics, participation in community activities, and KAP on dengue. Correlation among the 15 KAP variables was assessed by the Copula test for dependencies and the Cramer-von Mises test for significance. A modified Poisson regression model, along with a robust error variance estimation, was performed to estimate the relative risk (RR) of seropositivity. The KAP data were analyzed using a behavioral change framework. A total of 297 parents and 412 children participated in the study. The median age was 32.5 and 6.7 years, respectively. The seroprevalence of dengue in children was 17%. The mean score for knowledge was 65.9%, for attitude was 77.4%, and for practice was 65.8%. Evaluation of the dependencies of the KAP questions showed that the perception that dengue can be prevented presented a weak negative symmetrical correlation with knowledge (τ=-0.37, p &lt;0.001). A higher attitude score was associated with lower seropositivity (RR 0.98, CI 0.94-0.99, p =0.04). The attitudinal outcome underscores the complexity of the relationship between KAP domains and seropositivity. The consistency between the results of KAP dependencies and RR with the framework for behavioral change reinforces the theory that social norms influence attitudes toward preventive measures, which may impact seropositivity. Community-based qualitative studies, in addition to KAP surveys, can help contextualize the quantitative results.</w:t>
      </w:r>
    </w:p>
    <w:p w14:paraId="6C82BE7D"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25-A-3857-ASTMH</w:t>
      </w:r>
    </w:p>
    <w:p w14:paraId="6ED2B33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24328E9D"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Cross-Border Rabies Transmission and Vaccination Coverage Among Dogs in Northern Ghana: Challenges and Opportunities</w:t>
      </w:r>
    </w:p>
    <w:p w14:paraId="4295EF15"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Rabies remains a neglected yet fatal disease in Ghana, with domestic dogs as the primary reservoirs. Border towns in Northern Ghana are vulnerable to transboundary transmission, but dog vaccination coverage remains poorly characterized. A door-to-door survey and serological assessment were conducted in two border districts (Bunkpurugu-Nakpanduri and Pusiga). Dog vaccination status was recorded, and blood samples were tested for rabies virus neutralizing antibodies using RFFIT. Among 378 surveyed households, dog ownership was 64%, but only 28.9% of dogs had documented vaccination. Seroprevalence of protective antibody levels was 34.1%, with significantly lower coverage in transhumant pastoralist communities. Geospatial analysis revealed vaccination gaps were highest in communities located over 5 km from veterinary services. Also, 18% of respondents cited lack of awareness as a barrier to dog vaccination, while 24% reported financial constraints. Focus group discussions further revealed mistrust in animal vaccines and a lack of cross-border coordination on rabies control efforts. Rabies control in Northern Ghana is hampered by low vaccination rates and porous borders. Coordinated cross-border vaccination and public awareness programs are urgently needed.</w:t>
      </w:r>
    </w:p>
    <w:p w14:paraId="0D01CE80"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25-A-3858-ASTMH</w:t>
      </w:r>
    </w:p>
    <w:p w14:paraId="195BBE1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Opportunistic and Anaerobic Protozoa - Epidemiology (Including Leishmania and Trypanosomes)</w:t>
      </w:r>
    </w:p>
    <w:p w14:paraId="6F9978E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Exploring the use of electronic health record data to examine Chagas disease in the United States</w:t>
      </w:r>
    </w:p>
    <w:p w14:paraId="6DBF7D3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a parasitic infection caused by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and primarily transmitted by triatomine insect vectors, becomes chronic if untreated. Approximately 30% of chronic infections lead to severe cardiac or gastrointestinal complications, cardiomyopathy, and death. The CDC estimates that 300,000 people in the United States (US) have chronic Chagas disease. This study explores the use of electronic health record (EHR) data to examine Chagas disease in the US. We conducted a feasibility analysis by extracting prep-to-research counts of Chagas disease-related diagnoses from Health Information Exchanges (HIEs), PCORnet Clinical Data Networks, TriNetX, and other databases. We queried Epic Cosmos, a national EHR database of over 252 million unique patients, for each year from 2014 to 2024. Joinpoint regression was conducted to examine national trends in the prevalence of Chagas disease-related diagnoses and treatment. We also queried ATLAS, an EHR database at Montefiore Einstein, a Bronx, NY-based academic health system, from 2016 to 2024. We obtained individual-level de-identified data from the Bronx Regional Health Information Organization (Bronx RHIO), an HIE of clinical care visits for 5.8 million patients in the Bronx, NY, to examine characteristics of diagnosed patients from 2010 to 2024. We queried 11 local and national EHR data systems and identified approximately 4,000 patients with Chagas disease in national databases. In Epic Cosmos, the average annual percent change (AAPC) in Chagas disease prevalence was higher than the AAPC in the prevalence of related comorbidities. The percentage of Chagas disease patients with related comorbidities was lower in Epic Cosmos (20%) compared to ATLAS (43%), suggesting that the presence of comorbidities may have led to Chagas disease diagnosis. These results indicate a significant gap in Chagas disease testing, diagnosis, and treatment in the US. Next steps include analyzing the individual-level data to describe Chagas disease testing and treatment patterns and examine clinical risk factors associated with progression to severe disease.</w:t>
      </w:r>
    </w:p>
    <w:p w14:paraId="6632D42F"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25-A-3859-ASTMH</w:t>
      </w:r>
    </w:p>
    <w:p w14:paraId="4702F40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Other</w:t>
      </w:r>
    </w:p>
    <w:p w14:paraId="5757978A"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State-wide tick surveillance through community engagement and citizen science in Texas</w:t>
      </w:r>
    </w:p>
    <w:p w14:paraId="565D666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Tick-borne diseases are both a persistent and growing public health concern worldwide. The geographic range of established tick species has broadened, and new invasive tick species have emerged over the past decade. To better understand the epidemiology and risks of tick-borne diseases in Texas, we have established a state-wide citizen science-based tick surveillance and testing program. This initiative uses advanced molecular epidemiology techniques to analyze submitted ticks from across the state. This study functions as a community resource, offering free tick identification and pathogen testing for individuals and empowers residents to contribute valuable data, improving our understanding of tick distribution, risk factors, and the spread of tick-borne diseases. We have collaborated with 18 (36%; 18/50) of the Texas Wildlife Management Areas run by Texas Parks and Wildlife to obtain ticks collected from hunter harvested animals. Additionally, we have solicited ticks from the public using a website and targeted social media advertisements. A total of 556 ticks have been submitted for analysis. These samples are comprised of 10 species submitted from &gt;50 counties. Pathogen testing has identified 38% (216/556) of ticks are </w:t>
      </w:r>
      <w:r w:rsidRPr="00AF28B8">
        <w:rPr>
          <w:rFonts w:ascii="Calibri" w:hAnsi="Calibri" w:cs="Calibri"/>
          <w:i/>
          <w:iCs/>
          <w:color w:val="000000"/>
          <w:sz w:val="22"/>
          <w:szCs w:val="22"/>
        </w:rPr>
        <w:t>Rickettsia</w:t>
      </w:r>
      <w:r w:rsidRPr="00AF28B8">
        <w:rPr>
          <w:rFonts w:ascii="Calibri" w:hAnsi="Calibri" w:cs="Calibri"/>
          <w:color w:val="000000"/>
          <w:sz w:val="22"/>
          <w:szCs w:val="22"/>
        </w:rPr>
        <w:t> positive, 4.8% (27/556) are </w:t>
      </w:r>
      <w:r w:rsidRPr="00AF28B8">
        <w:rPr>
          <w:rFonts w:ascii="Calibri" w:hAnsi="Calibri" w:cs="Calibri"/>
          <w:i/>
          <w:iCs/>
          <w:color w:val="000000"/>
          <w:sz w:val="22"/>
          <w:szCs w:val="22"/>
        </w:rPr>
        <w:t>Ehrlichia</w:t>
      </w:r>
      <w:r w:rsidRPr="00AF28B8">
        <w:rPr>
          <w:rFonts w:ascii="Calibri" w:hAnsi="Calibri" w:cs="Calibri"/>
          <w:color w:val="000000"/>
          <w:sz w:val="22"/>
          <w:szCs w:val="22"/>
        </w:rPr>
        <w:t> positive, no samples have tested positive for </w:t>
      </w:r>
      <w:r w:rsidRPr="00AF28B8">
        <w:rPr>
          <w:rFonts w:ascii="Calibri" w:hAnsi="Calibri" w:cs="Calibri"/>
          <w:i/>
          <w:iCs/>
          <w:color w:val="000000"/>
          <w:sz w:val="22"/>
          <w:szCs w:val="22"/>
        </w:rPr>
        <w:t>Borrelia</w:t>
      </w:r>
      <w:r w:rsidRPr="00AF28B8">
        <w:rPr>
          <w:rFonts w:ascii="Calibri" w:hAnsi="Calibri" w:cs="Calibri"/>
          <w:color w:val="000000"/>
          <w:sz w:val="22"/>
          <w:szCs w:val="22"/>
        </w:rPr>
        <w:t>.</w:t>
      </w:r>
      <w:r w:rsidRPr="00AF28B8">
        <w:rPr>
          <w:rFonts w:ascii="Calibri" w:hAnsi="Calibri" w:cs="Calibri"/>
          <w:b/>
          <w:bCs/>
          <w:color w:val="000000"/>
          <w:sz w:val="22"/>
          <w:szCs w:val="22"/>
        </w:rPr>
        <w:t> </w:t>
      </w:r>
      <w:r w:rsidRPr="00AF28B8">
        <w:rPr>
          <w:rFonts w:ascii="Calibri" w:hAnsi="Calibri" w:cs="Calibri"/>
          <w:color w:val="000000"/>
          <w:sz w:val="22"/>
          <w:szCs w:val="22"/>
        </w:rPr>
        <w:t>By implementing such a citizen-driven initiative, we can improve early detection, and public health responses, and mitigate the impact of these diseases across the state.</w:t>
      </w:r>
    </w:p>
    <w:p w14:paraId="582EF62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25-A-3860-ASTMH</w:t>
      </w:r>
    </w:p>
    <w:p w14:paraId="1CA71E5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52441BCA"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Mining for Malaria: Delayed Diagnosis and Prolonged Parasitemia in a Active Duty Servicemember</w:t>
      </w:r>
    </w:p>
    <w:p w14:paraId="19EAFDF6"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presents diagnostic and management challenges that can contribute to its significant morbidity and mortality. We present a case of delayed falciparum malaria diagnosis with delayed parasitemia clearance. A 23-year-old malaria-naïve male developed fatigue and fever 11-months into assignment in South Sudan. He took doxycycline prophylaxis for the first eight months but switched to mefloquine for less frequent dosing and reported complete adherence. Malaria, influenza, and COVID-19 rapid diagnostic testing (RDT) were negative, and he was diagnosed with a non-specific viral illness. He continued mefloquine until he left for California two weeks later with symptoms persisting. After two weeks he traveled to Uruguay and shortly thereafter developed severe fatigue and arthralgias. Hospital evaluation was notable for new anemia of unclear etiology after extensive workup (malaria testing not done). He was sent to Walter Reed National Military Medical Center for further evaluation where malaria RDT was indicative of falciparum or mixed malaria, and microscopy showed 0.1% parasitemia with </w:t>
      </w:r>
      <w:r w:rsidRPr="00AF28B8">
        <w:rPr>
          <w:rFonts w:ascii="Calibri" w:hAnsi="Calibri" w:cs="Calibri"/>
          <w:i/>
          <w:iCs/>
          <w:color w:val="000000"/>
          <w:sz w:val="22"/>
          <w:szCs w:val="22"/>
        </w:rPr>
        <w:t>P. falciparum </w:t>
      </w:r>
      <w:r w:rsidRPr="00AF28B8">
        <w:rPr>
          <w:rFonts w:ascii="Calibri" w:hAnsi="Calibri" w:cs="Calibri"/>
          <w:color w:val="000000"/>
          <w:sz w:val="22"/>
          <w:szCs w:val="22"/>
        </w:rPr>
        <w:t>morphology. He was started on artemisinin-based combination therapy (ACT) and remained clinically stable thereafter, but microscopy demonstrated persistent parasitemia on day three of treatment. There was no concern for poor ACT adherence or absorption. Given concern for artemisinin resistance (reported in Uganda, bordering South Sudan), a blood specimen was sent for molecular testing, and his ACT course was extended. His parasitemia subsequently cleared by day six. Molecular testing revealed no artemisinin resistance associated gene mutations. Delayed diagnosis of falciparum malaria and prolonged infection in this malaria-naïve patient didn’t result in significant morbidity or mortality, likely due to the long half-life of mefloquine resulting in partial treatment. The reason for his delayed parasitemia clearance is unclear. This case highlights the pitfalls of relying on RDT for the diagnosis of malaria and the potential complexities the management of delayed parasitemia clearance and possible artemisinin resistance.</w:t>
      </w:r>
    </w:p>
    <w:p w14:paraId="671D7738"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25-A-3861-ASTMH</w:t>
      </w:r>
    </w:p>
    <w:p w14:paraId="707389AA"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1B75354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Malaria Vaccine Acceptance and Hesitancy in an Island in Sub-Saharan Africa: Implications for Vaccine Rollout</w:t>
      </w:r>
    </w:p>
    <w:p w14:paraId="7A8A65D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Nigeria plans to introduce malaria vaccination in areas with high seasonal transmission. However, there is a lack of data on malaria vaccine acceptance and hesitancy. Bonny Island, nearing malaria pre-elimination status, would benefit from malaria vaccination. This study assessed knowledge, willingness, and attitude towards receiving the malaria vaccine in Bonny Island, Rivers State, Nigeria. A descriptive cross-sectional study design was employed. Multi-stage sampling was used to recruit 382 women of reproductive age from households in six communities in Bonny using proportionate-to-size sampling. The questionnaire used was adapted from a standardized vaccine hesitancy survey tool. Descriptive analysis was carried out for knowledge, attitude, and willingness to be vaccinated. Only 145 (38.0%) of respondents were aware of malaria vaccines. However, 358 (93.7%) were willing to receive malaria vaccines, with 255 (66.8%) agreeing that malaria vaccines were effective and 272 (71.2%) agreeing that they were trustworthy. Respondents identified a lack of information (140, 36.6%) and the cost of the vaccines (99, 25.9%) as the most prevalent reasons for malaria vaccine hesitancy. Findings revealed high acceptability of the malaria vaccine and low hesitancy for malaria vaccination among respondents in Bonny. While the Island may be ready for malaria vaccination rollout, a multi-faceted approach involving increased public health awareness, capacity training for health workers and a subsidized vaccine program to facilitate vaccine rollout.</w:t>
      </w:r>
    </w:p>
    <w:p w14:paraId="2A72FDDF"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25-A-3862-ASTMH</w:t>
      </w:r>
    </w:p>
    <w:p w14:paraId="1882102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50B38914"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health and wellness impacts of Hope Groups for people with lymphatic filariasis in Ebonyi State, Nigeria: patients' impact data</w:t>
      </w:r>
    </w:p>
    <w:p w14:paraId="129EB25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Lymphatic filariasis (LF) is highly stigmatized in Nigeria, which has the highest LF burden in Africa. The Carter Center has used “Hope Groups,” nurse-led support groups, as disease management and disability inclusion (DMDI) programs for people with LF in Plateau and Nasarawa states since 2003. As part of an effort to establish similar groups in Ebonyi state, baseline data were collected from individuals with LF including demographics, physical manifestation of LF, disability status (using the WHO Disability Assessment Schedule [WHO-DAS] 12-item tool), depression status (Patient Health Questionnaire [PHQ]-9 tool), social support (Oslo social support scale), and perceived stigma. Participants (n=216) were enrolled at three time points before the launch of Hope Groups: October 2023, July 2024, and December 2024. Among them, 71 had hydrocele only, 136 had lymphedema only, and 9 had both lymphedema and hydrocele. Some participants were surveyed twice during the enrollment phase, including 20 patients who received hydrocele surgeries between surveys and 110 lymphedema patients who received basic intervention (medication provision and instruction on limb care). Among participants surveyed before and after hydrocele surgery, average scores significantly improved for WHO-DAS (30.4 to 12.5, p&lt;0.001), PHQ-9 (17.0 to 0.5, p&lt;0.001), perceived stigma (1.7 to 0.0, p=0.002), and Oslo social support (9.0 to 11.2, p=0.01). For lymphoedema patients, despite minimal intervention, a smaller but significant reduction of average WHO-DAS (36.7 to 28.2, p&lt;0.001) and PHQ-9 (from 21.5 to 10.4, p&lt;0.01) scores were observed; changes in social support (p=0.053) and stigma (p=0.2) scores were not statistically significant. Hope Groups began in late 2024; participants will be followed to assess impact of the additional medication, counseling, and support services after six months.</w:t>
      </w:r>
    </w:p>
    <w:p w14:paraId="6D2C608F"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25-A-3863-ASTMH</w:t>
      </w:r>
    </w:p>
    <w:p w14:paraId="5A814D8D"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2D8900F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Detection of KPC-Producing </w:t>
      </w:r>
      <w:r w:rsidRPr="00AF28B8">
        <w:rPr>
          <w:rFonts w:ascii="Calibri" w:hAnsi="Calibri" w:cs="Calibri"/>
          <w:b/>
          <w:bCs/>
          <w:i/>
          <w:iCs/>
          <w:color w:val="000000"/>
          <w:sz w:val="22"/>
          <w:szCs w:val="22"/>
        </w:rPr>
        <w:t>Klebsiella oxytoca</w:t>
      </w:r>
      <w:r w:rsidRPr="00AF28B8">
        <w:rPr>
          <w:rFonts w:ascii="Calibri" w:hAnsi="Calibri" w:cs="Calibri"/>
          <w:b/>
          <w:bCs/>
          <w:color w:val="000000"/>
          <w:sz w:val="22"/>
          <w:szCs w:val="22"/>
        </w:rPr>
        <w:t> in a postoperative wound Infection in an elderly trauma patient in Montería, Córdoba, Colombia: A Report Case</w:t>
      </w:r>
    </w:p>
    <w:p w14:paraId="7BF6453D"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Carbapenem-resistant Enterobacteriaceae (CRE), particularly </w:t>
      </w:r>
      <w:r w:rsidRPr="00AF28B8">
        <w:rPr>
          <w:rFonts w:ascii="Calibri" w:hAnsi="Calibri" w:cs="Calibri"/>
          <w:i/>
          <w:iCs/>
          <w:color w:val="000000"/>
          <w:sz w:val="22"/>
          <w:szCs w:val="22"/>
        </w:rPr>
        <w:t>Klebsiella pneumoniae</w:t>
      </w:r>
      <w:r w:rsidRPr="00AF28B8">
        <w:rPr>
          <w:rFonts w:ascii="Calibri" w:hAnsi="Calibri" w:cs="Calibri"/>
          <w:color w:val="000000"/>
          <w:sz w:val="22"/>
          <w:szCs w:val="22"/>
        </w:rPr>
        <w:t> carbapenemase (KPC)-producing strains, are a global health threat. Reports of KPC in Klebsiella oxytoca, a less common pathogen, remain limited in Latin American trauma settings.An 84-year-old female with a right femoral fracture post-fall developed a postoperative wound infection at a tertiary hospital in Montería, Colombia. Initial cultures identified ESBL-producing Enterobacter cloacae, treated empirically with carbapenems. After wound debridement, follow-up cultures revealed multidrug-resistant (MDR) </w:t>
      </w:r>
      <w:r w:rsidRPr="00AF28B8">
        <w:rPr>
          <w:rFonts w:ascii="Calibri" w:hAnsi="Calibri" w:cs="Calibri"/>
          <w:i/>
          <w:iCs/>
          <w:color w:val="000000"/>
          <w:sz w:val="22"/>
          <w:szCs w:val="22"/>
        </w:rPr>
        <w:t>Klebsiella oxytoca</w:t>
      </w:r>
      <w:r w:rsidRPr="00AF28B8">
        <w:rPr>
          <w:rFonts w:ascii="Calibri" w:hAnsi="Calibri" w:cs="Calibri"/>
          <w:color w:val="000000"/>
          <w:sz w:val="22"/>
          <w:szCs w:val="22"/>
        </w:rPr>
        <w:t> harboring KPC, confirmed by NG-Test CARBA-5. The isolate exhibited resistance to carbapenems, cephalosporins, and fluoroquinolones but retained susceptibility to amikacin, guiding targeted therapy.This case represents an unusual but critical detection of KPC-producing </w:t>
      </w:r>
      <w:r w:rsidRPr="00AF28B8">
        <w:rPr>
          <w:rFonts w:ascii="Calibri" w:hAnsi="Calibri" w:cs="Calibri"/>
          <w:i/>
          <w:iCs/>
          <w:color w:val="000000"/>
          <w:sz w:val="22"/>
          <w:szCs w:val="22"/>
        </w:rPr>
        <w:t>K. oxytoca</w:t>
      </w:r>
      <w:r w:rsidRPr="00AF28B8">
        <w:rPr>
          <w:rFonts w:ascii="Calibri" w:hAnsi="Calibri" w:cs="Calibri"/>
          <w:color w:val="000000"/>
          <w:sz w:val="22"/>
          <w:szCs w:val="22"/>
        </w:rPr>
        <w:t> in a trauma patient with osteosynthesis hardware—a scenario favoring MDR colonization. Risk factors included advanced age, invasive procedures, and prior broad-spectrum antibiotic use. The shift from ESBL to KPC underscores the dynamic complexity of postoperative infections in high-risk populations.In resource-limited settings, rapid diagnostics (e.g., CARBA-5) and antimicrobial stewardship are vital to curb CRE transmission. Enhanced surveillance for rare carbapenemase producers in non-pneumoniae Klebsiella species is warranted, particularly in trauma and orthopedic units where device-associated infections amplify AMR risks.</w:t>
      </w:r>
    </w:p>
    <w:p w14:paraId="31CB22A2"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25-A-3864-ASTMH</w:t>
      </w:r>
    </w:p>
    <w:p w14:paraId="58FC62DD"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6569931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Dengue Vaccine Acceptance in Endemic Areas of Peru: A Mixed Methods Study in Iquitos and Piura</w:t>
      </w:r>
    </w:p>
    <w:p w14:paraId="1E3D059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main strategies for dengue control currently rely on vector control and community participation, including individual behaviours towards mosquito control. Two licensed dengue vaccines are now available, and a vaccine could complement vector control strategies and reduce transmission. In this study, we assessed motivations and barriers to a future dengue vaccine prior to its availability in Peru, as well as facilitators for its vaccine uptake. This mixed methods study took place in two dengue endemic Peruvian cities, Iquitos and Piura. Initially, 16 focus group discussions (FGDs) explored attitudes towards </w:t>
      </w:r>
      <w:r w:rsidRPr="00AF28B8">
        <w:rPr>
          <w:rFonts w:ascii="Calibri" w:hAnsi="Calibri" w:cs="Calibri"/>
          <w:color w:val="000000"/>
          <w:sz w:val="22"/>
          <w:szCs w:val="22"/>
        </w:rPr>
        <w:lastRenderedPageBreak/>
        <w:t>a future dengue vaccine and strategies to improve community uptake. This was followed with 883 surveys applied in the same cities to quantify factors associated with acceptance or hesitation towards a dengue vaccine. There were 147 FGD participants and 883 survey participants. Common themes that emerged were general acceptance of a vaccine and need for clear information about the vaccine, including side effects, eligibility, and duration. FGD participants inquired if vaccination would result in changes in vector control, such as no longer needing to take personal precautions against mosquitoes. From the survey, 81% of participants were willing to receive a dengue vaccine, while 19% expressed hesitation or refusal. Participants who were willing to receive the vaccine were significantly more likely to permit fumigation in the home compared to their hesitant counterparts (81.9% vs 68.8%, p&lt;0.001). Regarding dissemination, most participants preferred door-to-door vaccination campaigns (65.8%) and less than half of the participants said they would be willing to pay for the vaccine (41.2%). Data from this study can be used to inform dengue vaccine roll-out strategies. Outreach campaigns should prioritize convenience and access for community members to increase likelihood of participation. Clear messaging about vaccine information is needed and should include information to ensure continued participation in vector control activities.</w:t>
      </w:r>
    </w:p>
    <w:p w14:paraId="260D4894"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25-A-3865-ASTMH</w:t>
      </w:r>
    </w:p>
    <w:p w14:paraId="66A628DC"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0F7A6AA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Implementation of perennial malaria chemoprevention in Benin and Cote d’Ivoire: what are the determinants of co-delivery of doses with childhood vaccinations in the first and second years of life?</w:t>
      </w:r>
    </w:p>
    <w:p w14:paraId="66592269"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Perennial malaria chemoprevention (PMC) has been shown to reduce malaria morbidity and mortality of under-five children in sub-Saharan Africa. However, its effectiveness will depend on coverage of the intervention. Following the update of the WHO guidelines in 2022, Benin and Cote d’Ivoire introduced eight and five doses of PMC implemented along to the Essential Programme of Immunisation (EPI) vaccines respectively. Paediatric sulfadoxine-pyrimethamine was given routinely at health facilities and through outreach services along with vaccination and vitamin A co-interventions during the first and second year of life. Understanding determinants of EPI and PMC coverage, common across both and specific to each intervention, will be useful for developing strategies to increase coverage, equity of coverage, and effectiveness of these lifesaving interventions. This study will report on determinants of co-delivery of PMC doses with childhood vaccinations in four districts in Benin and Cote d’Ivoire. Data were collected through two household surveys in October-November 2024, about one year after the introduction of PMC in the districts. Approximately 1,200 caregivers of children aged 12-35 months were included across the catchment area of 20 health facilities in each country. Data on vaccine and PMC coverage were collected both from caregiver recall and from data reported on vaccination cards. Coverage of vaccination cards was over 83% in both countries. Concurrence between recall and written data was explored. Completed estimates of crude and valid coverage of PMC and vaccines received during the first and the second year of life will be presented alongside with determinants of vaccine and PMC coverage, including demographic and socio-economic characteristics, knowledge and health attitudes of the caregiver.</w:t>
      </w:r>
    </w:p>
    <w:p w14:paraId="048A0F62"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25-A-3866-ASTMH</w:t>
      </w:r>
    </w:p>
    <w:p w14:paraId="3F7CD20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329255E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Socio-ecological drivers of flavivirus exposure in a rural district of Madagascar</w:t>
      </w:r>
    </w:p>
    <w:p w14:paraId="32F7107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Flaviviruses are an expanding cause of human disease, driven by changes in climate, transportation, and the relationship between humans and their environment. An understanding of their distribution, transmission patterns and associated risk factors is important for both clinical management and health systems planning, but information is often lacking, particularly in resource-limited regions. In Ifanadiana, a rural district in southeastern Madagascar, no information has been available on the extent of circulation of flaviviruses in the population, despite a high burden of non-malarial febrile illness. To address this gap in knowledge, we examined responses to dengue proteins in dried blood spots (DBS) </w:t>
      </w:r>
      <w:r w:rsidRPr="00AF28B8">
        <w:rPr>
          <w:rFonts w:ascii="Calibri" w:hAnsi="Calibri" w:cs="Calibri"/>
          <w:color w:val="000000"/>
          <w:sz w:val="22"/>
          <w:szCs w:val="22"/>
        </w:rPr>
        <w:lastRenderedPageBreak/>
        <w:t>collected in 2021 as part of a district-representative longitudinal cohort study. Nearly 7000 DBS were collected from 20 households in each of 80 clusters across the district, and the IgG response to dengue envelope (E DENV2) and nonstructural protein 1 (NS1 DENV1-4) was measured as part of a Luminex-based panel. Information on spatial, socio-economic, demographic and environmental variables was also collected. 28% of individuals were seropositive for E, one-quarter of whom were also positive for at least one NS1 after fitting a Gaussian Mixed Model to the data. Many of the same individuals were also seropositive for West Nile Virus, due to either cross-reactive antibody responses or indicative of broader exposure to mosquito-borne viruses. Geographic patterns in seroprevalence exhibited strong spatial structuring following the road transportation network. Initial analyses indicated that higher combined E and NS1 seropositivity was associated with colder, wetter climates. Older individuals and those not using mosquito nets were also at higher risk for seropositivity. The identification of these socio-ecological drivers will enable the mapping of regions with high flavivirus exposure to target future arboviral surveillance and intervention efforts.</w:t>
      </w:r>
    </w:p>
    <w:p w14:paraId="4B401F0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25-A-3867-ASTMH</w:t>
      </w:r>
    </w:p>
    <w:p w14:paraId="75F3B31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212AB89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Boosting Malaria Diagnosis Accuracy: Empowering Biomedical Technicians in Three Regions of Burkina Faso's Integrated Health Services Project</w:t>
      </w:r>
    </w:p>
    <w:p w14:paraId="7EF7A7D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the leading cause of morbidity and mortality across health facilities in Burkina Faso, accounting for 35% of admissions, 23% of outpatient cases, and 9% of deaths. Despite the World Health Organization (WHO) guidelines recommending parasitological confirmation of all suspected cases via rapid diagnostic tests (RDTs) or microscopy, the quality of malaria diagnosis is undermined by limited technical capacity among biomedical technicians (BMTs), particularly in referral hospitals and private laboratories. We present the approach and results of a malaria microscopy capacity-strengthening initiative led by the USAID-funded Integrated Health Services (IHS) project in partnership with the malaria research and training centre, the permanent secretary for malaria elimination, and the Laboratories Directorate within the Ministry of Health. Between 2023 and 2024, the IHS project and its partners implemented a phased intervention to improve BMTs' competencies in malaria microscopy. Activities included baseline supervision, structured training sessions including preparation of microscopy slides, reading and identifying species, parasite density estimation, slides conservation, post-training follow-up, and systematic quality control of microscopy slides. Quality control assessments were conducted to evaluate diagnostic accuracy and identify ongoing training needs. In 2023, 230 blood smear slides were reviewed, with a concordance rate of 84% between BMTs' readings and expert validation. In 2024, among 348 reviewed slides, concordance reached 80%. While a slight decline was observed, the overall results demonstrate sustained improvement in microscopy quality attributable to continuous training, supervision, and performance monitoring. When embedded within a system of supervision and quality assurance, the capacity-building of biomedical technicians can significantly enhance the accuracy of malaria diagnosis. The IHS project’s experience underscores the value of targeted technical strengthening in supporting malaria control efforts and improving the quality of care.</w:t>
      </w:r>
    </w:p>
    <w:p w14:paraId="7DEF6F32"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25-A-3868-ASTMH</w:t>
      </w:r>
    </w:p>
    <w:p w14:paraId="6589CE1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72B35A95"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Chemical Snail Control on Intermediate Host Snail Populations for Urogenital Schistosomiasis Elimination in Pemba, Tanzania: Findings of a 3</w:t>
      </w:r>
      <w:r w:rsidRPr="00AF28B8">
        <w:rPr>
          <w:rFonts w:ascii="Calibri" w:hAnsi="Calibri" w:cs="Calibri"/>
          <w:color w:val="000000"/>
          <w:sz w:val="22"/>
          <w:szCs w:val="22"/>
        </w:rPr>
        <w:noBreakHyphen/>
        <w:t>Year Intervention Study</w:t>
      </w:r>
    </w:p>
    <w:p w14:paraId="65A7025C"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WHO has set the goal of eliminating schistosomiasis as a public health problem globally by 2030. Chemical snail control is one important measure to reduce transmission and achieve elimination. We aimed to assess the impact of chemical snail control on the presence and number of the </w:t>
      </w:r>
      <w:r w:rsidRPr="00AF28B8">
        <w:rPr>
          <w:rFonts w:ascii="Calibri" w:hAnsi="Calibri" w:cs="Calibri"/>
          <w:i/>
          <w:iCs/>
          <w:color w:val="000000"/>
          <w:sz w:val="22"/>
          <w:szCs w:val="22"/>
        </w:rPr>
        <w:t>Schistosoma haematobium </w:t>
      </w:r>
      <w:r w:rsidRPr="00AF28B8">
        <w:rPr>
          <w:rFonts w:ascii="Calibri" w:hAnsi="Calibri" w:cs="Calibri"/>
          <w:color w:val="000000"/>
          <w:sz w:val="22"/>
          <w:szCs w:val="22"/>
        </w:rPr>
        <w:t>intermediate snail host (</w:t>
      </w:r>
      <w:r w:rsidRPr="00AF28B8">
        <w:rPr>
          <w:rFonts w:ascii="Calibri" w:hAnsi="Calibri" w:cs="Calibri"/>
          <w:i/>
          <w:iCs/>
          <w:color w:val="000000"/>
          <w:sz w:val="22"/>
          <w:szCs w:val="22"/>
        </w:rPr>
        <w:t>Bulinus </w:t>
      </w:r>
      <w:r w:rsidRPr="00AF28B8">
        <w:rPr>
          <w:rFonts w:ascii="Calibri" w:hAnsi="Calibri" w:cs="Calibri"/>
          <w:color w:val="000000"/>
          <w:sz w:val="22"/>
          <w:szCs w:val="22"/>
        </w:rPr>
        <w:t xml:space="preserve">spp.) in water bodies (WBs) on Pemba Island, Tanzania, a setting targeted for elimination. During the three annual intervention periods of the SchistoBreak study in the north of Pemba from 2020 to 2024, malacological surveys were conducted up to four times per </w:t>
      </w:r>
      <w:r w:rsidRPr="00AF28B8">
        <w:rPr>
          <w:rFonts w:ascii="Calibri" w:hAnsi="Calibri" w:cs="Calibri"/>
          <w:color w:val="000000"/>
          <w:sz w:val="22"/>
          <w:szCs w:val="22"/>
        </w:rPr>
        <w:lastRenderedPageBreak/>
        <w:t>period in WBs of hotspot implementation units (IUs). Freshwater snail species and WB characteristics were recorded. If </w:t>
      </w:r>
      <w:r w:rsidRPr="00AF28B8">
        <w:rPr>
          <w:rFonts w:ascii="Calibri" w:hAnsi="Calibri" w:cs="Calibri"/>
          <w:i/>
          <w:iCs/>
          <w:color w:val="000000"/>
          <w:sz w:val="22"/>
          <w:szCs w:val="22"/>
        </w:rPr>
        <w:t>Bulinus </w:t>
      </w:r>
      <w:r w:rsidRPr="00AF28B8">
        <w:rPr>
          <w:rFonts w:ascii="Calibri" w:hAnsi="Calibri" w:cs="Calibri"/>
          <w:color w:val="000000"/>
          <w:sz w:val="22"/>
          <w:szCs w:val="22"/>
        </w:rPr>
        <w:t>were found, the snails were inspected for </w:t>
      </w:r>
      <w:r w:rsidRPr="00AF28B8">
        <w:rPr>
          <w:rFonts w:ascii="Calibri" w:hAnsi="Calibri" w:cs="Calibri"/>
          <w:i/>
          <w:iCs/>
          <w:color w:val="000000"/>
          <w:sz w:val="22"/>
          <w:szCs w:val="22"/>
        </w:rPr>
        <w:t>Schistosoma </w:t>
      </w:r>
      <w:r w:rsidRPr="00AF28B8">
        <w:rPr>
          <w:rFonts w:ascii="Calibri" w:hAnsi="Calibri" w:cs="Calibri"/>
          <w:color w:val="000000"/>
          <w:sz w:val="22"/>
          <w:szCs w:val="22"/>
        </w:rPr>
        <w:t>infection and snail control with niclosamide was conducted. Across the three intervention periods, 112 WBs were identified in 8 hotspots IUs. The spatial distribution of WBs with </w:t>
      </w:r>
      <w:r w:rsidRPr="00AF28B8">
        <w:rPr>
          <w:rFonts w:ascii="Calibri" w:hAnsi="Calibri" w:cs="Calibri"/>
          <w:i/>
          <w:iCs/>
          <w:color w:val="000000"/>
          <w:sz w:val="22"/>
          <w:szCs w:val="22"/>
        </w:rPr>
        <w:t>Bulinus </w:t>
      </w:r>
      <w:r w:rsidRPr="00AF28B8">
        <w:rPr>
          <w:rFonts w:ascii="Calibri" w:hAnsi="Calibri" w:cs="Calibri"/>
          <w:color w:val="000000"/>
          <w:sz w:val="22"/>
          <w:szCs w:val="22"/>
        </w:rPr>
        <w:t>per IU was heterogeneous, ranging from 0.0% (0/15) of WBs infested in one IU in 2022 to 80.0% (8/10) of WBs infested in one IU in 2021. </w:t>
      </w:r>
      <w:r w:rsidRPr="00AF28B8">
        <w:rPr>
          <w:rFonts w:ascii="Calibri" w:hAnsi="Calibri" w:cs="Calibri"/>
          <w:i/>
          <w:iCs/>
          <w:color w:val="000000"/>
          <w:sz w:val="22"/>
          <w:szCs w:val="22"/>
        </w:rPr>
        <w:t>Bulinus </w:t>
      </w:r>
      <w:r w:rsidRPr="00AF28B8">
        <w:rPr>
          <w:rFonts w:ascii="Calibri" w:hAnsi="Calibri" w:cs="Calibri"/>
          <w:color w:val="000000"/>
          <w:sz w:val="22"/>
          <w:szCs w:val="22"/>
        </w:rPr>
        <w:t>presence was significantly associated with lower pH values in WBs (OR: 0.2, 95% CI 0.1-0.4). A total of 0.2% (6/2360) of collected </w:t>
      </w:r>
      <w:r w:rsidRPr="00AF28B8">
        <w:rPr>
          <w:rFonts w:ascii="Calibri" w:hAnsi="Calibri" w:cs="Calibri"/>
          <w:i/>
          <w:iCs/>
          <w:color w:val="000000"/>
          <w:sz w:val="22"/>
          <w:szCs w:val="22"/>
        </w:rPr>
        <w:t>Bulinus </w:t>
      </w:r>
      <w:r w:rsidRPr="00AF28B8">
        <w:rPr>
          <w:rFonts w:ascii="Calibri" w:hAnsi="Calibri" w:cs="Calibri"/>
          <w:color w:val="000000"/>
          <w:sz w:val="22"/>
          <w:szCs w:val="22"/>
        </w:rPr>
        <w:t>were shedding </w:t>
      </w:r>
      <w:r w:rsidRPr="00AF28B8">
        <w:rPr>
          <w:rFonts w:ascii="Calibri" w:hAnsi="Calibri" w:cs="Calibri"/>
          <w:i/>
          <w:iCs/>
          <w:color w:val="000000"/>
          <w:sz w:val="22"/>
          <w:szCs w:val="22"/>
        </w:rPr>
        <w:t>Schistosoma </w:t>
      </w:r>
      <w:r w:rsidRPr="00AF28B8">
        <w:rPr>
          <w:rFonts w:ascii="Calibri" w:hAnsi="Calibri" w:cs="Calibri"/>
          <w:color w:val="000000"/>
          <w:sz w:val="22"/>
          <w:szCs w:val="22"/>
        </w:rPr>
        <w:t>cercariae. Following snail control, the number of </w:t>
      </w:r>
      <w:r w:rsidRPr="00AF28B8">
        <w:rPr>
          <w:rFonts w:ascii="Calibri" w:hAnsi="Calibri" w:cs="Calibri"/>
          <w:i/>
          <w:iCs/>
          <w:color w:val="000000"/>
          <w:sz w:val="22"/>
          <w:szCs w:val="22"/>
        </w:rPr>
        <w:t>Bulinus</w:t>
      </w:r>
      <w:r w:rsidRPr="00AF28B8">
        <w:rPr>
          <w:rFonts w:ascii="Calibri" w:hAnsi="Calibri" w:cs="Calibri"/>
          <w:color w:val="000000"/>
          <w:sz w:val="22"/>
          <w:szCs w:val="22"/>
        </w:rPr>
        <w:t> decreased or remained absent in 56.7% (38/67) of visits at WBs when compared with the previous visit in 2021, 54.9% (28/51) in 2022, and 33.3% (32/96) in 2023. In a total of 43.1% (22/55) of initially infested WBs, no </w:t>
      </w:r>
      <w:r w:rsidRPr="00AF28B8">
        <w:rPr>
          <w:rFonts w:ascii="Calibri" w:hAnsi="Calibri" w:cs="Calibri"/>
          <w:i/>
          <w:iCs/>
          <w:color w:val="000000"/>
          <w:sz w:val="22"/>
          <w:szCs w:val="22"/>
        </w:rPr>
        <w:t>Bulinus </w:t>
      </w:r>
      <w:r w:rsidRPr="00AF28B8">
        <w:rPr>
          <w:rFonts w:ascii="Calibri" w:hAnsi="Calibri" w:cs="Calibri"/>
          <w:color w:val="000000"/>
          <w:sz w:val="22"/>
          <w:szCs w:val="22"/>
        </w:rPr>
        <w:t>were found in the survey round conducted a few weeks after the first application of niclosamide. However, 25.4% (14/55) of WBs showed a pattern of recurring </w:t>
      </w:r>
      <w:r w:rsidRPr="00AF28B8">
        <w:rPr>
          <w:rFonts w:ascii="Calibri" w:hAnsi="Calibri" w:cs="Calibri"/>
          <w:i/>
          <w:iCs/>
          <w:color w:val="000000"/>
          <w:sz w:val="22"/>
          <w:szCs w:val="22"/>
        </w:rPr>
        <w:t>Bulinus </w:t>
      </w:r>
      <w:r w:rsidRPr="00AF28B8">
        <w:rPr>
          <w:rFonts w:ascii="Calibri" w:hAnsi="Calibri" w:cs="Calibri"/>
          <w:color w:val="000000"/>
          <w:sz w:val="22"/>
          <w:szCs w:val="22"/>
        </w:rPr>
        <w:t>presence. The distribution of WBs containing </w:t>
      </w:r>
      <w:r w:rsidRPr="00AF28B8">
        <w:rPr>
          <w:rFonts w:ascii="Calibri" w:hAnsi="Calibri" w:cs="Calibri"/>
          <w:i/>
          <w:iCs/>
          <w:color w:val="000000"/>
          <w:sz w:val="22"/>
          <w:szCs w:val="22"/>
        </w:rPr>
        <w:t>Bulinus </w:t>
      </w:r>
      <w:r w:rsidRPr="00AF28B8">
        <w:rPr>
          <w:rFonts w:ascii="Calibri" w:hAnsi="Calibri" w:cs="Calibri"/>
          <w:color w:val="000000"/>
          <w:sz w:val="22"/>
          <w:szCs w:val="22"/>
        </w:rPr>
        <w:t>was very heterogeneous. Repeated niclosamide application reduced the number of </w:t>
      </w:r>
      <w:r w:rsidRPr="00AF28B8">
        <w:rPr>
          <w:rFonts w:ascii="Calibri" w:hAnsi="Calibri" w:cs="Calibri"/>
          <w:i/>
          <w:iCs/>
          <w:color w:val="000000"/>
          <w:sz w:val="22"/>
          <w:szCs w:val="22"/>
        </w:rPr>
        <w:t>Bulinus </w:t>
      </w:r>
      <w:r w:rsidRPr="00AF28B8">
        <w:rPr>
          <w:rFonts w:ascii="Calibri" w:hAnsi="Calibri" w:cs="Calibri"/>
          <w:color w:val="000000"/>
          <w:sz w:val="22"/>
          <w:szCs w:val="22"/>
        </w:rPr>
        <w:t>in WBs, but snails often recurred after one or multiple treatments. While chemical mollusciciding can reduce snail numbers, to fully break </w:t>
      </w:r>
      <w:r w:rsidRPr="00AF28B8">
        <w:rPr>
          <w:rFonts w:ascii="Calibri" w:hAnsi="Calibri" w:cs="Calibri"/>
          <w:i/>
          <w:iCs/>
          <w:color w:val="000000"/>
          <w:sz w:val="22"/>
          <w:szCs w:val="22"/>
        </w:rPr>
        <w:t>S. haematobium</w:t>
      </w:r>
      <w:r w:rsidRPr="00AF28B8">
        <w:rPr>
          <w:rFonts w:ascii="Calibri" w:hAnsi="Calibri" w:cs="Calibri"/>
          <w:color w:val="000000"/>
          <w:sz w:val="22"/>
          <w:szCs w:val="22"/>
        </w:rPr>
        <w:t> transmission, timely diagnosis and treatment of infected humans, access to clean water, sanitation, and health communication remain of prime importance.</w:t>
      </w:r>
    </w:p>
    <w:p w14:paraId="5312638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25-A-3869-ASTMH</w:t>
      </w:r>
    </w:p>
    <w:p w14:paraId="03821A27"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3131FC4C"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Assessing Malaria Case Management and Care-Seeking in Private Sector Outlets in Siaya County, Kenya</w:t>
      </w:r>
    </w:p>
    <w:p w14:paraId="65A8B6F0"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Understanding malaria care-seeking patterns and case management in the private sector is crucial for accurate disease surveillance and control. Many patients seek care from private sector outlets (PSOs), causing routine surveillance systems to underestimate malaria burden.To assess malaria case management and care-seeking in PSOs in Siaya County, we analyzed daily activity registers (DAR) and supervision data from 179 PSOs in Rarieda and Alego Usonga sub-counties, from December 2023 to December 2024. Routine surveillance data from health facilities (HF) and community health volunteers (CHV) were also used to evaluate private sector care-seeking. Our analysis focused on PSO coverage, reporting rates, testing and treatment practices compared to public sector data.About 12% of patients seek care for malaria from PSOs. After targeted onboarding and training, PSO reporting rates improved from 29.61% (n=53) in December 2023 to 73.1% (n=155) outlets by August 2024. Of 96,978 patient visits, 41% received on-site testing (93% with rapid diagnostic tests); 50% were untested, and 8.6% were referrals from other HFs. Test positivity rates (TPR) averaged 82.5% (CI: 78.5-87.5%) in PSOs, similar to CHVs (82%) but higher than HFs (65.6%, CI: 65.4-65.8%). Notably, PSOs presumptively treated 49% of attendees, compared to 19.8% overtreatment in HFs, with 86% of prescriptions being Artemether-Lumefantrine (AL). Among PSO staff, 47% were untrained, and 42% of trained personnel were not registered with the Kenya Pharmacies and Poisons Board (KPPB). Furthermore, 62% could not accurately identify severe malaria symptoms, and only 51% were aware of updated ACT guidelines for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trimester of pregnancy. While PSOs are vital in malaria case management in Siaya County, gaps in adherence to testing and treatment guidelines persist due to insufficient training. Higher TPRs in PSOs vs HFs suggest differences in care-seeking preferences or testing practices. Moreover, surveillance systems miss suspected malaria cases treated at PSOs, emphasizing the need for improved integration and guideline adherence for accurate burden estimation.</w:t>
      </w:r>
    </w:p>
    <w:p w14:paraId="147F126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25-A-3870-ASTMH</w:t>
      </w:r>
    </w:p>
    <w:p w14:paraId="69F1742C"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6F02A0C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Unrevealing tissue remodeling in neurocysticercosis: PI3K-AKT dependent regulation of antigen-specific matrix metalloproteinase expression</w:t>
      </w:r>
    </w:p>
    <w:p w14:paraId="52DE3E71"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Neurocysticercosis (NCC), caused by </w:t>
      </w:r>
      <w:r w:rsidRPr="00AF28B8">
        <w:rPr>
          <w:rFonts w:ascii="Calibri" w:hAnsi="Calibri" w:cs="Calibri"/>
          <w:i/>
          <w:iCs/>
          <w:color w:val="000000"/>
          <w:sz w:val="22"/>
          <w:szCs w:val="22"/>
        </w:rPr>
        <w:t>Taenia solium</w:t>
      </w:r>
      <w:r w:rsidRPr="00AF28B8">
        <w:rPr>
          <w:rFonts w:ascii="Calibri" w:hAnsi="Calibri" w:cs="Calibri"/>
          <w:color w:val="000000"/>
          <w:sz w:val="22"/>
          <w:szCs w:val="22"/>
        </w:rPr>
        <w:t xml:space="preserve">, is a leading parasitic brain infection that cause most of the cases of adult-acquired epilepsy. NCC pathology is characterized by neuroinflammation, </w:t>
      </w:r>
      <w:r w:rsidRPr="00AF28B8">
        <w:rPr>
          <w:rFonts w:ascii="Calibri" w:hAnsi="Calibri" w:cs="Calibri"/>
          <w:color w:val="000000"/>
          <w:sz w:val="22"/>
          <w:szCs w:val="22"/>
        </w:rPr>
        <w:lastRenderedPageBreak/>
        <w:t>associated to extracellular matrix (ECM) remodeling. Matrix metalloproteinases (MMPs) are key ECM degrading enzymes. However, little is known about their role in NCC. Understanding how parasitic antigens induce MMP responses could uncover novel mechanisms driving tissue damage in NCC. To characterize MMPs expression in monocytes stimulated with different </w:t>
      </w:r>
      <w:r w:rsidRPr="00AF28B8">
        <w:rPr>
          <w:rFonts w:ascii="Calibri" w:hAnsi="Calibri" w:cs="Calibri"/>
          <w:i/>
          <w:iCs/>
          <w:color w:val="000000"/>
          <w:sz w:val="22"/>
          <w:szCs w:val="22"/>
        </w:rPr>
        <w:t>T. solium</w:t>
      </w:r>
      <w:r w:rsidRPr="00AF28B8">
        <w:rPr>
          <w:rFonts w:ascii="Calibri" w:hAnsi="Calibri" w:cs="Calibri"/>
          <w:color w:val="000000"/>
          <w:sz w:val="22"/>
          <w:szCs w:val="22"/>
        </w:rPr>
        <w:t> antigens and determine cell signaling pathway regulating tissue remodeling.</w:t>
      </w:r>
      <w:r w:rsidRPr="00AF28B8">
        <w:rPr>
          <w:rFonts w:ascii="Calibri" w:hAnsi="Calibri" w:cs="Calibri"/>
          <w:b/>
          <w:bCs/>
          <w:color w:val="000000"/>
          <w:sz w:val="22"/>
          <w:szCs w:val="22"/>
        </w:rPr>
        <w:t> </w:t>
      </w:r>
      <w:r w:rsidRPr="00AF28B8">
        <w:rPr>
          <w:rFonts w:ascii="Calibri" w:hAnsi="Calibri" w:cs="Calibri"/>
          <w:color w:val="000000"/>
          <w:sz w:val="22"/>
          <w:szCs w:val="22"/>
        </w:rPr>
        <w:t>Human monocytes were stimulated with </w:t>
      </w:r>
      <w:r w:rsidRPr="00AF28B8">
        <w:rPr>
          <w:rFonts w:ascii="Calibri" w:hAnsi="Calibri" w:cs="Calibri"/>
          <w:i/>
          <w:iCs/>
          <w:color w:val="000000"/>
          <w:sz w:val="22"/>
          <w:szCs w:val="22"/>
        </w:rPr>
        <w:t>T. solium</w:t>
      </w:r>
      <w:r w:rsidRPr="00AF28B8">
        <w:rPr>
          <w:rFonts w:ascii="Calibri" w:hAnsi="Calibri" w:cs="Calibri"/>
          <w:color w:val="000000"/>
          <w:sz w:val="22"/>
          <w:szCs w:val="22"/>
        </w:rPr>
        <w:t> total antigen extract (Tsol) and recombinant proteins rGP50, rT24H and 8kDa for 24, 48 and 72 h. Gene expression and secretion of MMPs (MMP-1 and MMP-9) and a MMP inhibitor (TIMP1) were measured by RT-qPCR and ELISA. Functional collagenase/gelatinase assays were performed to assess MMPs enzymatic activity. To determine signaling pathway regulating MMPs expression, monocytes were pre-treated with MAPK and PI3K-AKT pathway inhibitors (1–10 µM) before NCC antigen stimulation.</w:t>
      </w:r>
      <w:r w:rsidRPr="00AF28B8">
        <w:rPr>
          <w:rFonts w:ascii="Calibri" w:hAnsi="Calibri" w:cs="Calibri"/>
          <w:b/>
          <w:bCs/>
          <w:color w:val="000000"/>
          <w:sz w:val="22"/>
          <w:szCs w:val="22"/>
        </w:rPr>
        <w:t> </w:t>
      </w:r>
      <w:r w:rsidRPr="00AF28B8">
        <w:rPr>
          <w:rFonts w:ascii="Calibri" w:hAnsi="Calibri" w:cs="Calibri"/>
          <w:color w:val="000000"/>
          <w:sz w:val="22"/>
          <w:szCs w:val="22"/>
        </w:rPr>
        <w:t>Differential secretion and gene expression of MMPs were observed for the different antigens tested. MMP-1 (a collagenase) secretion was significantly upregulated in monocytes stimulated with Tsol (3247.56 pg/ml), rGP50 (1932.93 pg/ml) and rT24H (4255.08 pg/ml) antigens compared to control monocytes (157.31 µg/ml), with robust collagenase activity, peaking at 48 h post-stimulation. 8kDa antigens only stimulated significant upregulation for MMP-9 secretion (</w:t>
      </w:r>
      <w:r w:rsidRPr="00AF28B8">
        <w:rPr>
          <w:rFonts w:ascii="Calibri" w:hAnsi="Calibri" w:cs="Calibri"/>
          <w:i/>
          <w:iCs/>
          <w:color w:val="000000"/>
          <w:sz w:val="22"/>
          <w:szCs w:val="22"/>
        </w:rPr>
        <w:t>p</w:t>
      </w:r>
      <w:r w:rsidRPr="00AF28B8">
        <w:rPr>
          <w:rFonts w:ascii="Calibri" w:hAnsi="Calibri" w:cs="Calibri"/>
          <w:color w:val="000000"/>
          <w:sz w:val="22"/>
          <w:szCs w:val="22"/>
        </w:rPr>
        <w:t>=0.0013) compared to controls. PI3K inhibition reduced AKT phosphorylation, leading to a significant marked decrease in MMP secretion and gene expression compared to controls (</w:t>
      </w:r>
      <w:r w:rsidRPr="00AF28B8">
        <w:rPr>
          <w:rFonts w:ascii="Calibri" w:hAnsi="Calibri" w:cs="Calibri"/>
          <w:i/>
          <w:iCs/>
          <w:color w:val="000000"/>
          <w:sz w:val="22"/>
          <w:szCs w:val="22"/>
        </w:rPr>
        <w:t>p</w:t>
      </w:r>
      <w:r w:rsidRPr="00AF28B8">
        <w:rPr>
          <w:rFonts w:ascii="Calibri" w:hAnsi="Calibri" w:cs="Calibri"/>
          <w:color w:val="000000"/>
          <w:sz w:val="22"/>
          <w:szCs w:val="22"/>
        </w:rPr>
        <w:t>&lt;0.01). </w:t>
      </w:r>
      <w:r w:rsidRPr="00AF28B8">
        <w:rPr>
          <w:rFonts w:ascii="Calibri" w:hAnsi="Calibri" w:cs="Calibri"/>
          <w:i/>
          <w:iCs/>
          <w:color w:val="000000"/>
          <w:sz w:val="22"/>
          <w:szCs w:val="22"/>
        </w:rPr>
        <w:t>T. solium</w:t>
      </w:r>
      <w:r w:rsidRPr="00AF28B8">
        <w:rPr>
          <w:rFonts w:ascii="Calibri" w:hAnsi="Calibri" w:cs="Calibri"/>
          <w:color w:val="000000"/>
          <w:sz w:val="22"/>
          <w:szCs w:val="22"/>
        </w:rPr>
        <w:t> antigens induce differential tissue remodeling responses in monocytes. MMP-1 and MMP-9 expression in monocytes, regulated by PI3K-AKT signaling pathway, promotes extracellular matrix degradation, suggesting a mechanism for immune-driven neuroinflammation and tissue remodeling in NCC.</w:t>
      </w:r>
    </w:p>
    <w:p w14:paraId="330E5A94"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25-A-3872-ASTMH</w:t>
      </w:r>
    </w:p>
    <w:p w14:paraId="48B5BE53"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Enteric Infections</w:t>
      </w:r>
    </w:p>
    <w:p w14:paraId="7F5358D4"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Epidemiological analysis of </w:t>
      </w:r>
      <w:r w:rsidRPr="00AF28B8">
        <w:rPr>
          <w:rFonts w:ascii="Calibri" w:hAnsi="Calibri" w:cs="Calibri"/>
          <w:b/>
          <w:bCs/>
          <w:i/>
          <w:iCs/>
          <w:color w:val="000000"/>
          <w:sz w:val="22"/>
          <w:szCs w:val="22"/>
        </w:rPr>
        <w:t>Staphylococcus aureus</w:t>
      </w:r>
      <w:r w:rsidRPr="00AF28B8">
        <w:rPr>
          <w:rFonts w:ascii="Calibri" w:hAnsi="Calibri" w:cs="Calibri"/>
          <w:b/>
          <w:bCs/>
          <w:color w:val="000000"/>
          <w:sz w:val="22"/>
          <w:szCs w:val="22"/>
        </w:rPr>
        <w:t> foodborne outbreaks in Colombia (2022-2024)</w:t>
      </w:r>
    </w:p>
    <w:p w14:paraId="3B83C5AF"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Staphylococcus aureus</w:t>
      </w:r>
      <w:r w:rsidRPr="00AF28B8">
        <w:rPr>
          <w:rFonts w:ascii="Calibri" w:hAnsi="Calibri" w:cs="Calibri"/>
          <w:color w:val="000000"/>
          <w:sz w:val="22"/>
          <w:szCs w:val="22"/>
        </w:rPr>
        <w:t> is a leading cause of foodborne outbreaks worldwide, yet data on its epidemiological burden and antimicrobial resistance (AMR) patterns in Colombia remain limited. We analyzed national surveillance data to characterize S. aureus-associated outbreaks and identify critical control points. Laboratory-confirmed </w:t>
      </w:r>
      <w:r w:rsidRPr="00AF28B8">
        <w:rPr>
          <w:rFonts w:ascii="Calibri" w:hAnsi="Calibri" w:cs="Calibri"/>
          <w:i/>
          <w:iCs/>
          <w:color w:val="000000"/>
          <w:sz w:val="22"/>
          <w:szCs w:val="22"/>
        </w:rPr>
        <w:t>S. aureus</w:t>
      </w:r>
      <w:r w:rsidRPr="00AF28B8">
        <w:rPr>
          <w:rFonts w:ascii="Calibri" w:hAnsi="Calibri" w:cs="Calibri"/>
          <w:color w:val="000000"/>
          <w:sz w:val="22"/>
          <w:szCs w:val="22"/>
        </w:rPr>
        <w:t> outbreaks reported to Colombia’s public health surveillance system (2022-2024) were analyzed. Attack rates, mortality, geographical distribution, food vehicles, and AMR profiles were assessed. Among 1,330 outbreaks (2022-2024), </w:t>
      </w:r>
      <w:r w:rsidRPr="00AF28B8">
        <w:rPr>
          <w:rFonts w:ascii="Calibri" w:hAnsi="Calibri" w:cs="Calibri"/>
          <w:i/>
          <w:iCs/>
          <w:color w:val="000000"/>
          <w:sz w:val="22"/>
          <w:szCs w:val="22"/>
        </w:rPr>
        <w:t>S. aureus</w:t>
      </w:r>
      <w:r w:rsidRPr="00AF28B8">
        <w:rPr>
          <w:rFonts w:ascii="Calibri" w:hAnsi="Calibri" w:cs="Calibri"/>
          <w:color w:val="000000"/>
          <w:sz w:val="22"/>
          <w:szCs w:val="22"/>
        </w:rPr>
        <w:t> caused 719 outbreaks in 2023 (10,024 cases; attack rate: 18.4%; 4 deaths) and 611 in 2024 (8,257 cases). High-incidence regions included Antioquia (11.5% of outbreaks) and Córdoba (7.6%). Primary food vehicles were meats (32%), dairy (24%), pastries (18%), and sauces (12%), with contamination linked to improper storage (45%) and handling (38%). Methicillin-resistant </w:t>
      </w:r>
      <w:r w:rsidRPr="00AF28B8">
        <w:rPr>
          <w:rFonts w:ascii="Calibri" w:hAnsi="Calibri" w:cs="Calibri"/>
          <w:i/>
          <w:iCs/>
          <w:color w:val="000000"/>
          <w:sz w:val="22"/>
          <w:szCs w:val="22"/>
        </w:rPr>
        <w:t>S. aureus</w:t>
      </w:r>
      <w:r w:rsidRPr="00AF28B8">
        <w:rPr>
          <w:rFonts w:ascii="Calibri" w:hAnsi="Calibri" w:cs="Calibri"/>
          <w:color w:val="000000"/>
          <w:sz w:val="22"/>
          <w:szCs w:val="22"/>
        </w:rPr>
        <w:t> (MRSA) was detected in 9% of tested isolates. Outbreaks predominantly occurred in households (49.7%), schools (13.9%), and restaurants (10.7%). </w:t>
      </w:r>
      <w:r w:rsidRPr="00AF28B8">
        <w:rPr>
          <w:rFonts w:ascii="Calibri" w:hAnsi="Calibri" w:cs="Calibri"/>
          <w:i/>
          <w:iCs/>
          <w:color w:val="000000"/>
          <w:sz w:val="22"/>
          <w:szCs w:val="22"/>
        </w:rPr>
        <w:t>S. aureus</w:t>
      </w:r>
      <w:r w:rsidRPr="00AF28B8">
        <w:rPr>
          <w:rFonts w:ascii="Calibri" w:hAnsi="Calibri" w:cs="Calibri"/>
          <w:color w:val="000000"/>
          <w:sz w:val="22"/>
          <w:szCs w:val="22"/>
        </w:rPr>
        <w:t> poses a significant public health threat in Colombia, with outbreaks driven by perishable foods and lapses in food safety. The emergence of MRSA in foodborne cases raises concerns about AMR transmission through the food chain. Urgent interventions—including enhanced surveillance, food handler training, and community education—are needed to reduce outbreak frequency and severity.</w:t>
      </w:r>
    </w:p>
    <w:p w14:paraId="4943B067"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25-A-3873-ASTMH</w:t>
      </w:r>
    </w:p>
    <w:p w14:paraId="44D3337D"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Vaccines and Immunotherapeutics</w:t>
      </w:r>
    </w:p>
    <w:p w14:paraId="756B149B" w14:textId="5240C90C"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phase 1 clinical study to evaluate safety, reactogenicity, and immunogenicity of the mosquito-based, AnAPN1 malaria transmission-blocking vaccine candidate in healthy adults in Gabon</w:t>
      </w:r>
    </w:p>
    <w:p w14:paraId="2802621D"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continues to pose a significant public health challenge in endemic regions. This study evaluated the safety, tolerability, reactogenicity, and immunogenicity of the recombinant mosquito-based AnAPN1 malaria transmission-blocking vaccine in healthy adults in Lambaréné, Gabon. In this randomized, double-blind, Phase 1a/b trial involving 33 participants aged 18-45, subjects received three doses of AnAPN1 (with and without the GLA-LSQ adjuvant) at varying doses (20 µg, 50 µg, and 100 µg) </w:t>
      </w:r>
      <w:r w:rsidRPr="00AF28B8">
        <w:rPr>
          <w:rFonts w:ascii="Calibri" w:hAnsi="Calibri" w:cs="Calibri"/>
          <w:color w:val="000000"/>
          <w:sz w:val="22"/>
          <w:szCs w:val="22"/>
        </w:rPr>
        <w:lastRenderedPageBreak/>
        <w:t>administered intramuscularly. Of the 55 screened participants enrolled, 33 were enrolled (6 females and 27 males) with a median age of 29. Monitoring for adverse events was conducted over 392 days post-vaccination. Local adverse events were mild to moderate, primarily injection site pain (92%), while systemic events included mild headache (36%) and nausea (19%). No serious adverse events occurred, and the vaccine demonstrated consistent immunogenicity, though the increase in humoral responses showed modest differences between the higher doses. Statistically significant transmission-reducing activity against </w:t>
      </w:r>
      <w:r w:rsidRPr="00AF28B8">
        <w:rPr>
          <w:rFonts w:ascii="Calibri" w:hAnsi="Calibri" w:cs="Calibri"/>
          <w:i/>
          <w:iCs/>
          <w:color w:val="000000"/>
          <w:sz w:val="22"/>
          <w:szCs w:val="22"/>
        </w:rPr>
        <w:t>Plasmodium falciparum </w:t>
      </w:r>
      <w:r w:rsidRPr="00AF28B8">
        <w:rPr>
          <w:rFonts w:ascii="Calibri" w:hAnsi="Calibri" w:cs="Calibri"/>
          <w:color w:val="000000"/>
          <w:sz w:val="22"/>
          <w:szCs w:val="22"/>
        </w:rPr>
        <w:t>in </w:t>
      </w:r>
      <w:r w:rsidRPr="00AF28B8">
        <w:rPr>
          <w:rFonts w:ascii="Calibri" w:hAnsi="Calibri" w:cs="Calibri"/>
          <w:i/>
          <w:iCs/>
          <w:color w:val="000000"/>
          <w:sz w:val="22"/>
          <w:szCs w:val="22"/>
        </w:rPr>
        <w:t>Anopheles gambiae </w:t>
      </w:r>
      <w:r w:rsidRPr="00AF28B8">
        <w:rPr>
          <w:rFonts w:ascii="Calibri" w:hAnsi="Calibri" w:cs="Calibri"/>
          <w:color w:val="000000"/>
          <w:sz w:val="22"/>
          <w:szCs w:val="22"/>
        </w:rPr>
        <w:t>was observed in membrane-feeding assays; however, this effect was found to be inconsistent within and across dosing cohorts. In conclusion, the AnAPN1 vaccine is immunogenic, safe, well-tolerated, and capable of eliciting antibodies with functional activity. However, the data also highlights the potential need for a more potent adjuvant to enhance vaccine efficacy.</w:t>
      </w:r>
    </w:p>
    <w:p w14:paraId="7E7ACA4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25-A-3874-ASTMH</w:t>
      </w:r>
    </w:p>
    <w:p w14:paraId="47AED42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190E4F7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Quality of Life in Patients Affected by Rare Neglected Tropical Dermatological Diseases: Post Covid-19 Era</w:t>
      </w:r>
    </w:p>
    <w:p w14:paraId="550B338A"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 Leprosy, cutaneous-leishmaniasis and lymphatic-filariasis are among the rare and often neglected tropical dermatological diseases that continue to constitute major public-health burdens in Nepal.</w:t>
      </w:r>
      <w:r w:rsidRPr="00AF28B8">
        <w:rPr>
          <w:rFonts w:ascii="Calibri" w:hAnsi="Calibri" w:cs="Calibri"/>
          <w:color w:val="000000"/>
          <w:sz w:val="22"/>
          <w:szCs w:val="22"/>
        </w:rPr>
        <w:br/>
        <w:t>Methods: It was a cross-sectional study conducted in one year. 120 patients which were included in the study. For assessing QoL,Dermatology Life Quality Index(DLQI)and WHOQOL-BREF questionnaires were used. Data on sociodemographic attributes, access to healthcare, medical-history, and stigma were collected through structured interviews.</w:t>
      </w:r>
      <w:r w:rsidRPr="00AF28B8">
        <w:rPr>
          <w:rFonts w:ascii="Calibri" w:hAnsi="Calibri" w:cs="Calibri"/>
          <w:color w:val="000000"/>
          <w:sz w:val="22"/>
          <w:szCs w:val="22"/>
        </w:rPr>
        <w:br/>
        <w:t>Results:Socio-demographic characteristics:The mean age of the participants was 41.5±14.7 years. The male-to-female ratio was 1.2:1. The majority, about 72%, belonged to so-called marginalized ethnic groups.The majority, 84%, had a monthly household-income below USD180. QoL Scores: The mean DLQI score was 12.3±4.8, indicating a rather moderate to severe impact on QoL. The commonly faced difficulties were physical discomfort at 71%, social embarrassment at 68%, and financial-burden at 62%. Healthcare Access:Only 48% of the patients had access to specialized dermatological care within 50 km of residence. Financial constraints and lack of awareness were the primary barriers, at 77% and 65%,respectively. Cultural Stigma: More than 60% of the participants reported stigma. Women were mainly rejected for marriage proposals and excluded socially.</w:t>
      </w:r>
      <w:r w:rsidRPr="00AF28B8">
        <w:rPr>
          <w:rFonts w:ascii="Calibri" w:hAnsi="Calibri" w:cs="Calibri"/>
          <w:color w:val="000000"/>
          <w:sz w:val="22"/>
          <w:szCs w:val="22"/>
        </w:rPr>
        <w:br/>
        <w:t>Statistical Analysis: Multivariate regression analysis showed that stigma(β=0.53,p&lt; 0.001) and healthcare access(β=-0.47,p&lt; 0.001) were significant predictors of QoL scores.</w:t>
      </w:r>
      <w:r w:rsidRPr="00AF28B8">
        <w:rPr>
          <w:rFonts w:ascii="Calibri" w:hAnsi="Calibri" w:cs="Calibri"/>
          <w:color w:val="000000"/>
          <w:sz w:val="22"/>
          <w:szCs w:val="22"/>
        </w:rPr>
        <w:br/>
        <w:t>Conclusion: NTD can cause particularly disabling diseases in Nepal due to socioeconomic inequities, mental stress and cultural-stigma which can further potentiate their effect on QoL. Mechanisms to address these include:accessible and affordable dermatological care; community-based education for stigma reduction;and socio-economic support programs,integrate with National Health insurance. This study identifies a pressing need for policy intervention in establishing dermatological health at the forefront of medical agendas.</w:t>
      </w:r>
    </w:p>
    <w:p w14:paraId="29C50E8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25-A-3875-ASTMH</w:t>
      </w:r>
    </w:p>
    <w:p w14:paraId="07CAF8E9"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10BBA809"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Detection of Insecticide Resistance Mutations in vgsc, ace-1, and Rdl Genes of </w:t>
      </w:r>
      <w:r w:rsidRPr="00AF28B8">
        <w:rPr>
          <w:rFonts w:ascii="Calibri" w:hAnsi="Calibri" w:cs="Calibri"/>
          <w:i/>
          <w:iCs/>
          <w:color w:val="000000"/>
          <w:sz w:val="22"/>
          <w:szCs w:val="22"/>
        </w:rPr>
        <w:t>Anopheles albimanus</w:t>
      </w:r>
      <w:r w:rsidRPr="00AF28B8">
        <w:rPr>
          <w:rFonts w:ascii="Calibri" w:hAnsi="Calibri" w:cs="Calibri"/>
          <w:color w:val="000000"/>
          <w:sz w:val="22"/>
          <w:szCs w:val="22"/>
        </w:rPr>
        <w:t> in Panama</w:t>
      </w:r>
    </w:p>
    <w:p w14:paraId="0A2A2D40"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Effective vector control remains a cornerstone strategy for interrupting local malaria transmission. In Panama, the continuous and intensive use of multiple classes of insecticides—organochlorines, organophosphates, carbamates, and pyrethroids—since the beginning of the national malaria control program has exerted substantial selective pressure on </w:t>
      </w:r>
      <w:r w:rsidRPr="00AF28B8">
        <w:rPr>
          <w:rFonts w:ascii="Calibri" w:hAnsi="Calibri" w:cs="Calibri"/>
          <w:i/>
          <w:iCs/>
          <w:color w:val="000000"/>
          <w:sz w:val="22"/>
          <w:szCs w:val="22"/>
        </w:rPr>
        <w:t>Anopheles albimanus</w:t>
      </w:r>
      <w:r w:rsidRPr="00AF28B8">
        <w:rPr>
          <w:rFonts w:ascii="Calibri" w:hAnsi="Calibri" w:cs="Calibri"/>
          <w:color w:val="000000"/>
          <w:sz w:val="22"/>
          <w:szCs w:val="22"/>
        </w:rPr>
        <w:t xml:space="preserve">, the country’s primary malaria vector. Despite this, the selection of insecticides has often relied on product availability or </w:t>
      </w:r>
      <w:r w:rsidRPr="00AF28B8">
        <w:rPr>
          <w:rFonts w:ascii="Calibri" w:hAnsi="Calibri" w:cs="Calibri"/>
          <w:color w:val="000000"/>
          <w:sz w:val="22"/>
          <w:szCs w:val="22"/>
        </w:rPr>
        <w:lastRenderedPageBreak/>
        <w:t>international recommendations rather than on local entomological evidence. This study aimed to detect insecticide resistance-associated mutations in three target genes of </w:t>
      </w:r>
      <w:r w:rsidRPr="00AF28B8">
        <w:rPr>
          <w:rFonts w:ascii="Calibri" w:hAnsi="Calibri" w:cs="Calibri"/>
          <w:i/>
          <w:iCs/>
          <w:color w:val="000000"/>
          <w:sz w:val="22"/>
          <w:szCs w:val="22"/>
        </w:rPr>
        <w:t>An. albimanus</w:t>
      </w:r>
      <w:r w:rsidRPr="00AF28B8">
        <w:rPr>
          <w:rFonts w:ascii="Calibri" w:hAnsi="Calibri" w:cs="Calibri"/>
          <w:color w:val="000000"/>
          <w:sz w:val="22"/>
          <w:szCs w:val="22"/>
        </w:rPr>
        <w:t>: </w:t>
      </w:r>
      <w:r w:rsidRPr="00AF28B8">
        <w:rPr>
          <w:rFonts w:ascii="Calibri" w:hAnsi="Calibri" w:cs="Calibri"/>
          <w:i/>
          <w:iCs/>
          <w:color w:val="000000"/>
          <w:sz w:val="22"/>
          <w:szCs w:val="22"/>
        </w:rPr>
        <w:t>vgsc</w:t>
      </w:r>
      <w:r w:rsidRPr="00AF28B8">
        <w:rPr>
          <w:rFonts w:ascii="Calibri" w:hAnsi="Calibri" w:cs="Calibri"/>
          <w:color w:val="000000"/>
          <w:sz w:val="22"/>
          <w:szCs w:val="22"/>
        </w:rPr>
        <w:t> (pyrethroids), </w:t>
      </w:r>
      <w:r w:rsidRPr="00AF28B8">
        <w:rPr>
          <w:rFonts w:ascii="Calibri" w:hAnsi="Calibri" w:cs="Calibri"/>
          <w:i/>
          <w:iCs/>
          <w:color w:val="000000"/>
          <w:sz w:val="22"/>
          <w:szCs w:val="22"/>
        </w:rPr>
        <w:t>ace-1</w:t>
      </w:r>
      <w:r w:rsidRPr="00AF28B8">
        <w:rPr>
          <w:rFonts w:ascii="Calibri" w:hAnsi="Calibri" w:cs="Calibri"/>
          <w:color w:val="000000"/>
          <w:sz w:val="22"/>
          <w:szCs w:val="22"/>
        </w:rPr>
        <w:t> (organophosphates and carbamates), and </w:t>
      </w:r>
      <w:r w:rsidRPr="00AF28B8">
        <w:rPr>
          <w:rFonts w:ascii="Calibri" w:hAnsi="Calibri" w:cs="Calibri"/>
          <w:i/>
          <w:iCs/>
          <w:color w:val="000000"/>
          <w:sz w:val="22"/>
          <w:szCs w:val="22"/>
        </w:rPr>
        <w:t>Rdl</w:t>
      </w:r>
      <w:r w:rsidRPr="00AF28B8">
        <w:rPr>
          <w:rFonts w:ascii="Calibri" w:hAnsi="Calibri" w:cs="Calibri"/>
          <w:color w:val="000000"/>
          <w:sz w:val="22"/>
          <w:szCs w:val="22"/>
        </w:rPr>
        <w:t> (dieldrin). A total of 156 samples, collected between 2011 and 2023 from endemic communities, were analyzed in pooled groups of five mosquitoes. PCR-amplified products were sequenced and aligned against reference gene sequences from GenBank. Mutations conferring resistance to different types of insecticides were detected across all three genes. In vgsc, kdr mutations L1014F and L1014C were identified in 38 and 5 sequences, respectively, primarily from the Madungandí and Emberá-Wounaan regions. In ace-1, the G119S mutation was found in seven sequences from Emberá-Wounaan, Madungandí, and Wargandí. In Rdl, the A302P mutation associated witj dieldrin resistance was observed in five sequences from four indigenous regions. This is the first report of kdr mutations in </w:t>
      </w:r>
      <w:r w:rsidRPr="00AF28B8">
        <w:rPr>
          <w:rFonts w:ascii="Calibri" w:hAnsi="Calibri" w:cs="Calibri"/>
          <w:i/>
          <w:iCs/>
          <w:color w:val="000000"/>
          <w:sz w:val="22"/>
          <w:szCs w:val="22"/>
        </w:rPr>
        <w:t>An. albimanus</w:t>
      </w:r>
      <w:r w:rsidRPr="00AF28B8">
        <w:rPr>
          <w:rFonts w:ascii="Calibri" w:hAnsi="Calibri" w:cs="Calibri"/>
          <w:color w:val="000000"/>
          <w:sz w:val="22"/>
          <w:szCs w:val="22"/>
        </w:rPr>
        <w:t> from Panama. These findings underscore the importance of local molecular surveillance to guide evidence-based vector control strategies and anticipate the efficacy of insecticides used in elimination programs.</w:t>
      </w:r>
    </w:p>
    <w:p w14:paraId="0F16AAC6"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25-A-3876-ASTMH</w:t>
      </w:r>
    </w:p>
    <w:p w14:paraId="73A21C15"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2D1C4DA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Successful Interruption of Lymphatic Filariasis Transmission After Multiple Failures to Pass the Pre-Transmission Assessment Survey (Pre-TAS): A Case Study of Gambella Zuria and Abobo Districts, Ethiopia</w:t>
      </w:r>
    </w:p>
    <w:p w14:paraId="31DB315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2000 WHO launched its goal of eliminating lymphatic filariasis (LF) as a public-health problem by 2020. In 2009, mass drug administration (MDA) for LF in Ethiopia was initiated in partnership with The Carter Center in five districts of the Gambella region, including Abobo and Gambella Zuria districts. Reported MDA treatment coverage in these districts ranged between 58%-84% from 2009 to 2023. Pre-transmission assessment survey (Pre-TAS) evaluations were conducted in 2015, 2018, and 2021, in residents aged 5 years and older for one sentinel and one spot-check site per district. The surveys revealed mean circulating filarial antigen (CFA) prevalences of 8.6%, 2.3%, and 3.2% in the Abobo district and 4.7%, 6.9%, and 6.2% in the Gambella Zuria district, respectively - in each case failing to meet the WHO threshold of &lt;2% required for districts to proceed to TAS-1. In 2021-22 the program conducted a desk review and formative assessment to identify gaps in MDA campaign and coverage monitoring that may have contributed to repeated Pre-TAS failures. In response, the program enhanced MDA coverage and access by improving encouragement and motivation, on-the-job training, and intra-campaign supervision for community drug distributors. In 2024, both districts passed Pre-TAS (mean CFA prevalence of 0% in Abobo and 0% in Gambella Zuria) and conducted TAS-1 with community-based testing of children aged 6-7 years with FTS. With 0 CFA positives among 288 children in Gambella Zuria and 0 positives among 371 children in Abobo versus critical cutoffs of 3 and 4, respectively, both districts passed TAS-1, entered post-treatment surveillance phase and qualified to stop MDA for a total of 50,137 people. Programs should conduct interim evaluations and take responsive actions to accelerate LF elimination in Ethiopia and globally.</w:t>
      </w:r>
    </w:p>
    <w:p w14:paraId="4101C41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25-A-3877-ASTMH</w:t>
      </w:r>
    </w:p>
    <w:p w14:paraId="7BCD1B4B"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Immunology</w:t>
      </w:r>
    </w:p>
    <w:p w14:paraId="069D0423"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Coordinated Immunity: Cytokine Profiles Reveal Key Dynamics Underlying Clinical Outcomes of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Infection</w:t>
      </w:r>
    </w:p>
    <w:p w14:paraId="50B457CE"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caused by Plasmodium vivax remains a major public health concern, especially in the Peruvian Amazon, where asymptomatic infections challenge elimination efforts by acting as silent reservoirs. However, the immunological mechanisms underlying symptomatic and asymptomatic clinical manifestations remain poorly understood. We hypothesize that asymptomatic individuals better control infection by limiting pro-inflammatory cytokines while promoting anti-inflammatory ones, preventing symptom development—unlike symptomatic patients. To address this, a panel of 27 cytokines was measured in symptomatic patients (Sym, n=73), asymptomatic carriers (Asym, n=36), and healthy controls (n=40) from Amazonian communities in Loreto.</w:t>
      </w:r>
      <w:r w:rsidRPr="00AF28B8">
        <w:rPr>
          <w:rFonts w:ascii="Calibri" w:hAnsi="Calibri" w:cs="Calibri"/>
          <w:color w:val="000000"/>
          <w:sz w:val="22"/>
          <w:szCs w:val="22"/>
        </w:rPr>
        <w:br/>
      </w:r>
      <w:r w:rsidRPr="00AF28B8">
        <w:rPr>
          <w:rFonts w:ascii="Calibri" w:hAnsi="Calibri" w:cs="Calibri"/>
          <w:color w:val="000000"/>
          <w:sz w:val="22"/>
          <w:szCs w:val="22"/>
        </w:rPr>
        <w:lastRenderedPageBreak/>
        <w:t>Compared to the control and Sym groups, the Asym group showed significantly higher IL-2, IL-9, IL-15, and VEGF levels (p &lt; 0.05), suggesting a more balanced and regulated immune environment that may prevent the onset of clinical symptoms. In contrast, the Sym group showed significantly elevated TNF levels compared to controls, reflecting an inflammatory response. Correlation network analysis (Spearman’s ρ &gt; 0.75) revealed distinct interaction patterns. In the Sym group, FGFbasic, IL-1Ra, MIP-1α, and G-CSF were linked in a sequential chain where each cytokine was positively correlated with its immediate neighbor. Another cluster comprised a direct correlation between GM-CSF and IL-5. These patterns bridged pro- and anti- inflammatory signals. In the Asym group, RANTES, IL-2, and IL-15 were strongly correlated with VEGF, and Eotaxin was correlated with IL-4. Both Sym and Asym cases showed pro- and anti- inflammatory signals, suggesting that the clinical immunity observed in Asym cases may depend not on the number or type of cytokines, but rather on how well-coordinated the immune response is.</w:t>
      </w:r>
      <w:r w:rsidRPr="00AF28B8">
        <w:rPr>
          <w:rFonts w:ascii="Calibri" w:hAnsi="Calibri" w:cs="Calibri"/>
          <w:color w:val="000000"/>
          <w:sz w:val="22"/>
          <w:szCs w:val="22"/>
        </w:rPr>
        <w:br/>
        <w:t>These findings offer insight into immune mechanisms underlying different clinical outcomes and may contribute to the identification of immune-based biomarkers for malaria surveillance and assessment of disease severity in the Peruvian Amazon.</w:t>
      </w:r>
    </w:p>
    <w:p w14:paraId="3199504E"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25-A-3878-ASTMH</w:t>
      </w:r>
    </w:p>
    <w:p w14:paraId="61AA8B56"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66B05BA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and Epidemiological Insights into Malaria Resurgence in Ethiopia: A Focus on Plasmodium vivax</w:t>
      </w:r>
    </w:p>
    <w:p w14:paraId="16B7ECDB"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critical public health problem in sub-Saharan Africa. Ethiopia reported more than 7 million cases and 1,200 deaths in 2024, despite decades of progress. As part of the effort in investigating malaria resurgence, a total of 2097 dried blood spots and patient information were collected from malaria sentinel sites, of which (27.8%) 577 were P.vivax. Samples were collected between September and October 2024. This study reports the genetic characteristics of selected </w:t>
      </w:r>
      <w:r w:rsidRPr="00AF28B8">
        <w:rPr>
          <w:rFonts w:ascii="Calibri" w:hAnsi="Calibri" w:cs="Calibri"/>
          <w:i/>
          <w:iCs/>
          <w:color w:val="000000"/>
          <w:sz w:val="22"/>
          <w:szCs w:val="22"/>
        </w:rPr>
        <w:t>P. vivax</w:t>
      </w:r>
      <w:r w:rsidRPr="00AF28B8">
        <w:rPr>
          <w:rFonts w:ascii="Calibri" w:hAnsi="Calibri" w:cs="Calibri"/>
          <w:color w:val="000000"/>
          <w:sz w:val="22"/>
          <w:szCs w:val="22"/>
        </w:rPr>
        <w:t> samples. Chelex-extracted samples were screened with 18S rRNA real-time PCR; the library was prepared using rhAmpSeq protocol, and MiSeq Illumina sequencing was conducted at the Ethiopian Public Health Institute genomic laboratory. Sequence data was analyzed using dada2-based based bioinformatics pipeline. Results from the subsets of the </w:t>
      </w:r>
      <w:r w:rsidRPr="00AF28B8">
        <w:rPr>
          <w:rFonts w:ascii="Calibri" w:hAnsi="Calibri" w:cs="Calibri"/>
          <w:i/>
          <w:iCs/>
          <w:color w:val="000000"/>
          <w:sz w:val="22"/>
          <w:szCs w:val="22"/>
        </w:rPr>
        <w:t>P. vivax</w:t>
      </w:r>
      <w:r w:rsidRPr="00AF28B8">
        <w:rPr>
          <w:rFonts w:ascii="Calibri" w:hAnsi="Calibri" w:cs="Calibri"/>
          <w:color w:val="000000"/>
          <w:sz w:val="22"/>
          <w:szCs w:val="22"/>
        </w:rPr>
        <w:t> sample (89 participants) were reported in the study, with 79 and 10 samples collected from sentinel sites located in Amhara and Oromia regions, respectively. Most of the samples were collected from adult male (64%; N = 57), aged above 18 years old (70.8%; N = 63). Nine of the female participants were pregnant. More than half of the study participants (75%; N = 67) had previously taken antimalarial drugs. Only two participants had a travel history from the previous month. Microhaplotypes are multiallelic amplicons that offer a cost-effective, high throughput, alternative to performing WGS given their ability to capture identity-by-descent (IBD) between infection pairs. Sequencing was successful for 67 isolates out of 89 samples (70%) using a 98 marker, genome-wide, microhaplotype panel. Success was classified as no more than 20% of the markers missing and at least 5x paired reads per marker. High levels of relatedness were observed in the sample set using IBD metrics (&gt;50% IBD = high). Comparison of data with retrospective results within Ethiopia (Arba Minch and Metehara) confirms high levels of relatedness within the resurgence isolates, confirming alarming change in transmission i.e. clonal transmission caused by the same parasite lineage. Further investigation on the rest of the samples in on progress.</w:t>
      </w:r>
    </w:p>
    <w:p w14:paraId="29065E5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25-A-3880-ASTMH</w:t>
      </w:r>
    </w:p>
    <w:p w14:paraId="745DB55F"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4A03FD3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Oropouche Virus Country Risk Estimation: Validating Connectivity Modelling with 2024 Travel-Linked Cases</w:t>
      </w:r>
    </w:p>
    <w:p w14:paraId="1615080F"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Oropouche virus (OROV), a neglected mosquito- and midge-borne arbovirus endemic to tropical Latin America, has surged into global relevance following a significant outbreak in 2024. Using real-time global air travel data and a three-scenario predictive model, we assessed the international risk of OROV importation via commercial flights departing from affected regions in Brazil, Cuba, and other countries </w:t>
      </w:r>
      <w:r w:rsidRPr="00AF28B8">
        <w:rPr>
          <w:rFonts w:ascii="Calibri" w:hAnsi="Calibri" w:cs="Calibri"/>
          <w:color w:val="000000"/>
          <w:sz w:val="22"/>
          <w:szCs w:val="22"/>
        </w:rPr>
        <w:lastRenderedPageBreak/>
        <w:t>reporting autochthonous transmission (Colombia, Peru, Bolivia). Projected August 2024 passenger volumes and each destination’s Global Gridded Relative Deprivation Index (GGRDI) were used to quantify both exposure risk and vulnerability. By the time of our analysis, imported cases were already reported in Spain and Italy, while Cuba had already reported the first-time local outbreak, thus these countries have been excluded from our lists. Crucially, our high connectivity profile countries have now been validated against reported early 2024 data. Countries including the United States, Venezuela, Canada, Germany and the Dominican Republic, all projected as high-risk destinations due to high connectivity, subsequently reported imported OROV cases. Additional countries such as the United Kingdom, France, Argentina, Russia, Mexico, Jamaica and Chile also matched our model’s high exposure risk based on strong travel connectivity. These confirmations reinforce the power and utility of human mobility-informed outbreak forecasting. In an era of accelerating climate change and globalized movement, anticipating the spread of emerging arboviruses like OROV is critical. Our model highlights the importance of pre-emptive surveillance, diagnostic readiness, and cross-border collaboration. This validated framework offers a timely, scalable tool to support public health decision-making and global preparedness for OROV and future vector-borne threats.</w:t>
      </w:r>
    </w:p>
    <w:p w14:paraId="3FE2F753"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25-A-3881-ASTMH</w:t>
      </w:r>
    </w:p>
    <w:p w14:paraId="0136F6C2"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34A52E85"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Factors associated with pediatric tuberculosis in two health districts from the rural Kwilu province of the Democratic Republic of Congo</w:t>
      </w:r>
    </w:p>
    <w:p w14:paraId="3FF66714"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Tuberculosis remains a major public health concern in the Democratic Republic of the Congo (DRC), particularly among children aged 0 to 15 years. Multiple factors contribute to the risk of pediatric tuberculosis. This study aimed to investigate the factors associated with pediatric tuberculosis in KWILU Province (Bagata and Bandundu health zones), from January 1 to December 31, 2023. A case-control study was conducted for patients enrolled between January 1 and December 31, 2023. Data were collected using a structured and pretested questionnaire administered to children aged 0 to 15 years and their caregivers. Descriptive and bivariate analyses were carried out, and a logistic regression analysis was used to identify associations between the dependent and independent variables. A total of 252 participants were included: 84 cases (children with tuberculosis) and 168 controls (children without tuberculosis). Key findings include: Urban residence was significantly associated with pediatric tuberculosis (59.5%; OR = 0.775; p &lt; 0.039); Poor nutritional status was found in 34.5% of children with tuberculosis and was strongly associated with the disease (OR = 6.286; p &lt; 0.0007); Parental age over 35 years was observed in 77.4% of cases (OR = 3.129; p &lt; 0.0005); Passive smoking exposure, with 42.7% of cases living in households with smokers, was also significantly associated (OR = 0.462; p &lt; 0.012); Access to healthcare did not show a statistically significant association with pediatric tuberculosis (p = 2.031). Pediatric tuberculosis continues to pose a significant public health challenge both globally and in the DRC. This study identified four key factors associated with an increased risk of tuberculosis among children in the Bagata and Bandundu health zones: parental age over 35 years, exposure to secondhand smoke, malnutrition, and urban residence. These findings underscore the need for targeted public health interventions, including education campaigns on the dangers of secondhand smoke, promotion of smoke-free homes, and programs aimed at improving child nutrition.</w:t>
      </w:r>
    </w:p>
    <w:p w14:paraId="6ADD4989"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25-A-3882-ASTMH</w:t>
      </w:r>
    </w:p>
    <w:p w14:paraId="465AF81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2AEB8236"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Performance of a rapid urinary Point-of-Care assay for neurocysticercosis diagnosis in a endemic region of Peru</w:t>
      </w:r>
    </w:p>
    <w:p w14:paraId="27EF29E2"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Neurocysticercosis (NCC) persists as a major, yet neglected cause of neurological disease. This parasitic infection, resulting from larval cysts of </w:t>
      </w:r>
      <w:r w:rsidRPr="00AF28B8">
        <w:rPr>
          <w:rFonts w:ascii="Calibri" w:hAnsi="Calibri" w:cs="Calibri"/>
          <w:i/>
          <w:iCs/>
          <w:color w:val="000000"/>
          <w:sz w:val="22"/>
          <w:szCs w:val="22"/>
        </w:rPr>
        <w:t>Taenia solium</w:t>
      </w:r>
      <w:r w:rsidRPr="00AF28B8">
        <w:rPr>
          <w:rFonts w:ascii="Calibri" w:hAnsi="Calibri" w:cs="Calibri"/>
          <w:color w:val="000000"/>
          <w:sz w:val="22"/>
          <w:szCs w:val="22"/>
        </w:rPr>
        <w:t xml:space="preserve"> in the brain, is a leading contributor to epilepsy in endemic regions, where access to specialized diagnostic tools is often scarce. Early identification of active infections is critical for preventing severe complications. While antigen detection tests offer a </w:t>
      </w:r>
      <w:r w:rsidRPr="00AF28B8">
        <w:rPr>
          <w:rFonts w:ascii="Calibri" w:hAnsi="Calibri" w:cs="Calibri"/>
          <w:color w:val="000000"/>
          <w:sz w:val="22"/>
          <w:szCs w:val="22"/>
        </w:rPr>
        <w:lastRenderedPageBreak/>
        <w:t>promising approach for identifying viable cysts, current methods require laboratory infrastructure not readily available in these settings. To bridge this gap, we previously developed a rapid, non-invasive, point-of-care (POC) dipstick assay to detect </w:t>
      </w:r>
      <w:r w:rsidRPr="00AF28B8">
        <w:rPr>
          <w:rFonts w:ascii="Calibri" w:hAnsi="Calibri" w:cs="Calibri"/>
          <w:i/>
          <w:iCs/>
          <w:color w:val="000000"/>
          <w:sz w:val="22"/>
          <w:szCs w:val="22"/>
        </w:rPr>
        <w:t>T. solium</w:t>
      </w:r>
      <w:r w:rsidRPr="00AF28B8">
        <w:rPr>
          <w:rFonts w:ascii="Calibri" w:hAnsi="Calibri" w:cs="Calibri"/>
          <w:color w:val="000000"/>
          <w:sz w:val="22"/>
          <w:szCs w:val="22"/>
        </w:rPr>
        <w:t> antigens in urine. To evaluate the diagnostic performance of the assay in endemic communities of Peru, where accessible tools could improve NCC diagnosis and management. Urine samples (n=342) were collected from a non-invasive previous screening study conducted in two endemic villages in northern Peru. Corresponding brain magnetic resonance imaging (MRI) data were used for NCC confirmation and categorization into three groups: parenchymal NCC with &gt;3 viable cysts (n=16), parenchymal NCC with 1-2 cysts (n=21), subarachnoid NCC (SANCC) (n=56). We also included healthy volunteers as negative controls (n=80). Our POC assay, based on two specific monoclonal antibodies (TsW8/TsW5) was tested in all samples and sensitivity and specificity were calculated using MRI as the reference standard. The assay demonstrated an overall sensitivity of 89.25% and specificity of 95%. Sensitivity varied by NCC type being 85.71% for SANCC, 100% for parenchymal NCC with &gt;3 viable cysts, and 90.48% for parenchymal NCC with 1-2 cysts. Our POC dipstick assay exhibited robust performance in detecting NCC antigens in urine, particularly for parenchymal NCC cases with &gt;3 viable cysts. Simplicity and non-invasive nature of the POC assay make it an ideal diagnostic tool for endemic settings and could serve to identify individuals who need further imaging or specialized care and could substantially increase access to timely diagnostics in resource-limited areas.</w:t>
      </w:r>
    </w:p>
    <w:p w14:paraId="1D269BE5"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25-A-3883-ASTMH</w:t>
      </w:r>
    </w:p>
    <w:p w14:paraId="6D375D08"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7FF8E8A0"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Metagenomics surveillance for identifying virus infections in febrile patients from Nigeria</w:t>
      </w:r>
    </w:p>
    <w:p w14:paraId="0B01318C"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Molecular and microscopy-based diagnostic capacity is often insufficient or wholly unavailable in places where infectious disease burdens are highest, such as in West Africa. Rapid diagnostic testing currently meets the need for quick and affordable diagnoses of common infections, but is an imperfect solution due to issues with sensitivity and specificity, and limitations for detecting and dealing with false negative and false positive results. An alternative solution to rapid diagnostic tests is unbiased metagenomic sequencing for pathogen surveillance. Here, we present data from our ongoing evaluation of the utility of unbiased metagenomic sequencing to identify causes of undiagnosed febrile illness in Jos, Plateau State, Nigeria. Proof of concept for this approach has been demonstrated by several groups who have identified Lassa fever virus, yellow fever virus, and Chikungunya virus outbreaks. Here, we show that unbiased deep sequencing and metagenomic analysis can be used to identify RNA viruses in clinical samples. We collected sera of acutely febrile patients (n=377) in a survey of clinics in Jos. Using a pathogen-agnostic approach to sequence cDNA synthesized from serum-derived RNA, we analyzed the sequencing data with ‘nvd’, a bespoke bioinformatics pipeline designed to detect and quantify the presence of viral families that infect humans from metagenomic data. As of this writing, we have sequenced and analyzed 87 samples from febrile patients, and detected six viruses known to infect humans in 11 (12%) specimens. Among these are Human pegivirus C, and several anelloviruses. While the viruses identified so far are unlikely to cause clinical symptoms in the patients we sampled, their presence demonstrates the efficacy of our approach. Interestingly, we have identified 12 patient samples putatively positive for West Nile virus, but more work is needed to confirm this result. Data on the remaining samples, as well as confirmation of the putative West Nile virus cases is anticipated later this summer. Metagenomic sequencing is a powerful tool to understand emerging or re-emerging infectious disease risk in Nigeria and beyond.</w:t>
      </w:r>
    </w:p>
    <w:p w14:paraId="47D67F3B"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25-A-3884-ASTMH</w:t>
      </w:r>
    </w:p>
    <w:p w14:paraId="0ADBDD31"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2FC163B7" w14:textId="1A6DA92E"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Assessing zoonotic spillover risk of henipaviruses among border security personnel in the Malaysian North Borneo State of Sabah</w:t>
      </w:r>
    </w:p>
    <w:p w14:paraId="291B1ED3"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Security forces stationed along the international borders at the Malaysian North Borneo State of Sabah may be at an increased risk of exposure to henipaviruses due to their operational proximity to known reservoir animal species. To assess the seroprevalence of henipavirus antibodies among this high-risk group, serum samples collected from cohorts of Malaysian soldiers before and after deployment were tested for IgG against soluble henipavirus receptor-binding (G) glycoproteins using a sensitive multiplex microsphere immunoassay (MMIA). The resulting antibody-antigen complexes were analyzed by cluster-based approaches to assess the binding profiles. Laboratory analysis is underway to test approximately 1200 paired serum samples collected between May 2023 and September 2024. In a preliminary analysis of serum from 361 soldiers, albeit minimal seroconversion occurred during deployment, post-deployment serum of two individuals were found to have IgG reactive to the shrew-associated Langya and Gamak viruses. This study will provide insights into the occupational risk of henipavirus exposure among border security forces and may inform future biosurveillance measures and diagnostic evaluations in the region.</w:t>
      </w:r>
    </w:p>
    <w:p w14:paraId="107A591A" w14:textId="77777777" w:rsidR="00625E8F" w:rsidRPr="00AF28B8" w:rsidRDefault="00625E8F" w:rsidP="00625E8F">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25-A-3885-ASTMH</w:t>
      </w:r>
    </w:p>
    <w:p w14:paraId="40B8E2C2" w14:textId="77777777" w:rsidR="00625E8F" w:rsidRPr="00AF28B8" w:rsidRDefault="00625E8F" w:rsidP="00625E8F">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0FDFFBAE" w14:textId="77777777" w:rsidR="00625E8F" w:rsidRPr="00AF28B8" w:rsidRDefault="00625E8F" w:rsidP="00625E8F">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How well are chikungunya outbreaks defined and reported? Challenges to public health management and prevention efforts using Brazil as a case study</w:t>
      </w:r>
    </w:p>
    <w:p w14:paraId="1EC6F577" w14:textId="77777777" w:rsidR="00625E8F" w:rsidRPr="00AF28B8" w:rsidRDefault="00625E8F" w:rsidP="00625E8F">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Chikungunya is a growing public health (PH) concern as its prevalence increases and geographic distribution expands, but it is challenging to determine risk of exposure globally and within endemic countries. Brazil experiences among the highest burden of chikungunya of all countries. However, risk of exposure to chikungunya across different regions in Brazil varies spatially and temporally. We sought to understand whether there are consistent criteria used by PH authorities to define and declare outbreaks of chikungunya globally, and whether official outbreak declarations or travel advisories sufficiently characterize exposure risk within Brazil. The scientific literature describing outbreaks of chikungunya, as well as official outbreak declarations from PH authorities, were reviewed from 2010-2024 and compared. The criteria used to declare an outbreak were determined where possible. Reported cases of chikungunya at state-level in Brazil were collected between January 2021 - July 2024, and were qualitatively evaluated against a historical seasonal baseline, to characterize outbreak activity and compare exposure risk against relevant travel advisories. The reasons for defining an outbreak across PH organisations were varied and infrequently specified. Of the outbreaks reported in the literature since 2010, less than half were declared by CDC, ECDC or WHO. In Brazil, there was an absence of official outbreak declarations and travel advisories, despite regular outbreaks detected based on an epidemiological criteria of higher than expected activity. State-level activity also varied across years and seasonally across Brazil. The lack of standardised criteria for defining an outbreak, especially in endemic settings, and gaps in surveillance and reporting can result in delayed or missing PH recommendations. The risk of exposure to chikungunya is therefore hidden to travellers visiting endemic areas, who should be considered for immunisation against chikungunya even when an outbreak is not formally declared.</w:t>
      </w:r>
    </w:p>
    <w:p w14:paraId="54A3D75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25-A-3886-ASTMH</w:t>
      </w:r>
    </w:p>
    <w:p w14:paraId="2C8835B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Epidemiology</w:t>
      </w:r>
    </w:p>
    <w:p w14:paraId="0081678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Understanding imported malaria deaths to improve care: The UK Confidential Audit into Malaria Mortality (2013-2023)</w:t>
      </w:r>
    </w:p>
    <w:p w14:paraId="7F6E5D4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Deaths from imported malaria occur in non-endemic countries despite accessible diagnostics and treatment. Limited data exists on hospital care received by fatalities in this context. This national audit examines factors associated with death and, for inpatient fatalities, evaluates case note data against national malaria guidelines to identify areas for improvement in malaria prevention &amp; management. Between 2013-2023 15,856 cases of malaria were notified to the Malaria Reference Laboratory (UK Health Security Agency) in England and Wales, of which 67 (0.4%) were fatal. 99% were infected with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xml:space="preserve">; 98% had travelled to sub-Saharan Africa; 64% were male. Fatalities were older than </w:t>
      </w:r>
      <w:r w:rsidRPr="002E40CA">
        <w:rPr>
          <w:rFonts w:ascii="Calibri" w:eastAsia="Times New Roman" w:hAnsi="Calibri" w:cs="Calibri"/>
          <w:color w:val="000000"/>
          <w:kern w:val="0"/>
          <w:sz w:val="22"/>
          <w:szCs w:val="22"/>
          <w14:ligatures w14:val="none"/>
        </w:rPr>
        <w:lastRenderedPageBreak/>
        <w:t>survivors (median age 55 years (IQR 46-64) v 40 years (IQR 27-51), p&lt;0.001) and more common in those who had travelled for tourism than to visit friends/ relatives (1.6% (13/835) v 0.3% (18/6977), OR 6.1 (95% CI 2.7-13.2), p&lt;0.001). 56/67 (84%) were inpatient deaths, of which 43 (77%) with available hospital records were included. For incomplete data, proportions reported are for those with recorded data. 26% (7/27) had taken chemoprophylaxis. Most presented with advanced disease: 95% (40/42) met severe malaria criteria; median parasitaemia was 9.6% (IQR 5.1-19.0); median lactate 7.3mmol/L (IQR 5.4-12.4); GCS was &lt;=14/15 in 76% (26/34); median time to death was 2 days (IQR 1-4). Median symptom duration prior to presentation was 5 days (IQR 3-12) and 46% (16/35) reported prior healthcare contact in the illness, suggesting missed opportunities for earlier malaria treatment. 76% (25/33) received a malaria diagnosis within 6 hours of presentation to hospital, 80% (24/30) received IV artesunate or IV quinine within 12 hours of presentation and 88% (36/41) received them before death. 90% (37/41) had input from an infection specialist. 88% (35/40) were admitted to intensive care. Arrhythmia potentially contributed to death in 36% (4/11) of patients receiving quinine. Most malaria fatalities presented to hospital with advanced disease and died soon after. We discuss missed opportunities and implications for national malaria management &amp; public health policy.</w:t>
      </w:r>
    </w:p>
    <w:p w14:paraId="47FDF49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25-A-3887-ASTMH</w:t>
      </w:r>
    </w:p>
    <w:p w14:paraId="749E25D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Measures for Control and Elimination of Neglected Tropical Diseases (NTDs)</w:t>
      </w:r>
    </w:p>
    <w:p w14:paraId="721E9E2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Digitalization of Mass Drug Administration (MDA) Supervision and Reporting: Improving MDA Efficiency and Advancing River Blindness Elimination in Edo State, Nigeria</w:t>
      </w:r>
    </w:p>
    <w:p w14:paraId="1BA5C0C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Mass drug administration (MDA) with ivermectin for onchocerciasis control began in Edo State in 1994. However, persistent low coverage and inadequate supervision resulted in three epidemiological assessments failing to meet WHO stop-MDA criteria in 2010, 2019, and 2023. Several approaches were introduced to improve MDA supervision including recruitment of more supervisors beginning in 2016. In 2023, two digital tools were introduced: a digital ODK-based supervisory tool was used to monitor that year’s second round of MDA targeting 1,761 villages and GIS analysis of supervisors’ village MDA reports for 1,311 (74.4%) of targeted villages, which had not been previously submitted to the state program for real-time monitoring. ArcGIS maps showed reasonable geographical distribution of villages visited by supervisors. Most targeted villages (1,584 of 1,671, 90%) were rural, 312 (18.7%) hard to reach and 17 (1%) refugee/IDP camps. MDA coverage was significantly (p&lt;0.05) higher for the November 2023 round (70%) versus the June 2023 MDA round before digitalization (65%). District health information system - 2 (DHIS2) reporting of MDA was initiated in 2024 to reduce paperwork. Initial delays due to incomplete village listing was resolved and MDA coverage further improved in June 2024 (83%) and December 2024 (80%) (p&lt;0.001). In 2024, the ODK supervisors’ tool was upgraded to capture questions on migration. Digitalized tools for supervision and MDA reporting seem to have improved MDA processes with efficient supervision, higher coverage, and timely reporting in Edo State and are therefore recommended for other areas where MDA for disease elimination is required, particularly those where low coverage is a persistent problem.</w:t>
      </w:r>
    </w:p>
    <w:p w14:paraId="40E1ED0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25-A-3888-ASTMH</w:t>
      </w:r>
    </w:p>
    <w:p w14:paraId="364E479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Genetics, Genomics and Evolution</w:t>
      </w:r>
    </w:p>
    <w:p w14:paraId="741D018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Genomic analysis of </w:t>
      </w:r>
      <w:r w:rsidRPr="002E40CA">
        <w:rPr>
          <w:rFonts w:ascii="Calibri" w:eastAsia="Times New Roman" w:hAnsi="Calibri" w:cs="Calibri"/>
          <w:i/>
          <w:iCs/>
          <w:color w:val="000000"/>
          <w:kern w:val="0"/>
          <w:sz w:val="22"/>
          <w:szCs w:val="22"/>
          <w14:ligatures w14:val="none"/>
        </w:rPr>
        <w:t>Plasmodium ovale spp. </w:t>
      </w:r>
      <w:r w:rsidRPr="002E40CA">
        <w:rPr>
          <w:rFonts w:ascii="Calibri" w:eastAsia="Times New Roman" w:hAnsi="Calibri" w:cs="Calibri"/>
          <w:color w:val="000000"/>
          <w:kern w:val="0"/>
          <w:sz w:val="22"/>
          <w:szCs w:val="22"/>
          <w14:ligatures w14:val="none"/>
        </w:rPr>
        <w:t>in Sub-Saharan Africa</w:t>
      </w:r>
    </w:p>
    <w:p w14:paraId="17CFC50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i/>
          <w:iCs/>
          <w:color w:val="000000"/>
          <w:kern w:val="0"/>
          <w:sz w:val="22"/>
          <w:szCs w:val="22"/>
          <w14:ligatures w14:val="none"/>
        </w:rPr>
        <w:t>Plasmodium ovale curtisi</w:t>
      </w:r>
      <w:r w:rsidRPr="002E40CA">
        <w:rPr>
          <w:rFonts w:ascii="Calibri" w:eastAsia="Times New Roman" w:hAnsi="Calibri" w:cs="Calibri"/>
          <w:color w:val="000000"/>
          <w:kern w:val="0"/>
          <w:sz w:val="22"/>
          <w:szCs w:val="22"/>
          <w14:ligatures w14:val="none"/>
        </w:rPr>
        <w:t> (Poc) and </w:t>
      </w:r>
      <w:r w:rsidRPr="002E40CA">
        <w:rPr>
          <w:rFonts w:ascii="Calibri" w:eastAsia="Times New Roman" w:hAnsi="Calibri" w:cs="Calibri"/>
          <w:i/>
          <w:iCs/>
          <w:color w:val="000000"/>
          <w:kern w:val="0"/>
          <w:sz w:val="22"/>
          <w:szCs w:val="22"/>
          <w14:ligatures w14:val="none"/>
        </w:rPr>
        <w:t>Plasmodium ovale wallikeri</w:t>
      </w:r>
      <w:r w:rsidRPr="002E40CA">
        <w:rPr>
          <w:rFonts w:ascii="Calibri" w:eastAsia="Times New Roman" w:hAnsi="Calibri" w:cs="Calibri"/>
          <w:color w:val="000000"/>
          <w:kern w:val="0"/>
          <w:sz w:val="22"/>
          <w:szCs w:val="22"/>
          <w14:ligatures w14:val="none"/>
        </w:rPr>
        <w:t> (Pow) are non-recombining sympatric species that cause relapsing malaria in sub-Saharan Africa. Despite their co-endemicity and occasional coinfection with </w:t>
      </w:r>
      <w:r w:rsidRPr="002E40CA">
        <w:rPr>
          <w:rFonts w:ascii="Calibri" w:eastAsia="Times New Roman" w:hAnsi="Calibri" w:cs="Calibri"/>
          <w:i/>
          <w:iCs/>
          <w:color w:val="000000"/>
          <w:kern w:val="0"/>
          <w:sz w:val="22"/>
          <w:szCs w:val="22"/>
          <w14:ligatures w14:val="none"/>
        </w:rPr>
        <w:t>P. falciparum </w:t>
      </w:r>
      <w:r w:rsidRPr="002E40CA">
        <w:rPr>
          <w:rFonts w:ascii="Calibri" w:eastAsia="Times New Roman" w:hAnsi="Calibri" w:cs="Calibri"/>
          <w:color w:val="000000"/>
          <w:kern w:val="0"/>
          <w:sz w:val="22"/>
          <w:szCs w:val="22"/>
          <w14:ligatures w14:val="none"/>
        </w:rPr>
        <w:t>(</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 little is known about the population dynamics of these species, or whether drugs targeting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 are shaping the </w:t>
      </w:r>
      <w:r w:rsidRPr="002E40CA">
        <w:rPr>
          <w:rFonts w:ascii="Calibri" w:eastAsia="Times New Roman" w:hAnsi="Calibri" w:cs="Calibri"/>
          <w:i/>
          <w:iCs/>
          <w:color w:val="000000"/>
          <w:kern w:val="0"/>
          <w:sz w:val="22"/>
          <w:szCs w:val="22"/>
          <w14:ligatures w14:val="none"/>
        </w:rPr>
        <w:t>P. ovale spp. </w:t>
      </w:r>
      <w:r w:rsidRPr="002E40CA">
        <w:rPr>
          <w:rFonts w:ascii="Calibri" w:eastAsia="Times New Roman" w:hAnsi="Calibri" w:cs="Calibri"/>
          <w:color w:val="000000"/>
          <w:kern w:val="0"/>
          <w:sz w:val="22"/>
          <w:szCs w:val="22"/>
          <w14:ligatures w14:val="none"/>
        </w:rPr>
        <w:t>resistance landscape. We therefore conducted the largest population genomics study of </w:t>
      </w:r>
      <w:r w:rsidRPr="002E40CA">
        <w:rPr>
          <w:rFonts w:ascii="Calibri" w:eastAsia="Times New Roman" w:hAnsi="Calibri" w:cs="Calibri"/>
          <w:i/>
          <w:iCs/>
          <w:color w:val="000000"/>
          <w:kern w:val="0"/>
          <w:sz w:val="22"/>
          <w:szCs w:val="22"/>
          <w14:ligatures w14:val="none"/>
        </w:rPr>
        <w:t>Poc </w:t>
      </w:r>
      <w:r w:rsidRPr="002E40CA">
        <w:rPr>
          <w:rFonts w:ascii="Calibri" w:eastAsia="Times New Roman" w:hAnsi="Calibri" w:cs="Calibri"/>
          <w:color w:val="000000"/>
          <w:kern w:val="0"/>
          <w:sz w:val="22"/>
          <w:szCs w:val="22"/>
          <w14:ligatures w14:val="none"/>
        </w:rPr>
        <w:t>and </w:t>
      </w:r>
      <w:r w:rsidRPr="002E40CA">
        <w:rPr>
          <w:rFonts w:ascii="Calibri" w:eastAsia="Times New Roman" w:hAnsi="Calibri" w:cs="Calibri"/>
          <w:i/>
          <w:iCs/>
          <w:color w:val="000000"/>
          <w:kern w:val="0"/>
          <w:sz w:val="22"/>
          <w:szCs w:val="22"/>
          <w14:ligatures w14:val="none"/>
        </w:rPr>
        <w:t>Pow </w:t>
      </w:r>
      <w:r w:rsidRPr="002E40CA">
        <w:rPr>
          <w:rFonts w:ascii="Calibri" w:eastAsia="Times New Roman" w:hAnsi="Calibri" w:cs="Calibri"/>
          <w:color w:val="000000"/>
          <w:kern w:val="0"/>
          <w:sz w:val="22"/>
          <w:szCs w:val="22"/>
          <w14:ligatures w14:val="none"/>
        </w:rPr>
        <w:t>to date, successfully performing whole genome sequencing of 15 </w:t>
      </w:r>
      <w:r w:rsidRPr="002E40CA">
        <w:rPr>
          <w:rFonts w:ascii="Calibri" w:eastAsia="Times New Roman" w:hAnsi="Calibri" w:cs="Calibri"/>
          <w:i/>
          <w:iCs/>
          <w:color w:val="000000"/>
          <w:kern w:val="0"/>
          <w:sz w:val="22"/>
          <w:szCs w:val="22"/>
          <w14:ligatures w14:val="none"/>
        </w:rPr>
        <w:t>Pow </w:t>
      </w:r>
      <w:r w:rsidRPr="002E40CA">
        <w:rPr>
          <w:rFonts w:ascii="Calibri" w:eastAsia="Times New Roman" w:hAnsi="Calibri" w:cs="Calibri"/>
          <w:color w:val="000000"/>
          <w:kern w:val="0"/>
          <w:sz w:val="22"/>
          <w:szCs w:val="22"/>
          <w14:ligatures w14:val="none"/>
        </w:rPr>
        <w:t>and 19 </w:t>
      </w:r>
      <w:r w:rsidRPr="002E40CA">
        <w:rPr>
          <w:rFonts w:ascii="Calibri" w:eastAsia="Times New Roman" w:hAnsi="Calibri" w:cs="Calibri"/>
          <w:i/>
          <w:iCs/>
          <w:color w:val="000000"/>
          <w:kern w:val="0"/>
          <w:sz w:val="22"/>
          <w:szCs w:val="22"/>
          <w14:ligatures w14:val="none"/>
        </w:rPr>
        <w:t>Poc </w:t>
      </w:r>
      <w:r w:rsidRPr="002E40CA">
        <w:rPr>
          <w:rFonts w:ascii="Calibri" w:eastAsia="Times New Roman" w:hAnsi="Calibri" w:cs="Calibri"/>
          <w:color w:val="000000"/>
          <w:kern w:val="0"/>
          <w:sz w:val="22"/>
          <w:szCs w:val="22"/>
          <w14:ligatures w14:val="none"/>
        </w:rPr>
        <w:t>isolates sourced from cases imported to the UK between 2020-2022. Supplementing with publicly available sequences produced 47 </w:t>
      </w:r>
      <w:r w:rsidRPr="002E40CA">
        <w:rPr>
          <w:rFonts w:ascii="Calibri" w:eastAsia="Times New Roman" w:hAnsi="Calibri" w:cs="Calibri"/>
          <w:i/>
          <w:iCs/>
          <w:color w:val="000000"/>
          <w:kern w:val="0"/>
          <w:sz w:val="22"/>
          <w:szCs w:val="22"/>
          <w14:ligatures w14:val="none"/>
        </w:rPr>
        <w:t>Pow </w:t>
      </w:r>
      <w:r w:rsidRPr="002E40CA">
        <w:rPr>
          <w:rFonts w:ascii="Calibri" w:eastAsia="Times New Roman" w:hAnsi="Calibri" w:cs="Calibri"/>
          <w:color w:val="000000"/>
          <w:kern w:val="0"/>
          <w:sz w:val="22"/>
          <w:szCs w:val="22"/>
          <w14:ligatures w14:val="none"/>
        </w:rPr>
        <w:t>and 36 </w:t>
      </w:r>
      <w:r w:rsidRPr="002E40CA">
        <w:rPr>
          <w:rFonts w:ascii="Calibri" w:eastAsia="Times New Roman" w:hAnsi="Calibri" w:cs="Calibri"/>
          <w:i/>
          <w:iCs/>
          <w:color w:val="000000"/>
          <w:kern w:val="0"/>
          <w:sz w:val="22"/>
          <w:szCs w:val="22"/>
          <w14:ligatures w14:val="none"/>
        </w:rPr>
        <w:t>Poc </w:t>
      </w:r>
      <w:r w:rsidRPr="002E40CA">
        <w:rPr>
          <w:rFonts w:ascii="Calibri" w:eastAsia="Times New Roman" w:hAnsi="Calibri" w:cs="Calibri"/>
          <w:color w:val="000000"/>
          <w:kern w:val="0"/>
          <w:sz w:val="22"/>
          <w:szCs w:val="22"/>
          <w14:ligatures w14:val="none"/>
        </w:rPr>
        <w:t xml:space="preserve">isolates encompassing 216,084 and 268,050 high quality bi-allelic SNPs respectively. Our genomic analysis detailed population </w:t>
      </w:r>
      <w:r w:rsidRPr="002E40CA">
        <w:rPr>
          <w:rFonts w:ascii="Calibri" w:eastAsia="Times New Roman" w:hAnsi="Calibri" w:cs="Calibri"/>
          <w:color w:val="000000"/>
          <w:kern w:val="0"/>
          <w:sz w:val="22"/>
          <w:szCs w:val="22"/>
          <w14:ligatures w14:val="none"/>
        </w:rPr>
        <w:lastRenderedPageBreak/>
        <w:t>structure, identity-by-descent, signatures of selection, and profiling mutations in candidate drug resistance loci based on </w:t>
      </w:r>
      <w:r w:rsidRPr="002E40CA">
        <w:rPr>
          <w:rFonts w:ascii="Calibri" w:eastAsia="Times New Roman" w:hAnsi="Calibri" w:cs="Calibri"/>
          <w:i/>
          <w:iCs/>
          <w:color w:val="000000"/>
          <w:kern w:val="0"/>
          <w:sz w:val="22"/>
          <w:szCs w:val="22"/>
          <w14:ligatures w14:val="none"/>
        </w:rPr>
        <w:t>Pf </w:t>
      </w:r>
      <w:r w:rsidRPr="002E40CA">
        <w:rPr>
          <w:rFonts w:ascii="Calibri" w:eastAsia="Times New Roman" w:hAnsi="Calibri" w:cs="Calibri"/>
          <w:color w:val="000000"/>
          <w:kern w:val="0"/>
          <w:sz w:val="22"/>
          <w:szCs w:val="22"/>
          <w14:ligatures w14:val="none"/>
        </w:rPr>
        <w:t>orthologues. Investigation of population structure revealed extensive heterogeneity in </w:t>
      </w:r>
      <w:r w:rsidRPr="002E40CA">
        <w:rPr>
          <w:rFonts w:ascii="Calibri" w:eastAsia="Times New Roman" w:hAnsi="Calibri" w:cs="Calibri"/>
          <w:i/>
          <w:iCs/>
          <w:color w:val="000000"/>
          <w:kern w:val="0"/>
          <w:sz w:val="22"/>
          <w:szCs w:val="22"/>
          <w14:ligatures w14:val="none"/>
        </w:rPr>
        <w:t>Pow</w:t>
      </w:r>
      <w:r w:rsidRPr="002E40CA">
        <w:rPr>
          <w:rFonts w:ascii="Calibri" w:eastAsia="Times New Roman" w:hAnsi="Calibri" w:cs="Calibri"/>
          <w:color w:val="000000"/>
          <w:kern w:val="0"/>
          <w:sz w:val="22"/>
          <w:szCs w:val="22"/>
          <w14:ligatures w14:val="none"/>
        </w:rPr>
        <w:t> isolates, primarily driven by those from Eastern and Central Africa. Conversely, </w:t>
      </w:r>
      <w:r w:rsidRPr="002E40CA">
        <w:rPr>
          <w:rFonts w:ascii="Calibri" w:eastAsia="Times New Roman" w:hAnsi="Calibri" w:cs="Calibri"/>
          <w:i/>
          <w:iCs/>
          <w:color w:val="000000"/>
          <w:kern w:val="0"/>
          <w:sz w:val="22"/>
          <w:szCs w:val="22"/>
          <w14:ligatures w14:val="none"/>
        </w:rPr>
        <w:t>Poc</w:t>
      </w:r>
      <w:r w:rsidRPr="002E40CA">
        <w:rPr>
          <w:rFonts w:ascii="Calibri" w:eastAsia="Times New Roman" w:hAnsi="Calibri" w:cs="Calibri"/>
          <w:color w:val="000000"/>
          <w:kern w:val="0"/>
          <w:sz w:val="22"/>
          <w:szCs w:val="22"/>
          <w14:ligatures w14:val="none"/>
        </w:rPr>
        <w:t> exhibited a distinct East/West divide, with greater structural diversity observed in the Eastern populations. Multiplicity of infection was greater in the </w:t>
      </w:r>
      <w:r w:rsidRPr="002E40CA">
        <w:rPr>
          <w:rFonts w:ascii="Calibri" w:eastAsia="Times New Roman" w:hAnsi="Calibri" w:cs="Calibri"/>
          <w:i/>
          <w:iCs/>
          <w:color w:val="000000"/>
          <w:kern w:val="0"/>
          <w:sz w:val="22"/>
          <w:szCs w:val="22"/>
          <w14:ligatures w14:val="none"/>
        </w:rPr>
        <w:t>Pow </w:t>
      </w:r>
      <w:r w:rsidRPr="002E40CA">
        <w:rPr>
          <w:rFonts w:ascii="Calibri" w:eastAsia="Times New Roman" w:hAnsi="Calibri" w:cs="Calibri"/>
          <w:color w:val="000000"/>
          <w:kern w:val="0"/>
          <w:sz w:val="22"/>
          <w:szCs w:val="22"/>
          <w14:ligatures w14:val="none"/>
        </w:rPr>
        <w:t>population, where 28/47 (60%) of isolates were monoclonal compared to 30/36 (83%) in the </w:t>
      </w:r>
      <w:r w:rsidRPr="002E40CA">
        <w:rPr>
          <w:rFonts w:ascii="Calibri" w:eastAsia="Times New Roman" w:hAnsi="Calibri" w:cs="Calibri"/>
          <w:i/>
          <w:iCs/>
          <w:color w:val="000000"/>
          <w:kern w:val="0"/>
          <w:sz w:val="22"/>
          <w:szCs w:val="22"/>
          <w14:ligatures w14:val="none"/>
        </w:rPr>
        <w:t>Poc </w:t>
      </w:r>
      <w:r w:rsidRPr="002E40CA">
        <w:rPr>
          <w:rFonts w:ascii="Calibri" w:eastAsia="Times New Roman" w:hAnsi="Calibri" w:cs="Calibri"/>
          <w:color w:val="000000"/>
          <w:kern w:val="0"/>
          <w:sz w:val="22"/>
          <w:szCs w:val="22"/>
          <w14:ligatures w14:val="none"/>
        </w:rPr>
        <w:t>population, suggesting increased admixture in regions where </w:t>
      </w:r>
      <w:r w:rsidRPr="002E40CA">
        <w:rPr>
          <w:rFonts w:ascii="Calibri" w:eastAsia="Times New Roman" w:hAnsi="Calibri" w:cs="Calibri"/>
          <w:i/>
          <w:iCs/>
          <w:color w:val="000000"/>
          <w:kern w:val="0"/>
          <w:sz w:val="22"/>
          <w:szCs w:val="22"/>
          <w14:ligatures w14:val="none"/>
        </w:rPr>
        <w:t>Pow </w:t>
      </w:r>
      <w:r w:rsidRPr="002E40CA">
        <w:rPr>
          <w:rFonts w:ascii="Calibri" w:eastAsia="Times New Roman" w:hAnsi="Calibri" w:cs="Calibri"/>
          <w:color w:val="000000"/>
          <w:kern w:val="0"/>
          <w:sz w:val="22"/>
          <w:szCs w:val="22"/>
          <w14:ligatures w14:val="none"/>
        </w:rPr>
        <w:t>persists. Genomic signatures of selection in both species largely reflected antigenic loci such as merozoite surface protein 1, and in dihydroorotate dehydrogenase, a gene essential for </w:t>
      </w:r>
      <w:r w:rsidRPr="002E40CA">
        <w:rPr>
          <w:rFonts w:ascii="Calibri" w:eastAsia="Times New Roman" w:hAnsi="Calibri" w:cs="Calibri"/>
          <w:i/>
          <w:iCs/>
          <w:color w:val="000000"/>
          <w:kern w:val="0"/>
          <w:sz w:val="22"/>
          <w:szCs w:val="22"/>
          <w14:ligatures w14:val="none"/>
        </w:rPr>
        <w:t>de novo</w:t>
      </w:r>
      <w:r w:rsidRPr="002E40CA">
        <w:rPr>
          <w:rFonts w:ascii="Calibri" w:eastAsia="Times New Roman" w:hAnsi="Calibri" w:cs="Calibri"/>
          <w:color w:val="000000"/>
          <w:kern w:val="0"/>
          <w:sz w:val="22"/>
          <w:szCs w:val="22"/>
          <w14:ligatures w14:val="none"/>
        </w:rPr>
        <w:t> pyrimidine biosynthesis. Ongoing surveillance and increased sampling of </w:t>
      </w:r>
      <w:r w:rsidRPr="002E40CA">
        <w:rPr>
          <w:rFonts w:ascii="Calibri" w:eastAsia="Times New Roman" w:hAnsi="Calibri" w:cs="Calibri"/>
          <w:i/>
          <w:iCs/>
          <w:color w:val="000000"/>
          <w:kern w:val="0"/>
          <w:sz w:val="22"/>
          <w:szCs w:val="22"/>
          <w14:ligatures w14:val="none"/>
        </w:rPr>
        <w:t>Poc </w:t>
      </w:r>
      <w:r w:rsidRPr="002E40CA">
        <w:rPr>
          <w:rFonts w:ascii="Calibri" w:eastAsia="Times New Roman" w:hAnsi="Calibri" w:cs="Calibri"/>
          <w:color w:val="000000"/>
          <w:kern w:val="0"/>
          <w:sz w:val="22"/>
          <w:szCs w:val="22"/>
          <w14:ligatures w14:val="none"/>
        </w:rPr>
        <w:t>and </w:t>
      </w:r>
      <w:r w:rsidRPr="002E40CA">
        <w:rPr>
          <w:rFonts w:ascii="Calibri" w:eastAsia="Times New Roman" w:hAnsi="Calibri" w:cs="Calibri"/>
          <w:i/>
          <w:iCs/>
          <w:color w:val="000000"/>
          <w:kern w:val="0"/>
          <w:sz w:val="22"/>
          <w:szCs w:val="22"/>
          <w14:ligatures w14:val="none"/>
        </w:rPr>
        <w:t>Pow </w:t>
      </w:r>
      <w:r w:rsidRPr="002E40CA">
        <w:rPr>
          <w:rFonts w:ascii="Calibri" w:eastAsia="Times New Roman" w:hAnsi="Calibri" w:cs="Calibri"/>
          <w:color w:val="000000"/>
          <w:kern w:val="0"/>
          <w:sz w:val="22"/>
          <w:szCs w:val="22"/>
          <w14:ligatures w14:val="none"/>
        </w:rPr>
        <w:t>isolates will be crucial to understand how these elusive species are evolving in various transmission contexts across sub-Saharan Africa.</w:t>
      </w:r>
    </w:p>
    <w:p w14:paraId="18C6472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25-A-3889-ASTMH</w:t>
      </w:r>
    </w:p>
    <w:p w14:paraId="09A38F9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Elimination</w:t>
      </w:r>
    </w:p>
    <w:p w14:paraId="62C7413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Community Co-Creation: An untapped approach for advancing towards malaria elimination</w:t>
      </w:r>
    </w:p>
    <w:p w14:paraId="111E5DF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Across diseases, community health promotion has traditionally relied on mass information campaigns to promote ‘correct’ behaviours. However, top-down, one-size-fits-all approaches often leave critical gaps. In malaria elimination settings, where the challenge is no longer widespread transmission but increasingly hyperlocal, success depends on precise, context-specific strategies that ensure high coverage. In Central America, where progress toward malaria elimination has plateaued, the Clinton Health Access Initiative, in partnership with the Ministries of Health of Honduras and Panama, piloted contextually tailored approaches to community co-creation. In Honduras, a two-step methodology was piloted where regional ministry teams identified barriers, which were then presented to community malaria councils for joint solution-finding. Despite high coverage of Community Health Workers (CHWs), delayed care-seeking and self-medication emerged as barriers. Councils met monthly to adapt and follow up on co-developed solutions, fostering local ownership of the malaria elimination effort. In Panama, where malaria transmission is concentrated in a few indigenous </w:t>
      </w:r>
      <w:r w:rsidRPr="002E40CA">
        <w:rPr>
          <w:rFonts w:ascii="Calibri" w:eastAsia="Times New Roman" w:hAnsi="Calibri" w:cs="Calibri"/>
          <w:i/>
          <w:iCs/>
          <w:color w:val="000000"/>
          <w:kern w:val="0"/>
          <w:sz w:val="22"/>
          <w:szCs w:val="22"/>
          <w14:ligatures w14:val="none"/>
        </w:rPr>
        <w:t>comarcas</w:t>
      </w:r>
      <w:r w:rsidRPr="002E40CA">
        <w:rPr>
          <w:rFonts w:ascii="Calibri" w:eastAsia="Times New Roman" w:hAnsi="Calibri" w:cs="Calibri"/>
          <w:color w:val="000000"/>
          <w:kern w:val="0"/>
          <w:sz w:val="22"/>
          <w:szCs w:val="22"/>
          <w14:ligatures w14:val="none"/>
        </w:rPr>
        <w:t>, a multi-faceted approach was implemented to address rising incidence and </w:t>
      </w:r>
      <w:r w:rsidRPr="002E40CA">
        <w:rPr>
          <w:rFonts w:ascii="Calibri" w:eastAsia="Times New Roman" w:hAnsi="Calibri" w:cs="Calibri"/>
          <w:i/>
          <w:iCs/>
          <w:color w:val="000000"/>
          <w:kern w:val="0"/>
          <w:sz w:val="22"/>
          <w:szCs w:val="22"/>
          <w14:ligatures w14:val="none"/>
        </w:rPr>
        <w:t>Plasmodium vivax</w:t>
      </w:r>
      <w:r w:rsidRPr="002E40CA">
        <w:rPr>
          <w:rFonts w:ascii="Calibri" w:eastAsia="Times New Roman" w:hAnsi="Calibri" w:cs="Calibri"/>
          <w:color w:val="000000"/>
          <w:kern w:val="0"/>
          <w:sz w:val="22"/>
          <w:szCs w:val="22"/>
          <w14:ligatures w14:val="none"/>
        </w:rPr>
        <w:t> relapses. Central to this approach were structured dialogues with indigenous communities, through which the malaria program co-created context-sensitive and inclusive adaptations to case management strategies, including engaging with teachers and school as change catalyzers. As malaria becomes more focalized and funding shrinks, these experiences demonstrate the potential of community co-creation to close implementation gaps. Here, we present two context-specific methodologies and the results of their implementation — including changes in case management indicators and levels of community engagement — highlighting how bottom-up approaches can enhance program acceptability, effectiveness, and sustainability, and contribute to accelerating progress toward malaria elimination.</w:t>
      </w:r>
    </w:p>
    <w:p w14:paraId="55066A1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25-A-3891-ASTMH</w:t>
      </w:r>
    </w:p>
    <w:p w14:paraId="722022F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Respiratory Infections</w:t>
      </w:r>
    </w:p>
    <w:p w14:paraId="55EAED5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Evaluation of a Measles IgM Rapid Diagnostic Test for Use in Measles Surveillance Programs: Diagnostic Accuracy in Stored Sera from Patients with Fever and Rash</w:t>
      </w:r>
    </w:p>
    <w:p w14:paraId="30A0340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Measles is a highly contagious but vaccine-preventable viral infection that primarily affects children, causing fever, rash and respiratory symptoms. It can lead to severe complications, immunocompromise and death. Despite availability of a highly effective vaccine, measles elimination requires high population coverage alongside sub-national supplementary immunization activities. Well-targeted immunization campaigns are dependent on accurate and granular surveillance data informed by rapid and reliable case confirmation. The current reference standard - Enzyme Immunoassay (EIA) - is limited by requiring cold chain transported invasive samples, reliance on skilled laboratory personnel and inconsistent supply globally. Measles IgM rapid diagnostic tests (RDTs) offer a simple, scalable solution to support decentralized case confirmation using capillary blood or serum. This study assessed the diagnostic </w:t>
      </w:r>
      <w:r w:rsidRPr="002E40CA">
        <w:rPr>
          <w:rFonts w:ascii="Calibri" w:eastAsia="Times New Roman" w:hAnsi="Calibri" w:cs="Calibri"/>
          <w:color w:val="000000"/>
          <w:kern w:val="0"/>
          <w:sz w:val="22"/>
          <w:szCs w:val="22"/>
          <w14:ligatures w14:val="none"/>
        </w:rPr>
        <w:lastRenderedPageBreak/>
        <w:t>accuracy of a measles IgM lateral flow immunoassay using 451 well-characterized stored human sera from fever-rash cases (204 EIA positive, 247 EIA negative), collected either for national surveillance (Senegal) or the Febrile Illness Evaluation in a Broad Range of Endemicities (FIEBRE) Study (Laos, Malawi, Mozambique, Zimbabwe). Sera were tested according to the manufacturer’s instructions and interpreted visually as positive or negative. Compared to EIA, the RDT demonstrated 92.6% (95% CI: 88.2-95.8) sensitivity and 95.5% (95% CI: 92.2-97.8) specificity. In secondary analyses restricting to suspected measles cases (n=244), sensitivity was 94.4% (95% CI: 90.1-97.2) and specificity 98.0% (95% CI: 89.1-99.9). In samples with concordant ELISA and PCR results (n=76), the sensitivity and specificity were 98.5% (95% CI: 91.8-100) and 100% (95% CI: 69.2-100) respectively. No invalid results were observed (0% (95% CI: 0-0.8%). The RDT meets required diagnostic performance criteria in the FIND Target Product Profile for measles RDTs, demonstrating strong potential to support the acceleration of measles elimination through expansion and strengthening of decentralized surveillance.</w:t>
      </w:r>
    </w:p>
    <w:p w14:paraId="0CF9532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25-A-3892-ASTMH</w:t>
      </w:r>
    </w:p>
    <w:p w14:paraId="53F6D74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Arthropods/Entomology - Other</w:t>
      </w:r>
    </w:p>
    <w:p w14:paraId="3FACB04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Entomological assessments for </w:t>
      </w:r>
      <w:r w:rsidRPr="002E40CA">
        <w:rPr>
          <w:rFonts w:ascii="Calibri" w:eastAsia="Times New Roman" w:hAnsi="Calibri" w:cs="Calibri"/>
          <w:i/>
          <w:iCs/>
          <w:color w:val="000000"/>
          <w:kern w:val="0"/>
          <w:sz w:val="22"/>
          <w:szCs w:val="22"/>
          <w14:ligatures w14:val="none"/>
        </w:rPr>
        <w:t>Onchocerca volvulus </w:t>
      </w:r>
      <w:r w:rsidRPr="002E40CA">
        <w:rPr>
          <w:rFonts w:ascii="Calibri" w:eastAsia="Times New Roman" w:hAnsi="Calibri" w:cs="Calibri"/>
          <w:color w:val="000000"/>
          <w:kern w:val="0"/>
          <w:sz w:val="22"/>
          <w:szCs w:val="22"/>
          <w14:ligatures w14:val="none"/>
        </w:rPr>
        <w:t>in Gechi-Boricha-Didessa and Gimbo Operational Transmission Zones, Ethiopia</w:t>
      </w:r>
    </w:p>
    <w:p w14:paraId="5EF3819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Onchocerciasis is transmitted to humans through bites from infected blackflies of the genus </w:t>
      </w:r>
      <w:r w:rsidRPr="002E40CA">
        <w:rPr>
          <w:rFonts w:ascii="Calibri" w:eastAsia="Times New Roman" w:hAnsi="Calibri" w:cs="Calibri"/>
          <w:i/>
          <w:iCs/>
          <w:color w:val="000000"/>
          <w:kern w:val="0"/>
          <w:sz w:val="22"/>
          <w:szCs w:val="22"/>
          <w14:ligatures w14:val="none"/>
        </w:rPr>
        <w:t>Simulium</w:t>
      </w:r>
      <w:r w:rsidRPr="002E40CA">
        <w:rPr>
          <w:rFonts w:ascii="Calibri" w:eastAsia="Times New Roman" w:hAnsi="Calibri" w:cs="Calibri"/>
          <w:color w:val="000000"/>
          <w:kern w:val="0"/>
          <w:sz w:val="22"/>
          <w:szCs w:val="22"/>
          <w14:ligatures w14:val="none"/>
        </w:rPr>
        <w:t>. This study investigates the biting and infectivity rates of </w:t>
      </w:r>
      <w:r w:rsidRPr="002E40CA">
        <w:rPr>
          <w:rFonts w:ascii="Calibri" w:eastAsia="Times New Roman" w:hAnsi="Calibri" w:cs="Calibri"/>
          <w:i/>
          <w:iCs/>
          <w:color w:val="000000"/>
          <w:kern w:val="0"/>
          <w:sz w:val="22"/>
          <w:szCs w:val="22"/>
          <w14:ligatures w14:val="none"/>
        </w:rPr>
        <w:t>Simulium damnosum</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S.</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ethiopiense </w:t>
      </w:r>
      <w:r w:rsidRPr="002E40CA">
        <w:rPr>
          <w:rFonts w:ascii="Calibri" w:eastAsia="Times New Roman" w:hAnsi="Calibri" w:cs="Calibri"/>
          <w:color w:val="000000"/>
          <w:kern w:val="0"/>
          <w:sz w:val="22"/>
          <w:szCs w:val="22"/>
          <w14:ligatures w14:val="none"/>
        </w:rPr>
        <w:t>in two operational transmission zones (OTZs), Gechi-Boricha-Didessa (GBD) and Gimbo, Ethiopia, after 12 and 23 years of ivermectin mass drug administration (MDA), respectively. Adult </w:t>
      </w:r>
      <w:r w:rsidRPr="002E40CA">
        <w:rPr>
          <w:rFonts w:ascii="Calibri" w:eastAsia="Times New Roman" w:hAnsi="Calibri" w:cs="Calibri"/>
          <w:i/>
          <w:iCs/>
          <w:color w:val="000000"/>
          <w:kern w:val="0"/>
          <w:sz w:val="22"/>
          <w:szCs w:val="22"/>
          <w14:ligatures w14:val="none"/>
        </w:rPr>
        <w:t>Simulium</w:t>
      </w:r>
      <w:r w:rsidRPr="002E40CA">
        <w:rPr>
          <w:rFonts w:ascii="Calibri" w:eastAsia="Times New Roman" w:hAnsi="Calibri" w:cs="Calibri"/>
          <w:color w:val="000000"/>
          <w:kern w:val="0"/>
          <w:sz w:val="22"/>
          <w:szCs w:val="22"/>
          <w14:ligatures w14:val="none"/>
        </w:rPr>
        <w:t> flies were collected for Stop-MDA assessments at 5 sites in GBD and 3 sites in Gimbo using standardized human landing methods four days per month, hourly from 7:00 AM to 6:00 PM, for 12 months each during July 2023 to September 2024 in GBD and December 2023 to November 2024 in Gimbo. Flies were morphologically identified by trained entomologists, preserved in 96% alcohol, and the heads were separated, pooled, and tested for </w:t>
      </w:r>
      <w:r w:rsidRPr="002E40CA">
        <w:rPr>
          <w:rFonts w:ascii="Calibri" w:eastAsia="Times New Roman" w:hAnsi="Calibri" w:cs="Calibri"/>
          <w:i/>
          <w:iCs/>
          <w:color w:val="000000"/>
          <w:kern w:val="0"/>
          <w:sz w:val="22"/>
          <w:szCs w:val="22"/>
          <w14:ligatures w14:val="none"/>
        </w:rPr>
        <w:t>Onchocerca volvulus</w:t>
      </w:r>
      <w:r w:rsidRPr="002E40CA">
        <w:rPr>
          <w:rFonts w:ascii="Calibri" w:eastAsia="Times New Roman" w:hAnsi="Calibri" w:cs="Calibri"/>
          <w:color w:val="000000"/>
          <w:kern w:val="0"/>
          <w:sz w:val="22"/>
          <w:szCs w:val="22"/>
          <w14:ligatures w14:val="none"/>
        </w:rPr>
        <w:t> larvae (L3) using the O-150 polymerase chain reaction (PCR) ELISA method. Overall, we captured 8,500 </w:t>
      </w:r>
      <w:r w:rsidRPr="002E40CA">
        <w:rPr>
          <w:rFonts w:ascii="Calibri" w:eastAsia="Times New Roman" w:hAnsi="Calibri" w:cs="Calibri"/>
          <w:i/>
          <w:iCs/>
          <w:color w:val="000000"/>
          <w:kern w:val="0"/>
          <w:sz w:val="22"/>
          <w:szCs w:val="22"/>
          <w14:ligatures w14:val="none"/>
        </w:rPr>
        <w:t>S. damnosum </w:t>
      </w:r>
      <w:r w:rsidRPr="002E40CA">
        <w:rPr>
          <w:rFonts w:ascii="Calibri" w:eastAsia="Times New Roman" w:hAnsi="Calibri" w:cs="Calibri"/>
          <w:color w:val="000000"/>
          <w:kern w:val="0"/>
          <w:sz w:val="22"/>
          <w:szCs w:val="22"/>
          <w14:ligatures w14:val="none"/>
        </w:rPr>
        <w:t>and 230 </w:t>
      </w:r>
      <w:r w:rsidRPr="002E40CA">
        <w:rPr>
          <w:rFonts w:ascii="Calibri" w:eastAsia="Times New Roman" w:hAnsi="Calibri" w:cs="Calibri"/>
          <w:i/>
          <w:iCs/>
          <w:color w:val="000000"/>
          <w:kern w:val="0"/>
          <w:sz w:val="22"/>
          <w:szCs w:val="22"/>
          <w14:ligatures w14:val="none"/>
        </w:rPr>
        <w:t>S. ethiopiense </w:t>
      </w:r>
      <w:r w:rsidRPr="002E40CA">
        <w:rPr>
          <w:rFonts w:ascii="Calibri" w:eastAsia="Times New Roman" w:hAnsi="Calibri" w:cs="Calibri"/>
          <w:color w:val="000000"/>
          <w:kern w:val="0"/>
          <w:sz w:val="22"/>
          <w:szCs w:val="22"/>
          <w14:ligatures w14:val="none"/>
        </w:rPr>
        <w:t>in Gimbo and 7,164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and 4,041</w:t>
      </w:r>
      <w:r w:rsidRPr="002E40CA">
        <w:rPr>
          <w:rFonts w:ascii="Calibri" w:eastAsia="Times New Roman" w:hAnsi="Calibri" w:cs="Calibri"/>
          <w:i/>
          <w:iCs/>
          <w:color w:val="000000"/>
          <w:kern w:val="0"/>
          <w:sz w:val="22"/>
          <w:szCs w:val="22"/>
          <w14:ligatures w14:val="none"/>
        </w:rPr>
        <w:t> S. ethiopiense</w:t>
      </w:r>
      <w:r w:rsidRPr="002E40CA">
        <w:rPr>
          <w:rFonts w:ascii="Calibri" w:eastAsia="Times New Roman" w:hAnsi="Calibri" w:cs="Calibri"/>
          <w:color w:val="000000"/>
          <w:kern w:val="0"/>
          <w:sz w:val="22"/>
          <w:szCs w:val="22"/>
          <w14:ligatures w14:val="none"/>
        </w:rPr>
        <w:t> in GBD. The monthly count of </w:t>
      </w:r>
      <w:r w:rsidRPr="002E40CA">
        <w:rPr>
          <w:rFonts w:ascii="Calibri" w:eastAsia="Times New Roman" w:hAnsi="Calibri" w:cs="Calibri"/>
          <w:i/>
          <w:iCs/>
          <w:color w:val="000000"/>
          <w:kern w:val="0"/>
          <w:sz w:val="22"/>
          <w:szCs w:val="22"/>
          <w14:ligatures w14:val="none"/>
        </w:rPr>
        <w:t>S. damnosum </w:t>
      </w:r>
      <w:r w:rsidRPr="002E40CA">
        <w:rPr>
          <w:rFonts w:ascii="Calibri" w:eastAsia="Times New Roman" w:hAnsi="Calibri" w:cs="Calibri"/>
          <w:color w:val="000000"/>
          <w:kern w:val="0"/>
          <w:sz w:val="22"/>
          <w:szCs w:val="22"/>
          <w14:ligatures w14:val="none"/>
        </w:rPr>
        <w:t>peaked in October 2024 (n=1,309) in GBD and in January 2023 (n=1,680) in Gimbo, and the monthly counts of </w:t>
      </w:r>
      <w:r w:rsidRPr="002E40CA">
        <w:rPr>
          <w:rFonts w:ascii="Calibri" w:eastAsia="Times New Roman" w:hAnsi="Calibri" w:cs="Calibri"/>
          <w:i/>
          <w:iCs/>
          <w:color w:val="000000"/>
          <w:kern w:val="0"/>
          <w:sz w:val="22"/>
          <w:szCs w:val="22"/>
          <w14:ligatures w14:val="none"/>
        </w:rPr>
        <w:t>S. ethiopiense</w:t>
      </w:r>
      <w:r w:rsidRPr="002E40CA">
        <w:rPr>
          <w:rFonts w:ascii="Calibri" w:eastAsia="Times New Roman" w:hAnsi="Calibri" w:cs="Calibri"/>
          <w:color w:val="000000"/>
          <w:kern w:val="0"/>
          <w:sz w:val="22"/>
          <w:szCs w:val="22"/>
          <w14:ligatures w14:val="none"/>
        </w:rPr>
        <w:t> peaked in September 2024 (n=625) in GBD and in May 2024 (n=60) in Gimbo. Gimbo produced higher counts of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while GBD produced higher counts of </w:t>
      </w:r>
      <w:r w:rsidRPr="002E40CA">
        <w:rPr>
          <w:rFonts w:ascii="Calibri" w:eastAsia="Times New Roman" w:hAnsi="Calibri" w:cs="Calibri"/>
          <w:i/>
          <w:iCs/>
          <w:color w:val="000000"/>
          <w:kern w:val="0"/>
          <w:sz w:val="22"/>
          <w:szCs w:val="22"/>
          <w14:ligatures w14:val="none"/>
        </w:rPr>
        <w:t>S. ethiopiense</w:t>
      </w:r>
      <w:r w:rsidRPr="002E40CA">
        <w:rPr>
          <w:rFonts w:ascii="Calibri" w:eastAsia="Times New Roman" w:hAnsi="Calibri" w:cs="Calibri"/>
          <w:color w:val="000000"/>
          <w:kern w:val="0"/>
          <w:sz w:val="22"/>
          <w:szCs w:val="22"/>
          <w14:ligatures w14:val="none"/>
        </w:rPr>
        <w:t>. PCR analysis of 8,000 blackflies in 55 pools separated by species from GBD found two positive pools, yielding an infectivity rate of 0.97/2,000 flies (95% CI: 0.16-2.99) for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and 0/2,000 flies (95% CI: 0-1.02) for </w:t>
      </w:r>
      <w:r w:rsidRPr="002E40CA">
        <w:rPr>
          <w:rFonts w:ascii="Calibri" w:eastAsia="Times New Roman" w:hAnsi="Calibri" w:cs="Calibri"/>
          <w:i/>
          <w:iCs/>
          <w:color w:val="000000"/>
          <w:kern w:val="0"/>
          <w:sz w:val="22"/>
          <w:szCs w:val="22"/>
          <w14:ligatures w14:val="none"/>
        </w:rPr>
        <w:t>S. ethiopiense</w:t>
      </w:r>
      <w:r w:rsidRPr="002E40CA">
        <w:rPr>
          <w:rFonts w:ascii="Calibri" w:eastAsia="Times New Roman" w:hAnsi="Calibri" w:cs="Calibri"/>
          <w:color w:val="000000"/>
          <w:kern w:val="0"/>
          <w:sz w:val="22"/>
          <w:szCs w:val="22"/>
          <w14:ligatures w14:val="none"/>
        </w:rPr>
        <w:t>. In Gimbo, 7,930 blackflies tested in 49 pools resulted in two PCR-positive pools, yielding an infectivity rate of 0.53/2,000 flies (95% CI: 0.09-1.64) for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and 0/2,000 flies (95% CI: 0-0.8) for </w:t>
      </w:r>
      <w:r w:rsidRPr="002E40CA">
        <w:rPr>
          <w:rFonts w:ascii="Calibri" w:eastAsia="Times New Roman" w:hAnsi="Calibri" w:cs="Calibri"/>
          <w:i/>
          <w:iCs/>
          <w:color w:val="000000"/>
          <w:kern w:val="0"/>
          <w:sz w:val="22"/>
          <w:szCs w:val="22"/>
          <w14:ligatures w14:val="none"/>
        </w:rPr>
        <w:t>S. ethiopiense</w:t>
      </w:r>
      <w:r w:rsidRPr="002E40CA">
        <w:rPr>
          <w:rFonts w:ascii="Calibri" w:eastAsia="Times New Roman" w:hAnsi="Calibri" w:cs="Calibri"/>
          <w:color w:val="000000"/>
          <w:kern w:val="0"/>
          <w:sz w:val="22"/>
          <w:szCs w:val="22"/>
          <w14:ligatures w14:val="none"/>
        </w:rPr>
        <w:t>. All positive pools were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none were </w:t>
      </w:r>
      <w:r w:rsidRPr="002E40CA">
        <w:rPr>
          <w:rFonts w:ascii="Calibri" w:eastAsia="Times New Roman" w:hAnsi="Calibri" w:cs="Calibri"/>
          <w:i/>
          <w:iCs/>
          <w:color w:val="000000"/>
          <w:kern w:val="0"/>
          <w:sz w:val="22"/>
          <w:szCs w:val="22"/>
          <w14:ligatures w14:val="none"/>
        </w:rPr>
        <w:t>S. ethiopiense</w:t>
      </w:r>
      <w:r w:rsidRPr="002E40CA">
        <w:rPr>
          <w:rFonts w:ascii="Calibri" w:eastAsia="Times New Roman" w:hAnsi="Calibri" w:cs="Calibri"/>
          <w:color w:val="000000"/>
          <w:kern w:val="0"/>
          <w:sz w:val="22"/>
          <w:szCs w:val="22"/>
          <w14:ligatures w14:val="none"/>
        </w:rPr>
        <w:t>. Higher abundance and infectivity rates of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compared to </w:t>
      </w:r>
      <w:r w:rsidRPr="002E40CA">
        <w:rPr>
          <w:rFonts w:ascii="Calibri" w:eastAsia="Times New Roman" w:hAnsi="Calibri" w:cs="Calibri"/>
          <w:i/>
          <w:iCs/>
          <w:color w:val="000000"/>
          <w:kern w:val="0"/>
          <w:sz w:val="22"/>
          <w:szCs w:val="22"/>
          <w14:ligatures w14:val="none"/>
        </w:rPr>
        <w:t>S. ethiopiense</w:t>
      </w:r>
      <w:r w:rsidRPr="002E40CA">
        <w:rPr>
          <w:rFonts w:ascii="Calibri" w:eastAsia="Times New Roman" w:hAnsi="Calibri" w:cs="Calibri"/>
          <w:color w:val="000000"/>
          <w:kern w:val="0"/>
          <w:sz w:val="22"/>
          <w:szCs w:val="22"/>
          <w14:ligatures w14:val="none"/>
        </w:rPr>
        <w:t> suggest </w:t>
      </w:r>
      <w:r w:rsidRPr="002E40CA">
        <w:rPr>
          <w:rFonts w:ascii="Calibri" w:eastAsia="Times New Roman" w:hAnsi="Calibri" w:cs="Calibri"/>
          <w:i/>
          <w:iCs/>
          <w:color w:val="000000"/>
          <w:kern w:val="0"/>
          <w:sz w:val="22"/>
          <w:szCs w:val="22"/>
          <w14:ligatures w14:val="none"/>
        </w:rPr>
        <w:t>S. damnosum</w:t>
      </w:r>
      <w:r w:rsidRPr="002E40CA">
        <w:rPr>
          <w:rFonts w:ascii="Calibri" w:eastAsia="Times New Roman" w:hAnsi="Calibri" w:cs="Calibri"/>
          <w:color w:val="000000"/>
          <w:kern w:val="0"/>
          <w:sz w:val="22"/>
          <w:szCs w:val="22"/>
          <w14:ligatures w14:val="none"/>
        </w:rPr>
        <w:t> plays a more significant role in onchocerciasis transmission, supporting evidence from Congo and Sudan. The study found low infectivity rates after 12 or more years of MDA but did not meet threshold to stop MDA.</w:t>
      </w:r>
    </w:p>
    <w:p w14:paraId="3EBE4F2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25-A-3893-ASTMH</w:t>
      </w:r>
    </w:p>
    <w:p w14:paraId="25EE41F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Measures for Control and Elimination of Neglected Tropical Diseases (NTDs)</w:t>
      </w:r>
    </w:p>
    <w:p w14:paraId="406645B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Persistently High Soil-Transmitted Helminthiasis Prevalence After 15 Years of Mass Drug Administration: Do Frequency and Regimen Hold the Key to Elimination?</w:t>
      </w:r>
    </w:p>
    <w:p w14:paraId="2E8CC61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The WHO aims to eliminate soil-transmitted helminthiasis (STH) as a public health problem (EPHP) by 2030 in 96% of endemic countries. EPHP is defined as &lt;2% of moderate to heavy intensity of infection (MHI). Despite 12+ years of mass drug administration (MDA), Rwanda reported &gt;15% STH MHI in 2020, persistence of high prevalence (50%+) of any STH in 10 districts from 23 at baseline, triggering a shift from targeting only children to including adults. Ascaris lumbricoides and Trichuris trichiura remain the </w:t>
      </w:r>
      <w:r w:rsidRPr="002E40CA">
        <w:rPr>
          <w:rFonts w:ascii="Calibri" w:eastAsia="Times New Roman" w:hAnsi="Calibri" w:cs="Calibri"/>
          <w:color w:val="000000"/>
          <w:kern w:val="0"/>
          <w:sz w:val="22"/>
          <w:szCs w:val="22"/>
          <w14:ligatures w14:val="none"/>
        </w:rPr>
        <w:lastRenderedPageBreak/>
        <w:t>most prevalent. A community trial testing elimination of STH embedded a study to assess whether increasing MDA frequency (twice vs. three times/year) and using combination therapy (albendazole + ivermectin) can accelerate STH elimination. Four intervention arms and one control were tested in Western Rwanda for one year with baseline and longitudinal parasitological follow-ups. For </w:t>
      </w:r>
      <w:r w:rsidRPr="002E40CA">
        <w:rPr>
          <w:rFonts w:ascii="Calibri" w:eastAsia="Times New Roman" w:hAnsi="Calibri" w:cs="Calibri"/>
          <w:i/>
          <w:iCs/>
          <w:color w:val="000000"/>
          <w:kern w:val="0"/>
          <w:sz w:val="22"/>
          <w:szCs w:val="22"/>
          <w14:ligatures w14:val="none"/>
        </w:rPr>
        <w:t>Trichuris trichiura</w:t>
      </w:r>
      <w:r w:rsidRPr="002E40CA">
        <w:rPr>
          <w:rFonts w:ascii="Calibri" w:eastAsia="Times New Roman" w:hAnsi="Calibri" w:cs="Calibri"/>
          <w:color w:val="000000"/>
          <w:kern w:val="0"/>
          <w:sz w:val="22"/>
          <w:szCs w:val="22"/>
          <w14:ligatures w14:val="none"/>
        </w:rPr>
        <w:t>, three annual rounds of albendazole+ivermectin in Bihungwe reduced prevalence from 70% to 46% (36 percentage points) and intensity from 10% to 3% (7 percentage points). Two rounds also helped (prevalence: 54% to 39% =15 percentage points, intensity: 4% to 2%=2 percentage points). Albendazole alone had minimal impact: in Micinyiro (3x/year), prevalence dropped just 2 points; in Mirindi (2x/year), prevalence and intensity increased. The control arm also saw increases. For </w:t>
      </w:r>
      <w:r w:rsidRPr="002E40CA">
        <w:rPr>
          <w:rFonts w:ascii="Calibri" w:eastAsia="Times New Roman" w:hAnsi="Calibri" w:cs="Calibri"/>
          <w:i/>
          <w:iCs/>
          <w:color w:val="000000"/>
          <w:kern w:val="0"/>
          <w:sz w:val="22"/>
          <w:szCs w:val="22"/>
          <w14:ligatures w14:val="none"/>
        </w:rPr>
        <w:t>Ascaris lumbricoides</w:t>
      </w:r>
      <w:r w:rsidRPr="002E40CA">
        <w:rPr>
          <w:rFonts w:ascii="Calibri" w:eastAsia="Times New Roman" w:hAnsi="Calibri" w:cs="Calibri"/>
          <w:color w:val="000000"/>
          <w:kern w:val="0"/>
          <w:sz w:val="22"/>
          <w:szCs w:val="22"/>
          <w14:ligatures w14:val="none"/>
        </w:rPr>
        <w:t>, three MDA rounds per year were most effective. In Bihungwe (combo therapy) and Micinyiro (ALB alone), intensity dropped by ~45 percentage points. Combo therapy reduced prevalence by 40 percentage points (83% to 43%), slightly outperforming ALB alone (81% to 49%). Twice-a-year MDA showed smaller gains, with prevalence and intensity decreasing by ~15 points for both combo and ALB alone. The control arm showed minimal change (4-6 points). To meet EPHP goals by 2030, MDA must be intensified and optimized. Combination therapy—especially with higher frequency—shows clear promise in breaking transmission in persistent hotspots, particularly for Trichuris. Scaling this strategy where needed could drive Rwanda closer to STH elimination.</w:t>
      </w:r>
    </w:p>
    <w:p w14:paraId="6998F11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25-A-3894-ASTMH</w:t>
      </w:r>
    </w:p>
    <w:p w14:paraId="2B66062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Surveillance and Data Utilization</w:t>
      </w:r>
    </w:p>
    <w:p w14:paraId="0406D73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Refining Malaria Risk Mapping Through Integrated Vector Data - Insights from a Comprehensive Review and Ongoing Framework Development</w:t>
      </w:r>
    </w:p>
    <w:p w14:paraId="157C2D8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Sub-national tailoring of malaria control in sub-Saharan Africa is constrained by the use of malaria risk maps that do not incorporate spatial data on malaria vectors. To address this gap, we undertook a comprehensive review of how malaria vector surveillance data—species distribution, abundance, and insecticide resistance—are currently integrated into risk models. This review identified critical methodological gaps, motivating the development of a new high resolution geospatial modelling framework able to incorporate vector information into more precise and more useful malaria risk maps. We systematically reviewed peer-reviewed articles and public health reports focusing on the inclusion of entomological data in malaria mapping.Our review revealed substantial heterogeneity in how vector data is leveraged. Many approaches remain limited to coarse-scale distribution information, neglecting dynamic vector behaviors and localized resistance patterns. This suggests that including detailed vector datasets could enhance map accuracy—particularly in regions with historically limited entomological data.We therefore present a prototype Bayesian geospatial modelling framework that incorporates epidemiological surveillance data, high-resolution environmental covariates, and data-driven geospatial models of malaria vectors. Future development of this modelling framework aims to deliver robust, evidence-based malaria risk maps adaptable to diverse transmission settings. The ultimate goal is to optimize surveillance, resource allocation, and policy decision-making for malaria-endemic regions—particularly in Tanzania, where this framework is currently being tested.</w:t>
      </w:r>
    </w:p>
    <w:p w14:paraId="57EB833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25-A-3895-ASTMH</w:t>
      </w:r>
    </w:p>
    <w:p w14:paraId="011683E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Respiratory Infections</w:t>
      </w:r>
    </w:p>
    <w:p w14:paraId="57CF902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Preventing catastrophic tuberculosis-related costs; a systematic review and meta-analysis including assessment of methodological constraints</w:t>
      </w:r>
    </w:p>
    <w:p w14:paraId="50DA3AC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Tuberculosis (TB) kills more people annually than any other infection. Catastrophic TB-related costs (CC) impoverish people with TB and strongly predict adverse TB outcomes. Consequently, the United Nations prioritizes eliminating CC. Cumulative CC (CCC) are recorded prospectively by repeatedly interviewing patients throughout their TB treatment. Alternatively, estimated CC (ECC) may be determined in a one-off cross-sectional study by interviewing patients once, characterizing each patient’s TB-related costs over the past month, and multiplying those costs by the number of months required for TB treatment. </w:t>
      </w:r>
      <w:r w:rsidRPr="002E40CA">
        <w:rPr>
          <w:rFonts w:ascii="Calibri" w:eastAsia="Times New Roman" w:hAnsi="Calibri" w:cs="Calibri"/>
          <w:color w:val="000000"/>
          <w:kern w:val="0"/>
          <w:sz w:val="22"/>
          <w:szCs w:val="22"/>
          <w14:ligatures w14:val="none"/>
        </w:rPr>
        <w:lastRenderedPageBreak/>
        <w:t>We aimed to assess the evidence for strategies to prevent CC, focusing on comparing studies assessing CCC versus ECC. Our systematic review followed the Prisma-P guidelines and screened 441 eligible studies (see DOI: 10.12688/wellcomeopenres.17521.1). 94 studies were included in qualitative and quantitative analysis. From the 62 studies that described original research, only 8 assessed interventions to prevent CC. One randomized controlled trial (RCT) of providing home instead of hospital-based care reported an 84% reduction in CC (OR 0.07, 95% confidence interval, CI=0.03–0.15) but was excluded because it did not describe whether CCC or ECC were assessed. A RCT found that a socio-economic intervention decreased CCC by 40% (Odds Ratio, OR=0.60, 95%CI=0.36–0.98). The other 6 intervention studies all evaluated active (versus passive) case finding. We performed a meta-analysis that suggested that active case finding almost halved CC (OR 0.59, 95%CI=0.38–0.91). Two of 5 studies reported that interventions reduced CCC. None of 2 studies reported that interventions reduced ECC. Meta-analysis suggested that interventions were more likely to reduce CCC than ECC (OR=0.58, 95% CI=0.46- 0.74). Our findings provide evidence that socio-economic and case finding interventions reduce CC but evaluations of intervention impacts on CC are confounded by the methods used to assess CC. CCC may be more reliable than ECC, and research is needed to compare CCC versus ECC in the same patients to get closer to achieving the target of ending TB.</w:t>
      </w:r>
    </w:p>
    <w:p w14:paraId="5F0EC1D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25-A-3896-ASTMH</w:t>
      </w:r>
    </w:p>
    <w:p w14:paraId="542EEFC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Immunology</w:t>
      </w:r>
    </w:p>
    <w:p w14:paraId="27B1989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T cell memory in </w:t>
      </w:r>
      <w:r w:rsidRPr="002E40CA">
        <w:rPr>
          <w:rFonts w:ascii="Calibri" w:eastAsia="Times New Roman" w:hAnsi="Calibri" w:cs="Calibri"/>
          <w:i/>
          <w:iCs/>
          <w:color w:val="000000"/>
          <w:kern w:val="0"/>
          <w:sz w:val="22"/>
          <w:szCs w:val="22"/>
          <w14:ligatures w14:val="none"/>
        </w:rPr>
        <w:t>Plasmodium falciparum </w:t>
      </w:r>
      <w:r w:rsidRPr="002E40CA">
        <w:rPr>
          <w:rFonts w:ascii="Calibri" w:eastAsia="Times New Roman" w:hAnsi="Calibri" w:cs="Calibri"/>
          <w:color w:val="000000"/>
          <w:kern w:val="0"/>
          <w:sz w:val="22"/>
          <w:szCs w:val="22"/>
          <w14:ligatures w14:val="none"/>
        </w:rPr>
        <w:t>malaria</w:t>
      </w:r>
    </w:p>
    <w:p w14:paraId="6338610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development of natural immunity against </w:t>
      </w:r>
      <w:r w:rsidRPr="002E40CA">
        <w:rPr>
          <w:rFonts w:ascii="Calibri" w:eastAsia="Times New Roman" w:hAnsi="Calibri" w:cs="Calibri"/>
          <w:i/>
          <w:iCs/>
          <w:color w:val="000000"/>
          <w:kern w:val="0"/>
          <w:sz w:val="22"/>
          <w:szCs w:val="22"/>
          <w14:ligatures w14:val="none"/>
        </w:rPr>
        <w:t>Plasmodium falciparum</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 malaria takes many years and is primarily mediated by antibodies and a Th1 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T cell response against the blood-stage. Data from endemic areas indicate that natural immunity is short-lived and requires regular exposure. In contrast, experimental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 infections or vaccinations in European volunteers induce stable T and B cell responses, raising the question of whether natural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 infections hinder the development of long-term immunity.</w:t>
      </w:r>
      <w:r w:rsidRPr="002E40CA">
        <w:rPr>
          <w:rFonts w:ascii="Calibri" w:eastAsia="Times New Roman" w:hAnsi="Calibri" w:cs="Calibri"/>
          <w:color w:val="000000"/>
          <w:kern w:val="0"/>
          <w:sz w:val="22"/>
          <w:szCs w:val="22"/>
          <w14:ligatures w14:val="none"/>
        </w:rPr>
        <w:br/>
        <w:t>Our study aims to identify mechanisms influencing long-lived 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T cell memory formation in malaria. We hypothesize that the massive induction of co-inhibitory molecules during acute malaria inhibits the development of lasting T cell memory. To address this, we longitudinally study the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specific immune response in patients with acute malaria in Hamburg over 12 months, comparing T cell responses between malaria patients with high and low expression patterns of co-inhibitory molecules.</w:t>
      </w:r>
      <w:r w:rsidRPr="002E40CA">
        <w:rPr>
          <w:rFonts w:ascii="Calibri" w:eastAsia="Times New Roman" w:hAnsi="Calibri" w:cs="Calibri"/>
          <w:color w:val="000000"/>
          <w:kern w:val="0"/>
          <w:sz w:val="22"/>
          <w:szCs w:val="22"/>
          <w14:ligatures w14:val="none"/>
        </w:rPr>
        <w:br/>
        <w:t>Firstly, we perform a detailed analysis of immune responses during acute infection. For this, we designed and validated a comprehensive 36-color flow cytometry panel for deep immune phenotyping during acute infection, with a focus on T cells and immune checkpoints. We observe a strong upregulations of the checkpoint inhibitors LAG-3, TIGIT, Tim-3, PD-1, and CTLA-4 on 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T cells in malaria patients compared to healthy controls, alongside an upregulation of the co-stimulatory molecule ICOS. Furthermore, we observe an expansion of type I regulatory T cells in the malaria patients. Secondly, we will investigate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-specific T cell responses over 12 months to identify immunologic predictors of long-lasting memory responses. Subsequent analyses will explore potential correlations between acute immune phenotypes and the persistence of </w:t>
      </w:r>
      <w:r w:rsidRPr="002E40CA">
        <w:rPr>
          <w:rFonts w:ascii="Calibri" w:eastAsia="Times New Roman" w:hAnsi="Calibri" w:cs="Calibri"/>
          <w:i/>
          <w:iCs/>
          <w:color w:val="000000"/>
          <w:kern w:val="0"/>
          <w:sz w:val="22"/>
          <w:szCs w:val="22"/>
          <w14:ligatures w14:val="none"/>
        </w:rPr>
        <w:t>Pf</w:t>
      </w:r>
      <w:r w:rsidRPr="002E40CA">
        <w:rPr>
          <w:rFonts w:ascii="Calibri" w:eastAsia="Times New Roman" w:hAnsi="Calibri" w:cs="Calibri"/>
          <w:color w:val="000000"/>
          <w:kern w:val="0"/>
          <w:sz w:val="22"/>
          <w:szCs w:val="22"/>
          <w14:ligatures w14:val="none"/>
        </w:rPr>
        <w:t>-specific 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T cell responses.</w:t>
      </w:r>
    </w:p>
    <w:p w14:paraId="04F01B6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25-A-3897-ASTMH</w:t>
      </w:r>
    </w:p>
    <w:p w14:paraId="0A57CC3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Genetics, Genomics and Evolution</w:t>
      </w:r>
    </w:p>
    <w:p w14:paraId="6541D0E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New genomic resources to support estimation of genetic connectivity between Central and South American Plasmodium vivax populations</w:t>
      </w:r>
    </w:p>
    <w:p w14:paraId="28F87BA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In malaria control and elimination, understanding parasite population connectivity between transmission foci is crucial for preventing case rebounds. WHO classifies malaria cases into three categories based on origin: imported, introduced, and indigenous; while this classification is clear between endemic and non-endemic areas, it becomes complex when movement occurs between endemic regions. In these cases, genetic information can inform case classification. In Mesoamerica, </w:t>
      </w:r>
      <w:r w:rsidRPr="002E40CA">
        <w:rPr>
          <w:rFonts w:ascii="Calibri" w:eastAsia="Times New Roman" w:hAnsi="Calibri" w:cs="Calibri"/>
          <w:color w:val="000000"/>
          <w:kern w:val="0"/>
          <w:sz w:val="22"/>
          <w:szCs w:val="22"/>
          <w14:ligatures w14:val="none"/>
        </w:rPr>
        <w:lastRenderedPageBreak/>
        <w:t>particularly Panama, a correlation between the number of people crossing the Darién Gap and rising </w:t>
      </w:r>
      <w:r w:rsidRPr="002E40CA">
        <w:rPr>
          <w:rFonts w:ascii="Calibri" w:eastAsia="Times New Roman" w:hAnsi="Calibri" w:cs="Calibri"/>
          <w:i/>
          <w:iCs/>
          <w:color w:val="000000"/>
          <w:kern w:val="0"/>
          <w:sz w:val="22"/>
          <w:szCs w:val="22"/>
          <w14:ligatures w14:val="none"/>
        </w:rPr>
        <w:t>P. vivax</w:t>
      </w:r>
      <w:r w:rsidRPr="002E40CA">
        <w:rPr>
          <w:rFonts w:ascii="Calibri" w:eastAsia="Times New Roman" w:hAnsi="Calibri" w:cs="Calibri"/>
          <w:color w:val="000000"/>
          <w:kern w:val="0"/>
          <w:sz w:val="22"/>
          <w:szCs w:val="22"/>
          <w14:ligatures w14:val="none"/>
        </w:rPr>
        <w:t> cases since 2020 has been observed. This suggests that if human movement directly impacts malaria through parasite importation, the parasite genetic profile should have changed since 2020. We tested this hypothesis by using targeted sequencing of 249 genomic regions and analyzing 1267 </w:t>
      </w:r>
      <w:r w:rsidRPr="002E40CA">
        <w:rPr>
          <w:rFonts w:ascii="Calibri" w:eastAsia="Times New Roman" w:hAnsi="Calibri" w:cs="Calibri"/>
          <w:i/>
          <w:iCs/>
          <w:color w:val="000000"/>
          <w:kern w:val="0"/>
          <w:sz w:val="22"/>
          <w:szCs w:val="22"/>
          <w14:ligatures w14:val="none"/>
        </w:rPr>
        <w:t>P. vivax</w:t>
      </w:r>
      <w:r w:rsidRPr="002E40CA">
        <w:rPr>
          <w:rFonts w:ascii="Calibri" w:eastAsia="Times New Roman" w:hAnsi="Calibri" w:cs="Calibri"/>
          <w:color w:val="000000"/>
          <w:kern w:val="0"/>
          <w:sz w:val="22"/>
          <w:szCs w:val="22"/>
          <w14:ligatures w14:val="none"/>
        </w:rPr>
        <w:t>-infected samples from 2020-2024 from five endemic countries: Colombia, Guyana, Honduras, Panama and Venezuela, and 62 pre-2020 samples from Panama. We find distinct genetic populations following geographical boundaries across Latin America. Our analysis of the Panamanian parasite population revealed four distinct clonal clusters that are persistent over time. Cluster 1, dominant since 2004, was present throughout Panama. Clusters 2 and 3 are near the Colombian border and present since 2013, and Cluster 4 was only present in Río Sábalo, a remote community in the comarca of Madugandí. There were 7 cases where genetic evidence contradicted infection origins inferred from travel history, highlighting the importance of genetic surveillance in case classification. In Honduras all cases were assigned to the local genetic population with no signals of recent gene flow coming from the south. In conclusion, while imported cases occur throughout Latin America, they have not significantly impacted parasite populations in Mesoamerica. This study emphasizes the need for systematic genetic surveillance in malaria elimination efforts, particularly in regions with high human mobility.</w:t>
      </w:r>
    </w:p>
    <w:p w14:paraId="5FAD471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25-A-3898-ASTMH</w:t>
      </w:r>
    </w:p>
    <w:p w14:paraId="158CC30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Vaccines and Immunotherapeutics</w:t>
      </w:r>
    </w:p>
    <w:p w14:paraId="54239C1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Six-Month Review of Malaria Vaccine Introduction in Burkina Faso: Lessons Learned and Strategic Directions</w:t>
      </w:r>
    </w:p>
    <w:p w14:paraId="752729E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introduction of the malaria vaccine in Burkina Faso is a significant milestone in the country's ongoing efforts to eliminate this deadly disease. This vaccination has been rolled out in 27 of the country's 70 health districts. Six months after the introduction, this review of malaria vaccination activities carried out by the Ministry of Health aims to identify the best practices, challenges, and lessons learned to guide current strategies and sustainably improve vaccination coverage. This is an analysis of the process of introducing the malaria vaccine into the Expanded Program on Immunization (EPI), which was held as a workshop from 25 to 27 November 2024. Hundred participants from the Ministry of Health at all levels and partners involved in vaccination and malaria participated. It explored the areas of (i) planning, (ii) financing, (iii) human resources management and training, (iv) service delivery, (v) demand generation, (vi) monitoring, (vii) supply chain, waste management, (viii) integrated surveillance. The evaluation highlighted several best practices like collaboration between the vaccination and malaria control teams, specific supervision of personnel on the use of the malaria vaccine, integrating catch-up vaccinations during other health activities, and periodic monitoring of the vaccination data quality. Humanitarian flights and public transport were also used for vaccine supply and vaccination waste transport in high-security risk areas. At the community level, there has been local funding from communities for certain vaccine-related activities, involvement of community organizations, and health agents in mobilizing targets and following up on missed vaccinations. The major challenges were the lack of effective communication activities and the failure to track the morbidity and mortality of children vaccinated against malaria. This evaluation highlighted some good practices and major challenges. A plan to solve the problems has been put together. These findings will offer key considerations for nationwide scale-up. A study on the morbidity and mortality of children vaccinated against malaria is needed.</w:t>
      </w:r>
    </w:p>
    <w:p w14:paraId="7A7FEBD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25-A-3899-ASTMH</w:t>
      </w:r>
    </w:p>
    <w:p w14:paraId="1888993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Helminths – Nematodes – Filariasis (Epidemiology)</w:t>
      </w:r>
    </w:p>
    <w:p w14:paraId="4B6A864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Post-Treatment Surveillance for Lymphatic Filariasis in Haiti amidst challenges: Results from Transmission Assessment Surveys (TAS-3) in Sud and Grand’Anse</w:t>
      </w:r>
    </w:p>
    <w:p w14:paraId="50AF486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Haiti is 1 of 3 remaining lymphatic filariasis (LF)-endemic countries in the Americas. After baseline mapping (2001), Ministry of Public Health and Population (MSPP) decided to implement nationwide </w:t>
      </w:r>
      <w:r w:rsidRPr="002E40CA">
        <w:rPr>
          <w:rFonts w:ascii="Calibri" w:eastAsia="Times New Roman" w:hAnsi="Calibri" w:cs="Calibri"/>
          <w:color w:val="000000"/>
          <w:kern w:val="0"/>
          <w:sz w:val="22"/>
          <w:szCs w:val="22"/>
          <w14:ligatures w14:val="none"/>
        </w:rPr>
        <w:lastRenderedPageBreak/>
        <w:t>mass drug administration. WHO recommends transmission assessment surveys (TAS) to determine whether the prevalence of circulating filarial antigen (CFA) is below 2%-the putative threshold for interrupting </w:t>
      </w:r>
      <w:r w:rsidRPr="002E40CA">
        <w:rPr>
          <w:rFonts w:ascii="Calibri" w:eastAsia="Times New Roman" w:hAnsi="Calibri" w:cs="Calibri"/>
          <w:i/>
          <w:iCs/>
          <w:color w:val="000000"/>
          <w:kern w:val="0"/>
          <w:sz w:val="22"/>
          <w:szCs w:val="22"/>
          <w14:ligatures w14:val="none"/>
        </w:rPr>
        <w:t>Wuchereria bancrofti</w:t>
      </w:r>
      <w:r w:rsidRPr="002E40CA">
        <w:rPr>
          <w:rFonts w:ascii="Calibri" w:eastAsia="Times New Roman" w:hAnsi="Calibri" w:cs="Calibri"/>
          <w:color w:val="000000"/>
          <w:kern w:val="0"/>
          <w:sz w:val="22"/>
          <w:szCs w:val="22"/>
          <w14:ligatures w14:val="none"/>
        </w:rPr>
        <w:t> in </w:t>
      </w:r>
      <w:r w:rsidRPr="002E40CA">
        <w:rPr>
          <w:rFonts w:ascii="Calibri" w:eastAsia="Times New Roman" w:hAnsi="Calibri" w:cs="Calibri"/>
          <w:i/>
          <w:iCs/>
          <w:color w:val="000000"/>
          <w:kern w:val="0"/>
          <w:sz w:val="22"/>
          <w:szCs w:val="22"/>
          <w14:ligatures w14:val="none"/>
        </w:rPr>
        <w:t>Culex</w:t>
      </w:r>
      <w:r w:rsidRPr="002E40CA">
        <w:rPr>
          <w:rFonts w:ascii="Calibri" w:eastAsia="Times New Roman" w:hAnsi="Calibri" w:cs="Calibri"/>
          <w:color w:val="000000"/>
          <w:kern w:val="0"/>
          <w:sz w:val="22"/>
          <w:szCs w:val="22"/>
          <w14:ligatures w14:val="none"/>
        </w:rPr>
        <w:t> transmission areas. Repeated TAS are recommended during post-treatment surveillance (PTS). Violence has risen in Haiti since President Moïse was assassinated in July 2021. Today, Port-au-Prince is under gang control; thousands of people have fled the capital. Despite these challenges, MSPP continues to implement program activities in strategic locations to continue progress towards its goal of eliminating LF as a public health problem by 2030. Following TAS in 2017 and 2019, community-based TAS-3 were conducted in the Tiburon Peninsula in August 2024 (30 districts in 3 evaluation units (EUs)): Camp-Perrin (1 district in Sud department), Sud (remaining 17), and Grand’Anse (12). Field teams submitted data in real-time using NEMO, The Carter Center’s mobile data collection tool to allow for remote monitoring. Household GPS coordinates and images of positive and invalid results were captured. Dashboards were developed to monitor progress and inform decisions to visit pre-sampled extra sites to meet targeted numbers of children in each EU. Data were shared daily with field supervisors. A total of 4478 children aged 6-7 years were tested for CFA: 0/1251 Camp Perrin, 1/1587 Sud, and 0/1640 Grand’Anse tested positive; all EUs passed TAS-3. Recognizing the number of internally displaced persons, MSPP added residency questions: 240 (5.4%) children self-reported having recently moved, including the child who tested positive for CFA who moved from the capital. In Haiti, 63 (45%) districts have now met the epidemiological criteria for eliminating LF as a public health problem. MSPP should maintain PTS until MDA is halted nationwide and continue to investigate signals of LF transmission given population displacement.</w:t>
      </w:r>
    </w:p>
    <w:p w14:paraId="6F7AABF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25-A-3900-ASTMH</w:t>
      </w:r>
    </w:p>
    <w:p w14:paraId="5023A37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Ectoparasite-Borne Disease - Babesiosis and Lyme Disease</w:t>
      </w:r>
    </w:p>
    <w:p w14:paraId="024378A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REMOVED FROM PROGRAM 6652 Adipose Tissue as a Potential Niche for Borrelia burgdorferi Infection</w:t>
      </w:r>
    </w:p>
    <w:p w14:paraId="7177953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In the United States, </w:t>
      </w:r>
      <w:r w:rsidRPr="002E40CA">
        <w:rPr>
          <w:rFonts w:ascii="Calibri" w:eastAsia="Times New Roman" w:hAnsi="Calibri" w:cs="Calibri"/>
          <w:i/>
          <w:iCs/>
          <w:color w:val="000000"/>
          <w:kern w:val="0"/>
          <w:sz w:val="22"/>
          <w:szCs w:val="22"/>
          <w14:ligatures w14:val="none"/>
        </w:rPr>
        <w:t>Borrelia</w:t>
      </w:r>
      <w:r w:rsidRPr="002E40CA">
        <w:rPr>
          <w:rFonts w:ascii="Calibri" w:eastAsia="Times New Roman" w:hAnsi="Calibri" w:cs="Calibri"/>
          <w:color w:val="000000"/>
          <w:kern w:val="0"/>
          <w:sz w:val="22"/>
          <w:szCs w:val="22"/>
          <w14:ligatures w14:val="none"/>
        </w:rPr>
        <w:t> burgdorferi causes Lyme disease (LD) by infecting the skin, joints, and heart—presenting clinically as erythema migrans, Lyme arthritis, and Lyme carditis. Adipose tissue lies adjacent to these infection sites as subcutaneous, pericardial, and articular fat depots. Adipose tissue extracellular matrix also contains known </w:t>
      </w:r>
      <w:r w:rsidRPr="002E40CA">
        <w:rPr>
          <w:rFonts w:ascii="Calibri" w:eastAsia="Times New Roman" w:hAnsi="Calibri" w:cs="Calibri"/>
          <w:i/>
          <w:iCs/>
          <w:color w:val="000000"/>
          <w:kern w:val="0"/>
          <w:sz w:val="22"/>
          <w:szCs w:val="22"/>
          <w14:ligatures w14:val="none"/>
        </w:rPr>
        <w:t>Borrelia</w:t>
      </w:r>
      <w:r w:rsidRPr="002E40CA">
        <w:rPr>
          <w:rFonts w:ascii="Calibri" w:eastAsia="Times New Roman" w:hAnsi="Calibri" w:cs="Calibri"/>
          <w:color w:val="000000"/>
          <w:kern w:val="0"/>
          <w:sz w:val="22"/>
          <w:szCs w:val="22"/>
          <w14:ligatures w14:val="none"/>
        </w:rPr>
        <w:t> binding proteins such as collagen, laminin, and fibronectin, suggesting adipose may serve as a niche for bacterial invasion. We examined adipose immune responses to </w:t>
      </w:r>
      <w:r w:rsidRPr="002E40CA">
        <w:rPr>
          <w:rFonts w:ascii="Calibri" w:eastAsia="Times New Roman" w:hAnsi="Calibri" w:cs="Calibri"/>
          <w:i/>
          <w:iCs/>
          <w:color w:val="000000"/>
          <w:kern w:val="0"/>
          <w:sz w:val="22"/>
          <w:szCs w:val="22"/>
          <w14:ligatures w14:val="none"/>
        </w:rPr>
        <w:t>Borrelia </w:t>
      </w:r>
      <w:r w:rsidRPr="002E40CA">
        <w:rPr>
          <w:rFonts w:ascii="Calibri" w:eastAsia="Times New Roman" w:hAnsi="Calibri" w:cs="Calibri"/>
          <w:color w:val="000000"/>
          <w:kern w:val="0"/>
          <w:sz w:val="22"/>
          <w:szCs w:val="22"/>
          <w14:ligatures w14:val="none"/>
        </w:rPr>
        <w:t>infection and its potential as a reservoir using a human tissue explant model. Immunohistochemistry of infected human tissue ex vivo reveals </w:t>
      </w:r>
      <w:r w:rsidRPr="002E40CA">
        <w:rPr>
          <w:rFonts w:ascii="Calibri" w:eastAsia="Times New Roman" w:hAnsi="Calibri" w:cs="Calibri"/>
          <w:i/>
          <w:iCs/>
          <w:color w:val="000000"/>
          <w:kern w:val="0"/>
          <w:sz w:val="22"/>
          <w:szCs w:val="22"/>
          <w14:ligatures w14:val="none"/>
        </w:rPr>
        <w:t>Borrelia</w:t>
      </w:r>
      <w:r w:rsidRPr="002E40CA">
        <w:rPr>
          <w:rFonts w:ascii="Calibri" w:eastAsia="Times New Roman" w:hAnsi="Calibri" w:cs="Calibri"/>
          <w:color w:val="000000"/>
          <w:kern w:val="0"/>
          <w:sz w:val="22"/>
          <w:szCs w:val="22"/>
          <w14:ligatures w14:val="none"/>
        </w:rPr>
        <w:t> in subcutaneous connective tissue 24 hours post-infection. In mice, </w:t>
      </w:r>
      <w:r w:rsidRPr="002E40CA">
        <w:rPr>
          <w:rFonts w:ascii="Calibri" w:eastAsia="Times New Roman" w:hAnsi="Calibri" w:cs="Calibri"/>
          <w:i/>
          <w:iCs/>
          <w:color w:val="000000"/>
          <w:kern w:val="0"/>
          <w:sz w:val="22"/>
          <w:szCs w:val="22"/>
          <w14:ligatures w14:val="none"/>
        </w:rPr>
        <w:t>Borrelia</w:t>
      </w:r>
      <w:r w:rsidRPr="002E40CA">
        <w:rPr>
          <w:rFonts w:ascii="Calibri" w:eastAsia="Times New Roman" w:hAnsi="Calibri" w:cs="Calibri"/>
          <w:color w:val="000000"/>
          <w:kern w:val="0"/>
          <w:sz w:val="22"/>
          <w:szCs w:val="22"/>
          <w14:ligatures w14:val="none"/>
        </w:rPr>
        <w:t> flagellin DNA and live spirochetes were detected in adipose depots both proximal and distal to the infection site. Immune profiling of infected human skin and adipose tissue using single-cell RNAseq revealed adipose-derived myeloid populations showed a strong proinflammatory signature, with IL-6, TNF-α, IL-1β, and complement pathways among the top immune signatures. Adipose stem/progenitor cells (ASPCs) upregulated chemoattractants (CXCL1, -8), inflammasome-related receptors (IL1RL1), and acute-phase proteins serum amyloid A1 and A2 (A-SAA). We further investigated A-SAA and its interaction with </w:t>
      </w:r>
      <w:r w:rsidRPr="002E40CA">
        <w:rPr>
          <w:rFonts w:ascii="Calibri" w:eastAsia="Times New Roman" w:hAnsi="Calibri" w:cs="Calibri"/>
          <w:i/>
          <w:iCs/>
          <w:color w:val="000000"/>
          <w:kern w:val="0"/>
          <w:sz w:val="22"/>
          <w:szCs w:val="22"/>
          <w14:ligatures w14:val="none"/>
        </w:rPr>
        <w:t>Borrelia</w:t>
      </w:r>
      <w:r w:rsidRPr="002E40CA">
        <w:rPr>
          <w:rFonts w:ascii="Calibri" w:eastAsia="Times New Roman" w:hAnsi="Calibri" w:cs="Calibri"/>
          <w:color w:val="000000"/>
          <w:kern w:val="0"/>
          <w:sz w:val="22"/>
          <w:szCs w:val="22"/>
          <w14:ligatures w14:val="none"/>
        </w:rPr>
        <w:t>, finding that recombinant human SAA2 binds multiple strains with varying capacities, indicating strain-specific differences. This suggests a potential role of A-SAA in immune recognition previously unrecognized with </w:t>
      </w:r>
      <w:r w:rsidRPr="002E40CA">
        <w:rPr>
          <w:rFonts w:ascii="Calibri" w:eastAsia="Times New Roman" w:hAnsi="Calibri" w:cs="Calibri"/>
          <w:i/>
          <w:iCs/>
          <w:color w:val="000000"/>
          <w:kern w:val="0"/>
          <w:sz w:val="22"/>
          <w:szCs w:val="22"/>
          <w14:ligatures w14:val="none"/>
        </w:rPr>
        <w:t>Borrelia</w:t>
      </w:r>
      <w:r w:rsidRPr="002E40CA">
        <w:rPr>
          <w:rFonts w:ascii="Calibri" w:eastAsia="Times New Roman" w:hAnsi="Calibri" w:cs="Calibri"/>
          <w:color w:val="000000"/>
          <w:kern w:val="0"/>
          <w:sz w:val="22"/>
          <w:szCs w:val="22"/>
          <w14:ligatures w14:val="none"/>
        </w:rPr>
        <w:t>. Together, our findings suggest adipose tissue may serve as a niche for Borrelia replication, contributing to immune modulation and disease pathogenesis.</w:t>
      </w:r>
    </w:p>
    <w:p w14:paraId="13A58D2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25-A-3901-ASTMH</w:t>
      </w:r>
    </w:p>
    <w:p w14:paraId="5124AD9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0723677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Acceptability of At-Home Mosquito Control Tools for Dengue Prevention in the COPA Cohort, Ponce, Puerto Rico</w:t>
      </w:r>
    </w:p>
    <w:p w14:paraId="74445D1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Puerto Rico experiences a higher dengue burden than other U.S. states and territories. Without widespread vaccination or effective antiviral treatment, mosquito control remains the most effective </w:t>
      </w:r>
      <w:r w:rsidRPr="002E40CA">
        <w:rPr>
          <w:rFonts w:ascii="Calibri" w:eastAsia="Times New Roman" w:hAnsi="Calibri" w:cs="Calibri"/>
          <w:color w:val="000000"/>
          <w:kern w:val="0"/>
          <w:sz w:val="22"/>
          <w:szCs w:val="22"/>
          <w14:ligatures w14:val="none"/>
        </w:rPr>
        <w:lastRenderedPageBreak/>
        <w:t>strategy to prevent dengue. We assessed the acceptability of at-home mosquito control tools for use in local dengue prevention efforts among households enrolled in the Communities Organized to Prevent Arboviruses (COPA) cohort in Ponce, Puerto Rico. Household representatives were asked if they would use the control tools in their homes and, if not, to provide reasons for hesitancy. All households were asked about two approaches: (1) passive emanators (PEs, also called spatial repellents), devices that passively disperse transfluthrin in indoor spaces to disorient and repel mosquitoes, and (2) outdoor residual spraying (ORS), application of an insecticide on exterior surfaces of the home to kill mosquitoes upon contact. A subset was also asked about diffusers, devices that use electricity to disperse natural or synthetic substances in indoor spaces to repel mosquitoes. During Feb 2024-Feb 2025, 1,581 households were interviewed. Most reported willingness to use PEs (93%) and ORS (85%). Among the subset (n=640) asked about diffusors, most reported willingness to use the devices with natural (89%) and synthetic substances (78%). The most common reasons for being unwilling or unsure to use PEs and ORS were concerns about their toxicity for family members (PEs: 23%, ORS: 24%) and pets (PEs: 18%, ORS: 37%). The most common reasons for being unwilling or unsure to use the diffusors were concerns about their toxicity (natural: 35%, synthetic: 41%) and potential effect on the respiratory health of family members (natural: 29%, synthetic: 26%). These findings indicate high community acceptance of at-home mosquito control tools, which may be further increased by alleviating safety concerns for humans and pets. Leveraging the COPA platform to implement and evaluate the effectiveness and feasibility of these tools can help inform scalable approaches to dengue prevention in Puerto Rico.</w:t>
      </w:r>
    </w:p>
    <w:p w14:paraId="7DB47C5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25-A-3902-ASTMH</w:t>
      </w:r>
    </w:p>
    <w:p w14:paraId="10141EC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One Health: The Interface of Humans, Ecosystems, and Animal Health</w:t>
      </w:r>
    </w:p>
    <w:p w14:paraId="6EECAEA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Fecal and waterborne zoonotic pathogens and associated risk factors in people, domestic animals, and lemurs, in Ankarafantsika National Park, Madagascar</w:t>
      </w:r>
    </w:p>
    <w:p w14:paraId="08F4FCA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Zoonotic diseases are a global threat, particularly in low-income countries. Madagascar ranks 177th of 191 countries on the Human Development Index where diarrheal diseases remain a primary cause of mortality, particularly among children &lt;5. The island is experiencing a conservation crisis, where lemurs, the most endangered group of mammals globally, are losing their habitat due to agricultural activities. Humans and their livestock are living closer to lemurs, escalating the risk of pathogen transmission between them. The objectives of this study were to: </w:t>
      </w:r>
      <w:r w:rsidRPr="002E40CA">
        <w:rPr>
          <w:rFonts w:ascii="Calibri" w:eastAsia="Times New Roman" w:hAnsi="Calibri" w:cs="Calibri"/>
          <w:b/>
          <w:bCs/>
          <w:i/>
          <w:iCs/>
          <w:color w:val="000000"/>
          <w:kern w:val="0"/>
          <w:sz w:val="22"/>
          <w:szCs w:val="22"/>
          <w14:ligatures w14:val="none"/>
        </w:rPr>
        <w:t>1.</w:t>
      </w:r>
      <w:r w:rsidRPr="002E40CA">
        <w:rPr>
          <w:rFonts w:ascii="Calibri" w:eastAsia="Times New Roman" w:hAnsi="Calibri" w:cs="Calibri"/>
          <w:color w:val="000000"/>
          <w:kern w:val="0"/>
          <w:sz w:val="22"/>
          <w:szCs w:val="22"/>
          <w14:ligatures w14:val="none"/>
        </w:rPr>
        <w:t> Identify the prevalence of waterborne and fecal-borne bacteria, viruses, protozoa and helminths in people, domestic animals, three lemur species, and in water in a remote community in Ankarafantsika National Park (ANP), NW Madagascar and </w:t>
      </w:r>
      <w:r w:rsidRPr="002E40CA">
        <w:rPr>
          <w:rFonts w:ascii="Calibri" w:eastAsia="Times New Roman" w:hAnsi="Calibri" w:cs="Calibri"/>
          <w:b/>
          <w:bCs/>
          <w:i/>
          <w:iCs/>
          <w:color w:val="000000"/>
          <w:kern w:val="0"/>
          <w:sz w:val="22"/>
          <w:szCs w:val="22"/>
          <w14:ligatures w14:val="none"/>
        </w:rPr>
        <w:t>2.</w:t>
      </w:r>
      <w:r w:rsidRPr="002E40CA">
        <w:rPr>
          <w:rFonts w:ascii="Calibri" w:eastAsia="Times New Roman" w:hAnsi="Calibri" w:cs="Calibri"/>
          <w:color w:val="000000"/>
          <w:kern w:val="0"/>
          <w:sz w:val="22"/>
          <w:szCs w:val="22"/>
          <w14:ligatures w14:val="none"/>
        </w:rPr>
        <w:t> investigate risk factors associated with pathogen presence. In 2024 we collected 202 fecal samples from children under 5 years (n= 29), domestic animals (n= 143), and lemurs (n= 30), as well as 20 water samples during the wet and dry seasons. We also conducted a socioeconomic survey of 30 households within the community. Microscopy of fecal samples revealed ascarids in lemurs (13.3%), zebu (25.5%), sheep (35.7%), and humans (13.8%), and strongylids in lemurs (30%), zebu (27.7%), and sheep (42.9%), but not humans (0%). </w:t>
      </w:r>
      <w:r w:rsidRPr="002E40CA">
        <w:rPr>
          <w:rFonts w:ascii="Calibri" w:eastAsia="Times New Roman" w:hAnsi="Calibri" w:cs="Calibri"/>
          <w:i/>
          <w:iCs/>
          <w:color w:val="000000"/>
          <w:kern w:val="0"/>
          <w:sz w:val="22"/>
          <w:szCs w:val="22"/>
          <w14:ligatures w14:val="none"/>
        </w:rPr>
        <w:t>Taenia</w:t>
      </w:r>
      <w:r w:rsidRPr="002E40CA">
        <w:rPr>
          <w:rFonts w:ascii="Calibri" w:eastAsia="Times New Roman" w:hAnsi="Calibri" w:cs="Calibri"/>
          <w:color w:val="000000"/>
          <w:kern w:val="0"/>
          <w:sz w:val="22"/>
          <w:szCs w:val="22"/>
          <w14:ligatures w14:val="none"/>
        </w:rPr>
        <w:t> spp. and </w:t>
      </w:r>
      <w:r w:rsidRPr="002E40CA">
        <w:rPr>
          <w:rFonts w:ascii="Calibri" w:eastAsia="Times New Roman" w:hAnsi="Calibri" w:cs="Calibri"/>
          <w:i/>
          <w:iCs/>
          <w:color w:val="000000"/>
          <w:kern w:val="0"/>
          <w:sz w:val="22"/>
          <w:szCs w:val="22"/>
          <w14:ligatures w14:val="none"/>
        </w:rPr>
        <w:t>Ancylostoma</w:t>
      </w:r>
      <w:r w:rsidRPr="002E40CA">
        <w:rPr>
          <w:rFonts w:ascii="Calibri" w:eastAsia="Times New Roman" w:hAnsi="Calibri" w:cs="Calibri"/>
          <w:color w:val="000000"/>
          <w:kern w:val="0"/>
          <w:sz w:val="22"/>
          <w:szCs w:val="22"/>
          <w14:ligatures w14:val="none"/>
        </w:rPr>
        <w:t> spp. were detected in cattle and children. </w:t>
      </w:r>
      <w:r w:rsidRPr="002E40CA">
        <w:rPr>
          <w:rFonts w:ascii="Calibri" w:eastAsia="Times New Roman" w:hAnsi="Calibri" w:cs="Calibri"/>
          <w:i/>
          <w:iCs/>
          <w:color w:val="000000"/>
          <w:kern w:val="0"/>
          <w:sz w:val="22"/>
          <w:szCs w:val="22"/>
          <w14:ligatures w14:val="none"/>
        </w:rPr>
        <w:t>Trichuris</w:t>
      </w:r>
      <w:r w:rsidRPr="002E40CA">
        <w:rPr>
          <w:rFonts w:ascii="Calibri" w:eastAsia="Times New Roman" w:hAnsi="Calibri" w:cs="Calibri"/>
          <w:color w:val="000000"/>
          <w:kern w:val="0"/>
          <w:sz w:val="22"/>
          <w:szCs w:val="22"/>
          <w14:ligatures w14:val="none"/>
        </w:rPr>
        <w:t> sp., </w:t>
      </w:r>
      <w:r w:rsidRPr="002E40CA">
        <w:rPr>
          <w:rFonts w:ascii="Calibri" w:eastAsia="Times New Roman" w:hAnsi="Calibri" w:cs="Calibri"/>
          <w:i/>
          <w:iCs/>
          <w:color w:val="000000"/>
          <w:kern w:val="0"/>
          <w:sz w:val="22"/>
          <w:szCs w:val="22"/>
          <w14:ligatures w14:val="none"/>
        </w:rPr>
        <w:t>Entamoeba</w:t>
      </w:r>
      <w:r w:rsidRPr="002E40CA">
        <w:rPr>
          <w:rFonts w:ascii="Calibri" w:eastAsia="Times New Roman" w:hAnsi="Calibri" w:cs="Calibri"/>
          <w:color w:val="000000"/>
          <w:kern w:val="0"/>
          <w:sz w:val="22"/>
          <w:szCs w:val="22"/>
          <w14:ligatures w14:val="none"/>
        </w:rPr>
        <w:t> sp., </w:t>
      </w:r>
      <w:r w:rsidRPr="002E40CA">
        <w:rPr>
          <w:rFonts w:ascii="Calibri" w:eastAsia="Times New Roman" w:hAnsi="Calibri" w:cs="Calibri"/>
          <w:i/>
          <w:iCs/>
          <w:color w:val="000000"/>
          <w:kern w:val="0"/>
          <w:sz w:val="22"/>
          <w:szCs w:val="22"/>
          <w14:ligatures w14:val="none"/>
        </w:rPr>
        <w:t>Cryptosporidium</w:t>
      </w:r>
      <w:r w:rsidRPr="002E40CA">
        <w:rPr>
          <w:rFonts w:ascii="Calibri" w:eastAsia="Times New Roman" w:hAnsi="Calibri" w:cs="Calibri"/>
          <w:color w:val="000000"/>
          <w:kern w:val="0"/>
          <w:sz w:val="22"/>
          <w:szCs w:val="22"/>
          <w14:ligatures w14:val="none"/>
        </w:rPr>
        <w:t> sp., and </w:t>
      </w:r>
      <w:r w:rsidRPr="002E40CA">
        <w:rPr>
          <w:rFonts w:ascii="Calibri" w:eastAsia="Times New Roman" w:hAnsi="Calibri" w:cs="Calibri"/>
          <w:i/>
          <w:iCs/>
          <w:color w:val="000000"/>
          <w:kern w:val="0"/>
          <w:sz w:val="22"/>
          <w:szCs w:val="22"/>
          <w14:ligatures w14:val="none"/>
        </w:rPr>
        <w:t>Giardia</w:t>
      </w:r>
      <w:r w:rsidRPr="002E40CA">
        <w:rPr>
          <w:rFonts w:ascii="Calibri" w:eastAsia="Times New Roman" w:hAnsi="Calibri" w:cs="Calibri"/>
          <w:color w:val="000000"/>
          <w:kern w:val="0"/>
          <w:sz w:val="22"/>
          <w:szCs w:val="22"/>
          <w14:ligatures w14:val="none"/>
        </w:rPr>
        <w:t> sp. were found in both cattle and lemurs. qPCR analyses of fecal and water samples, and risk factor assessments, will be completed by June 2025. A two-proportion Z test (95% CI) revealed a significant difference in strongylids prevalence between lemurs and humans (p = 0.0045). In contrast, no significant differences were detected in the prevalence of either strongylids or ascarids among lemurs, zebu, and humans, suggesting similar infection patterns among these hosts. Using a One Health approach, our study underscores the value of collaboration across human, animal, and environmental health sectors to improve health and conservation outcomes for humans, domestic animals, and lemurs.</w:t>
      </w:r>
    </w:p>
    <w:p w14:paraId="398D97A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25-A-3903-ASTMH</w:t>
      </w:r>
    </w:p>
    <w:p w14:paraId="08003E6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Prevention</w:t>
      </w:r>
    </w:p>
    <w:p w14:paraId="0C66F9F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Tafenoquine and G6PD test implementation in Ethiopia: partial study results</w:t>
      </w:r>
    </w:p>
    <w:p w14:paraId="65905EE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In Ethiopia, </w:t>
      </w:r>
      <w:r w:rsidRPr="002E40CA">
        <w:rPr>
          <w:rFonts w:ascii="Calibri" w:eastAsia="Times New Roman" w:hAnsi="Calibri" w:cs="Calibri"/>
          <w:i/>
          <w:iCs/>
          <w:color w:val="000000"/>
          <w:kern w:val="0"/>
          <w:sz w:val="22"/>
          <w:szCs w:val="22"/>
          <w14:ligatures w14:val="none"/>
        </w:rPr>
        <w:t>P. vivax</w:t>
      </w:r>
      <w:r w:rsidRPr="002E40CA">
        <w:rPr>
          <w:rFonts w:ascii="Calibri" w:eastAsia="Times New Roman" w:hAnsi="Calibri" w:cs="Calibri"/>
          <w:color w:val="000000"/>
          <w:kern w:val="0"/>
          <w:sz w:val="22"/>
          <w:szCs w:val="22"/>
          <w14:ligatures w14:val="none"/>
        </w:rPr>
        <w:t> malaria is a significant public health issue, accounting for 30% to 40% of the national burden. The persistence of latent parasites is a major factor leading to relapse and transmission and radical cure (RC) is crucial to addressing this burden. Innovative tools for diagnosis and treatment are needed to curb this crisis and achieve control and elimination goals. The aim of the Partnership for Vivax Elimination Ethiopia study is to assess the operational feasibility of providing appropriate RC, either primaquine (PQ) or tafenoquine (TQ) after glucose-6-phosphate-dehydrogenase deficiency (G6PD) testing under routine care. This mixed-methods study will assess operational feasibility through evaluating the adherence of health care providers to a revised treatment algorithm, the capacity for safe implementation, acceptability, and cost. This study introduced a revised treatment algorithm into 5 health facilities in 2 regions of Ethiopia. Patient records were reviewed to assess adherence to the revised treatment algorithm. The capacity of the health system to implement the intervention was measured through follow-up visits with patients to identify, assess and manage any instances of acute hemolytic anemia (AHA). The interim analysis includes 487 patients. All enrolled patients were tested for G6PD, however the results for two patients showed “Hi” (i.e. G6PD activity over 25 U/gHb) or an error message after multiple attempts (99.6%, 485/487). Patients have received the following treatments: 110 patients (22.6%) have received TQ, 213 patients (43.7%) received PQ and 164 (33.7%) patients have received blood stage treatment but no RC. Those excluded from radical cure are primarily excluded due to moderate or severe anemia. Patient follow-up rates were high, with over 99% attendance on days 3, 7, and 13 post treatment. To date, no case of AHA has occurred. Interim data will inform a decision to expand coverage of the revised treatment algorithm to additional study facilities. This study represents one of the first uses of TQ in Ethiopia outside of a clinical trial setting and will provide evidence on the potential for routine use.</w:t>
      </w:r>
    </w:p>
    <w:p w14:paraId="6E96C75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25-A-3905-ASTMH</w:t>
      </w:r>
    </w:p>
    <w:p w14:paraId="296B6B7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HIV and Tropical Co-Infections</w:t>
      </w:r>
    </w:p>
    <w:p w14:paraId="19069A10" w14:textId="7BFFF8B0"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Characterization of the Epidemiology of HIV and Associated Infections in Georgia Amidst Ongoing Regional Conflict</w:t>
      </w:r>
    </w:p>
    <w:p w14:paraId="2D51058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HIV epidemic in Eastern Europe is among the fastest growing globally, particularly in Russia and Ukraine. The 2022 Russian invasion of Ukraine precipitated significant population displacement, including people living with HIV (PLH), impacting regional HIV epidemiology. Georgia has experienced a related influx of PLH with unclear implications on its HIV epidemiology. This knowledge gap has the potential to impact public health in Georgia and the larger region. This collaboration between the Tengiz Tsertsvadze Infectious Diseases, AIDS and Clinical Immunology Research Center (IDACIRC) and Walter Reed Army Institute of Research aims to characterize HIV risks, molecular epidemiology, and associated infections amongst PLH receiving care at IDACIRC. We are enrolling up to 650 PLH aged ≥18 in four groups of interest: 1) up to 400 taking antiretroviral therapy (ART); 2) up to 100 ART-naive; 3) up to 50 from Abkhazia (a Russian-occupied region of Georgia); 4) up to 100 from non-Georgian Eastern European countries. Participants undergo a physical exam, medical history, demographic/sociobehavioral questionnaire, and specimen collection for HIV viral load (VL), CD4, and associated infection testing. Those with a HIV VL ≥1000 copies/ml receive genotype and resistance testing, and a subset undergo HIV genome sequencing. Data will be analyzed using descriptive and inferential statistics to examine associations between variables and study strata. Study enrollment, initiated in March 2025, is ongoing. As of 14 April, 104 participants have been enrolled (median age 35.5 years, interquartile range 30-42; 24/26.7% female). Most participants (59, 56.7%) were taking ART (group 1), 13 (12.5%) were ART-naïve (group 2), 32 (30.8%) were from non-Georgian Eastern European countries (group 3), and none thus far were from Abkhazia (group 4). Preliminarily, 15 (14.4%) participants have had a HIV VL ≥1000 copies/ml and four (3.8%) have had a CD4 count of &lt;200 cells/µL. This collaborative research will enhance our understanding of the evolving epidemiology of HIV in Georgia and Eastern Europe, informing HIV treatment and public health efforts in this region.</w:t>
      </w:r>
    </w:p>
    <w:p w14:paraId="184D918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25-A-3906-ASTMH</w:t>
      </w:r>
    </w:p>
    <w:p w14:paraId="72D4326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Helminths – Nematodes – Filariasis (Other)</w:t>
      </w:r>
    </w:p>
    <w:p w14:paraId="519E246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lastRenderedPageBreak/>
        <w:t>An optimized </w:t>
      </w:r>
      <w:r w:rsidRPr="002E40CA">
        <w:rPr>
          <w:rFonts w:ascii="Calibri" w:eastAsia="Times New Roman" w:hAnsi="Calibri" w:cs="Calibri"/>
          <w:b/>
          <w:bCs/>
          <w:i/>
          <w:iCs/>
          <w:color w:val="000000"/>
          <w:kern w:val="0"/>
          <w:sz w:val="22"/>
          <w:szCs w:val="22"/>
          <w14:ligatures w14:val="none"/>
        </w:rPr>
        <w:t>Wuchereria bancrofti</w:t>
      </w:r>
      <w:r w:rsidRPr="002E40CA">
        <w:rPr>
          <w:rFonts w:ascii="Calibri" w:eastAsia="Times New Roman" w:hAnsi="Calibri" w:cs="Calibri"/>
          <w:b/>
          <w:bCs/>
          <w:color w:val="000000"/>
          <w:kern w:val="0"/>
          <w:sz w:val="22"/>
          <w:szCs w:val="22"/>
          <w14:ligatures w14:val="none"/>
        </w:rPr>
        <w:t> Wb123 antigen for use in field-deployable serological assays for LF surveillance throughout endemic regions</w:t>
      </w:r>
    </w:p>
    <w:p w14:paraId="3AE884C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Lymphatic filariasis (LF) is a debilitating neglected tropical disease that affects up to 40 million people and is most commonly due to the parasitic filarial worm</w:t>
      </w:r>
      <w:r w:rsidRPr="002E40CA">
        <w:rPr>
          <w:rFonts w:ascii="Calibri" w:eastAsia="Times New Roman" w:hAnsi="Calibri" w:cs="Calibri"/>
          <w:i/>
          <w:iCs/>
          <w:color w:val="000000"/>
          <w:kern w:val="0"/>
          <w:sz w:val="22"/>
          <w:szCs w:val="22"/>
          <w14:ligatures w14:val="none"/>
        </w:rPr>
        <w:t> Wuchereria bancrofti</w:t>
      </w:r>
      <w:r w:rsidRPr="002E40CA">
        <w:rPr>
          <w:rFonts w:ascii="Calibri" w:eastAsia="Times New Roman" w:hAnsi="Calibri" w:cs="Calibri"/>
          <w:color w:val="000000"/>
          <w:kern w:val="0"/>
          <w:sz w:val="22"/>
          <w:szCs w:val="22"/>
          <w14:ligatures w14:val="none"/>
        </w:rPr>
        <w:t>. To combat this disease, the WHO has deployed mass drug administration (MDA) programs globally on an unprecedented scale. After MDA cessation, the WHO recommends repeating transmission assessment surveys (TAS) twice in regular intervals with antigen-detecting rapid tests. Furthermore, WHO has expressed interest in antibody detection for post-MDA surveillance and published a corresponding Target Product Profile (TPP) in 2021. To answer the TPP, we are developing a rapid test that detects human IgG4 antibodies specific to the </w:t>
      </w:r>
      <w:r w:rsidRPr="002E40CA">
        <w:rPr>
          <w:rFonts w:ascii="Calibri" w:eastAsia="Times New Roman" w:hAnsi="Calibri" w:cs="Calibri"/>
          <w:i/>
          <w:iCs/>
          <w:color w:val="000000"/>
          <w:kern w:val="0"/>
          <w:sz w:val="22"/>
          <w:szCs w:val="22"/>
          <w14:ligatures w14:val="none"/>
        </w:rPr>
        <w:t>Wuchereria</w:t>
      </w:r>
      <w:r w:rsidRPr="002E40CA">
        <w:rPr>
          <w:rFonts w:ascii="Calibri" w:eastAsia="Times New Roman" w:hAnsi="Calibri" w:cs="Calibri"/>
          <w:color w:val="000000"/>
          <w:kern w:val="0"/>
          <w:sz w:val="22"/>
          <w:szCs w:val="22"/>
          <w14:ligatures w14:val="none"/>
        </w:rPr>
        <w:t> immunogenic protein Wb123. The Wb123 biomarker has been extensively studied at NIH and CDC using laboratory techniques (ELISA, LIPS) but attempts at converting it to a lateral flow assay (LFA) format, including by us, have led to suboptimal performance. Wb123 is a serpin-like protein and typically used in a recombinant form with a GST-tag, expressed in Hi5 insect cells using baculovirus, and purified from the cell pellet. In our hands, GST-Wb123 forms insoluble, filamentous aggregates which complicates its quantification and manufacturing of rapid tests. It also demonstrates limited thermal stability when fixed on the nitrocellulose membrane, compromising its utility in high temperature, resource-limited settings. To address this limitation, Wb123 was optimized and expressed in Sf9 cells using baculovirus as a full-length protein with an alternate purification tag. These modifications resulted in a protein that was more soluble, eliminating the aggregates from solution. Soluble Wb123 protein was then fixed to the nitrocellulose in a sugar-containing buffer to improve stability to 2 weeks at 50°C, or an estimated 2-year stability at room temperature. Furthermore, the use of the soluble Wb123 in the LFA as the capture antigen increased the analytical sensitivity of our rapid test by &gt; 60% when using contrived whole blood samples with a positive control. Continuing LFA optimization is currently underway with soluble Wb123.</w:t>
      </w:r>
    </w:p>
    <w:p w14:paraId="053A809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25-A-3907-ASTMH</w:t>
      </w:r>
    </w:p>
    <w:p w14:paraId="3063E07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Epidemiology</w:t>
      </w:r>
    </w:p>
    <w:p w14:paraId="02A73D9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 Comprehensive Review of Imported Malaria Cases In Puerto Rico</w:t>
      </w:r>
    </w:p>
    <w:p w14:paraId="64F306E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remains a highly relevant disease, with over 263 million cases and 597,000 deaths worldwide in 2023. Despite being declared malaria-free in 1962, Puerto Rico faces risks from imported cases due to high international tourism, proximity to endemic regions, and a local Anopheles albimanus population capable of transmitting Plasmodium species. Understanding why malaria case numbers remain low is vital for maintaining strong public health strategies in Puerto Rico and other vulnerable, malaria-free regions. This study evaluates trends in imported malaria cases in Puerto Rico from 1992 to 2020 and examines factors contributing to the reported numbers. A retrospective analysis of CDC surveillance data was performed, focused on confirmed malaria cases among travelers. Data from regions with geographic or epidemiological similarities, including Hispaniola and other U.S. territories and states, provided comparative context. Literature was reviewed using Google Scholar, the University of Puerto Rico library system (ProQuest) and PubMed. From 1992 to 2020, Puerto Rico consistently reported an average of 2.7 imported malaria cases per year, with 2001 and 2015 recording the highest annual counts at eight and seven cases respectively. Specific cases were linked to visits regions with endemic malaria, rises in mosquito populations in those destinations, and lack of chemoprophylaxis in travelers. The constant flow of people between Hispaniola and Puerto Rico poses a risk factor for higher imported case numbers. These findings offer valuable lessons for non-endemic regions facing similar challenges, highlighting the need for sustained vigilance and adaptive public health strategies.</w:t>
      </w:r>
    </w:p>
    <w:p w14:paraId="5A5C8A1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25-A-3908-ASTMH</w:t>
      </w:r>
    </w:p>
    <w:p w14:paraId="2B2B3BE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Biology, Physiology and Immunity</w:t>
      </w:r>
    </w:p>
    <w:p w14:paraId="34A4C2D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The interaction of temperature and humidity impacts fitness and blood feeding behavior of </w:t>
      </w:r>
      <w:r w:rsidRPr="002E40CA">
        <w:rPr>
          <w:rFonts w:ascii="Calibri" w:eastAsia="Times New Roman" w:hAnsi="Calibri" w:cs="Calibri"/>
          <w:b/>
          <w:bCs/>
          <w:i/>
          <w:iCs/>
          <w:color w:val="000000"/>
          <w:kern w:val="0"/>
          <w:sz w:val="22"/>
          <w:szCs w:val="22"/>
          <w14:ligatures w14:val="none"/>
        </w:rPr>
        <w:t>Culex pipiens</w:t>
      </w:r>
      <w:r w:rsidRPr="002E40CA">
        <w:rPr>
          <w:rFonts w:ascii="Calibri" w:eastAsia="Times New Roman" w:hAnsi="Calibri" w:cs="Calibri"/>
          <w:b/>
          <w:bCs/>
          <w:color w:val="000000"/>
          <w:kern w:val="0"/>
          <w:sz w:val="22"/>
          <w:szCs w:val="22"/>
          <w14:ligatures w14:val="none"/>
        </w:rPr>
        <w:t> mosquitoes</w:t>
      </w:r>
    </w:p>
    <w:p w14:paraId="2FD36A0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Environmental variation has a significant impact on numerous aspects of the biology of ectothermic vectors, which in turn influences the transmission potential of vector-borne pathogens. Statistical models demonstrate a significant effect of both temperature and humidity on the transmission of mosquito-borne viruses, including West Nile virus (WNV), yet empirical, lab-based studies that model the effect of environment on vector and pathogen dynamics have focused almost exclusively on temperature. This represents a clear gap in our understanding of transmission theory and a barrier to developing accurate trait-based predictive models. To begin to address this gap, we assessed how the interaction of temperature and humidity influenced life history traits of an established population of </w:t>
      </w:r>
      <w:r w:rsidRPr="002E40CA">
        <w:rPr>
          <w:rFonts w:ascii="Calibri" w:eastAsia="Times New Roman" w:hAnsi="Calibri" w:cs="Calibri"/>
          <w:i/>
          <w:iCs/>
          <w:color w:val="000000"/>
          <w:kern w:val="0"/>
          <w:sz w:val="22"/>
          <w:szCs w:val="22"/>
          <w14:ligatures w14:val="none"/>
        </w:rPr>
        <w:t>Culex pipiens</w:t>
      </w:r>
      <w:r w:rsidRPr="002E40CA">
        <w:rPr>
          <w:rFonts w:ascii="Calibri" w:eastAsia="Times New Roman" w:hAnsi="Calibri" w:cs="Calibri"/>
          <w:color w:val="000000"/>
          <w:kern w:val="0"/>
          <w:sz w:val="22"/>
          <w:szCs w:val="22"/>
          <w14:ligatures w14:val="none"/>
        </w:rPr>
        <w:t> from Albany, NY. Specifically, replicate populations of 60 mosquitoes each were reared at 25°C or 30°C under both high (90%) and low (50%) relative humidity, simulating extremes during WNV transmission season. Mosquito development (time to emergence), immature survival, adult survival, blood feeding rates, and fecundity were monitored and recorded throughout the study. Preliminary results demonstrate that temperature, humidity, and their interaction significantly impact numerous aspects of mosquito development and fitness. Specifically, increased humidity enhances adult survivability and blood-feeding rates, while the role of humidity in immature survivability is differential at both temperatures. Overall, this demonstrates that the interaction between humidity and temperature impacts life history traits relevant to vectorial capacity. Subsequent experiments assessing the impact of temperature and humidity on vector competence are in progress and will ultimately inform trait-based models that more accurately depict the complex relationships between climate and WNV transmission.</w:t>
      </w:r>
    </w:p>
    <w:p w14:paraId="5C966F2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25-A-3909-ASTMH</w:t>
      </w:r>
    </w:p>
    <w:p w14:paraId="1233B76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Security/Emerging Infection Preparedness, Surveillance and Response(s)</w:t>
      </w:r>
    </w:p>
    <w:p w14:paraId="65101B7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Evaluation of Maternal Death Surveillance and Response System, Sunyani West Municipal, Bono Region, Ghana, 2019-2023</w:t>
      </w:r>
    </w:p>
    <w:p w14:paraId="35FAD31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Maternal mortality remains a major public health challenge globally, particularly in low- and middle-income countries like Ghana, where the 2020 maternal mortality ratio was 263 per 100,000 live births. To combat this, Ghana implemented the Maternal Death Surveillance and Response (MDSR) system, mandated since 2005, which identifies, reviews, analyzes, and responds to maternal deaths to improve outcomes. The system integrates with Ghana’s broader Integrated Disease Surveillance and Response (IDSR) strategy, aiming to capture deaths both in health facilities and communities. An evaluation of the MDSR system in Sunyani West Municipal was critical to assess its effectiveness at the district level. The mixed-methods study involved 52 stakeholders across seven health facilities and health directorates, using interviews, focus groups, checklists, and document reviews. The district, with over 136,000 people, reported zero maternal deaths during the period, contrasting with 157 deaths in the wider Bono Region. Findings revealed the system is simple, flexible, and timely, with high reporting compliance (97% on time). However, only a third of maternity staff had formal MDSR training, and just one facility had a functional maternal death audit committee. Infrastructure challenges included unreliable electricity and internet, causing dependence on paper forms and affecting data quality. Community-level surveillance was weak, limiting the capture of deaths outside facilities. Data completeness was moderate, with only 69.57% of reports verified. Stakeholders valued the system for guiding training and service improvements, but highlighted the absence of dedicated funding as a major barrier. Recommendations include strengthening community engagement, improving data quality through digital tools and training, enhancing infrastructure stability, establishing audit committees, and securing a dedicated MDSR budget. Overall, the Sunyani West MDSR system shows strong potential but requires infrastructural and operational improvements to sustain and expand its impact on maternal mortality reduction.</w:t>
      </w:r>
    </w:p>
    <w:p w14:paraId="7281D76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25-A-3910-ASTMH</w:t>
      </w:r>
    </w:p>
    <w:p w14:paraId="7A324CE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76BD581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Evaluation of Ir3535 as a spatial repellent to control malaria</w:t>
      </w:r>
    </w:p>
    <w:p w14:paraId="58E9554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Malaria remain a globaly concern, with Sub-Saharan Africa hosting 94%, 95% of cases and deaths, respectively. Mozambique is in between the top five countries with highest malaria burden. Mosquito nets and indoor spraying are the main malaria control strategies. The growth of insecticides resistance especially the pyretroids, call the urgent need to find complementary strategies to control the disease. The use of repellents is an innovative measure that can be used. IR3535 has very low toxicity, can be used on children, pregnant women and has been used for over 30 years. This study evaluated the effectiveness of IR3535 as an spatial repellent to control malaria. This was a </w:t>
      </w:r>
      <w:r w:rsidRPr="002E40CA">
        <w:rPr>
          <w:rFonts w:ascii="Calibri" w:eastAsia="Times New Roman" w:hAnsi="Calibri" w:cs="Calibri"/>
          <w:i/>
          <w:iCs/>
          <w:color w:val="000000"/>
          <w:kern w:val="0"/>
          <w:sz w:val="22"/>
          <w:szCs w:val="22"/>
          <w14:ligatures w14:val="none"/>
        </w:rPr>
        <w:t>before-after-control-intervention experimental </w:t>
      </w:r>
      <w:r w:rsidRPr="002E40CA">
        <w:rPr>
          <w:rFonts w:ascii="Calibri" w:eastAsia="Times New Roman" w:hAnsi="Calibri" w:cs="Calibri"/>
          <w:color w:val="000000"/>
          <w:kern w:val="0"/>
          <w:sz w:val="22"/>
          <w:szCs w:val="22"/>
          <w14:ligatures w14:val="none"/>
        </w:rPr>
        <w:t>(ClinicalTrials.gov ID: NCT04419766) trial implemented in Mozambique. Intervention consisted in indoor and outdoor spraying with IR3535 repellent. Outdoor mosquitos were collected using CDC light trap and prokopack aspirator for indoor. Were conducted a malaria prevalence cross-sectional. Our primary endpoints were vector density, diversity, infection rate and malaria prevalence. Malaria prevalence was determined at 3 timepoints using Rapid Diagnose test, Microscopy and polymerase chain reaction (PCR). Data were analyzed using Statistical Package for Social Sciences version 29.0. Qui square or Fisher test were used to test association between independent groups. Statistical significance was considered for p&lt;0.005. A total of 5716 adult mosquitos were collected, 2352(41.1%) in intervention and 3364(58.9%) in control households. Out of the total mosquitos collected, 3269(57.2%) were </w:t>
      </w:r>
      <w:r w:rsidRPr="002E40CA">
        <w:rPr>
          <w:rFonts w:ascii="Calibri" w:eastAsia="Times New Roman" w:hAnsi="Calibri" w:cs="Calibri"/>
          <w:i/>
          <w:iCs/>
          <w:color w:val="000000"/>
          <w:kern w:val="0"/>
          <w:sz w:val="22"/>
          <w:szCs w:val="22"/>
          <w14:ligatures w14:val="none"/>
        </w:rPr>
        <w:t>Anopheles sp</w:t>
      </w:r>
      <w:r w:rsidRPr="002E40CA">
        <w:rPr>
          <w:rFonts w:ascii="Calibri" w:eastAsia="Times New Roman" w:hAnsi="Calibri" w:cs="Calibri"/>
          <w:color w:val="000000"/>
          <w:kern w:val="0"/>
          <w:sz w:val="22"/>
          <w:szCs w:val="22"/>
          <w14:ligatures w14:val="none"/>
        </w:rPr>
        <w:t>., 2440(42.7%) </w:t>
      </w:r>
      <w:r w:rsidRPr="002E40CA">
        <w:rPr>
          <w:rFonts w:ascii="Calibri" w:eastAsia="Times New Roman" w:hAnsi="Calibri" w:cs="Calibri"/>
          <w:i/>
          <w:iCs/>
          <w:color w:val="000000"/>
          <w:kern w:val="0"/>
          <w:sz w:val="22"/>
          <w:szCs w:val="22"/>
          <w14:ligatures w14:val="none"/>
        </w:rPr>
        <w:t>Culex sp</w:t>
      </w:r>
      <w:r w:rsidRPr="002E40CA">
        <w:rPr>
          <w:rFonts w:ascii="Calibri" w:eastAsia="Times New Roman" w:hAnsi="Calibri" w:cs="Calibri"/>
          <w:color w:val="000000"/>
          <w:kern w:val="0"/>
          <w:sz w:val="22"/>
          <w:szCs w:val="22"/>
          <w14:ligatures w14:val="none"/>
        </w:rPr>
        <w:t>. and 7(0.1%) could not be identified. Within the </w:t>
      </w:r>
      <w:r w:rsidRPr="002E40CA">
        <w:rPr>
          <w:rFonts w:ascii="Calibri" w:eastAsia="Times New Roman" w:hAnsi="Calibri" w:cs="Calibri"/>
          <w:i/>
          <w:iCs/>
          <w:color w:val="000000"/>
          <w:kern w:val="0"/>
          <w:sz w:val="22"/>
          <w:szCs w:val="22"/>
          <w14:ligatures w14:val="none"/>
        </w:rPr>
        <w:t>Anopheles</w:t>
      </w:r>
      <w:r w:rsidRPr="002E40CA">
        <w:rPr>
          <w:rFonts w:ascii="Calibri" w:eastAsia="Times New Roman" w:hAnsi="Calibri" w:cs="Calibri"/>
          <w:color w:val="000000"/>
          <w:kern w:val="0"/>
          <w:sz w:val="22"/>
          <w:szCs w:val="22"/>
          <w14:ligatures w14:val="none"/>
        </w:rPr>
        <w:t> mosquitos, 2665(90.7%) were </w:t>
      </w:r>
      <w:r w:rsidRPr="002E40CA">
        <w:rPr>
          <w:rFonts w:ascii="Calibri" w:eastAsia="Times New Roman" w:hAnsi="Calibri" w:cs="Calibri"/>
          <w:i/>
          <w:iCs/>
          <w:color w:val="000000"/>
          <w:kern w:val="0"/>
          <w:sz w:val="22"/>
          <w:szCs w:val="22"/>
          <w14:ligatures w14:val="none"/>
        </w:rPr>
        <w:t>An. Funestus</w:t>
      </w:r>
      <w:r w:rsidRPr="002E40CA">
        <w:rPr>
          <w:rFonts w:ascii="Calibri" w:eastAsia="Times New Roman" w:hAnsi="Calibri" w:cs="Calibri"/>
          <w:color w:val="000000"/>
          <w:kern w:val="0"/>
          <w:sz w:val="22"/>
          <w:szCs w:val="22"/>
          <w14:ligatures w14:val="none"/>
        </w:rPr>
        <w:t>, 241(8.2%) </w:t>
      </w:r>
      <w:r w:rsidRPr="002E40CA">
        <w:rPr>
          <w:rFonts w:ascii="Calibri" w:eastAsia="Times New Roman" w:hAnsi="Calibri" w:cs="Calibri"/>
          <w:i/>
          <w:iCs/>
          <w:color w:val="000000"/>
          <w:kern w:val="0"/>
          <w:sz w:val="22"/>
          <w:szCs w:val="22"/>
          <w14:ligatures w14:val="none"/>
        </w:rPr>
        <w:t>An. gambiae</w:t>
      </w:r>
      <w:r w:rsidRPr="002E40CA">
        <w:rPr>
          <w:rFonts w:ascii="Calibri" w:eastAsia="Times New Roman" w:hAnsi="Calibri" w:cs="Calibri"/>
          <w:color w:val="000000"/>
          <w:kern w:val="0"/>
          <w:sz w:val="22"/>
          <w:szCs w:val="22"/>
          <w14:ligatures w14:val="none"/>
        </w:rPr>
        <w:t> and 32(1.1%) </w:t>
      </w:r>
      <w:r w:rsidRPr="002E40CA">
        <w:rPr>
          <w:rFonts w:ascii="Calibri" w:eastAsia="Times New Roman" w:hAnsi="Calibri" w:cs="Calibri"/>
          <w:i/>
          <w:iCs/>
          <w:color w:val="000000"/>
          <w:kern w:val="0"/>
          <w:sz w:val="22"/>
          <w:szCs w:val="22"/>
          <w14:ligatures w14:val="none"/>
        </w:rPr>
        <w:t>An. tenebrosus</w:t>
      </w:r>
      <w:r w:rsidRPr="002E40CA">
        <w:rPr>
          <w:rFonts w:ascii="Calibri" w:eastAsia="Times New Roman" w:hAnsi="Calibri" w:cs="Calibri"/>
          <w:color w:val="000000"/>
          <w:kern w:val="0"/>
          <w:sz w:val="22"/>
          <w:szCs w:val="22"/>
          <w14:ligatures w14:val="none"/>
        </w:rPr>
        <w:t>. The sporozoite rate was 8.4%(276/3302), with 8.7%(180/2070) in the control and 7.8%(96/1232) in the intervention. Malaria prevalence by microscopy was 45.8%, 39.9% and 38.2% before, end of year 1 and end of year 2, respectively. The use of IR3535 as spatial repellent reduces the density of Anopheles female mosquitos.</w:t>
      </w:r>
    </w:p>
    <w:p w14:paraId="0A79666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25-A-3911-ASTMH</w:t>
      </w:r>
    </w:p>
    <w:p w14:paraId="6E5B311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Cestodes (including taeniasis and cysticercosis, echinococcosis/hydatid disease, and others)</w:t>
      </w:r>
    </w:p>
    <w:p w14:paraId="3B7678B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Immune regulation by </w:t>
      </w:r>
      <w:r w:rsidRPr="002E40CA">
        <w:rPr>
          <w:rFonts w:ascii="Calibri" w:eastAsia="Times New Roman" w:hAnsi="Calibri" w:cs="Calibri"/>
          <w:i/>
          <w:iCs/>
          <w:color w:val="000000"/>
          <w:kern w:val="0"/>
          <w:sz w:val="22"/>
          <w:szCs w:val="22"/>
          <w14:ligatures w14:val="none"/>
        </w:rPr>
        <w:t>Taeniasolium </w:t>
      </w:r>
      <w:r w:rsidRPr="002E40CA">
        <w:rPr>
          <w:rFonts w:ascii="Calibri" w:eastAsia="Times New Roman" w:hAnsi="Calibri" w:cs="Calibri"/>
          <w:color w:val="000000"/>
          <w:kern w:val="0"/>
          <w:sz w:val="22"/>
          <w:szCs w:val="22"/>
          <w14:ligatures w14:val="none"/>
        </w:rPr>
        <w:t>antigens:</w:t>
      </w:r>
      <w:r w:rsidRPr="002E40CA">
        <w:rPr>
          <w:rFonts w:ascii="Calibri" w:eastAsia="Times New Roman" w:hAnsi="Calibri" w:cs="Calibri"/>
          <w:i/>
          <w:iCs/>
          <w:color w:val="000000"/>
          <w:kern w:val="0"/>
          <w:sz w:val="22"/>
          <w:szCs w:val="22"/>
          <w14:ligatures w14:val="none"/>
        </w:rPr>
        <w:t> Tregs and Bregs in neurocysticercosis pathogenesis</w:t>
      </w:r>
    </w:p>
    <w:p w14:paraId="4B0139E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Neurocysticercosis (NCC) is the </w:t>
      </w:r>
      <w:r w:rsidRPr="002E40CA">
        <w:rPr>
          <w:rFonts w:ascii="Calibri" w:eastAsia="Times New Roman" w:hAnsi="Calibri" w:cs="Calibri"/>
          <w:i/>
          <w:iCs/>
          <w:color w:val="000000"/>
          <w:kern w:val="0"/>
          <w:sz w:val="22"/>
          <w:szCs w:val="22"/>
          <w14:ligatures w14:val="none"/>
        </w:rPr>
        <w:t>Taenia solium </w:t>
      </w:r>
      <w:r w:rsidRPr="002E40CA">
        <w:rPr>
          <w:rFonts w:ascii="Calibri" w:eastAsia="Times New Roman" w:hAnsi="Calibri" w:cs="Calibri"/>
          <w:color w:val="000000"/>
          <w:kern w:val="0"/>
          <w:sz w:val="22"/>
          <w:szCs w:val="22"/>
          <w14:ligatures w14:val="none"/>
        </w:rPr>
        <w:t>infection of the brain that represent a major public health issue in endemic tropical regions due to severe neurological complications. While much is known about the inflammatory responses triggered by NCC, the immune regulatory mechanisms that enable the parasite persistence are poorly understood. Regulatory T cells (Tregs) and B cells (Bregs) maintain immune tolerance, but their involvement in NCC has not been fully elucidated. We aim to explore the immune modulation of </w:t>
      </w:r>
      <w:r w:rsidRPr="002E40CA">
        <w:rPr>
          <w:rFonts w:ascii="Calibri" w:eastAsia="Times New Roman" w:hAnsi="Calibri" w:cs="Calibri"/>
          <w:i/>
          <w:iCs/>
          <w:color w:val="000000"/>
          <w:kern w:val="0"/>
          <w:sz w:val="22"/>
          <w:szCs w:val="22"/>
          <w14:ligatures w14:val="none"/>
        </w:rPr>
        <w:t>T. solium</w:t>
      </w:r>
      <w:r w:rsidRPr="002E40CA">
        <w:rPr>
          <w:rFonts w:ascii="Calibri" w:eastAsia="Times New Roman" w:hAnsi="Calibri" w:cs="Calibri"/>
          <w:color w:val="000000"/>
          <w:kern w:val="0"/>
          <w:sz w:val="22"/>
          <w:szCs w:val="22"/>
          <w14:ligatures w14:val="none"/>
        </w:rPr>
        <w:t> antigens by promoting the expansion of Tregs and Bregs to facilitate parasite survival. To first investigate the immunomodulatory role of </w:t>
      </w:r>
      <w:r w:rsidRPr="002E40CA">
        <w:rPr>
          <w:rFonts w:ascii="Calibri" w:eastAsia="Times New Roman" w:hAnsi="Calibri" w:cs="Calibri"/>
          <w:i/>
          <w:iCs/>
          <w:color w:val="000000"/>
          <w:kern w:val="0"/>
          <w:sz w:val="22"/>
          <w:szCs w:val="22"/>
          <w14:ligatures w14:val="none"/>
        </w:rPr>
        <w:t>T. solium </w:t>
      </w:r>
      <w:r w:rsidRPr="002E40CA">
        <w:rPr>
          <w:rFonts w:ascii="Calibri" w:eastAsia="Times New Roman" w:hAnsi="Calibri" w:cs="Calibri"/>
          <w:color w:val="000000"/>
          <w:kern w:val="0"/>
          <w:sz w:val="22"/>
          <w:szCs w:val="22"/>
          <w14:ligatures w14:val="none"/>
        </w:rPr>
        <w:t>antigen, we optimized an </w:t>
      </w:r>
      <w:r w:rsidRPr="002E40CA">
        <w:rPr>
          <w:rFonts w:ascii="Calibri" w:eastAsia="Times New Roman" w:hAnsi="Calibri" w:cs="Calibri"/>
          <w:i/>
          <w:iCs/>
          <w:color w:val="000000"/>
          <w:kern w:val="0"/>
          <w:sz w:val="22"/>
          <w:szCs w:val="22"/>
          <w14:ligatures w14:val="none"/>
        </w:rPr>
        <w:t>in vitro</w:t>
      </w:r>
      <w:r w:rsidRPr="002E40CA">
        <w:rPr>
          <w:rFonts w:ascii="Calibri" w:eastAsia="Times New Roman" w:hAnsi="Calibri" w:cs="Calibri"/>
          <w:color w:val="000000"/>
          <w:kern w:val="0"/>
          <w:sz w:val="22"/>
          <w:szCs w:val="22"/>
          <w14:ligatures w14:val="none"/>
        </w:rPr>
        <w:t> culture of monocytes and stimulated with different doses of NCC antigens (5-100 µg/ml) and analyzed IL-10 secretion and gene expression, a key cytokine associated with immune suppression. Then, to characterize Tregs and Bregs populations, we analyzed peripheral blood samples from 25 NCC patients and 13 controls. Using ELISA, we measured antigen levels in each sample and using flow cytometry we characterized Tregs (CD45RO</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CD25</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FoxP3</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and Bregs (CD19</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CD5</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populations and IL-10 production. Our </w:t>
      </w:r>
      <w:r w:rsidRPr="002E40CA">
        <w:rPr>
          <w:rFonts w:ascii="Calibri" w:eastAsia="Times New Roman" w:hAnsi="Calibri" w:cs="Calibri"/>
          <w:i/>
          <w:iCs/>
          <w:color w:val="000000"/>
          <w:kern w:val="0"/>
          <w:sz w:val="22"/>
          <w:szCs w:val="22"/>
          <w14:ligatures w14:val="none"/>
        </w:rPr>
        <w:t>in vitro</w:t>
      </w:r>
      <w:r w:rsidRPr="002E40CA">
        <w:rPr>
          <w:rFonts w:ascii="Calibri" w:eastAsia="Times New Roman" w:hAnsi="Calibri" w:cs="Calibri"/>
          <w:color w:val="000000"/>
          <w:kern w:val="0"/>
          <w:sz w:val="22"/>
          <w:szCs w:val="22"/>
          <w14:ligatures w14:val="none"/>
        </w:rPr>
        <w:t> monocyte model demonstrated an upregulated dose-response gene expression and secretion of IL-10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&lt;0.05). Consistently, clinical samples presented elevated IL-10 production, especially for NCC patients with high NCC antigen concentrations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=0.042). Additionally, a significant increase in Treg and Breg populations were detected in NCC patients compared to controls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=0.035), also correlating with high </w:t>
      </w:r>
      <w:r w:rsidRPr="002E40CA">
        <w:rPr>
          <w:rFonts w:ascii="Calibri" w:eastAsia="Times New Roman" w:hAnsi="Calibri" w:cs="Calibri"/>
          <w:i/>
          <w:iCs/>
          <w:color w:val="000000"/>
          <w:kern w:val="0"/>
          <w:sz w:val="22"/>
          <w:szCs w:val="22"/>
          <w14:ligatures w14:val="none"/>
        </w:rPr>
        <w:t>T. solium</w:t>
      </w:r>
      <w:r w:rsidRPr="002E40CA">
        <w:rPr>
          <w:rFonts w:ascii="Calibri" w:eastAsia="Times New Roman" w:hAnsi="Calibri" w:cs="Calibri"/>
          <w:color w:val="000000"/>
          <w:kern w:val="0"/>
          <w:sz w:val="22"/>
          <w:szCs w:val="22"/>
          <w14:ligatures w14:val="none"/>
        </w:rPr>
        <w:t> antigen levels (r=0.74), increased effector T cell responses and a more susceptibility to apoptosis in CD8</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T cells. We concluded that NCC patients with high antigen levels exhibit a more pronounced immunoregulatory profile that alters peripheral immune profiles, potentially enabling the parasite to maintain a persistent infection. Understanding these mechanisms opens new avenues for targeted interventions by counteracting the immune evasion strategies employed by the parasite.</w:t>
      </w:r>
    </w:p>
    <w:p w14:paraId="09181D3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25-A-3912-ASTMH</w:t>
      </w:r>
    </w:p>
    <w:p w14:paraId="7D25212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Clinical Tropical Medicine</w:t>
      </w:r>
    </w:p>
    <w:p w14:paraId="1475465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Prevalence and associated factors of Trachoma in school in the Tokomberé health district, Far North Cameroon, April 2024</w:t>
      </w:r>
    </w:p>
    <w:p w14:paraId="7218063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BackgroundTrachoma caused by Chlamydia trachomatis is the leading cause of infectious blindness. It is endemic in 28 health districts in the Adamawa, North, and Far North regions of Cameroon. In 2012, prevalence of trachoma in Tokombere health district was 35%, mostly in children less than 10. The "Surgery, Antibiotics, Facial hygiene and Environmental change (SAFE)" strategy, implemented in 2015, reduced the prevalence to 2.68%. Tokombere remains at risk of resurgence and schools could be potential sentinel surveillance sites. We evaluated the prevalence and associated factors of trachoma in schools in TokombereMethodsWe conducted an analytical cross-sectional study in primary schools in Tokombere health district. We administered questionnaires to children six to nine years old and their parents in four primary schools selected by multistage sampling in Tokombere. We collected sociodemographic and environmental data and examined their eyes for signs of active or inflammatory trachoma. Children with existing eye diseases or blindness were excluded. Chi-square tests were performed and adjusted odds ratios (aOR) with 95% confidence intervals (CI) were calculated to identify factors associated with trachomaResultsA total of 347 students equally distributed among four primary schools were surveyed. Average number of students per class was 163 and 5 students per bench. Prevalence of trachoma was 7.78% (27/347), with follicular trachoma 4.03% (14/347) and inflammatory trachoma 3.71% (13/347). Most cases were 8-year-olds 59.26% (16/27), with a female:male sex ratio of 1.07. Mokio government school accounted for 70.37% (19/27) of cases. A class size ≥ 50students was associated with trachoma (AOR = 3.62, CI = 2.01–6.55,)ConclusionThere is high prevalence of trachoma among primary school children in Tokombere and overcrowding is associated with trachoma. Reducing overcrowding in classes and setting up sentinel surveillance sites in schools could help in trachoma control and elimination.</w:t>
      </w:r>
    </w:p>
    <w:p w14:paraId="1EB355E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25-A-3913-ASTMH</w:t>
      </w:r>
    </w:p>
    <w:p w14:paraId="60F45F4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Other</w:t>
      </w:r>
    </w:p>
    <w:p w14:paraId="19F916F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Epidemiology of Sexually Transmitted Infections Among Students in a Ghanaian Nursing Training School</w:t>
      </w:r>
    </w:p>
    <w:p w14:paraId="03F3D81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Sexually transmitted infections (STIs) pose a major public health challenge, particularly among women and adolescents, leading to complications such as infertility and increased HIV risk. In Ghana, syndromic diagnosis is common, though many infections are asymptomatic. Nursing students, often within the adolescent and young adult age group, may face increased risk due to behavioral and educational factors. However, data on STI prevalence and awareness in this group is scarce, especially in the Northeast region of Ghana. This study provides epidemiological data to support early detection, improved surveillance, and targeted public health interventions for this vulnerable population. A cross-sectional study was conducted among 229 female students at the Nalerigu Nursing and Midwifery Training College to assess the prevalence of sexually transmitted infections (STIs). Socio-demographic data, behavioral risk factors, and clinical symptoms were collected using structured questionnaires. Vaginal swabs and Urine samples were collected and analyzed using PCR to identify prevalent sexually transmitted pathogens, including </w:t>
      </w:r>
      <w:r w:rsidRPr="002E40CA">
        <w:rPr>
          <w:rFonts w:ascii="Calibri" w:eastAsia="Times New Roman" w:hAnsi="Calibri" w:cs="Calibri"/>
          <w:i/>
          <w:iCs/>
          <w:color w:val="000000"/>
          <w:kern w:val="0"/>
          <w:sz w:val="22"/>
          <w:szCs w:val="22"/>
          <w14:ligatures w14:val="none"/>
        </w:rPr>
        <w:t>Chlamydia trachomatis</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Neisseria gonorrhoeae</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Mycoplasma genitalium</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Mycoplasma hominis</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Ureaplasma urealyticum</w:t>
      </w:r>
      <w:r w:rsidRPr="002E40CA">
        <w:rPr>
          <w:rFonts w:ascii="Calibri" w:eastAsia="Times New Roman" w:hAnsi="Calibri" w:cs="Calibri"/>
          <w:color w:val="000000"/>
          <w:kern w:val="0"/>
          <w:sz w:val="22"/>
          <w:szCs w:val="22"/>
          <w14:ligatures w14:val="none"/>
        </w:rPr>
        <w:t>, and</w:t>
      </w:r>
      <w:r w:rsidRPr="002E40CA">
        <w:rPr>
          <w:rFonts w:ascii="Calibri" w:eastAsia="Times New Roman" w:hAnsi="Calibri" w:cs="Calibri"/>
          <w:i/>
          <w:iCs/>
          <w:color w:val="000000"/>
          <w:kern w:val="0"/>
          <w:sz w:val="22"/>
          <w:szCs w:val="22"/>
          <w14:ligatures w14:val="none"/>
        </w:rPr>
        <w:t> Trichomonas vaginalis</w:t>
      </w:r>
      <w:r w:rsidRPr="002E40CA">
        <w:rPr>
          <w:rFonts w:ascii="Calibri" w:eastAsia="Times New Roman" w:hAnsi="Calibri" w:cs="Calibri"/>
          <w:color w:val="000000"/>
          <w:kern w:val="0"/>
          <w:sz w:val="22"/>
          <w:szCs w:val="22"/>
          <w14:ligatures w14:val="none"/>
        </w:rPr>
        <w:t>. Descriptive and inferential statistics were used to determine prevalence and associations. The study revealed that knowledge of STIs beyond HIV/AIDS was limited despite participants’ health-related training. A high prevalence of STIs among participants, with </w:t>
      </w:r>
      <w:r w:rsidRPr="002E40CA">
        <w:rPr>
          <w:rFonts w:ascii="Calibri" w:eastAsia="Times New Roman" w:hAnsi="Calibri" w:cs="Calibri"/>
          <w:i/>
          <w:iCs/>
          <w:color w:val="000000"/>
          <w:kern w:val="0"/>
          <w:sz w:val="22"/>
          <w:szCs w:val="22"/>
          <w14:ligatures w14:val="none"/>
        </w:rPr>
        <w:t>Chlamydia trachomatis</w:t>
      </w:r>
      <w:r w:rsidRPr="002E40CA">
        <w:rPr>
          <w:rFonts w:ascii="Calibri" w:eastAsia="Times New Roman" w:hAnsi="Calibri" w:cs="Calibri"/>
          <w:color w:val="000000"/>
          <w:kern w:val="0"/>
          <w:sz w:val="22"/>
          <w:szCs w:val="22"/>
          <w14:ligatures w14:val="none"/>
        </w:rPr>
        <w:t> being the most common, affecting 20.96% of students. Other pathogens detected included </w:t>
      </w:r>
      <w:r w:rsidRPr="002E40CA">
        <w:rPr>
          <w:rFonts w:ascii="Calibri" w:eastAsia="Times New Roman" w:hAnsi="Calibri" w:cs="Calibri"/>
          <w:i/>
          <w:iCs/>
          <w:color w:val="000000"/>
          <w:kern w:val="0"/>
          <w:sz w:val="22"/>
          <w:szCs w:val="22"/>
          <w14:ligatures w14:val="none"/>
        </w:rPr>
        <w:t>Trichomonas vaginalis</w:t>
      </w:r>
      <w:r w:rsidRPr="002E40CA">
        <w:rPr>
          <w:rFonts w:ascii="Calibri" w:eastAsia="Times New Roman" w:hAnsi="Calibri" w:cs="Calibri"/>
          <w:color w:val="000000"/>
          <w:kern w:val="0"/>
          <w:sz w:val="22"/>
          <w:szCs w:val="22"/>
          <w14:ligatures w14:val="none"/>
        </w:rPr>
        <w:t> (9.17%), </w:t>
      </w:r>
      <w:r w:rsidRPr="002E40CA">
        <w:rPr>
          <w:rFonts w:ascii="Calibri" w:eastAsia="Times New Roman" w:hAnsi="Calibri" w:cs="Calibri"/>
          <w:i/>
          <w:iCs/>
          <w:color w:val="000000"/>
          <w:kern w:val="0"/>
          <w:sz w:val="22"/>
          <w:szCs w:val="22"/>
          <w14:ligatures w14:val="none"/>
        </w:rPr>
        <w:t>Neisseria gonorrhoeae</w:t>
      </w:r>
      <w:r w:rsidRPr="002E40CA">
        <w:rPr>
          <w:rFonts w:ascii="Calibri" w:eastAsia="Times New Roman" w:hAnsi="Calibri" w:cs="Calibri"/>
          <w:color w:val="000000"/>
          <w:kern w:val="0"/>
          <w:sz w:val="22"/>
          <w:szCs w:val="22"/>
          <w14:ligatures w14:val="none"/>
        </w:rPr>
        <w:t> (6.99%), </w:t>
      </w:r>
      <w:r w:rsidRPr="002E40CA">
        <w:rPr>
          <w:rFonts w:ascii="Calibri" w:eastAsia="Times New Roman" w:hAnsi="Calibri" w:cs="Calibri"/>
          <w:i/>
          <w:iCs/>
          <w:color w:val="000000"/>
          <w:kern w:val="0"/>
          <w:sz w:val="22"/>
          <w:szCs w:val="22"/>
          <w14:ligatures w14:val="none"/>
        </w:rPr>
        <w:t>Mycoplasma hominis</w:t>
      </w:r>
      <w:r w:rsidRPr="002E40CA">
        <w:rPr>
          <w:rFonts w:ascii="Calibri" w:eastAsia="Times New Roman" w:hAnsi="Calibri" w:cs="Calibri"/>
          <w:color w:val="000000"/>
          <w:kern w:val="0"/>
          <w:sz w:val="22"/>
          <w:szCs w:val="22"/>
          <w14:ligatures w14:val="none"/>
        </w:rPr>
        <w:t> (3.49%), </w:t>
      </w:r>
      <w:r w:rsidRPr="002E40CA">
        <w:rPr>
          <w:rFonts w:ascii="Calibri" w:eastAsia="Times New Roman" w:hAnsi="Calibri" w:cs="Calibri"/>
          <w:i/>
          <w:iCs/>
          <w:color w:val="000000"/>
          <w:kern w:val="0"/>
          <w:sz w:val="22"/>
          <w:szCs w:val="22"/>
          <w14:ligatures w14:val="none"/>
        </w:rPr>
        <w:t>Mycoplasma genitalium</w:t>
      </w:r>
      <w:r w:rsidRPr="002E40CA">
        <w:rPr>
          <w:rFonts w:ascii="Calibri" w:eastAsia="Times New Roman" w:hAnsi="Calibri" w:cs="Calibri"/>
          <w:color w:val="000000"/>
          <w:kern w:val="0"/>
          <w:sz w:val="22"/>
          <w:szCs w:val="22"/>
          <w14:ligatures w14:val="none"/>
        </w:rPr>
        <w:t> (1.75%), and </w:t>
      </w:r>
      <w:r w:rsidRPr="002E40CA">
        <w:rPr>
          <w:rFonts w:ascii="Calibri" w:eastAsia="Times New Roman" w:hAnsi="Calibri" w:cs="Calibri"/>
          <w:i/>
          <w:iCs/>
          <w:color w:val="000000"/>
          <w:kern w:val="0"/>
          <w:sz w:val="22"/>
          <w:szCs w:val="22"/>
          <w14:ligatures w14:val="none"/>
        </w:rPr>
        <w:t>Ureaplasma urealyticum</w:t>
      </w:r>
      <w:r w:rsidRPr="002E40CA">
        <w:rPr>
          <w:rFonts w:ascii="Calibri" w:eastAsia="Times New Roman" w:hAnsi="Calibri" w:cs="Calibri"/>
          <w:color w:val="000000"/>
          <w:kern w:val="0"/>
          <w:sz w:val="22"/>
          <w:szCs w:val="22"/>
          <w14:ligatures w14:val="none"/>
        </w:rPr>
        <w:t> (0.87%). Risk factors such as early sexual debut, multiple partners, and poor condom use were significantly associated with STI. The findings highlight the urgent need for STI education beyond HIV/AIDS, along molecular-based screening and targeted health policies for young adults and adults in health institutions.</w:t>
      </w:r>
    </w:p>
    <w:p w14:paraId="3CB54DE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25-A-3914-ASTMH</w:t>
      </w:r>
    </w:p>
    <w:p w14:paraId="1279B00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Helminths – Nematodes – Intestinal Nematodes</w:t>
      </w:r>
    </w:p>
    <w:p w14:paraId="616360C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Prevalence and Risk Factors of Intestinal Helminth Infections Among Residents of Hohoe Municipality, Ghana</w:t>
      </w:r>
    </w:p>
    <w:p w14:paraId="3C84706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This study assessed the prevalence of intestinal parasites among residents of Hohoe Municipality, Ghana. A cross-sectional study design was employed, involving the examination of stool samples from 241 individuals using the flotation technique. Overall, 28.7% of participants were found to be infected with at least one gastrointestinal parasite. Infection rates varied across age, sex, living conditions, and the educational level of participants. The prevalence of these parasites also varied by age, sex, occupation, and living environment. Children under 5 years recorded the highest prevalence (13.6%), followed by individuals aged 5–15 years (9.8%). Participants over 15 years had a lower prevalence of 5.3%. Males showed a slightly higher infection rate (15.4%) compared to females (13.3%). Rural residents exhibited a marginally higher prevalence (19.1%) than urban residents (9.6%). Individuals living in households without proper sanitation had a higher infection rate (16.3%) compared to those living in households with improved sanitary facilities (12.4%). Interestingly, individuals with secondary education had the highest prevalence of infection (8.5%). Among the identified parasites, hookworm was the most common (13.7%), followed by </w:t>
      </w:r>
      <w:r w:rsidRPr="002E40CA">
        <w:rPr>
          <w:rFonts w:ascii="Calibri" w:eastAsia="Times New Roman" w:hAnsi="Calibri" w:cs="Calibri"/>
          <w:i/>
          <w:iCs/>
          <w:color w:val="000000"/>
          <w:kern w:val="0"/>
          <w:sz w:val="22"/>
          <w:szCs w:val="22"/>
          <w14:ligatures w14:val="none"/>
        </w:rPr>
        <w:t>Ascaris lumbricoides</w:t>
      </w:r>
      <w:r w:rsidRPr="002E40CA">
        <w:rPr>
          <w:rFonts w:ascii="Calibri" w:eastAsia="Times New Roman" w:hAnsi="Calibri" w:cs="Calibri"/>
          <w:color w:val="000000"/>
          <w:kern w:val="0"/>
          <w:sz w:val="22"/>
          <w:szCs w:val="22"/>
          <w14:ligatures w14:val="none"/>
        </w:rPr>
        <w:t> (7.9%), </w:t>
      </w:r>
      <w:r w:rsidRPr="002E40CA">
        <w:rPr>
          <w:rFonts w:ascii="Calibri" w:eastAsia="Times New Roman" w:hAnsi="Calibri" w:cs="Calibri"/>
          <w:i/>
          <w:iCs/>
          <w:color w:val="000000"/>
          <w:kern w:val="0"/>
          <w:sz w:val="22"/>
          <w:szCs w:val="22"/>
          <w14:ligatures w14:val="none"/>
        </w:rPr>
        <w:t>Trichuris trichiura</w:t>
      </w:r>
      <w:r w:rsidRPr="002E40CA">
        <w:rPr>
          <w:rFonts w:ascii="Calibri" w:eastAsia="Times New Roman" w:hAnsi="Calibri" w:cs="Calibri"/>
          <w:color w:val="000000"/>
          <w:kern w:val="0"/>
          <w:sz w:val="22"/>
          <w:szCs w:val="22"/>
          <w14:ligatures w14:val="none"/>
        </w:rPr>
        <w:t> (4.1%) and </w:t>
      </w:r>
      <w:r w:rsidRPr="002E40CA">
        <w:rPr>
          <w:rFonts w:ascii="Calibri" w:eastAsia="Times New Roman" w:hAnsi="Calibri" w:cs="Calibri"/>
          <w:i/>
          <w:iCs/>
          <w:color w:val="000000"/>
          <w:kern w:val="0"/>
          <w:sz w:val="22"/>
          <w:szCs w:val="22"/>
          <w14:ligatures w14:val="none"/>
        </w:rPr>
        <w:t>Strongyloides </w:t>
      </w:r>
      <w:r w:rsidRPr="002E40CA">
        <w:rPr>
          <w:rFonts w:ascii="Calibri" w:eastAsia="Times New Roman" w:hAnsi="Calibri" w:cs="Calibri"/>
          <w:color w:val="000000"/>
          <w:kern w:val="0"/>
          <w:sz w:val="22"/>
          <w:szCs w:val="22"/>
          <w14:ligatures w14:val="none"/>
        </w:rPr>
        <w:t>(3.0%). These findings highlight the critical role of health education, improved sanitation, and regular medical care in the prevention and control of gastrointestinal parasitic infections among human populations.</w:t>
      </w:r>
    </w:p>
    <w:p w14:paraId="3FD935E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25-A-3915-ASTMH</w:t>
      </w:r>
    </w:p>
    <w:p w14:paraId="0AF4A20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Parasite Transmission Biology</w:t>
      </w:r>
    </w:p>
    <w:p w14:paraId="65F89D3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Characterizing Increased Vectorial Capacity for </w:t>
      </w:r>
      <w:r w:rsidRPr="002E40CA">
        <w:rPr>
          <w:rFonts w:ascii="Calibri" w:eastAsia="Times New Roman" w:hAnsi="Calibri" w:cs="Calibri"/>
          <w:b/>
          <w:bCs/>
          <w:i/>
          <w:iCs/>
          <w:color w:val="000000"/>
          <w:kern w:val="0"/>
          <w:sz w:val="22"/>
          <w:szCs w:val="22"/>
          <w14:ligatures w14:val="none"/>
        </w:rPr>
        <w:t>Plasmodium falciparum</w:t>
      </w:r>
      <w:r w:rsidRPr="002E40CA">
        <w:rPr>
          <w:rFonts w:ascii="Calibri" w:eastAsia="Times New Roman" w:hAnsi="Calibri" w:cs="Calibri"/>
          <w:b/>
          <w:bCs/>
          <w:color w:val="000000"/>
          <w:kern w:val="0"/>
          <w:sz w:val="22"/>
          <w:szCs w:val="22"/>
          <w14:ligatures w14:val="none"/>
        </w:rPr>
        <w:t> in </w:t>
      </w:r>
      <w:r w:rsidRPr="002E40CA">
        <w:rPr>
          <w:rFonts w:ascii="Calibri" w:eastAsia="Times New Roman" w:hAnsi="Calibri" w:cs="Calibri"/>
          <w:b/>
          <w:bCs/>
          <w:i/>
          <w:iCs/>
          <w:color w:val="000000"/>
          <w:kern w:val="0"/>
          <w:sz w:val="22"/>
          <w:szCs w:val="22"/>
          <w14:ligatures w14:val="none"/>
        </w:rPr>
        <w:t>Anopheles gambiae </w:t>
      </w:r>
      <w:r w:rsidRPr="002E40CA">
        <w:rPr>
          <w:rFonts w:ascii="Calibri" w:eastAsia="Times New Roman" w:hAnsi="Calibri" w:cs="Calibri"/>
          <w:b/>
          <w:bCs/>
          <w:color w:val="000000"/>
          <w:kern w:val="0"/>
          <w:sz w:val="22"/>
          <w:szCs w:val="22"/>
          <w14:ligatures w14:val="none"/>
        </w:rPr>
        <w:t>Following an Additional Blood Meal</w:t>
      </w:r>
    </w:p>
    <w:p w14:paraId="0DB51DE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Female </w:t>
      </w:r>
      <w:r w:rsidRPr="002E40CA">
        <w:rPr>
          <w:rFonts w:ascii="Calibri" w:eastAsia="Times New Roman" w:hAnsi="Calibri" w:cs="Calibri"/>
          <w:i/>
          <w:iCs/>
          <w:color w:val="000000"/>
          <w:kern w:val="0"/>
          <w:sz w:val="22"/>
          <w:szCs w:val="22"/>
          <w14:ligatures w14:val="none"/>
        </w:rPr>
        <w:t>Anopheles gambiae</w:t>
      </w:r>
      <w:r w:rsidRPr="002E40CA">
        <w:rPr>
          <w:rFonts w:ascii="Calibri" w:eastAsia="Times New Roman" w:hAnsi="Calibri" w:cs="Calibri"/>
          <w:color w:val="000000"/>
          <w:kern w:val="0"/>
          <w:sz w:val="22"/>
          <w:szCs w:val="22"/>
          <w14:ligatures w14:val="none"/>
        </w:rPr>
        <w:t> mosquitoes are capable of multiple egg laying cycles for which they need to blood feed. This multiple feeding dynamic is essential for the transmission of the malaria parasite, </w:t>
      </w:r>
      <w:r w:rsidRPr="002E40CA">
        <w:rPr>
          <w:rFonts w:ascii="Calibri" w:eastAsia="Times New Roman" w:hAnsi="Calibri" w:cs="Calibri"/>
          <w:i/>
          <w:iCs/>
          <w:color w:val="000000"/>
          <w:kern w:val="0"/>
          <w:sz w:val="22"/>
          <w:szCs w:val="22"/>
          <w14:ligatures w14:val="none"/>
        </w:rPr>
        <w:t>Plasmodium falciparum. </w:t>
      </w:r>
      <w:r w:rsidRPr="002E40CA">
        <w:rPr>
          <w:rFonts w:ascii="Calibri" w:eastAsia="Times New Roman" w:hAnsi="Calibri" w:cs="Calibri"/>
          <w:color w:val="000000"/>
          <w:kern w:val="0"/>
          <w:sz w:val="22"/>
          <w:szCs w:val="22"/>
          <w14:ligatures w14:val="none"/>
        </w:rPr>
        <w:t>During the Extrinsic Incubation Period (EIP), parasites traverse the midgut epithelium, grow as oocysts, and make their way to the salivary glands as sporozoites, the life stage infectious to humans, in about 12-14 days. Given the short life span of anophelines, shortening the EIP renders disease transmission more likely: a second non-infectious blood meal taken while parasites develop on the midgut increases the growth rate of oocysts and can shorten the EIP in </w:t>
      </w:r>
      <w:r w:rsidRPr="002E40CA">
        <w:rPr>
          <w:rFonts w:ascii="Calibri" w:eastAsia="Times New Roman" w:hAnsi="Calibri" w:cs="Calibri"/>
          <w:i/>
          <w:iCs/>
          <w:color w:val="000000"/>
          <w:kern w:val="0"/>
          <w:sz w:val="22"/>
          <w:szCs w:val="22"/>
          <w14:ligatures w14:val="none"/>
        </w:rPr>
        <w:t>An. gambiae. </w:t>
      </w:r>
      <w:r w:rsidRPr="002E40CA">
        <w:rPr>
          <w:rFonts w:ascii="Calibri" w:eastAsia="Times New Roman" w:hAnsi="Calibri" w:cs="Calibri"/>
          <w:color w:val="000000"/>
          <w:kern w:val="0"/>
          <w:sz w:val="22"/>
          <w:szCs w:val="22"/>
          <w14:ligatures w14:val="none"/>
        </w:rPr>
        <w:t>As past studies have shown that parasites exhibit accelerated parasite growth when mosquitoes feed on BSA (Bovine Serum Albumin) protein meals, we focused on the role of amino acids in the context of an additional feed. While supplementing mosquitoes with individual AA solutions did not accelerate parasite growth (as measured by oocyst size), providing mosquitoes with a mixture of all 20 proteogenic amino acids (AAs), accelerated parasite growth and shortened EIP comparably to a second blood meal. We have also demonstrated that certain AAs are essential to mediating this increased growth by removing individual AAs from AA supplementation mixtures. These findings suggest parasite growth depends on combinations of AAs derived from secondary blood meals (or indirect mechanisms controlled by them) and improve our understanding of the specific factors driving </w:t>
      </w:r>
      <w:r w:rsidRPr="002E40CA">
        <w:rPr>
          <w:rFonts w:ascii="Calibri" w:eastAsia="Times New Roman" w:hAnsi="Calibri" w:cs="Calibri"/>
          <w:i/>
          <w:iCs/>
          <w:color w:val="000000"/>
          <w:kern w:val="0"/>
          <w:sz w:val="22"/>
          <w:szCs w:val="22"/>
          <w14:ligatures w14:val="none"/>
        </w:rPr>
        <w:t>P. falciparum </w:t>
      </w:r>
      <w:r w:rsidRPr="002E40CA">
        <w:rPr>
          <w:rFonts w:ascii="Calibri" w:eastAsia="Times New Roman" w:hAnsi="Calibri" w:cs="Calibri"/>
          <w:color w:val="000000"/>
          <w:kern w:val="0"/>
          <w:sz w:val="22"/>
          <w:szCs w:val="22"/>
          <w14:ligatures w14:val="none"/>
        </w:rPr>
        <w:t>growth and transmission.</w:t>
      </w:r>
    </w:p>
    <w:p w14:paraId="7849F51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25-A-3916-ASTMH</w:t>
      </w:r>
    </w:p>
    <w:p w14:paraId="484C9E6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3E663CB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Post-Market Surveillance to combat substandard and falsified antimalarials and antibiotics: A return on investment analysis in Tanzania</w:t>
      </w:r>
    </w:p>
    <w:p w14:paraId="7334547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As global medicine supply chains grow increasingly complex, ensuring product quality and safety has become more difficult. Substandard and falsified medicines can enter the market due to poor </w:t>
      </w:r>
      <w:r w:rsidRPr="002E40CA">
        <w:rPr>
          <w:rFonts w:ascii="Calibri" w:eastAsia="Times New Roman" w:hAnsi="Calibri" w:cs="Calibri"/>
          <w:color w:val="000000"/>
          <w:kern w:val="0"/>
          <w:sz w:val="22"/>
          <w:szCs w:val="22"/>
          <w14:ligatures w14:val="none"/>
        </w:rPr>
        <w:lastRenderedPageBreak/>
        <w:t>manufacturing, improper storage, or fraudulent practices, posing serious risks to patients. Post-market surveillance, which involves sampling and testing medicines, is critical for identifying and removing poor-quality products. However, economic evidence to support its funding remains limited. We assessed the return on investment of post-market surveillance using data from the Tanzania Medicines and Medical Devices Authority. A micro-costing approach estimated the regulatory authority’s expenses for conducting post-market surveillance activities, including personnel, sampling, laboratory testing, and removal of poor-quality medicines. Simulation modeling was used to estimate the health and economic impacts of reducing substandard and falsified medicines over five years, compared to levels in other sub-Saharan African countries not monitoring medicine quality. Costs and benefits of post-market surveillance were estimated for two medicine classes, antibiotics and antimalarials, across three diseases: lower respiratory infection, urinary tract infection, and malaria. The return on investment from post-market surveillance over five years was estimated at $238 to $270 per dollar invested. In Tanzania, the average annual cost of post-market surveillance for antibiotics and antimalarials was around $372,000. A system that reduced the prevalence of substandard and falsified antibiotics and antimalarials by 10% was estimated to avert 2.6 million malaria treatments, nearly 690,000 for lower respiratory infection, and 430,000 for urinary tract infection. Averting poor-quality medicines resulted in nearly 19,000 malaria and respiratory deaths prevented. It was estimated to cost $91 to prevent a death through post-market surveillance. National regulatory authorities should be better financially supported to conduct post-market surveillance, which offers high returns and improves population health.</w:t>
      </w:r>
    </w:p>
    <w:p w14:paraId="3999D34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25-A-3917-ASTMH</w:t>
      </w:r>
    </w:p>
    <w:p w14:paraId="5D4AB6C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Prevention</w:t>
      </w:r>
    </w:p>
    <w:p w14:paraId="16532A1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Evaluating the Economic Value of Tafenoquine for </w:t>
      </w:r>
      <w:r w:rsidRPr="002E40CA">
        <w:rPr>
          <w:rFonts w:ascii="Calibri" w:eastAsia="Times New Roman" w:hAnsi="Calibri" w:cs="Calibri"/>
          <w:i/>
          <w:iCs/>
          <w:color w:val="000000"/>
          <w:kern w:val="0"/>
          <w:sz w:val="22"/>
          <w:szCs w:val="22"/>
          <w14:ligatures w14:val="none"/>
        </w:rPr>
        <w:t>P. vivax </w:t>
      </w:r>
      <w:r w:rsidRPr="002E40CA">
        <w:rPr>
          <w:rFonts w:ascii="Calibri" w:eastAsia="Times New Roman" w:hAnsi="Calibri" w:cs="Calibri"/>
          <w:color w:val="000000"/>
          <w:kern w:val="0"/>
          <w:sz w:val="22"/>
          <w:szCs w:val="22"/>
          <w14:ligatures w14:val="none"/>
        </w:rPr>
        <w:t>Malaria: Evidence from the PAVE-Peru Implementation Study</w:t>
      </w:r>
    </w:p>
    <w:p w14:paraId="0F83865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PAVE-Peru implementation study evaluated the feasibility, safety, acceptability, and cost-effectiveness of a revised radical cure strategy for </w:t>
      </w:r>
      <w:r w:rsidRPr="002E40CA">
        <w:rPr>
          <w:rFonts w:ascii="Calibri" w:eastAsia="Times New Roman" w:hAnsi="Calibri" w:cs="Calibri"/>
          <w:i/>
          <w:iCs/>
          <w:color w:val="000000"/>
          <w:kern w:val="0"/>
          <w:sz w:val="22"/>
          <w:szCs w:val="22"/>
          <w14:ligatures w14:val="none"/>
        </w:rPr>
        <w:t>Plasmodium vivax</w:t>
      </w:r>
      <w:r w:rsidRPr="002E40CA">
        <w:rPr>
          <w:rFonts w:ascii="Calibri" w:eastAsia="Times New Roman" w:hAnsi="Calibri" w:cs="Calibri"/>
          <w:color w:val="000000"/>
          <w:kern w:val="0"/>
          <w:sz w:val="22"/>
          <w:szCs w:val="22"/>
          <w14:ligatures w14:val="none"/>
        </w:rPr>
        <w:t> malaria in the Peruvian Amazon. The study included quantitative and qualitative research, process evaluation, and economic analysis. As part of this effort, we conducted a cost-effectiveness analysis comparing the revised strategy—tafenoquine (TQ) or 7-day primaquine (PQ7) guided by quantitative G6PD testing—to Peru’s standard of care, solely based on PQ7 without G6PD testing. We used decision tree modeling from the health system perspective, including only direct medical and programmatic costs. Both costs and health outcomes were projected over a one-year time horizon. Key parameters—such as recurrence probabilities, mean number of recurrences, costing data, and disability-adjusted life-years (DALYs)—were obtained from the study when available, and published literature from Peru and Latin America, following a hierarchical evidence prioritization approach. Our results suggest the revised strategy dominates the standard of care being both more effective and less costly with $79,954 saved per 10,000 treated cases primarily due to reduced recurrent episodes. The incremental cost-effectiveness ratio (ICER) was –$3,698.9 per DALY averted, dominating the standard of care. A one-way sensitivity analysis demonstrated the robustness of these results to variations in key clinical and cost parameters. Thus, per-person costs could increase by $16 and the ICER would remain below Peru’s cost-effectiveness threshold of $3,700 per DALY averted, providing buffer to unforeseen implementation costs. Threshold analysis showed that the revised strategy remains cost-effective even with substantial increases in TQ-related costs, highlighting robustness and accounting for potential importation, distribution, or implementation costs that may arise during national scale-up. These findings provide robust economic evidence to support national decision-making for scaling up G6PD-guided radical cure under Peru’s National Malaria Elimination Plan.</w:t>
      </w:r>
    </w:p>
    <w:p w14:paraId="43C6398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25-A-3918-ASTMH</w:t>
      </w:r>
    </w:p>
    <w:p w14:paraId="2699120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Diagnosis - Challenges and Innovations</w:t>
      </w:r>
    </w:p>
    <w:p w14:paraId="5954B22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Assessing the partial and full deletion rates, as well as the genetic diversity of </w:t>
      </w:r>
      <w:r w:rsidRPr="002E40CA">
        <w:rPr>
          <w:rFonts w:ascii="Calibri" w:eastAsia="Times New Roman" w:hAnsi="Calibri" w:cs="Calibri"/>
          <w:b/>
          <w:bCs/>
          <w:i/>
          <w:iCs/>
          <w:color w:val="000000"/>
          <w:kern w:val="0"/>
          <w:sz w:val="22"/>
          <w:szCs w:val="22"/>
          <w14:ligatures w14:val="none"/>
        </w:rPr>
        <w:t>Pfhrp2</w:t>
      </w:r>
      <w:r w:rsidRPr="002E40CA">
        <w:rPr>
          <w:rFonts w:ascii="Calibri" w:eastAsia="Times New Roman" w:hAnsi="Calibri" w:cs="Calibri"/>
          <w:b/>
          <w:bCs/>
          <w:color w:val="000000"/>
          <w:kern w:val="0"/>
          <w:sz w:val="22"/>
          <w:szCs w:val="22"/>
          <w14:ligatures w14:val="none"/>
        </w:rPr>
        <w:t> and </w:t>
      </w:r>
      <w:r w:rsidRPr="002E40CA">
        <w:rPr>
          <w:rFonts w:ascii="Calibri" w:eastAsia="Times New Roman" w:hAnsi="Calibri" w:cs="Calibri"/>
          <w:b/>
          <w:bCs/>
          <w:i/>
          <w:iCs/>
          <w:color w:val="000000"/>
          <w:kern w:val="0"/>
          <w:sz w:val="22"/>
          <w:szCs w:val="22"/>
          <w14:ligatures w14:val="none"/>
        </w:rPr>
        <w:t>Pfhrp3</w:t>
      </w:r>
      <w:r w:rsidRPr="002E40CA">
        <w:rPr>
          <w:rFonts w:ascii="Calibri" w:eastAsia="Times New Roman" w:hAnsi="Calibri" w:cs="Calibri"/>
          <w:b/>
          <w:bCs/>
          <w:color w:val="000000"/>
          <w:kern w:val="0"/>
          <w:sz w:val="22"/>
          <w:szCs w:val="22"/>
          <w14:ligatures w14:val="none"/>
        </w:rPr>
        <w:t> genes in asymptomatic malaria cases across the three transmission seasons in Accra Ghana</w:t>
      </w:r>
    </w:p>
    <w:p w14:paraId="2142D9A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The current deletions of </w:t>
      </w:r>
      <w:r w:rsidRPr="002E40CA">
        <w:rPr>
          <w:rFonts w:ascii="Calibri" w:eastAsia="Times New Roman" w:hAnsi="Calibri" w:cs="Calibri"/>
          <w:i/>
          <w:iCs/>
          <w:color w:val="000000"/>
          <w:kern w:val="0"/>
          <w:sz w:val="22"/>
          <w:szCs w:val="22"/>
          <w14:ligatures w14:val="none"/>
        </w:rPr>
        <w:t>Pfhrp2</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Pfhrp3</w:t>
      </w:r>
      <w:r w:rsidRPr="002E40CA">
        <w:rPr>
          <w:rFonts w:ascii="Calibri" w:eastAsia="Times New Roman" w:hAnsi="Calibri" w:cs="Calibri"/>
          <w:color w:val="000000"/>
          <w:kern w:val="0"/>
          <w:sz w:val="22"/>
          <w:szCs w:val="22"/>
          <w14:ligatures w14:val="none"/>
        </w:rPr>
        <w:t> have made it difficult to diagnose malaria using Pfhrp2-based rapid diagnostic test kits due to false negative results. Most PCR methods, though much more sensitive than RDTs, often recognize the presence or absence of the coding gene by amplifying either exon 1 or exon 2, or portions spanning exons 1 and 2. Molecular surveillance on the rate of </w:t>
      </w:r>
      <w:r w:rsidRPr="002E40CA">
        <w:rPr>
          <w:rFonts w:ascii="Calibri" w:eastAsia="Times New Roman" w:hAnsi="Calibri" w:cs="Calibri"/>
          <w:i/>
          <w:iCs/>
          <w:color w:val="000000"/>
          <w:kern w:val="0"/>
          <w:sz w:val="22"/>
          <w:szCs w:val="22"/>
          <w14:ligatures w14:val="none"/>
        </w:rPr>
        <w:t>Pfhrp2/ Pfhrp3 </w:t>
      </w:r>
      <w:r w:rsidRPr="002E40CA">
        <w:rPr>
          <w:rFonts w:ascii="Calibri" w:eastAsia="Times New Roman" w:hAnsi="Calibri" w:cs="Calibri"/>
          <w:color w:val="000000"/>
          <w:kern w:val="0"/>
          <w:sz w:val="22"/>
          <w:szCs w:val="22"/>
          <w14:ligatures w14:val="none"/>
        </w:rPr>
        <w:t>deletion in the population is thus needed to inform development of alternative diagnostic molecular tools at the point of need for malaria diagnosis. In this study, participants were screened for malaria using RDT kits and confirmed using loop-mediated Isothermal amplification (LAMP) assay, where we realized that a significant portion of the individual that were negative by RDT happen to be positive by the LAMP assay. This then informed us to carry out </w:t>
      </w:r>
      <w:r w:rsidRPr="002E40CA">
        <w:rPr>
          <w:rFonts w:ascii="Calibri" w:eastAsia="Times New Roman" w:hAnsi="Calibri" w:cs="Calibri"/>
          <w:i/>
          <w:iCs/>
          <w:color w:val="000000"/>
          <w:kern w:val="0"/>
          <w:sz w:val="22"/>
          <w:szCs w:val="22"/>
          <w14:ligatures w14:val="none"/>
        </w:rPr>
        <w:t>Pfhrp2/ Pfhrp3 </w:t>
      </w:r>
      <w:r w:rsidRPr="002E40CA">
        <w:rPr>
          <w:rFonts w:ascii="Calibri" w:eastAsia="Times New Roman" w:hAnsi="Calibri" w:cs="Calibri"/>
          <w:color w:val="000000"/>
          <w:kern w:val="0"/>
          <w:sz w:val="22"/>
          <w:szCs w:val="22"/>
          <w14:ligatures w14:val="none"/>
        </w:rPr>
        <w:t>screening where two different sets of primers per target gene that bind downstream exon 1 and upstream of exon 2 on either chromosome 8 of </w:t>
      </w:r>
      <w:r w:rsidRPr="002E40CA">
        <w:rPr>
          <w:rFonts w:ascii="Calibri" w:eastAsia="Times New Roman" w:hAnsi="Calibri" w:cs="Calibri"/>
          <w:i/>
          <w:iCs/>
          <w:color w:val="000000"/>
          <w:kern w:val="0"/>
          <w:sz w:val="22"/>
          <w:szCs w:val="22"/>
          <w14:ligatures w14:val="none"/>
        </w:rPr>
        <w:t>Pfhrp2</w:t>
      </w:r>
      <w:r w:rsidRPr="002E40CA">
        <w:rPr>
          <w:rFonts w:ascii="Calibri" w:eastAsia="Times New Roman" w:hAnsi="Calibri" w:cs="Calibri"/>
          <w:color w:val="000000"/>
          <w:kern w:val="0"/>
          <w:sz w:val="22"/>
          <w:szCs w:val="22"/>
          <w14:ligatures w14:val="none"/>
        </w:rPr>
        <w:t> genes or chromosome 13 of </w:t>
      </w:r>
      <w:r w:rsidRPr="002E40CA">
        <w:rPr>
          <w:rFonts w:ascii="Calibri" w:eastAsia="Times New Roman" w:hAnsi="Calibri" w:cs="Calibri"/>
          <w:i/>
          <w:iCs/>
          <w:color w:val="000000"/>
          <w:kern w:val="0"/>
          <w:sz w:val="22"/>
          <w:szCs w:val="22"/>
          <w14:ligatures w14:val="none"/>
        </w:rPr>
        <w:t>Pfhrp3</w:t>
      </w:r>
      <w:r w:rsidRPr="002E40CA">
        <w:rPr>
          <w:rFonts w:ascii="Calibri" w:eastAsia="Times New Roman" w:hAnsi="Calibri" w:cs="Calibri"/>
          <w:color w:val="000000"/>
          <w:kern w:val="0"/>
          <w:sz w:val="22"/>
          <w:szCs w:val="22"/>
          <w14:ligatures w14:val="none"/>
        </w:rPr>
        <w:t> genes were used in a conventional PCR method. The aim was to determine different types of deletions and their prevalence rates in asymptomatic individuals across the three transmission seasons of Ghana. A subset of these samples will be sequenced to study the genetic diversity of the genes that code for these proteins. Out of the ten thousand individuals that were screened across the three seasons 2% were positive for malaria by RDT. The LAMP assay was able to detect 12% of the malaria RDT negative cases as positive for malaria. We then selected 500 of these LAMP positive malaria (</w:t>
      </w:r>
      <w:r w:rsidRPr="002E40CA">
        <w:rPr>
          <w:rFonts w:ascii="Calibri" w:eastAsia="Times New Roman" w:hAnsi="Calibri" w:cs="Calibri"/>
          <w:i/>
          <w:iCs/>
          <w:color w:val="000000"/>
          <w:kern w:val="0"/>
          <w:sz w:val="22"/>
          <w:szCs w:val="22"/>
          <w14:ligatures w14:val="none"/>
        </w:rPr>
        <w:t>P. falciparum) </w:t>
      </w:r>
      <w:r w:rsidRPr="002E40CA">
        <w:rPr>
          <w:rFonts w:ascii="Calibri" w:eastAsia="Times New Roman" w:hAnsi="Calibri" w:cs="Calibri"/>
          <w:color w:val="000000"/>
          <w:kern w:val="0"/>
          <w:sz w:val="22"/>
          <w:szCs w:val="22"/>
          <w14:ligatures w14:val="none"/>
        </w:rPr>
        <w:t>cases and screened for </w:t>
      </w:r>
      <w:r w:rsidRPr="002E40CA">
        <w:rPr>
          <w:rFonts w:ascii="Calibri" w:eastAsia="Times New Roman" w:hAnsi="Calibri" w:cs="Calibri"/>
          <w:i/>
          <w:iCs/>
          <w:color w:val="000000"/>
          <w:kern w:val="0"/>
          <w:sz w:val="22"/>
          <w:szCs w:val="22"/>
          <w14:ligatures w14:val="none"/>
        </w:rPr>
        <w:t>Pfhrp2</w:t>
      </w:r>
      <w:r w:rsidRPr="002E40CA">
        <w:rPr>
          <w:rFonts w:ascii="Calibri" w:eastAsia="Times New Roman" w:hAnsi="Calibri" w:cs="Calibri"/>
          <w:color w:val="000000"/>
          <w:kern w:val="0"/>
          <w:sz w:val="22"/>
          <w:szCs w:val="22"/>
          <w14:ligatures w14:val="none"/>
        </w:rPr>
        <w:t>/</w:t>
      </w:r>
      <w:r w:rsidRPr="002E40CA">
        <w:rPr>
          <w:rFonts w:ascii="Calibri" w:eastAsia="Times New Roman" w:hAnsi="Calibri" w:cs="Calibri"/>
          <w:i/>
          <w:iCs/>
          <w:color w:val="000000"/>
          <w:kern w:val="0"/>
          <w:sz w:val="22"/>
          <w:szCs w:val="22"/>
          <w14:ligatures w14:val="none"/>
        </w:rPr>
        <w:t>Pfhrp3. </w:t>
      </w:r>
      <w:r w:rsidRPr="002E40CA">
        <w:rPr>
          <w:rFonts w:ascii="Calibri" w:eastAsia="Times New Roman" w:hAnsi="Calibri" w:cs="Calibri"/>
          <w:color w:val="000000"/>
          <w:kern w:val="0"/>
          <w:sz w:val="22"/>
          <w:szCs w:val="22"/>
          <w14:ligatures w14:val="none"/>
        </w:rPr>
        <w:t>Our screen so far showed a higher prevalence rate of partial deletions as compared to full deletions for both </w:t>
      </w:r>
      <w:r w:rsidRPr="002E40CA">
        <w:rPr>
          <w:rFonts w:ascii="Calibri" w:eastAsia="Times New Roman" w:hAnsi="Calibri" w:cs="Calibri"/>
          <w:i/>
          <w:iCs/>
          <w:color w:val="000000"/>
          <w:kern w:val="0"/>
          <w:sz w:val="22"/>
          <w:szCs w:val="22"/>
          <w14:ligatures w14:val="none"/>
        </w:rPr>
        <w:t>Pfhrp2</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Pfhrp3 </w:t>
      </w:r>
      <w:r w:rsidRPr="002E40CA">
        <w:rPr>
          <w:rFonts w:ascii="Calibri" w:eastAsia="Times New Roman" w:hAnsi="Calibri" w:cs="Calibri"/>
          <w:color w:val="000000"/>
          <w:kern w:val="0"/>
          <w:sz w:val="22"/>
          <w:szCs w:val="22"/>
          <w14:ligatures w14:val="none"/>
        </w:rPr>
        <w:t>genes. The total average prevalence of </w:t>
      </w:r>
      <w:r w:rsidRPr="002E40CA">
        <w:rPr>
          <w:rFonts w:ascii="Calibri" w:eastAsia="Times New Roman" w:hAnsi="Calibri" w:cs="Calibri"/>
          <w:i/>
          <w:iCs/>
          <w:color w:val="000000"/>
          <w:kern w:val="0"/>
          <w:sz w:val="22"/>
          <w:szCs w:val="22"/>
          <w14:ligatures w14:val="none"/>
        </w:rPr>
        <w:t>Pfhrp2</w:t>
      </w:r>
      <w:r w:rsidRPr="002E40CA">
        <w:rPr>
          <w:rFonts w:ascii="Calibri" w:eastAsia="Times New Roman" w:hAnsi="Calibri" w:cs="Calibri"/>
          <w:color w:val="000000"/>
          <w:kern w:val="0"/>
          <w:sz w:val="22"/>
          <w:szCs w:val="22"/>
          <w14:ligatures w14:val="none"/>
        </w:rPr>
        <w:t> partial gene deletions were 48.2% and 12.5% for the</w:t>
      </w:r>
      <w:r w:rsidRPr="002E40CA">
        <w:rPr>
          <w:rFonts w:ascii="Calibri" w:eastAsia="Times New Roman" w:hAnsi="Calibri" w:cs="Calibri"/>
          <w:i/>
          <w:iCs/>
          <w:color w:val="000000"/>
          <w:kern w:val="0"/>
          <w:sz w:val="22"/>
          <w:szCs w:val="22"/>
          <w14:ligatures w14:val="none"/>
        </w:rPr>
        <w:t> Pfhrp2</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Pfhrp3</w:t>
      </w:r>
      <w:r w:rsidRPr="002E40CA">
        <w:rPr>
          <w:rFonts w:ascii="Calibri" w:eastAsia="Times New Roman" w:hAnsi="Calibri" w:cs="Calibri"/>
          <w:color w:val="000000"/>
          <w:kern w:val="0"/>
          <w:sz w:val="22"/>
          <w:szCs w:val="22"/>
          <w14:ligatures w14:val="none"/>
        </w:rPr>
        <w:t>. The rates of full deletions are 7.5% and 4.0% for </w:t>
      </w:r>
      <w:r w:rsidRPr="002E40CA">
        <w:rPr>
          <w:rFonts w:ascii="Calibri" w:eastAsia="Times New Roman" w:hAnsi="Calibri" w:cs="Calibri"/>
          <w:i/>
          <w:iCs/>
          <w:color w:val="000000"/>
          <w:kern w:val="0"/>
          <w:sz w:val="22"/>
          <w:szCs w:val="22"/>
          <w14:ligatures w14:val="none"/>
        </w:rPr>
        <w:t>Pfhrp2 </w:t>
      </w:r>
      <w:r w:rsidRPr="002E40CA">
        <w:rPr>
          <w:rFonts w:ascii="Calibri" w:eastAsia="Times New Roman" w:hAnsi="Calibri" w:cs="Calibri"/>
          <w:color w:val="000000"/>
          <w:kern w:val="0"/>
          <w:sz w:val="22"/>
          <w:szCs w:val="22"/>
          <w14:ligatures w14:val="none"/>
        </w:rPr>
        <w:t>and</w:t>
      </w:r>
      <w:r w:rsidRPr="002E40CA">
        <w:rPr>
          <w:rFonts w:ascii="Calibri" w:eastAsia="Times New Roman" w:hAnsi="Calibri" w:cs="Calibri"/>
          <w:i/>
          <w:iCs/>
          <w:color w:val="000000"/>
          <w:kern w:val="0"/>
          <w:sz w:val="22"/>
          <w:szCs w:val="22"/>
          <w14:ligatures w14:val="none"/>
        </w:rPr>
        <w:t> Pfhrp3</w:t>
      </w:r>
      <w:r w:rsidRPr="002E40CA">
        <w:rPr>
          <w:rFonts w:ascii="Calibri" w:eastAsia="Times New Roman" w:hAnsi="Calibri" w:cs="Calibri"/>
          <w:color w:val="000000"/>
          <w:kern w:val="0"/>
          <w:sz w:val="22"/>
          <w:szCs w:val="22"/>
          <w14:ligatures w14:val="none"/>
        </w:rPr>
        <w:t>, respectively.</w:t>
      </w:r>
    </w:p>
    <w:p w14:paraId="1CA3EB6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25-A-3920-ASTMH</w:t>
      </w:r>
    </w:p>
    <w:p w14:paraId="578B8AB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Antimalarial Resistance and Chemotherapy</w:t>
      </w:r>
    </w:p>
    <w:p w14:paraId="1F5476D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High-density temporal and spatial surveillance in Rwanda reveals increasing validated </w:t>
      </w:r>
      <w:r w:rsidRPr="002E40CA">
        <w:rPr>
          <w:rFonts w:ascii="Calibri" w:eastAsia="Times New Roman" w:hAnsi="Calibri" w:cs="Calibri"/>
          <w:i/>
          <w:iCs/>
          <w:color w:val="000000"/>
          <w:kern w:val="0"/>
          <w:sz w:val="22"/>
          <w:szCs w:val="22"/>
          <w14:ligatures w14:val="none"/>
        </w:rPr>
        <w:t>Plasmodium falciparum kelch13</w:t>
      </w:r>
      <w:r w:rsidRPr="002E40CA">
        <w:rPr>
          <w:rFonts w:ascii="Calibri" w:eastAsia="Times New Roman" w:hAnsi="Calibri" w:cs="Calibri"/>
          <w:color w:val="000000"/>
          <w:kern w:val="0"/>
          <w:sz w:val="22"/>
          <w:szCs w:val="22"/>
          <w14:ligatures w14:val="none"/>
        </w:rPr>
        <w:t> mutations and complex patterns of recent emergence and spread 2022-2024</w:t>
      </w:r>
    </w:p>
    <w:p w14:paraId="065F644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Genomic surveillance has detected multiple emerging</w:t>
      </w:r>
      <w:r w:rsidRPr="002E40CA">
        <w:rPr>
          <w:rFonts w:ascii="Calibri" w:eastAsia="Times New Roman" w:hAnsi="Calibri" w:cs="Calibri"/>
          <w:i/>
          <w:iCs/>
          <w:color w:val="000000"/>
          <w:kern w:val="0"/>
          <w:sz w:val="22"/>
          <w:szCs w:val="22"/>
          <w14:ligatures w14:val="none"/>
        </w:rPr>
        <w:t> Plasmodium falciparum kelch13 </w:t>
      </w:r>
      <w:r w:rsidRPr="002E40CA">
        <w:rPr>
          <w:rFonts w:ascii="Calibri" w:eastAsia="Times New Roman" w:hAnsi="Calibri" w:cs="Calibri"/>
          <w:color w:val="000000"/>
          <w:kern w:val="0"/>
          <w:sz w:val="22"/>
          <w:szCs w:val="22"/>
          <w14:ligatures w14:val="none"/>
        </w:rPr>
        <w:t>(K13) propeller gene mutations across East Africa. Mutations associated with artemisinin partial resistance, such as R561H in Rwanda, or C469Y/F and A675V in Uganda, are increasing. Surveillance efforts often only sample sparsely across time and space. High-resolution data remains elusive. Here we collected liquid blood drop samples (n=8275) from malaria positive patients at 24 health centers in Rwanda between May 2022 and June 2024. DNA was extracted and molecular inversion probes targeted sequence for key drug resistance genes, yielding 6,807 samples with sufficient coverage. Combined K13 mutation prevalence rose from 38.6% to 45.2%. The prevalence of R561H shows steady increase—rising 3% per year, reaching 26.2% in 2024. A675V’s prevalence doubled from 2022 to 2024, reaching 12.9%, but remains concentrated in the west near Lake Kivu. A675V was highest in Mushubati in 2024 at 52.7% prevalence (n=92). Candidate mutation, P441L, doubled, reaching 2.2% prevalence in 2024, highest in Ndama at 17.2%. C469F peaked in 2023 (5.7%) dominating k13 mutants in 3 sites but has since receded in 2024 sampling. We detect the circulation of uncharacterized K13 propeller mutations (P667S, H384R, F699C, V555A and A569V) at multiple centers. Notably, V555A was across 13 centers, highest in Giti (10.5%). P667S was detected at 22.7% prevalence at Nyakinama from 2023 samples but was virtually absent elsewhere. For high-level pyrimethamine resistance, dhfr I164L, increased (17.0% 2022; 19.3% 2024) despite no official usage in Rwanda. crt K76T (8.4%) and mdr1 N86Y (0.28%) were almost fixed to wildtype—associated with lumefantrine resistance the partner drug in Rwanda, K76T was higher near Burundi and DRC borders where amodiaquine may be selecting for these mutations. Overall our high-resolution deep sampling reveals high heterogeneity for specific mutations and their prevalence, revealing a complex process of spread likely impacted by multiple factors. Further study is needed to understand the dynamics that influence selection and spread of K13 and other mutations.</w:t>
      </w:r>
    </w:p>
    <w:p w14:paraId="1496D9A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25-A-3921-ASTMH</w:t>
      </w:r>
    </w:p>
    <w:p w14:paraId="7A2897A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Measures for Control and Elimination of Neglected Tropical Diseases (NTDs)</w:t>
      </w:r>
    </w:p>
    <w:p w14:paraId="0250016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Integration of Community Directed Distributors (CDDs) beyond NTD elimination to build resilient community health systems in Anambra and Delta states, Nigeria</w:t>
      </w:r>
    </w:p>
    <w:p w14:paraId="5251697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Programs for the elimination of neglected tropical diseases (NTDs) began in 1995 in Anambra and Delta states, Nigeria. A key feature is community-directed distributors (CDDs), who are community residents acting as health resources, providing education and delivering medications during mass drug administration (MDA) campaigns. In programs that have interrupted transmission and stopped MDA, CDD structures are often disbanded and CDDs forgotten by government and partners. Yet they may be able to support services for other community health and development programs, thus building a resilient community health system. This study was conducted to document and improve the visibility of former CDDs who supported MDA for river blindness (RB) and lymphatic filariasis (LF) in two districts of Anambra and Delta states, which stopped MDA in 2022 and 2020, respectively. Former RB and LF CDDs were surveyed in March 2024 using an ODK-based structured questionnaire. A total of 524 (235 Anambra and 289 Delta) CDDs were surveyed, of which 348 (66.4%) were female, 383 (73%) were married, 500 (95.4%) were domiciled in the communities they served, and 153 (29.2%) also served in neighbouring villages. Most of the CDDs (n=518, 98.9%) had education beyond primary school, 374 (71.3%) were self-employed, 48 (9.2%) teachers, and 3% housewives. About 66.5% of CDDs had also worked with health programs other than RB and LF, including tuberculosis, malaria, Vitamin A, WASH, HIV and immunizations. Nearly all (98.7%) were willing to continue to serve as community health workers, while 1.3% plan to go to school. This study has highlighted the importance of CDDs in community health systems and by extension the nation’s primary health care system. Maintaining CDD structures after NTD programs stop MDA and cross-training them on other public health programs is recommended for sustainability, and to improve efficiencies for public health systems strengthening.</w:t>
      </w:r>
    </w:p>
    <w:p w14:paraId="1847A67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25-A-3922-ASTMH</w:t>
      </w:r>
    </w:p>
    <w:p w14:paraId="0FC90DF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Security/Emerging Infection Preparedness, Surveillance and Response(s)</w:t>
      </w:r>
    </w:p>
    <w:p w14:paraId="2F29E9E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Pan-viral sequencing surveillance identifies mammalian orthoreovirus 2 in U.S. wastewater</w:t>
      </w:r>
    </w:p>
    <w:p w14:paraId="75FEA0E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Mammalian orthoreoviruses (MRVs) are non-enveloped, double-stranded RNA viruses known to infect a wide range of mammalian hosts, including humans. While MRVs have been previously detected in wastewater in Southeast Asia, their presence in U.S. wastewater has not been documented. Wastewater surveillance, proven to be instrumental to the detection and monitoring of SARS-CoV-2 levels and variants, also represents a powerful approach for the early detection of zoonotic and emerging viral threats.</w:t>
      </w:r>
      <w:r w:rsidRPr="002E40CA">
        <w:rPr>
          <w:rFonts w:ascii="Calibri" w:eastAsia="Times New Roman" w:hAnsi="Calibri" w:cs="Calibri"/>
          <w:color w:val="000000"/>
          <w:kern w:val="0"/>
          <w:sz w:val="22"/>
          <w:szCs w:val="22"/>
          <w14:ligatures w14:val="none"/>
        </w:rPr>
        <w:br/>
        <w:t>We utilized the pan-viral sequencing assay, VirCapSeq (VCS) to analyze wastewater samples collected weekly from the U.S. Air Force Academy (USAFA) over the course of two months. Samples were concentrated, extracted, and subjected to probe-based viral capture sequencing. Raw fastq files were analyzed using the RIM viral metagenomics pipeline.</w:t>
      </w:r>
      <w:r w:rsidRPr="002E40CA">
        <w:rPr>
          <w:rFonts w:ascii="Calibri" w:eastAsia="Times New Roman" w:hAnsi="Calibri" w:cs="Calibri"/>
          <w:color w:val="000000"/>
          <w:kern w:val="0"/>
          <w:sz w:val="22"/>
          <w:szCs w:val="22"/>
          <w14:ligatures w14:val="none"/>
        </w:rPr>
        <w:br/>
        <w:t>On the initial sampling date, we observed a high abundance of reads mapping to MRV-2, with complete genome coverage for all 10 segments. Phylogenetic analysis revealed that this detected strain closely clusters with MRV sequences previously isolated from big brown bats (</w:t>
      </w:r>
      <w:r w:rsidRPr="002E40CA">
        <w:rPr>
          <w:rFonts w:ascii="Calibri" w:eastAsia="Times New Roman" w:hAnsi="Calibri" w:cs="Calibri"/>
          <w:i/>
          <w:iCs/>
          <w:color w:val="000000"/>
          <w:kern w:val="0"/>
          <w:sz w:val="22"/>
          <w:szCs w:val="22"/>
          <w14:ligatures w14:val="none"/>
        </w:rPr>
        <w:t>Eptesicus fuscus</w:t>
      </w:r>
      <w:r w:rsidRPr="002E40CA">
        <w:rPr>
          <w:rFonts w:ascii="Calibri" w:eastAsia="Times New Roman" w:hAnsi="Calibri" w:cs="Calibri"/>
          <w:color w:val="000000"/>
          <w:kern w:val="0"/>
          <w:sz w:val="22"/>
          <w:szCs w:val="22"/>
          <w14:ligatures w14:val="none"/>
        </w:rPr>
        <w:t>) in Pennsylvania and Nebraska. The S1 segment, associated with receptor binding and pathogenicity, also showed similarity to a strain isolated from a infant mortality case in Canada in 1997. Subsequent wastewater samples showed a rapid decline in MRV reads, with levels nearly undetectable two weeks later.</w:t>
      </w:r>
      <w:r w:rsidRPr="002E40CA">
        <w:rPr>
          <w:rFonts w:ascii="Calibri" w:eastAsia="Times New Roman" w:hAnsi="Calibri" w:cs="Calibri"/>
          <w:color w:val="000000"/>
          <w:kern w:val="0"/>
          <w:sz w:val="22"/>
          <w:szCs w:val="22"/>
          <w14:ligatures w14:val="none"/>
        </w:rPr>
        <w:br/>
        <w:t>This represents the first reported detection of MRV-2 in U.S. wastewater, likely reflecting a short-term shedding event in humans following zoonotic spillover from local bat populations. The absence of other bat-associated viruses or host DNA suggests direct fecal contamination from bats is unlikely. These findings demonstrate the potential of wastewater surveillance using VCS to detect rare or emerging viruses and support the expanded use of such tools to monitor zoonotic threats in real-time.</w:t>
      </w:r>
    </w:p>
    <w:p w14:paraId="446F85E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25-A-3923-ASTMH</w:t>
      </w:r>
    </w:p>
    <w:p w14:paraId="05719E0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One Health: The Interface of Humans, Ecosystems, and Animal Health</w:t>
      </w:r>
    </w:p>
    <w:p w14:paraId="72C75C1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Mosquito Vector Communities and Flavivirus Surveillance (SLEV and WNV) in the Mar de Ansenuza Wetland, Córdoba, Argentina</w:t>
      </w:r>
    </w:p>
    <w:p w14:paraId="65249C0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In South America, the Bañados del Río Dulce and Mar de Ansenuza constitute a temperate intracontinental wetland characterized by a high density and diversity of resident and migratory wild birds, along with abundant ornithophilic and mammalophilic mosquitoes. These wetlands often combine natural habitats with livestock and human settlements, bringing together the key elements—virus, vector, hosts, and dead-end hosts—necessary for the maintenance, transmission, and emergence of mosquito-borne viruses. Previous studies on the southern shore of Mar de Ansenuza Lake have reported the circulation of St. Louis Encephalitis Virus (SLEV) and West Nile Virus (WNV). Our objective was to describe mosquito vector communities across different habitat types and to monitor the activity of SLEV and WNV. During spring 2023, mosquitoes were collected using CDC-type light traps baited with dry ice, placed in forests, halophytic shrublands, and peri-lacustrine sites along the lake’s southern shore. We analyzed differences in mosquito community composition among these environments and performed molecular detection of SLEV and WNV in mosquito pools using real-time RT-PCR. A total of 23,369 mosquitoes representing 23 species were identified. The most abundant species were Aedes albifasciatus (51.9%) and Ae. scapularis (31.7%). The genus Culex (14.2%) was represented by Cx. acharistus, Cx. brethesi, Cx. chidesteri, Cx. dolosus, Cx. interfor-bidens complex, Cx. maxi, Cx. mollis, Cx. quinquefasciatus-bidens complex, and Cx. saltanensis, with the highest abundance and species richness in forested areas. All mosquito pools (n = 110) tested negative for both WNV and SLEV. Understanding the local distribution of arbovirus vectors and their infection rates is essential for designing effective surveillance programs. This study is part of a broader investigation aimed at characterizing the wetland as a potential site for the amplification and dispersal of arboviruses via migratory birds.</w:t>
      </w:r>
    </w:p>
    <w:p w14:paraId="4882588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25-A-3925-ASTMH</w:t>
      </w:r>
    </w:p>
    <w:p w14:paraId="4B8B6F1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Pathogenesis</w:t>
      </w:r>
    </w:p>
    <w:p w14:paraId="3F32823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Measuring Reactive Oxygen Species (ROS) Accumulation in </w:t>
      </w:r>
      <w:r w:rsidRPr="002E40CA">
        <w:rPr>
          <w:rFonts w:ascii="Calibri" w:eastAsia="Times New Roman" w:hAnsi="Calibri" w:cs="Calibri"/>
          <w:i/>
          <w:iCs/>
          <w:color w:val="000000"/>
          <w:kern w:val="0"/>
          <w:sz w:val="22"/>
          <w:szCs w:val="22"/>
          <w14:ligatures w14:val="none"/>
        </w:rPr>
        <w:t>Plasmodium falciparum </w:t>
      </w:r>
      <w:r w:rsidRPr="002E40CA">
        <w:rPr>
          <w:rFonts w:ascii="Calibri" w:eastAsia="Times New Roman" w:hAnsi="Calibri" w:cs="Calibri"/>
          <w:color w:val="000000"/>
          <w:kern w:val="0"/>
          <w:sz w:val="22"/>
          <w:szCs w:val="22"/>
          <w14:ligatures w14:val="none"/>
        </w:rPr>
        <w:t>Grown in High versus Low Physiologically Relevant Oxygen Environments</w:t>
      </w:r>
    </w:p>
    <w:p w14:paraId="0FBACAF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is caused by parasites of the genus </w:t>
      </w:r>
      <w:r w:rsidRPr="002E40CA">
        <w:rPr>
          <w:rFonts w:ascii="Calibri" w:eastAsia="Times New Roman" w:hAnsi="Calibri" w:cs="Calibri"/>
          <w:i/>
          <w:iCs/>
          <w:color w:val="000000"/>
          <w:kern w:val="0"/>
          <w:sz w:val="22"/>
          <w:szCs w:val="22"/>
          <w14:ligatures w14:val="none"/>
        </w:rPr>
        <w:t>Plasmodium</w:t>
      </w:r>
      <w:r w:rsidRPr="002E40CA">
        <w:rPr>
          <w:rFonts w:ascii="Calibri" w:eastAsia="Times New Roman" w:hAnsi="Calibri" w:cs="Calibri"/>
          <w:color w:val="000000"/>
          <w:kern w:val="0"/>
          <w:sz w:val="22"/>
          <w:szCs w:val="22"/>
          <w14:ligatures w14:val="none"/>
        </w:rPr>
        <w:t>, the deadliest species being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with a global impact of over 600,000 deaths annually. During its intraerythrocytic development,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infects its host’s red blood cells (RBCs) and sequesters in different tissues sites with varying oxygen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concentrations. Within hypoxic sites such as the brain,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concentration can range from 1% to 5%, whereas in the arterial blood, the range is 12% to 13%.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replicates most efficiently </w:t>
      </w:r>
      <w:r w:rsidRPr="002E40CA">
        <w:rPr>
          <w:rFonts w:ascii="Calibri" w:eastAsia="Times New Roman" w:hAnsi="Calibri" w:cs="Calibri"/>
          <w:i/>
          <w:iCs/>
          <w:color w:val="000000"/>
          <w:kern w:val="0"/>
          <w:sz w:val="22"/>
          <w:szCs w:val="22"/>
          <w14:ligatures w14:val="none"/>
        </w:rPr>
        <w:t>in vitro</w:t>
      </w:r>
      <w:r w:rsidRPr="002E40CA">
        <w:rPr>
          <w:rFonts w:ascii="Calibri" w:eastAsia="Times New Roman" w:hAnsi="Calibri" w:cs="Calibri"/>
          <w:color w:val="000000"/>
          <w:kern w:val="0"/>
          <w:sz w:val="22"/>
          <w:szCs w:val="22"/>
          <w14:ligatures w14:val="none"/>
        </w:rPr>
        <w:t> in hypoxic conditions (0.5-5%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during its asexual intraerythrocytic development.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can replicate in higher O</w:t>
      </w:r>
      <w:r w:rsidRPr="002E40CA">
        <w:rPr>
          <w:rFonts w:ascii="Calibri" w:eastAsia="Times New Roman" w:hAnsi="Calibri" w:cs="Calibri"/>
          <w:color w:val="000000"/>
          <w:kern w:val="0"/>
          <w:sz w:val="22"/>
          <w:szCs w:val="22"/>
          <w:vertAlign w:val="subscript"/>
          <w14:ligatures w14:val="none"/>
        </w:rPr>
        <w:t>2 </w:t>
      </w:r>
      <w:r w:rsidRPr="002E40CA">
        <w:rPr>
          <w:rFonts w:ascii="Calibri" w:eastAsia="Times New Roman" w:hAnsi="Calibri" w:cs="Calibri"/>
          <w:color w:val="000000"/>
          <w:kern w:val="0"/>
          <w:sz w:val="22"/>
          <w:szCs w:val="22"/>
          <w14:ligatures w14:val="none"/>
        </w:rPr>
        <w:t>environments, albeit replication is slower. The mechanism(s) underlying the variability in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intraerythrocytic replication rate according to O</w:t>
      </w:r>
      <w:r w:rsidRPr="002E40CA">
        <w:rPr>
          <w:rFonts w:ascii="Calibri" w:eastAsia="Times New Roman" w:hAnsi="Calibri" w:cs="Calibri"/>
          <w:color w:val="000000"/>
          <w:kern w:val="0"/>
          <w:sz w:val="22"/>
          <w:szCs w:val="22"/>
          <w:vertAlign w:val="subscript"/>
          <w14:ligatures w14:val="none"/>
        </w:rPr>
        <w:t>2 </w:t>
      </w:r>
      <w:r w:rsidRPr="002E40CA">
        <w:rPr>
          <w:rFonts w:ascii="Calibri" w:eastAsia="Times New Roman" w:hAnsi="Calibri" w:cs="Calibri"/>
          <w:color w:val="000000"/>
          <w:kern w:val="0"/>
          <w:sz w:val="22"/>
          <w:szCs w:val="22"/>
          <w14:ligatures w14:val="none"/>
        </w:rPr>
        <w:t>concentration have not been elucidated. One hypothesis for why higher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may result in slower replication is higher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environments may induce more oxidative stress within the parasite. Here we quantify ROS in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parasites grown under varying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concentrations, mimicking the range observed in the human body. We hypothesize </w:t>
      </w:r>
      <w:r w:rsidRPr="002E40CA">
        <w:rPr>
          <w:rFonts w:ascii="Calibri" w:eastAsia="Times New Roman" w:hAnsi="Calibri" w:cs="Calibri"/>
          <w:i/>
          <w:iCs/>
          <w:color w:val="000000"/>
          <w:kern w:val="0"/>
          <w:sz w:val="22"/>
          <w:szCs w:val="22"/>
          <w14:ligatures w14:val="none"/>
        </w:rPr>
        <w:t>P. falciparum </w:t>
      </w:r>
      <w:r w:rsidRPr="002E40CA">
        <w:rPr>
          <w:rFonts w:ascii="Calibri" w:eastAsia="Times New Roman" w:hAnsi="Calibri" w:cs="Calibri"/>
          <w:color w:val="000000"/>
          <w:kern w:val="0"/>
          <w:sz w:val="22"/>
          <w:szCs w:val="22"/>
          <w14:ligatures w14:val="none"/>
        </w:rPr>
        <w:t>parasites grown in 13%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(normoxia; high end of physiological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will have higher levels of intracellular ROS accumulation compared to those grown in 1% O</w:t>
      </w:r>
      <w:r w:rsidRPr="002E40CA">
        <w:rPr>
          <w:rFonts w:ascii="Calibri" w:eastAsia="Times New Roman" w:hAnsi="Calibri" w:cs="Calibri"/>
          <w:color w:val="000000"/>
          <w:kern w:val="0"/>
          <w:sz w:val="22"/>
          <w:szCs w:val="22"/>
          <w:vertAlign w:val="subscript"/>
          <w14:ligatures w14:val="none"/>
        </w:rPr>
        <w:t>2 </w:t>
      </w:r>
      <w:r w:rsidRPr="002E40CA">
        <w:rPr>
          <w:rFonts w:ascii="Calibri" w:eastAsia="Times New Roman" w:hAnsi="Calibri" w:cs="Calibri"/>
          <w:color w:val="000000"/>
          <w:kern w:val="0"/>
          <w:sz w:val="22"/>
          <w:szCs w:val="22"/>
          <w14:ligatures w14:val="none"/>
        </w:rPr>
        <w:t>(hypoxia; low end of physiological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We use two fluorescence-based ROS indicators: dichlorodihydrofluorescein diacetate (DCFDA) for measuring general ROS accumulation in the cell and mitochondria peroxy-yellow 1 (MitoPY1) for H</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accumulation in the mitochondria. Fluorescence intensity is captured at 48hr intervals using flow cytometry and fluorescence microscopy. We observe significantly higher fluorescence intensity of both DCFDA and MitoPY1 in parasites grown in 13%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compared to 1%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and we expect further validation using flow cytometry methods. The results of this study will provide us a better understanding of the potential role of oxidative stress as a mechanism underlying the observed replication rate differences in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in high versus low O</w:t>
      </w:r>
      <w:r w:rsidRPr="002E40CA">
        <w:rPr>
          <w:rFonts w:ascii="Calibri" w:eastAsia="Times New Roman" w:hAnsi="Calibri" w:cs="Calibri"/>
          <w:color w:val="000000"/>
          <w:kern w:val="0"/>
          <w:sz w:val="22"/>
          <w:szCs w:val="22"/>
          <w:vertAlign w:val="subscript"/>
          <w14:ligatures w14:val="none"/>
        </w:rPr>
        <w:t>2</w:t>
      </w:r>
      <w:r w:rsidRPr="002E40CA">
        <w:rPr>
          <w:rFonts w:ascii="Calibri" w:eastAsia="Times New Roman" w:hAnsi="Calibri" w:cs="Calibri"/>
          <w:color w:val="000000"/>
          <w:kern w:val="0"/>
          <w:sz w:val="22"/>
          <w:szCs w:val="22"/>
          <w14:ligatures w14:val="none"/>
        </w:rPr>
        <w:t> conditions.</w:t>
      </w:r>
    </w:p>
    <w:p w14:paraId="0C09C5D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25-A-3926-ASTMH</w:t>
      </w:r>
    </w:p>
    <w:p w14:paraId="6DF7ADF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Biology and Genetics of Insecticide Resistance</w:t>
      </w:r>
    </w:p>
    <w:p w14:paraId="51D97C9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lastRenderedPageBreak/>
        <w:t>Transcriptomic Insights into Insecticide Resistance in </w:t>
      </w:r>
      <w:r w:rsidRPr="002E40CA">
        <w:rPr>
          <w:rFonts w:ascii="Calibri" w:eastAsia="Times New Roman" w:hAnsi="Calibri" w:cs="Calibri"/>
          <w:b/>
          <w:bCs/>
          <w:i/>
          <w:iCs/>
          <w:color w:val="000000"/>
          <w:kern w:val="0"/>
          <w:sz w:val="22"/>
          <w:szCs w:val="22"/>
          <w14:ligatures w14:val="none"/>
        </w:rPr>
        <w:t>Aedes aegypti </w:t>
      </w:r>
      <w:r w:rsidRPr="002E40CA">
        <w:rPr>
          <w:rFonts w:ascii="Calibri" w:eastAsia="Times New Roman" w:hAnsi="Calibri" w:cs="Calibri"/>
          <w:b/>
          <w:bCs/>
          <w:color w:val="000000"/>
          <w:kern w:val="0"/>
          <w:sz w:val="22"/>
          <w:szCs w:val="22"/>
          <w14:ligatures w14:val="none"/>
        </w:rPr>
        <w:t>from Kingston and St. Andrew, Jamaica</w:t>
      </w:r>
    </w:p>
    <w:p w14:paraId="1F8CF4E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i/>
          <w:iCs/>
          <w:color w:val="000000"/>
          <w:kern w:val="0"/>
          <w:sz w:val="22"/>
          <w:szCs w:val="22"/>
          <w14:ligatures w14:val="none"/>
        </w:rPr>
        <w:t>Aedes aegypti</w:t>
      </w:r>
      <w:r w:rsidRPr="002E40CA">
        <w:rPr>
          <w:rFonts w:ascii="Calibri" w:eastAsia="Times New Roman" w:hAnsi="Calibri" w:cs="Calibri"/>
          <w:color w:val="000000"/>
          <w:kern w:val="0"/>
          <w:sz w:val="22"/>
          <w:szCs w:val="22"/>
          <w14:ligatures w14:val="none"/>
        </w:rPr>
        <w:t> mosquitoes are major vectors of arboviruses including dengue, chikungunya, and Zika, posing persistent public health challenges, particularly in tropical regions like Jamaica. Insecticides remain central to vector control programs; however, increasing resistance threatens their effectiveness and highlights the need for molecular surveillance to support resistance management strategies.CDC bottle bioassays conducted on </w:t>
      </w:r>
      <w:r w:rsidRPr="002E40CA">
        <w:rPr>
          <w:rFonts w:ascii="Calibri" w:eastAsia="Times New Roman" w:hAnsi="Calibri" w:cs="Calibri"/>
          <w:i/>
          <w:iCs/>
          <w:color w:val="000000"/>
          <w:kern w:val="0"/>
          <w:sz w:val="22"/>
          <w:szCs w:val="22"/>
          <w14:ligatures w14:val="none"/>
        </w:rPr>
        <w:t>Ae. aegypti</w:t>
      </w:r>
      <w:r w:rsidRPr="002E40CA">
        <w:rPr>
          <w:rFonts w:ascii="Calibri" w:eastAsia="Times New Roman" w:hAnsi="Calibri" w:cs="Calibri"/>
          <w:color w:val="000000"/>
          <w:kern w:val="0"/>
          <w:sz w:val="22"/>
          <w:szCs w:val="22"/>
          <w14:ligatures w14:val="none"/>
        </w:rPr>
        <w:t> collected from Kingston and St. Andrew (KSA), Jamaica, revealed significant resistance to malathion (50 µg active ingredient), with ≤50% mortality at the 30-minute diagnostic time. To investigate the underlying resistance mechanisms, we performed transcriptomic profiling using Illumina RNA sequencing—the first such study in Jamaica—on mosquitoes resistant to both malathion and the insect growth regulator pyriproxyfen (PPF).Our analysis revealed extensive upregulation of detoxification-related genes, including cytochrome P450 monooxygenases and glutathione S-transferases (GSTs) commonly overexpressed in malathion-resistant mosquitoes. Notably, CYP325M3, CYP325Q1, and CYP325T2 were uniquely upregulated in PPF-resistant mosquitoes, while no upregulated GSTs were detected in this group. Structural proteins, such as cuticle and juvenile hormone-inducible proteins, as well as several odorant-binding proteins (OBP4, OBP10, OBP12, OBP18, OBP35) and serine proteases were over expressed in both groups. This study presents the first report of upregulated OBPs in </w:t>
      </w:r>
      <w:r w:rsidRPr="002E40CA">
        <w:rPr>
          <w:rFonts w:ascii="Calibri" w:eastAsia="Times New Roman" w:hAnsi="Calibri" w:cs="Calibri"/>
          <w:i/>
          <w:iCs/>
          <w:color w:val="000000"/>
          <w:kern w:val="0"/>
          <w:sz w:val="22"/>
          <w:szCs w:val="22"/>
          <w14:ligatures w14:val="none"/>
        </w:rPr>
        <w:t>Ae. aegypti</w:t>
      </w:r>
      <w:r w:rsidRPr="002E40CA">
        <w:rPr>
          <w:rFonts w:ascii="Calibri" w:eastAsia="Times New Roman" w:hAnsi="Calibri" w:cs="Calibri"/>
          <w:color w:val="000000"/>
          <w:kern w:val="0"/>
          <w:sz w:val="22"/>
          <w:szCs w:val="22"/>
          <w14:ligatures w14:val="none"/>
        </w:rPr>
        <w:t> from Latin America and the Caribbean. OBPs have been linked to insecticide resistance, and while serine proteases are associated with deltamethrin resistance, their roles in resistance to organophosphates and growth regulators remain unclear and warrant further investigation. Their overexpression may contribute to multi-insecticide resistance in </w:t>
      </w:r>
      <w:r w:rsidRPr="002E40CA">
        <w:rPr>
          <w:rFonts w:ascii="Calibri" w:eastAsia="Times New Roman" w:hAnsi="Calibri" w:cs="Calibri"/>
          <w:i/>
          <w:iCs/>
          <w:color w:val="000000"/>
          <w:kern w:val="0"/>
          <w:sz w:val="22"/>
          <w:szCs w:val="22"/>
          <w14:ligatures w14:val="none"/>
        </w:rPr>
        <w:t>Ae. aegypti</w:t>
      </w:r>
      <w:r w:rsidRPr="002E40CA">
        <w:rPr>
          <w:rFonts w:ascii="Calibri" w:eastAsia="Times New Roman" w:hAnsi="Calibri" w:cs="Calibri"/>
          <w:color w:val="000000"/>
          <w:kern w:val="0"/>
          <w:sz w:val="22"/>
          <w:szCs w:val="22"/>
          <w14:ligatures w14:val="none"/>
        </w:rPr>
        <w:t>.These findings highlight the complexity of resistance mechanisms and identify key molecular markers to inform diagnostic tool development and strengthen mosquito control efforts.</w:t>
      </w:r>
    </w:p>
    <w:p w14:paraId="7D9B680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25-A-3927-ASTMH</w:t>
      </w:r>
    </w:p>
    <w:p w14:paraId="4DF1C96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Prevention</w:t>
      </w:r>
    </w:p>
    <w:p w14:paraId="4FC8429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Enhancing Cohort Retention through supervision: Lessons from the 2024 Seasonal Malaria Chemoprevention Implementation in Katsina and Taraba States, Nigeria</w:t>
      </w:r>
    </w:p>
    <w:p w14:paraId="50AE9FD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Seasonal Malaria Chemoprevention (SMC) aims to prevent malaria in children under five in regions with high seasonal transmission through monthly administration of Sulphadoxine-Pyrimethamine plus Amodiaquine (SPAQ) over four to five cycles, usually June to October. In 2023, Nigeria’s National Malaria Elimination Programme (NMEP) implemented electronic cohort tracking using the NMEP OneApp platform to monitor SPAQ administration and adherence. From Cycle 2, cohort tracking referenced children from Cycle 1 using unique beneficiary IDs. However, because of repeated ID use involving name-based selection, retention rates were low especially in states in northern Nigeria like Katsina and Taraba where similar names are common. Retention rates were 54% in Katsina and 53% in Taraba in 2023. In 2024, Management Sciences for Health (MSH), with funding from the Global Fund to Fight AIDS, TB and Malaria, in collaboration with Catholic Relief Services (CRS) and NMEP, implemented improved strategies such as enhanced supervision across all levels, geo-fencing of beneficiary IDs, and improved ID search functionality. Reinforced capacity building throughout Cycles 2-4 ensured that Community Drug Distributors (CDDs) received guidance on accurate data entry and adherence to protocols. Real-time monitoring tools supported implementation: (1) Excel-based Data Validation Templates detected ID duplication and missed doses; (2) GIS Tracker (“Supervisors Watch”) provided daily updates on coverage gaps and supervision levels; and (3) Power BI enabled real-time indicator analysis and geospatial reviews. As a result, cohort retention rose to 84% in Katsina and 89% in Taraba—a 30% increase. Drop-off rates declined from 10% to 3% (Cycles 2-3) and 15% to 4% (Cycles 3-4) between 2023 and 2024. Geospatial tracking improved supervisory coverage. Administrative supervision remained above 99% per cycle. The intervention shows that data-driven strategies, real-time monitoring, and regular feedback can significantly improve SMC outcomes and cohort retention.</w:t>
      </w:r>
    </w:p>
    <w:p w14:paraId="563631C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25-A-3928-ASTMH</w:t>
      </w:r>
    </w:p>
    <w:p w14:paraId="781F734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Cestodes (including taeniasis and cysticercosis, echinococcosis/hydatid disease, and others)</w:t>
      </w:r>
    </w:p>
    <w:p w14:paraId="6995830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Neurocysticercosis antigens specifically modulate astrocyte polarization via monocyte crosstalk</w:t>
      </w:r>
    </w:p>
    <w:p w14:paraId="27D01AC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Neurocysticercosis (NCC) is the brain infection by </w:t>
      </w:r>
      <w:r w:rsidRPr="002E40CA">
        <w:rPr>
          <w:rFonts w:ascii="Calibri" w:eastAsia="Times New Roman" w:hAnsi="Calibri" w:cs="Calibri"/>
          <w:i/>
          <w:iCs/>
          <w:color w:val="000000"/>
          <w:kern w:val="0"/>
          <w:sz w:val="22"/>
          <w:szCs w:val="22"/>
          <w14:ligatures w14:val="none"/>
        </w:rPr>
        <w:t>Taenia solium</w:t>
      </w:r>
      <w:r w:rsidRPr="002E40CA">
        <w:rPr>
          <w:rFonts w:ascii="Calibri" w:eastAsia="Times New Roman" w:hAnsi="Calibri" w:cs="Calibri"/>
          <w:color w:val="000000"/>
          <w:kern w:val="0"/>
          <w:sz w:val="22"/>
          <w:szCs w:val="22"/>
          <w14:ligatures w14:val="none"/>
        </w:rPr>
        <w:t> cysts that cause significant neuroinflammation, contributing to acquired epilepsy cases worldwide. Astrocytes are key mediators of neuroinflammation relating to different phenotypes: A1 (neurotoxic) and A2 (neuroprotective). We previously demonstrated crosstalk between monocytes and astrocytes when stimulated with </w:t>
      </w:r>
      <w:r w:rsidRPr="002E40CA">
        <w:rPr>
          <w:rFonts w:ascii="Calibri" w:eastAsia="Times New Roman" w:hAnsi="Calibri" w:cs="Calibri"/>
          <w:i/>
          <w:iCs/>
          <w:color w:val="000000"/>
          <w:kern w:val="0"/>
          <w:sz w:val="22"/>
          <w:szCs w:val="22"/>
          <w14:ligatures w14:val="none"/>
        </w:rPr>
        <w:t>T solium </w:t>
      </w:r>
      <w:r w:rsidRPr="002E40CA">
        <w:rPr>
          <w:rFonts w:ascii="Calibri" w:eastAsia="Times New Roman" w:hAnsi="Calibri" w:cs="Calibri"/>
          <w:color w:val="000000"/>
          <w:kern w:val="0"/>
          <w:sz w:val="22"/>
          <w:szCs w:val="22"/>
          <w14:ligatures w14:val="none"/>
        </w:rPr>
        <w:t>total antigen. However, whether other parasite antigens can impact astrocytes phenotype remain underexplored. We aim to investigate how immune networks mediated by parasite antigens-stimulated monocytes influence astrocyte phenotype. Human astrocytes were stimulated with conditioned media from monocytes stimulated with total antigen (CoMTsol), rT24H (CoMT24), vesicular fluid (CoMVF) and 8kDa (CoM8kda) antigens for 8, 24 and 48h to monitor changes in astrocyte phenotype. Secretion and gene expression of IL-6 were quantified as a measure of neuroinflammation. Astrocytes polarization to A1 phenotype was analyzed by gene expression, targeting C3 gene (for A1) and S100A (for A2). </w:t>
      </w:r>
      <w:r w:rsidRPr="002E40CA">
        <w:rPr>
          <w:rFonts w:ascii="Calibri" w:eastAsia="Times New Roman" w:hAnsi="Calibri" w:cs="Calibri"/>
          <w:b/>
          <w:bCs/>
          <w:color w:val="000000"/>
          <w:kern w:val="0"/>
          <w:sz w:val="22"/>
          <w:szCs w:val="22"/>
          <w14:ligatures w14:val="none"/>
        </w:rPr>
        <w:t> </w:t>
      </w:r>
      <w:r w:rsidRPr="002E40CA">
        <w:rPr>
          <w:rFonts w:ascii="Calibri" w:eastAsia="Times New Roman" w:hAnsi="Calibri" w:cs="Calibri"/>
          <w:color w:val="000000"/>
          <w:kern w:val="0"/>
          <w:sz w:val="22"/>
          <w:szCs w:val="22"/>
          <w14:ligatures w14:val="none"/>
        </w:rPr>
        <w:t>We observed that astrocytes exposed to CoMTsol and CoMT24 showed a significant shift towards the A1 neurotoxic phenotype, as evidenced by upregulation of C3 gene expression starting at 8h post-stimulation compared to controls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=0.009 and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=0.031, respectively). Increased IL-6 secretion was also observed in CoMTsol and CoMT24-stimulated astrocytes from 24h (2199.47 and 1900.05 µg/ml, respectively). In contrast, astrocytes stimulated with CoMVF and CoM8kda maintained an A2 phenotype, consistent with elevated gene expression of S100A. This study demonstrates that monocyte activation by different </w:t>
      </w:r>
      <w:r w:rsidRPr="002E40CA">
        <w:rPr>
          <w:rFonts w:ascii="Calibri" w:eastAsia="Times New Roman" w:hAnsi="Calibri" w:cs="Calibri"/>
          <w:i/>
          <w:iCs/>
          <w:color w:val="000000"/>
          <w:kern w:val="0"/>
          <w:sz w:val="22"/>
          <w:szCs w:val="22"/>
          <w14:ligatures w14:val="none"/>
        </w:rPr>
        <w:t>T. solium</w:t>
      </w:r>
      <w:r w:rsidRPr="002E40CA">
        <w:rPr>
          <w:rFonts w:ascii="Calibri" w:eastAsia="Times New Roman" w:hAnsi="Calibri" w:cs="Calibri"/>
          <w:color w:val="000000"/>
          <w:kern w:val="0"/>
          <w:sz w:val="22"/>
          <w:szCs w:val="22"/>
          <w14:ligatures w14:val="none"/>
        </w:rPr>
        <w:t> antigens promote specific reprogramming to a pro-inflammatory phenotype in astrocytes. Understanding the signals governing astrocyte polarization is critical to uncovering the mechanisms of parasite-induced neuropathology and a new opportunity to propose a therapeutic strategy in neuroinflammation due to NCC.</w:t>
      </w:r>
    </w:p>
    <w:p w14:paraId="75A0147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25-A-3929-ASTMH</w:t>
      </w:r>
    </w:p>
    <w:p w14:paraId="193E00B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Bacteriology - Other Bacterial Infections</w:t>
      </w:r>
    </w:p>
    <w:p w14:paraId="7AADF3B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Poly (caprolactone) Microneedles is able to induce Immune Responses against KLH-DNP</w:t>
      </w:r>
    </w:p>
    <w:p w14:paraId="7E6CD7F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Introduction:</w:t>
      </w:r>
      <w:r w:rsidRPr="002E40CA">
        <w:rPr>
          <w:rFonts w:ascii="Calibri" w:eastAsia="Times New Roman" w:hAnsi="Calibri" w:cs="Calibri"/>
          <w:color w:val="000000"/>
          <w:kern w:val="0"/>
          <w:sz w:val="22"/>
          <w:szCs w:val="22"/>
          <w14:ligatures w14:val="none"/>
        </w:rPr>
        <w:t> Vaccination is important for disease prevention, but issues related to pain and discomfort, still contribute to vaccine hesitancy. Microneedles (MNs) offer a less invasive alternative, enabling antigen (Ag) delivery into the skin. MNs made of biocompatible polymers, like poly(caprolactone) (PCL) provide adequate coverage and dissolve easily after insertion, releasing Ags efficiently. These innovations may improve vaccine acceptance while inducing a strong, lasting immune response. </w:t>
      </w:r>
      <w:r w:rsidRPr="002E40CA">
        <w:rPr>
          <w:rFonts w:ascii="Calibri" w:eastAsia="Times New Roman" w:hAnsi="Calibri" w:cs="Calibri"/>
          <w:b/>
          <w:bCs/>
          <w:color w:val="000000"/>
          <w:kern w:val="0"/>
          <w:sz w:val="22"/>
          <w:szCs w:val="22"/>
          <w14:ligatures w14:val="none"/>
        </w:rPr>
        <w:t>Objective</w:t>
      </w:r>
      <w:r w:rsidRPr="002E40CA">
        <w:rPr>
          <w:rFonts w:ascii="Calibri" w:eastAsia="Times New Roman" w:hAnsi="Calibri" w:cs="Calibri"/>
          <w:color w:val="000000"/>
          <w:kern w:val="0"/>
          <w:sz w:val="22"/>
          <w:szCs w:val="22"/>
          <w14:ligatures w14:val="none"/>
        </w:rPr>
        <w:t>: This study evaluates whether KLH-DNP coated PCL-MNs can act as a vaccine delivery platform and generate antibodies. </w:t>
      </w:r>
      <w:r w:rsidRPr="002E40CA">
        <w:rPr>
          <w:rFonts w:ascii="Calibri" w:eastAsia="Times New Roman" w:hAnsi="Calibri" w:cs="Calibri"/>
          <w:b/>
          <w:bCs/>
          <w:color w:val="000000"/>
          <w:kern w:val="0"/>
          <w:sz w:val="22"/>
          <w:szCs w:val="22"/>
          <w14:ligatures w14:val="none"/>
        </w:rPr>
        <w:t>Methodology</w:t>
      </w:r>
      <w:r w:rsidRPr="002E40CA">
        <w:rPr>
          <w:rFonts w:ascii="Calibri" w:eastAsia="Times New Roman" w:hAnsi="Calibri" w:cs="Calibri"/>
          <w:color w:val="000000"/>
          <w:kern w:val="0"/>
          <w:sz w:val="22"/>
          <w:szCs w:val="22"/>
          <w14:ligatures w14:val="none"/>
        </w:rPr>
        <w:t>: PCL-MNs were constructed using either 4% alginate or 20% PVA. Rhodamine-loaded PCL-MNs were used to evaluate the release time, monitored by spectrophotometry. BALB/c mice were immunized with KLH-DNP MNs on day 0 and boosted on day 30. Serum samples were collected to analysis anti-DNP IgG titres and supernant of cultured spleen cells were collected to analysis the cytokine production. </w:t>
      </w:r>
      <w:r w:rsidRPr="002E40CA">
        <w:rPr>
          <w:rFonts w:ascii="Calibri" w:eastAsia="Times New Roman" w:hAnsi="Calibri" w:cs="Calibri"/>
          <w:b/>
          <w:bCs/>
          <w:color w:val="000000"/>
          <w:kern w:val="0"/>
          <w:sz w:val="22"/>
          <w:szCs w:val="22"/>
          <w14:ligatures w14:val="none"/>
        </w:rPr>
        <w:t>Results</w:t>
      </w:r>
      <w:r w:rsidRPr="002E40CA">
        <w:rPr>
          <w:rFonts w:ascii="Calibri" w:eastAsia="Times New Roman" w:hAnsi="Calibri" w:cs="Calibri"/>
          <w:color w:val="000000"/>
          <w:kern w:val="0"/>
          <w:sz w:val="22"/>
          <w:szCs w:val="22"/>
          <w14:ligatures w14:val="none"/>
        </w:rPr>
        <w:t>: PCL-PVA20% MNs showed faster rhodamine release compared to PCL-alginate4%. Anti-DNP IgG levels were detected, with a significant increase after the booster, indicating successful immune activation. Higher IgG1 than IgG2 levels suggested a Th2-mediated humoral response. Increased INF-gamma and IL-10 production indicated controlled cell immune activation. </w:t>
      </w:r>
      <w:r w:rsidRPr="002E40CA">
        <w:rPr>
          <w:rFonts w:ascii="Calibri" w:eastAsia="Times New Roman" w:hAnsi="Calibri" w:cs="Calibri"/>
          <w:b/>
          <w:bCs/>
          <w:color w:val="000000"/>
          <w:kern w:val="0"/>
          <w:sz w:val="22"/>
          <w:szCs w:val="22"/>
          <w14:ligatures w14:val="none"/>
        </w:rPr>
        <w:t>Conclusion</w:t>
      </w:r>
      <w:r w:rsidRPr="002E40CA">
        <w:rPr>
          <w:rFonts w:ascii="Calibri" w:eastAsia="Times New Roman" w:hAnsi="Calibri" w:cs="Calibri"/>
          <w:color w:val="000000"/>
          <w:kern w:val="0"/>
          <w:sz w:val="22"/>
          <w:szCs w:val="22"/>
          <w14:ligatures w14:val="none"/>
        </w:rPr>
        <w:t>: PCL-PVA20% MNs showed as a promising vaccine platform able to delivering KLH-DNP and inducing a favorable immune response. Now, new vaccine antigens, such as leptospiral proteins may be assayed in this plattform.</w:t>
      </w:r>
    </w:p>
    <w:p w14:paraId="30A679B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25-A-3930-ASTMH</w:t>
      </w:r>
    </w:p>
    <w:p w14:paraId="7D996BD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01CA7CE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Elimination of Visceral Leishmaniasis as a Public Health Problem in Kenya: Progress, Challenges, and Lessons Learnt</w:t>
      </w:r>
    </w:p>
    <w:p w14:paraId="5025AE1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Visceral leishmaniasis (VL) remains a significant public health problem in Kenya, with endemicity reported in 11 counties, predominantly in arid and semi-arid regions. This study assessed VL epidemiological trends, treatment outcomes, and programmatic progress towards elimination using national surveillance data from 2005-2023 reported to the WHO Global Health Observatory. A total of 13,143 VL cases were reported over the study period, with increasing case detection since 2017 attributed to improved surveillance and reporting systems. Children under 14 years accounted for 68% of cases, with a male-to-female ratio of 2:1, reflecting social and behavioural exposure patterns. Seasonal transmission peaks were observed between May and July, coinciding with sandfly activity. Most cases were reported from Marsabit, Wajir, West Pokot, and Turkana counties. HIV-VL coinfection prevalence remained low (&lt;1%), while post-kala-azar dermal leishmaniasis (PKDL) was rarely reported, likely due to underdiagnosis. Treatment outcomes showed initial cure in 77% of cases, with definitive cure confirmed in 96% of those followed for 6 months. However, long-term follow-up remained limited. Key programmatic milestones included the adoption of WHO-recommended integrated case management guidelines, expanded access to diagnostics and first-line treatment, and alignment with the Eastern Africa VL elimination targets for 2030. Challenges identified include suboptimal follow-up of cases, underreporting of PKDL, variable case fatality documentation, and the need for sustained political commitment and domestic financing. Recommendations for Kenya’s elimination roadmap include revising case management guidelines, strengthening surveillance, integrating leishmaniasis activities into county health plans, updating endemicity maps, and enhancing community-based case detection. This analysis underscores the importance of integrated surveillance systems, capacity building, and strategic partnerships in VL control. Continued technical and financial investments are critical for Kenya to achieve its 2030 VL elimination targets.</w:t>
      </w:r>
    </w:p>
    <w:p w14:paraId="50936BF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25-A-3931-ASTMH</w:t>
      </w:r>
    </w:p>
    <w:p w14:paraId="42A2A10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74085465" w14:textId="25F473DF"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Environmental and Infrastructural Drivers of Aedes spp. Mosquito Abundance in Houston, Texas, USA</w:t>
      </w:r>
    </w:p>
    <w:p w14:paraId="7E9A922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Mosquito-borne diseases are a growing public health threat, driven by climate change, urbanization, and aging urban infrastructure. Houston, Texas, is a climate-vulnerable major metropolitan center with one of the largest populations in the United States located along the subtropical Gulf Coast. Consequently, Houston is disproportionately vulnerable to the emergence of </w:t>
      </w:r>
      <w:r w:rsidRPr="002E40CA">
        <w:rPr>
          <w:rFonts w:ascii="Calibri" w:eastAsia="Times New Roman" w:hAnsi="Calibri" w:cs="Calibri"/>
          <w:i/>
          <w:iCs/>
          <w:color w:val="000000"/>
          <w:kern w:val="0"/>
          <w:sz w:val="22"/>
          <w:szCs w:val="22"/>
          <w14:ligatures w14:val="none"/>
        </w:rPr>
        <w:t>Aedes</w:t>
      </w:r>
      <w:r w:rsidRPr="002E40CA">
        <w:rPr>
          <w:rFonts w:ascii="Calibri" w:eastAsia="Times New Roman" w:hAnsi="Calibri" w:cs="Calibri"/>
          <w:color w:val="000000"/>
          <w:kern w:val="0"/>
          <w:sz w:val="22"/>
          <w:szCs w:val="22"/>
          <w14:ligatures w14:val="none"/>
        </w:rPr>
        <w:t>-borne diseases, such as dengue, Zika, and chikungunya. Leveraging extensive mosquito surveillance data, Houston provides a unique opportunity to investigate fine-scale spatial trends in key vector species. In prior analyses using 2018-2022 data, spatial hotspot detection with the Getis-Ord Gi* statistic identified areas of elevated </w:t>
      </w:r>
      <w:r w:rsidRPr="002E40CA">
        <w:rPr>
          <w:rFonts w:ascii="Calibri" w:eastAsia="Times New Roman" w:hAnsi="Calibri" w:cs="Calibri"/>
          <w:i/>
          <w:iCs/>
          <w:color w:val="000000"/>
          <w:kern w:val="0"/>
          <w:sz w:val="22"/>
          <w:szCs w:val="22"/>
          <w14:ligatures w14:val="none"/>
        </w:rPr>
        <w:t>Ae. aegypti </w:t>
      </w:r>
      <w:r w:rsidRPr="002E40CA">
        <w:rPr>
          <w:rFonts w:ascii="Calibri" w:eastAsia="Times New Roman" w:hAnsi="Calibri" w:cs="Calibri"/>
          <w:color w:val="000000"/>
          <w:kern w:val="0"/>
          <w:sz w:val="22"/>
          <w:szCs w:val="22"/>
          <w14:ligatures w14:val="none"/>
        </w:rPr>
        <w:t>and </w:t>
      </w:r>
      <w:r w:rsidRPr="002E40CA">
        <w:rPr>
          <w:rFonts w:ascii="Calibri" w:eastAsia="Times New Roman" w:hAnsi="Calibri" w:cs="Calibri"/>
          <w:i/>
          <w:iCs/>
          <w:color w:val="000000"/>
          <w:kern w:val="0"/>
          <w:sz w:val="22"/>
          <w:szCs w:val="22"/>
          <w14:ligatures w14:val="none"/>
        </w:rPr>
        <w:t>Ae. albopictus </w:t>
      </w:r>
      <w:r w:rsidRPr="002E40CA">
        <w:rPr>
          <w:rFonts w:ascii="Calibri" w:eastAsia="Times New Roman" w:hAnsi="Calibri" w:cs="Calibri"/>
          <w:color w:val="000000"/>
          <w:kern w:val="0"/>
          <w:sz w:val="22"/>
          <w:szCs w:val="22"/>
          <w14:ligatures w14:val="none"/>
        </w:rPr>
        <w:t>abundance, with </w:t>
      </w:r>
      <w:r w:rsidRPr="002E40CA">
        <w:rPr>
          <w:rFonts w:ascii="Calibri" w:eastAsia="Times New Roman" w:hAnsi="Calibri" w:cs="Calibri"/>
          <w:i/>
          <w:iCs/>
          <w:color w:val="000000"/>
          <w:kern w:val="0"/>
          <w:sz w:val="22"/>
          <w:szCs w:val="22"/>
          <w14:ligatures w14:val="none"/>
        </w:rPr>
        <w:t>Ae. aegypti </w:t>
      </w:r>
      <w:r w:rsidRPr="002E40CA">
        <w:rPr>
          <w:rFonts w:ascii="Calibri" w:eastAsia="Times New Roman" w:hAnsi="Calibri" w:cs="Calibri"/>
          <w:color w:val="000000"/>
          <w:kern w:val="0"/>
          <w:sz w:val="22"/>
          <w:szCs w:val="22"/>
          <w14:ligatures w14:val="none"/>
        </w:rPr>
        <w:t>significantly concentrated in the densely populated urban core. To build on these findings, this study expands to incorporate environmental and infrastructure factors, such as land use classification, cemetery locations, roadside open ditch quality, storm water maintenance records, illegal dumping reports, and housing characteristics. Through geospatial analysis and modeling, we have characterized how environmental and infrastructural factors influence mosquito abundance. Preliminary analyses demonstrate that increased </w:t>
      </w:r>
      <w:r w:rsidRPr="002E40CA">
        <w:rPr>
          <w:rFonts w:ascii="Calibri" w:eastAsia="Times New Roman" w:hAnsi="Calibri" w:cs="Calibri"/>
          <w:i/>
          <w:iCs/>
          <w:color w:val="000000"/>
          <w:kern w:val="0"/>
          <w:sz w:val="22"/>
          <w:szCs w:val="22"/>
          <w14:ligatures w14:val="none"/>
        </w:rPr>
        <w:t>Aedes </w:t>
      </w:r>
      <w:r w:rsidRPr="002E40CA">
        <w:rPr>
          <w:rFonts w:ascii="Calibri" w:eastAsia="Times New Roman" w:hAnsi="Calibri" w:cs="Calibri"/>
          <w:color w:val="000000"/>
          <w:kern w:val="0"/>
          <w:sz w:val="22"/>
          <w:szCs w:val="22"/>
          <w14:ligatures w14:val="none"/>
        </w:rPr>
        <w:t>abundance is significantly associated with older housing stock, with median home ages in hotspots approximately 20-30 years older than those in non-significant areas. By linking mosquito population dynamics to neighborhood-level infrastructure and environmental conditions, this research aims to create a risk stratification framework for predicting </w:t>
      </w:r>
      <w:r w:rsidRPr="002E40CA">
        <w:rPr>
          <w:rFonts w:ascii="Calibri" w:eastAsia="Times New Roman" w:hAnsi="Calibri" w:cs="Calibri"/>
          <w:i/>
          <w:iCs/>
          <w:color w:val="000000"/>
          <w:kern w:val="0"/>
          <w:sz w:val="22"/>
          <w:szCs w:val="22"/>
          <w14:ligatures w14:val="none"/>
        </w:rPr>
        <w:t>Aedes </w:t>
      </w:r>
      <w:r w:rsidRPr="002E40CA">
        <w:rPr>
          <w:rFonts w:ascii="Calibri" w:eastAsia="Times New Roman" w:hAnsi="Calibri" w:cs="Calibri"/>
          <w:color w:val="000000"/>
          <w:kern w:val="0"/>
          <w:sz w:val="22"/>
          <w:szCs w:val="22"/>
          <w14:ligatures w14:val="none"/>
        </w:rPr>
        <w:t>abundance. We believe the findings will inform targeted, data-driven mosquito control strategies and highlight the importance of addressing structural and environmental inequities in urban vector-borne disease prevention.</w:t>
      </w:r>
    </w:p>
    <w:p w14:paraId="0AE534D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25-A-3933-ASTMH</w:t>
      </w:r>
    </w:p>
    <w:p w14:paraId="1628D3C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Ectoparasite-Borne Disease - Babesiosis and Lyme Disease</w:t>
      </w:r>
    </w:p>
    <w:p w14:paraId="3751518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Diverse hosts maintain Anaplasma phagocytophilum on Massachusetts islands</w:t>
      </w:r>
    </w:p>
    <w:p w14:paraId="45B2B3B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Human granulocytic anaplasmosis (HGA) caused by Anaplasma phagocytophilum is an emergent tick-borne infection in the United States. The enzootic cycle of HGA (Apha variant) is thought to depend on larval deer ticks feeding on rodent hosts, primarily mice. Human risk is modulated by the presence of a nonpathogenic variant (ApV1) which is thought to be maintained in a separate transmission cycle involving deer. Host utilization by deer ticks is often determined by local mammalian communities. The maintenance of the two HGA variants has been poorly explored. We analyzed the enzootic transmission cycles of HGA on two Massachusetts islands, Nantucket (NAN) and Martha's Vineyard (MV) by identifying the hosts upon which infected nymphal ticks had fed on as larvae. A total of 1432 host-seeking nymphs were collected by flagging in 2021 and 2022. Ticks were tested by PCR for HGA and then typed using the presence/absence of a 26bp deletion known to occur only in ApV1. Bloodmeal hosts (birds, mice, rabbits, shrews, squirrels/chipmunks, deer and cat) were identified using our published retrotransposon-targeted PCR assay. Overall, 162 (11.3%) of host-seeking nymphs were found to be infected with HGA, 5% with Apha and 6.3% with ApV1. The prevalence of Apha was similar on both islands (5%), but ApV1 was more frequent on NAN than MV (8% vs 3% p=0.00). On NAN, most of the ticks infected by ApV1 had fed on deer (70%), but on MV only 35% contained evidence of a deer bloodmeal. Feral cats contributed significantly to ApV1-infected ticks on both islands (approximately 25% each). On NAN, 8% of the ApV1 ticks had fed on mice, and on MV 18% had fed on squirrel/chipmunk. As expected for Apha, mice were commonly identified as bloodmeal hosts (25%, both islands). However, shrews were the most important host, having fed about half of the Apha-infected ticks (40% MV, 54% NAN). Other hosts were cat (6%), rabbit (1%), squirrel/chipmunk (4%), and, surprisingly, deer (1%). We conclude that HGA is being transmitted by more diverse hosts than is typically appreciated, and enzootic cycles vary with local mammalian communities.&lt;!--EndFragment--&gt;</w:t>
      </w:r>
    </w:p>
    <w:p w14:paraId="73A63CD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25-A-3934-ASTMH</w:t>
      </w:r>
    </w:p>
    <w:p w14:paraId="4B79D70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Epidemiology</w:t>
      </w:r>
    </w:p>
    <w:p w14:paraId="1C3A30C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The Proportion Of Attributable Fever To Malaria In Dangassa, Mali: A Longitudinal Cohort-Based Study</w:t>
      </w:r>
    </w:p>
    <w:p w14:paraId="7F6E465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In malaria-endemic areas, fever is often empirically attributed to malaria, although other viral, bacterial, or parasitic infections may be responsible. This study aims to estimate the proportion of fever cases attributable to malaria in a rural setting in Mali to optimize diagnostic and treatment strategies. A cohort study was conducted in Dangassa, located in high endemic area in southern Mali, from October 2024 to February 2025. Study participants was monitored through passive case detection (PCD) at the community health center, using rapid diagnostic tests (RDTs). A generalized linear model was used to assess the attributable proportion of fever to malaria using R software. A total of 631 cases of fever were recorded, with an incidence rate of 6.08‰ person-months, compared to 708 malaria cases (6.82‰ person-months). The overall prevalence of malaria was 86.0% and 51.7% among febrile and non-febrile patients respectively (OR=3.5 95% CI= 2.8 - 4.4). The overall attributable risk was 63.0 % 95% CI [40.0-77.2]. The proportion of fever attributable to malaria varied from 55.5% in October, and 79.7%, 63.0%, 78.7% and 37.5% respectively in November, December, January, and February respectively. Individuals with malaria are 5.87 times more likely to have recurrent fever compared to those without malaria (OR = 5.87, 95% CI: 3.94 – 8.77, p &lt; 0.001). The proportion of fever attributable to malaria remains high despites the implementation of several malaria control interventions including seasonal malaria chemoprevention combined with mosquito nets and access to prompt malaria treatment.</w:t>
      </w:r>
    </w:p>
    <w:p w14:paraId="448C6D3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25-A-3935-ASTMH</w:t>
      </w:r>
    </w:p>
    <w:p w14:paraId="5A469E1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Clinical Tropical Medicine</w:t>
      </w:r>
    </w:p>
    <w:p w14:paraId="622B9A4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Consistency of Serology Results during Follow-up can Discriminate Long-term Mortality in Blood Donors with prior Screening for </w:t>
      </w:r>
      <w:r w:rsidRPr="002E40CA">
        <w:rPr>
          <w:rFonts w:ascii="Calibri" w:eastAsia="Times New Roman" w:hAnsi="Calibri" w:cs="Calibri"/>
          <w:b/>
          <w:bCs/>
          <w:i/>
          <w:iCs/>
          <w:color w:val="000000"/>
          <w:kern w:val="0"/>
          <w:sz w:val="22"/>
          <w:szCs w:val="22"/>
          <w14:ligatures w14:val="none"/>
        </w:rPr>
        <w:t>Trypanosoma cruzi</w:t>
      </w:r>
    </w:p>
    <w:p w14:paraId="3DCB031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Chronic </w:t>
      </w:r>
      <w:r w:rsidRPr="002E40CA">
        <w:rPr>
          <w:rFonts w:ascii="Calibri" w:eastAsia="Times New Roman" w:hAnsi="Calibri" w:cs="Calibri"/>
          <w:i/>
          <w:iCs/>
          <w:color w:val="000000"/>
          <w:kern w:val="0"/>
          <w:sz w:val="22"/>
          <w:szCs w:val="22"/>
          <w14:ligatures w14:val="none"/>
        </w:rPr>
        <w:t>Trypanosoma cruzi</w:t>
      </w:r>
      <w:r w:rsidRPr="002E40CA">
        <w:rPr>
          <w:rFonts w:ascii="Calibri" w:eastAsia="Times New Roman" w:hAnsi="Calibri" w:cs="Calibri"/>
          <w:color w:val="000000"/>
          <w:kern w:val="0"/>
          <w:sz w:val="22"/>
          <w:szCs w:val="22"/>
          <w14:ligatures w14:val="none"/>
        </w:rPr>
        <w:t> infection is diagnosed with two positive results from different serological tests on the same sample. Our goal was to evaluate the relationship between consistency in serological results during follow-up and long-term mortality. Blood donors with prior positive ([+]) </w:t>
      </w:r>
      <w:r w:rsidRPr="002E40CA">
        <w:rPr>
          <w:rFonts w:ascii="Calibri" w:eastAsia="Times New Roman" w:hAnsi="Calibri" w:cs="Calibri"/>
          <w:i/>
          <w:iCs/>
          <w:color w:val="000000"/>
          <w:kern w:val="0"/>
          <w:sz w:val="22"/>
          <w:szCs w:val="22"/>
          <w14:ligatures w14:val="none"/>
        </w:rPr>
        <w:t>T. cruzi</w:t>
      </w:r>
      <w:r w:rsidRPr="002E40CA">
        <w:rPr>
          <w:rFonts w:ascii="Calibri" w:eastAsia="Times New Roman" w:hAnsi="Calibri" w:cs="Calibri"/>
          <w:color w:val="000000"/>
          <w:kern w:val="0"/>
          <w:sz w:val="22"/>
          <w:szCs w:val="22"/>
          <w14:ligatures w14:val="none"/>
        </w:rPr>
        <w:t> serology screening (DPS) and a sample (ratio 1:3) with negative ([-]) screening (DNS) had 1-3 assessments (2000-2008), at baseline (T1), and in samples of participants in T2 and T3. Sera were tested with commercially available kits, using ELISA first and, when positive, hemagglutination and/or indirect immunofluorescence. Three categories of sero-consistency were defined based on the ratio of individual [+] tests and those performed across T1-T3: consistently [+] (CON[+], ratio=1), inconsistent (INC, ratio &gt;0/&lt;1), or consistently [-] (CON[-], ratio=0). We validated this classification with the self-reported residence history in T1 and assessed its association with all-cause mortality (using government databases) until September 2024. In T1, of 1791 donors (median age 36 years, 67% males), 297 (63.3%) of 469 DPS were confirmed as [+], whereas 99.4% DNS tested [-]. Repeated testing (median tests for DPS 6, and for DNS 3) at T2 (n=1374) and T3 (n=412) a median 2.8 and 6.6 years later, identified 272 donors as CON[+], 82 as INC, and 1437 as CON[-]. Most (94.7%) of the 965 reporting no rural residence were CON[-]. Among past rural dwellers, the proportion of CON[+] increased (18.4%, 27.1% and 64.5%) and that of CON[-] decreased (77%, 64.5% and 48.9%) by the number (0-1, 2-3 or 4-5) of vector-associated livelihood factors (p&lt;0.001). There were 110 (6.1%) deaths in the cohort after a median of 22.1 years: 28 (10.3%) among CON[+], 4 (4.9%) in INC, and 78 (5.4%) in CON[-] (p=0.008). Crude and covariate-adjusted Hazard Ratios for mortality CON[+]/INC were 2.24 (95% CI 1.0-5.0) and 1.6 (95% CI 1.0-2.4), and for CON[+]/CON[-] were 1.96 (95% CI 1.16-3.31) and 1.9 (95% CI 1.1-3.0). Repeated serology testing added value to blood donor classification by identifying sero-inconsistent individuals, whose prognosis differs from those consistently positive.</w:t>
      </w:r>
    </w:p>
    <w:p w14:paraId="30426D0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25-A-3936-ASTMH</w:t>
      </w:r>
    </w:p>
    <w:p w14:paraId="7F5CD5E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Molecular Biology, Population Genetics and Genomics</w:t>
      </w:r>
    </w:p>
    <w:p w14:paraId="278688C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Tracking the spread of Anopheles stephensi P47Rec vector-parasite compatibility protein variant across Eastern Ethiopia</w:t>
      </w:r>
    </w:p>
    <w:p w14:paraId="6F3B462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Anopheline mosquitoes and Plasmodium parasites have a long-standing relationship, co-evolving through time. Vector-parasite compatibility depends on the specific proteins that interact with each other throughout the invasion of Plasmodium in the Anopheles midgut. Pfs47 is one of these proteins that is critical for P. falciparum survival in the mosquito midgut. Genetic diversity of Pfs47 is highly structured by continent, which is predicted to be because of long-term co-evolution with the P47 Receptor (P47Rec) in divergent lines of anophelines. With the invasion of An. stephensi in the Horn of Africa beginning in 2012, and multiple outbreaks possibly connected to established populations, these highly specific vector-parasite interactions come into question. Previous study has established that there is a single amino acid change in domain 2 (H53Q) within wild An. stephensi in eastern Ethiopia and Lawyacado, Somaliland. Here, we aim to expand on the sequencing of P47Rec to answer two main questions: does the frequency of histidine (H) and glutamate (Q) differ by geographic region or time in the HOA? And are there any correlations between frequency of H or Q and increased or decreased malaria in the region. Preliminary data shows that the overall frequency of H is low in 2018 in Kebridehar (0.0625), Semera (0.1207), and Jijiga (0.0833). In Jijiga, the frequency of Q dramatically increased between 2018 (0.0833) and 2022 (0.3333) and increased more in 2023 (0.35). The frequency of Q between 2018 (0.2847) and 2022 (0.2561) in Dire Dawa remained relatively stable. We hypothesize that this could be due to ongoing co-evolution between vector and parasite as this invasive vector continues to establish itself or alternatively an influx of heterozygous or homozygous glutamate could be occurring in particular regions from the coast, causing the population to change over time. Further analysis from more sites across eastern Ethiopia will elucidate if diversity in the invasive An. stephensi P47Rec could be implicated in changes in malaria transmission or continued gene flow from coastal or foreign populations.</w:t>
      </w:r>
    </w:p>
    <w:p w14:paraId="4FFE9DD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25-A-3937-ASTMH</w:t>
      </w:r>
    </w:p>
    <w:p w14:paraId="75FABF2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Immunology</w:t>
      </w:r>
    </w:p>
    <w:p w14:paraId="2F856C1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Investigating the Associations Between Plasmodium Infections and Autoimmunity in sub-Saharan Africa</w:t>
      </w:r>
    </w:p>
    <w:p w14:paraId="2C910F5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relationship between malaria and autoimmunity remains controversial, with previous studies showing that infection promotes or inhibits inflammatory conditions. We, therefore, set out to investigate the link between </w:t>
      </w:r>
      <w:r w:rsidRPr="002E40CA">
        <w:rPr>
          <w:rFonts w:ascii="Calibri" w:eastAsia="Times New Roman" w:hAnsi="Calibri" w:cs="Calibri"/>
          <w:i/>
          <w:iCs/>
          <w:color w:val="000000"/>
          <w:kern w:val="0"/>
          <w:sz w:val="22"/>
          <w:szCs w:val="22"/>
          <w14:ligatures w14:val="none"/>
        </w:rPr>
        <w:t>Plasmodium</w:t>
      </w:r>
      <w:r w:rsidRPr="002E40CA">
        <w:rPr>
          <w:rFonts w:ascii="Calibri" w:eastAsia="Times New Roman" w:hAnsi="Calibri" w:cs="Calibri"/>
          <w:color w:val="000000"/>
          <w:kern w:val="0"/>
          <w:sz w:val="22"/>
          <w:szCs w:val="22"/>
          <w14:ligatures w14:val="none"/>
        </w:rPr>
        <w:t> infection and autoimmunity using murine models and studies in patient cohorts. The development of rheumatoid arthritis associated anti-citrullinated protein autoantibodies (ACPA) responses were assessed in </w:t>
      </w:r>
      <w:r w:rsidRPr="002E40CA">
        <w:rPr>
          <w:rFonts w:ascii="Calibri" w:eastAsia="Times New Roman" w:hAnsi="Calibri" w:cs="Calibri"/>
          <w:i/>
          <w:iCs/>
          <w:color w:val="000000"/>
          <w:kern w:val="0"/>
          <w:sz w:val="22"/>
          <w:szCs w:val="22"/>
          <w14:ligatures w14:val="none"/>
        </w:rPr>
        <w:t>Plasmodium chabaudi</w:t>
      </w:r>
      <w:r w:rsidRPr="002E40CA">
        <w:rPr>
          <w:rFonts w:ascii="Calibri" w:eastAsia="Times New Roman" w:hAnsi="Calibri" w:cs="Calibri"/>
          <w:color w:val="000000"/>
          <w:kern w:val="0"/>
          <w:sz w:val="22"/>
          <w:szCs w:val="22"/>
          <w14:ligatures w14:val="none"/>
        </w:rPr>
        <w:t> infected mice. Subsequently, we evaluated the impact of these heightened ACPA responses on the development of a model of experimental arthritis in mice following infection with </w:t>
      </w:r>
      <w:r w:rsidRPr="002E40CA">
        <w:rPr>
          <w:rFonts w:ascii="Calibri" w:eastAsia="Times New Roman" w:hAnsi="Calibri" w:cs="Calibri"/>
          <w:i/>
          <w:iCs/>
          <w:color w:val="000000"/>
          <w:kern w:val="0"/>
          <w:sz w:val="22"/>
          <w:szCs w:val="22"/>
          <w14:ligatures w14:val="none"/>
        </w:rPr>
        <w:t>P. chabaudi</w:t>
      </w:r>
      <w:r w:rsidRPr="002E40CA">
        <w:rPr>
          <w:rFonts w:ascii="Calibri" w:eastAsia="Times New Roman" w:hAnsi="Calibri" w:cs="Calibri"/>
          <w:color w:val="000000"/>
          <w:kern w:val="0"/>
          <w:sz w:val="22"/>
          <w:szCs w:val="22"/>
          <w14:ligatures w14:val="none"/>
        </w:rPr>
        <w:t> infection. We demonstrate that infection with </w:t>
      </w:r>
      <w:r w:rsidRPr="002E40CA">
        <w:rPr>
          <w:rFonts w:ascii="Calibri" w:eastAsia="Times New Roman" w:hAnsi="Calibri" w:cs="Calibri"/>
          <w:i/>
          <w:iCs/>
          <w:color w:val="000000"/>
          <w:kern w:val="0"/>
          <w:sz w:val="22"/>
          <w:szCs w:val="22"/>
          <w14:ligatures w14:val="none"/>
        </w:rPr>
        <w:t>P. chabau</w:t>
      </w:r>
      <w:r w:rsidRPr="002E40CA">
        <w:rPr>
          <w:rFonts w:ascii="Calibri" w:eastAsia="Times New Roman" w:hAnsi="Calibri" w:cs="Calibri"/>
          <w:color w:val="000000"/>
          <w:kern w:val="0"/>
          <w:sz w:val="22"/>
          <w:szCs w:val="22"/>
          <w14:ligatures w14:val="none"/>
        </w:rPr>
        <w:t>di leads to increased ACPA peaking at two weeks post infection; and remaining high even after parasite clearance compared to naïve mice. Under the conditions used in our study these autoantibodies did not appear to influence the outcome of experimental autoimmune arthritis. Extending our findings to humans, we measured the levels of ACPA in individuals residing in areas of either low or moderate malaria transmission. Using microarray, we assessed the range of autoimmune markers exhibited by ACPA high individuals and flow cytometry was also used to assess T cell phenotypes associated with an autoimmune profile. As in the murine studies, individuals living in higher malaria transmission areas had elevated levels of ACPA. Individuals with higher ACPA exhibited diverse autoantibody profiles, suggesting a general increase in autoreactivity. We also noted lower FOXP3 regulatory T cell levels in individuals with higher ACPA levels compared to those with lower responses. These data suggest that malaria infection induces a range of autoantibody responses in both mice and humans. In our murine model, the pre-existing ACPA response following a single infection did not influence the development of experimental autoimmune arthritis. However, the impact of multiple malaria infections on the risk of developing autoimmune disease warrants further investigation.</w:t>
      </w:r>
    </w:p>
    <w:p w14:paraId="54074E8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25-A-3938-ASTMH</w:t>
      </w:r>
    </w:p>
    <w:p w14:paraId="375C98E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Viruses - Immunology</w:t>
      </w:r>
    </w:p>
    <w:p w14:paraId="7662225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Anti-MPXV IgG profiles are correlated with neutralizing antibody titers among mpox patients living with or without HIV</w:t>
      </w:r>
    </w:p>
    <w:p w14:paraId="2DCD4B3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Monkeypox virus (MPXV) belongs to the genus </w:t>
      </w:r>
      <w:r w:rsidRPr="002E40CA">
        <w:rPr>
          <w:rFonts w:ascii="Calibri" w:eastAsia="Times New Roman" w:hAnsi="Calibri" w:cs="Calibri"/>
          <w:i/>
          <w:iCs/>
          <w:color w:val="000000"/>
          <w:kern w:val="0"/>
          <w:sz w:val="22"/>
          <w:szCs w:val="22"/>
          <w14:ligatures w14:val="none"/>
        </w:rPr>
        <w:t>Orthopoxviruses</w:t>
      </w:r>
      <w:r w:rsidRPr="002E40CA">
        <w:rPr>
          <w:rFonts w:ascii="Calibri" w:eastAsia="Times New Roman" w:hAnsi="Calibri" w:cs="Calibri"/>
          <w:color w:val="000000"/>
          <w:kern w:val="0"/>
          <w:sz w:val="22"/>
          <w:szCs w:val="22"/>
          <w14:ligatures w14:val="none"/>
        </w:rPr>
        <w:t> (OPXV) in the family </w:t>
      </w:r>
      <w:r w:rsidRPr="002E40CA">
        <w:rPr>
          <w:rFonts w:ascii="Calibri" w:eastAsia="Times New Roman" w:hAnsi="Calibri" w:cs="Calibri"/>
          <w:i/>
          <w:iCs/>
          <w:color w:val="000000"/>
          <w:kern w:val="0"/>
          <w:sz w:val="22"/>
          <w:szCs w:val="22"/>
          <w14:ligatures w14:val="none"/>
        </w:rPr>
        <w:t>Poxviridae</w:t>
      </w:r>
      <w:r w:rsidRPr="002E40CA">
        <w:rPr>
          <w:rFonts w:ascii="Calibri" w:eastAsia="Times New Roman" w:hAnsi="Calibri" w:cs="Calibri"/>
          <w:color w:val="000000"/>
          <w:kern w:val="0"/>
          <w:sz w:val="22"/>
          <w:szCs w:val="22"/>
          <w14:ligatures w14:val="none"/>
        </w:rPr>
        <w:t>, which includes more than 80 species, including variola major virus (VARV) and vaccinia virus (VACV). Since MPXV spread globally in 2022, approximately 40% of mpox cases have been reported in people living with HIV. However, limited information exists regarding the dynamics of anti-MPXV Ab responses among patients from the 2022-2023 outbreak, especially those with HIV+MPXV co-infection. In this study, we employed a novel xMAP (Luminex) based, 15-plex anti-OPXV serology assay to characterize anti-MPXV IgG profiles in 24 acute MPXV-infected individuals and 3 longitudinal cases living with or without HIV. Patient sera were assessed using both plaque reduction neutralization test (PRNT) and the more sensitive focus reduction neutralization test (FRNT) to determine neutralizing antibody (nAb) titers. Results demonstrated high nAb titers with PRNT50 values ranging from 1:100 to 1:200 at 2 months post-infection. Longitudinal analysis of HIV+ participants’ sera revealed varied neutralization durability, with some maintaining stable or increasing levels of nAbs. Compared to healthy controls, MPXV-infected patients' sera yielded significantly elevated responses against multiple viral antigens, with anti-MPXV-A35R, anti-MPXV-B6R and anti-MPXV-E8L demonstrating &gt;500-fold increases over normal cutoffs. We evaluated 3 vaccinated control and 27 MPXV-specific IgM and IgG responses to key viral antigens targeting membrane, inner membrane, and envelope proteins, correlating binding with PRNT50 levels to identify neutralizing antigens. Notably, HIV status did not significantly affect individual Ab or nAb titers. The xMap assay provided effective correlation with nAb responses, addressing the knowledge gap in nAb stability in MPXV-infected individuals. Overall, we demonstrated that anti-MPXV IgG profiles correlate with mpox nAb titers, with A35 and B6 proteins strongly associated with immune responses against MPXV infection. This novel fluorescent-based assay offers a valuable tool for complete assessment of anti-MPXV Ab responses.</w:t>
      </w:r>
    </w:p>
    <w:p w14:paraId="37CA3E9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25-A-3939-ASTMH</w:t>
      </w:r>
    </w:p>
    <w:p w14:paraId="64CFEBA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Mosquitoes - Biology and Genetics of Insecticide Resistance</w:t>
      </w:r>
    </w:p>
    <w:p w14:paraId="178FC2A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Entomological survey in an Agro-ecological setting in Southern Ghana reveal high malaria transmission from a pyrethroid resistant </w:t>
      </w:r>
      <w:r w:rsidRPr="002E40CA">
        <w:rPr>
          <w:rFonts w:ascii="Calibri" w:eastAsia="Times New Roman" w:hAnsi="Calibri" w:cs="Calibri"/>
          <w:b/>
          <w:bCs/>
          <w:i/>
          <w:iCs/>
          <w:color w:val="000000"/>
          <w:kern w:val="0"/>
          <w:sz w:val="22"/>
          <w:szCs w:val="22"/>
          <w14:ligatures w14:val="none"/>
        </w:rPr>
        <w:t>Anopheles funestus</w:t>
      </w:r>
      <w:r w:rsidRPr="002E40CA">
        <w:rPr>
          <w:rFonts w:ascii="Calibri" w:eastAsia="Times New Roman" w:hAnsi="Calibri" w:cs="Calibri"/>
          <w:b/>
          <w:bCs/>
          <w:color w:val="000000"/>
          <w:kern w:val="0"/>
          <w:sz w:val="22"/>
          <w:szCs w:val="22"/>
          <w14:ligatures w14:val="none"/>
        </w:rPr>
        <w:t> population during dry season.</w:t>
      </w:r>
    </w:p>
    <w:p w14:paraId="012C475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i/>
          <w:iCs/>
          <w:color w:val="000000"/>
          <w:kern w:val="0"/>
          <w:sz w:val="22"/>
          <w:szCs w:val="22"/>
          <w14:ligatures w14:val="none"/>
        </w:rPr>
        <w:t>Anopheles funestus</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s.l </w:t>
      </w:r>
      <w:r w:rsidRPr="002E40CA">
        <w:rPr>
          <w:rFonts w:ascii="Calibri" w:eastAsia="Times New Roman" w:hAnsi="Calibri" w:cs="Calibri"/>
          <w:color w:val="000000"/>
          <w:kern w:val="0"/>
          <w:sz w:val="22"/>
          <w:szCs w:val="22"/>
          <w14:ligatures w14:val="none"/>
        </w:rPr>
        <w:t>complex is an important vector playing a major role in malaria transmission in Africa. Profiling of insecticides resistance patterns in the vector is crucial for successful implementation of resistance management strategies. This study reports a high and multiple insecticide resistance in </w:t>
      </w:r>
      <w:r w:rsidRPr="002E40CA">
        <w:rPr>
          <w:rFonts w:ascii="Calibri" w:eastAsia="Times New Roman" w:hAnsi="Calibri" w:cs="Calibri"/>
          <w:i/>
          <w:iCs/>
          <w:color w:val="000000"/>
          <w:kern w:val="0"/>
          <w:sz w:val="22"/>
          <w:szCs w:val="22"/>
          <w14:ligatures w14:val="none"/>
        </w:rPr>
        <w:t>An. funestus</w:t>
      </w:r>
      <w:r w:rsidRPr="002E40CA">
        <w:rPr>
          <w:rFonts w:ascii="Calibri" w:eastAsia="Times New Roman" w:hAnsi="Calibri" w:cs="Calibri"/>
          <w:color w:val="000000"/>
          <w:kern w:val="0"/>
          <w:sz w:val="22"/>
          <w:szCs w:val="22"/>
          <w14:ligatures w14:val="none"/>
        </w:rPr>
        <w:t> transmitting high rate of </w:t>
      </w:r>
      <w:r w:rsidRPr="002E40CA">
        <w:rPr>
          <w:rFonts w:ascii="Calibri" w:eastAsia="Times New Roman" w:hAnsi="Calibri" w:cs="Calibri"/>
          <w:i/>
          <w:iCs/>
          <w:color w:val="000000"/>
          <w:kern w:val="0"/>
          <w:sz w:val="22"/>
          <w:szCs w:val="22"/>
          <w14:ligatures w14:val="none"/>
        </w:rPr>
        <w:t>Plasmodium</w:t>
      </w:r>
      <w:r w:rsidRPr="002E40CA">
        <w:rPr>
          <w:rFonts w:ascii="Calibri" w:eastAsia="Times New Roman" w:hAnsi="Calibri" w:cs="Calibri"/>
          <w:color w:val="000000"/>
          <w:kern w:val="0"/>
          <w:sz w:val="22"/>
          <w:szCs w:val="22"/>
          <w14:ligatures w14:val="none"/>
        </w:rPr>
        <w:t> parasites infections in Begoro, southern Ghana which could compromise control interventions to derail elimination efforts, if not tackled. Adult </w:t>
      </w:r>
      <w:r w:rsidRPr="002E40CA">
        <w:rPr>
          <w:rFonts w:ascii="Calibri" w:eastAsia="Times New Roman" w:hAnsi="Calibri" w:cs="Calibri"/>
          <w:i/>
          <w:iCs/>
          <w:color w:val="000000"/>
          <w:kern w:val="0"/>
          <w:sz w:val="22"/>
          <w:szCs w:val="22"/>
          <w14:ligatures w14:val="none"/>
        </w:rPr>
        <w:t>Anopheles</w:t>
      </w:r>
      <w:r w:rsidRPr="002E40CA">
        <w:rPr>
          <w:rFonts w:ascii="Calibri" w:eastAsia="Times New Roman" w:hAnsi="Calibri" w:cs="Calibri"/>
          <w:color w:val="000000"/>
          <w:kern w:val="0"/>
          <w:sz w:val="22"/>
          <w:szCs w:val="22"/>
          <w14:ligatures w14:val="none"/>
        </w:rPr>
        <w:t> mosquitoes were collected using electric aspirators during the dry season in December in Onuku a small farming community close to Begoro in southern Ghana. Susceptibility to the main insecticides used in public health, PBO synergist assays and bio-efficacy of some bed nets were assessed adopting WHO protocols using F1 progenies. </w:t>
      </w:r>
      <w:r w:rsidRPr="002E40CA">
        <w:rPr>
          <w:rFonts w:ascii="Calibri" w:eastAsia="Times New Roman" w:hAnsi="Calibri" w:cs="Calibri"/>
          <w:i/>
          <w:iCs/>
          <w:color w:val="000000"/>
          <w:kern w:val="0"/>
          <w:sz w:val="22"/>
          <w:szCs w:val="22"/>
          <w14:ligatures w14:val="none"/>
        </w:rPr>
        <w:t>Plasmodium</w:t>
      </w:r>
      <w:r w:rsidRPr="002E40CA">
        <w:rPr>
          <w:rFonts w:ascii="Calibri" w:eastAsia="Times New Roman" w:hAnsi="Calibri" w:cs="Calibri"/>
          <w:color w:val="000000"/>
          <w:kern w:val="0"/>
          <w:sz w:val="22"/>
          <w:szCs w:val="22"/>
          <w14:ligatures w14:val="none"/>
        </w:rPr>
        <w:t> infection rate and the molecular basis of insecticide resistance were established using F0 wild caught adults. </w:t>
      </w:r>
      <w:r w:rsidRPr="002E40CA">
        <w:rPr>
          <w:rFonts w:ascii="Calibri" w:eastAsia="Times New Roman" w:hAnsi="Calibri" w:cs="Calibri"/>
          <w:i/>
          <w:iCs/>
          <w:color w:val="000000"/>
          <w:kern w:val="0"/>
          <w:sz w:val="22"/>
          <w:szCs w:val="22"/>
          <w14:ligatures w14:val="none"/>
        </w:rPr>
        <w:t>Anopheles funestus</w:t>
      </w:r>
      <w:r w:rsidRPr="002E40CA">
        <w:rPr>
          <w:rFonts w:ascii="Calibri" w:eastAsia="Times New Roman" w:hAnsi="Calibri" w:cs="Calibri"/>
          <w:color w:val="000000"/>
          <w:kern w:val="0"/>
          <w:sz w:val="22"/>
          <w:szCs w:val="22"/>
          <w14:ligatures w14:val="none"/>
        </w:rPr>
        <w:t> (s.s.) was the predominant mosquito species found resting inside homes. Parasite rates was high in </w:t>
      </w:r>
      <w:r w:rsidRPr="002E40CA">
        <w:rPr>
          <w:rFonts w:ascii="Calibri" w:eastAsia="Times New Roman" w:hAnsi="Calibri" w:cs="Calibri"/>
          <w:i/>
          <w:iCs/>
          <w:color w:val="000000"/>
          <w:kern w:val="0"/>
          <w:sz w:val="22"/>
          <w:szCs w:val="22"/>
          <w14:ligatures w14:val="none"/>
        </w:rPr>
        <w:t>An. funestus</w:t>
      </w:r>
      <w:r w:rsidRPr="002E40CA">
        <w:rPr>
          <w:rFonts w:ascii="Calibri" w:eastAsia="Times New Roman" w:hAnsi="Calibri" w:cs="Calibri"/>
          <w:color w:val="000000"/>
          <w:kern w:val="0"/>
          <w:sz w:val="22"/>
          <w:szCs w:val="22"/>
          <w14:ligatures w14:val="none"/>
        </w:rPr>
        <w:t> (s.s.) populations with </w:t>
      </w:r>
      <w:r w:rsidRPr="002E40CA">
        <w:rPr>
          <w:rFonts w:ascii="Calibri" w:eastAsia="Times New Roman" w:hAnsi="Calibri" w:cs="Calibri"/>
          <w:i/>
          <w:iCs/>
          <w:color w:val="000000"/>
          <w:kern w:val="0"/>
          <w:sz w:val="22"/>
          <w:szCs w:val="22"/>
          <w14:ligatures w14:val="none"/>
        </w:rPr>
        <w:t>Plasmodium</w:t>
      </w:r>
      <w:r w:rsidRPr="002E40CA">
        <w:rPr>
          <w:rFonts w:ascii="Calibri" w:eastAsia="Times New Roman" w:hAnsi="Calibri" w:cs="Calibri"/>
          <w:color w:val="000000"/>
          <w:kern w:val="0"/>
          <w:sz w:val="22"/>
          <w:szCs w:val="22"/>
          <w14:ligatures w14:val="none"/>
        </w:rPr>
        <w:t> infection sporozoite and oocyst rates of 16.1 % and 15.21%. </w:t>
      </w:r>
      <w:r w:rsidRPr="002E40CA">
        <w:rPr>
          <w:rFonts w:ascii="Calibri" w:eastAsia="Times New Roman" w:hAnsi="Calibri" w:cs="Calibri"/>
          <w:i/>
          <w:iCs/>
          <w:color w:val="000000"/>
          <w:kern w:val="0"/>
          <w:sz w:val="22"/>
          <w:szCs w:val="22"/>
          <w14:ligatures w14:val="none"/>
        </w:rPr>
        <w:t>Anopheles funestus</w:t>
      </w:r>
      <w:r w:rsidRPr="002E40CA">
        <w:rPr>
          <w:rFonts w:ascii="Calibri" w:eastAsia="Times New Roman" w:hAnsi="Calibri" w:cs="Calibri"/>
          <w:color w:val="000000"/>
          <w:kern w:val="0"/>
          <w:sz w:val="22"/>
          <w:szCs w:val="22"/>
          <w14:ligatures w14:val="none"/>
        </w:rPr>
        <w:t> displayed high resistance to the insecticide from various classes including the pyrethroids, carbamates and DDT, but remained fully susceptible to the organophosphates Pirimiphos methyl. High intensity of resistance to 5× and 10× the discriminating concentration (DC) of pyrethroids was observed inducing a considerable loss of efficacy of long-lasting insecticidal nets (LLINs). </w:t>
      </w:r>
      <w:r w:rsidRPr="002E40CA">
        <w:rPr>
          <w:rFonts w:ascii="Calibri" w:eastAsia="Times New Roman" w:hAnsi="Calibri" w:cs="Calibri"/>
          <w:i/>
          <w:iCs/>
          <w:color w:val="000000"/>
          <w:kern w:val="0"/>
          <w:sz w:val="22"/>
          <w:szCs w:val="22"/>
          <w14:ligatures w14:val="none"/>
        </w:rPr>
        <w:t>Anopheles funestus</w:t>
      </w:r>
      <w:r w:rsidRPr="002E40CA">
        <w:rPr>
          <w:rFonts w:ascii="Calibri" w:eastAsia="Times New Roman" w:hAnsi="Calibri" w:cs="Calibri"/>
          <w:color w:val="000000"/>
          <w:kern w:val="0"/>
          <w:sz w:val="22"/>
          <w:szCs w:val="22"/>
          <w14:ligatures w14:val="none"/>
        </w:rPr>
        <w:t> s.l. exhibited high alleles frequencies of metabolic pyrethriod resistance markers including CYP6P4a-M220I, CYP6P4b-D284E, GSTe2-L119F. The high intensity of pyrethroid resistance observed in </w:t>
      </w:r>
      <w:r w:rsidRPr="002E40CA">
        <w:rPr>
          <w:rFonts w:ascii="Calibri" w:eastAsia="Times New Roman" w:hAnsi="Calibri" w:cs="Calibri"/>
          <w:i/>
          <w:iCs/>
          <w:color w:val="000000"/>
          <w:kern w:val="0"/>
          <w:sz w:val="22"/>
          <w:szCs w:val="22"/>
          <w14:ligatures w14:val="none"/>
        </w:rPr>
        <w:t>An. funestus</w:t>
      </w:r>
      <w:r w:rsidRPr="002E40CA">
        <w:rPr>
          <w:rFonts w:ascii="Calibri" w:eastAsia="Times New Roman" w:hAnsi="Calibri" w:cs="Calibri"/>
          <w:color w:val="000000"/>
          <w:kern w:val="0"/>
          <w:sz w:val="22"/>
          <w:szCs w:val="22"/>
          <w14:ligatures w14:val="none"/>
        </w:rPr>
        <w:t> s.l. in Onuku necessitate the need to implement resistance management strategies and the introduction of new insecticide chemistries effective against pyrethroid resistant vector populations</w:t>
      </w:r>
    </w:p>
    <w:p w14:paraId="1ABA461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25-A-3946-ASTMH</w:t>
      </w:r>
    </w:p>
    <w:p w14:paraId="7720175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Arthropods/Entomology - Other</w:t>
      </w:r>
    </w:p>
    <w:p w14:paraId="252BEC9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Validating the Results of Metagenomic Derived Pathogen Detection</w:t>
      </w:r>
    </w:p>
    <w:p w14:paraId="21200A7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Emerging infectious diseases (EID) are a worldwide concern for human health making surveillance essential to manage and limit harmful effects. The Remote Emerging Infectious Disease-NETwork (REDI-NET) consortium looks to enhance EID surveillance capabilities by strengthening capacity for domestic and international researchers through active collection of varied sample types (tick, soil, water, blood, and feces) and utilizing advanced molecular sequencing technologies to identify potentially harmful agents from within a range of ecologies. While current REDI-NET processes and technologies are able to detect pathogens in field collected samples using metagenomic Next-Generation Sequencing (NGS), appropriate interpretation of pathogen transmission, and subsequent disease risk, is required. The aim of the current study was to develop a PCR-based verification procedure designed to evaluate the efficacy of current REDI-NET NGS analyses procedures in detecting rickettsial pathogens in tick samples from Belize, Central America. Findings are intended to inform REDI-NET best-practices to adequately assess biological risks to human health.</w:t>
      </w:r>
    </w:p>
    <w:p w14:paraId="653F28A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25-A-3947-ASTMH</w:t>
      </w:r>
    </w:p>
    <w:p w14:paraId="4306DD2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One Health: The Interface of Humans, Ecosystems, and Animal Health</w:t>
      </w:r>
    </w:p>
    <w:p w14:paraId="795E857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"Shifting Water Cycle, Water Management, and Zoonotic Diseases Risk: Socioenvironmental Drivers of Dengue and Leptospirosis in Peru (2003-2023)"</w:t>
      </w:r>
    </w:p>
    <w:p w14:paraId="3A32385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Upsurges in zoonotic diseases in a global climate change context have been associated with environmental and social drivers. Some research has focused on the role of water as a contributing environmental factor (often focusing on precipitation) as well as related social issues (e.g. variable access to water). The impacts of change on the water cycle and concurrent shifts in water management </w:t>
      </w:r>
      <w:r w:rsidRPr="002E40CA">
        <w:rPr>
          <w:rFonts w:ascii="Calibri" w:eastAsia="Times New Roman" w:hAnsi="Calibri" w:cs="Calibri"/>
          <w:color w:val="000000"/>
          <w:kern w:val="0"/>
          <w:sz w:val="22"/>
          <w:szCs w:val="22"/>
          <w14:ligatures w14:val="none"/>
        </w:rPr>
        <w:lastRenderedPageBreak/>
        <w:t>practices in tropical settings—and their influence on zoonotic diseases—have been less explored. Our approach integrates environmental and social determinants in a descriptive epidemiological study to examine their potential associations with the reported case incidence of dengue and leptospirosis in Peru for 20 years. Using national epidemiological data from the National Center for Epidemiology, Prevention and Disease Control - CDC Peru - MINSA and environmental indicators (precipitation, temperature, humidity from the ECMWF Reanalysis v5 (ERA5), and elevation from SRTM Digital Elevation Data Version 4), along with socioeconomic variables (access to water and sewage, agricultural area, and projected population from the National Institute of Statistics and Informatics of Peru), we applied negative binomial regressions to estimate associations between these variables and case incidence, for each year separately. For Dengue, temperature and precipitation were key abiotic drivers across most years. Access to clean water and sanitation were associated with dengue cases, suggesting inadequate infrastructure amplifies vector exposure. For Leptospirosis, temperature had a consistent positive effect (IRR &gt;1.25 in ten years), and access to sewage systems was strongly associated with increased incidence (IRR &gt;5.0 in some years). Elevation did not show a defined pattern of association with both diseases, while population showed minimal influence.Findings highlight how climate and human systems jointly shape disease risk. Focusing on the water cycle and local management can be an important part of surveillance policies. We will next move this into a longitudinal analysis and potentially a geographically weighted regression.</w:t>
      </w:r>
    </w:p>
    <w:p w14:paraId="33A71D1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25-A-3948-ASTMH</w:t>
      </w:r>
    </w:p>
    <w:p w14:paraId="2D13045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Genetics, Genomics and Evolution</w:t>
      </w:r>
    </w:p>
    <w:p w14:paraId="4D9B794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Geospatial genetic diversity within three </w:t>
      </w:r>
      <w:r w:rsidRPr="002E40CA">
        <w:rPr>
          <w:rFonts w:ascii="Calibri" w:eastAsia="Times New Roman" w:hAnsi="Calibri" w:cs="Calibri"/>
          <w:b/>
          <w:bCs/>
          <w:i/>
          <w:iCs/>
          <w:color w:val="000000"/>
          <w:kern w:val="0"/>
          <w:sz w:val="22"/>
          <w:szCs w:val="22"/>
          <w14:ligatures w14:val="none"/>
        </w:rPr>
        <w:t>Plasmodium vivax</w:t>
      </w:r>
      <w:r w:rsidRPr="002E40CA">
        <w:rPr>
          <w:rFonts w:ascii="Calibri" w:eastAsia="Times New Roman" w:hAnsi="Calibri" w:cs="Calibri"/>
          <w:b/>
          <w:bCs/>
          <w:color w:val="000000"/>
          <w:kern w:val="0"/>
          <w:sz w:val="22"/>
          <w:szCs w:val="22"/>
          <w14:ligatures w14:val="none"/>
        </w:rPr>
        <w:t> candidate vaccine antigens in Brazil</w:t>
      </w:r>
    </w:p>
    <w:p w14:paraId="60880DD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i/>
          <w:iCs/>
          <w:color w:val="000000"/>
          <w:kern w:val="0"/>
          <w:sz w:val="22"/>
          <w:szCs w:val="22"/>
          <w14:ligatures w14:val="none"/>
        </w:rPr>
        <w:t>Plasmodium vivax</w:t>
      </w:r>
      <w:r w:rsidRPr="002E40CA">
        <w:rPr>
          <w:rFonts w:ascii="Calibri" w:eastAsia="Times New Roman" w:hAnsi="Calibri" w:cs="Calibri"/>
          <w:color w:val="000000"/>
          <w:kern w:val="0"/>
          <w:sz w:val="22"/>
          <w:szCs w:val="22"/>
          <w14:ligatures w14:val="none"/>
        </w:rPr>
        <w:t> is a leading cause of malaria worldwide. This species accounts for approximately 82% of Brazil's 140,000 malaria cases reported in 2024. While the Legal Amazon (LA) region accounts for over 99% of cases, there are hotspots outside the Amazon, particularly in the Atlantic Forest (AF) areas. Human malaria cases in the AF are attributed to zoonotic transmission, which is increasingly recognized as a public health threat. The study investigated the geospatial genetic diversity and signatures of three leading vaccine antigens - circumsporozoite protein (</w:t>
      </w:r>
      <w:r w:rsidRPr="002E40CA">
        <w:rPr>
          <w:rFonts w:ascii="Calibri" w:eastAsia="Times New Roman" w:hAnsi="Calibri" w:cs="Calibri"/>
          <w:i/>
          <w:iCs/>
          <w:color w:val="000000"/>
          <w:kern w:val="0"/>
          <w:sz w:val="22"/>
          <w:szCs w:val="22"/>
          <w14:ligatures w14:val="none"/>
        </w:rPr>
        <w:t>csp</w:t>
      </w:r>
      <w:r w:rsidRPr="002E40CA">
        <w:rPr>
          <w:rFonts w:ascii="Calibri" w:eastAsia="Times New Roman" w:hAnsi="Calibri" w:cs="Calibri"/>
          <w:color w:val="000000"/>
          <w:kern w:val="0"/>
          <w:sz w:val="22"/>
          <w:szCs w:val="22"/>
          <w14:ligatures w14:val="none"/>
        </w:rPr>
        <w:t>), Duffy binding protein (</w:t>
      </w:r>
      <w:r w:rsidRPr="002E40CA">
        <w:rPr>
          <w:rFonts w:ascii="Calibri" w:eastAsia="Times New Roman" w:hAnsi="Calibri" w:cs="Calibri"/>
          <w:i/>
          <w:iCs/>
          <w:color w:val="000000"/>
          <w:kern w:val="0"/>
          <w:sz w:val="22"/>
          <w:szCs w:val="22"/>
          <w14:ligatures w14:val="none"/>
        </w:rPr>
        <w:t>dbp</w:t>
      </w:r>
      <w:r w:rsidRPr="002E40CA">
        <w:rPr>
          <w:rFonts w:ascii="Calibri" w:eastAsia="Times New Roman" w:hAnsi="Calibri" w:cs="Calibri"/>
          <w:color w:val="000000"/>
          <w:kern w:val="0"/>
          <w:sz w:val="22"/>
          <w:szCs w:val="22"/>
          <w14:ligatures w14:val="none"/>
        </w:rPr>
        <w:t>), and merozoite surface protein 1 (</w:t>
      </w:r>
      <w:r w:rsidRPr="002E40CA">
        <w:rPr>
          <w:rFonts w:ascii="Calibri" w:eastAsia="Times New Roman" w:hAnsi="Calibri" w:cs="Calibri"/>
          <w:i/>
          <w:iCs/>
          <w:color w:val="000000"/>
          <w:kern w:val="0"/>
          <w:sz w:val="22"/>
          <w:szCs w:val="22"/>
          <w14:ligatures w14:val="none"/>
        </w:rPr>
        <w:t>msp-1</w:t>
      </w:r>
      <w:r w:rsidRPr="002E40CA">
        <w:rPr>
          <w:rFonts w:ascii="Calibri" w:eastAsia="Times New Roman" w:hAnsi="Calibri" w:cs="Calibri"/>
          <w:color w:val="000000"/>
          <w:kern w:val="0"/>
          <w:sz w:val="22"/>
          <w:szCs w:val="22"/>
          <w14:ligatures w14:val="none"/>
        </w:rPr>
        <w:t>) to understand the variability within different epidemiological contexts. 173 </w:t>
      </w:r>
      <w:r w:rsidRPr="002E40CA">
        <w:rPr>
          <w:rFonts w:ascii="Calibri" w:eastAsia="Times New Roman" w:hAnsi="Calibri" w:cs="Calibri"/>
          <w:i/>
          <w:iCs/>
          <w:color w:val="000000"/>
          <w:kern w:val="0"/>
          <w:sz w:val="22"/>
          <w:szCs w:val="22"/>
          <w14:ligatures w14:val="none"/>
        </w:rPr>
        <w:t>P. vivax</w:t>
      </w:r>
      <w:r w:rsidRPr="002E40CA">
        <w:rPr>
          <w:rFonts w:ascii="Calibri" w:eastAsia="Times New Roman" w:hAnsi="Calibri" w:cs="Calibri"/>
          <w:color w:val="000000"/>
          <w:kern w:val="0"/>
          <w:sz w:val="22"/>
          <w:szCs w:val="22"/>
          <w14:ligatures w14:val="none"/>
        </w:rPr>
        <w:t> samples were genotyped: 118 samples from the LA and 55 from the AF, with 145 polymorphisms: 28 in the </w:t>
      </w:r>
      <w:r w:rsidRPr="002E40CA">
        <w:rPr>
          <w:rFonts w:ascii="Calibri" w:eastAsia="Times New Roman" w:hAnsi="Calibri" w:cs="Calibri"/>
          <w:i/>
          <w:iCs/>
          <w:color w:val="000000"/>
          <w:kern w:val="0"/>
          <w:sz w:val="22"/>
          <w:szCs w:val="22"/>
          <w14:ligatures w14:val="none"/>
        </w:rPr>
        <w:t>dbp-II</w:t>
      </w:r>
      <w:r w:rsidRPr="002E40CA">
        <w:rPr>
          <w:rFonts w:ascii="Calibri" w:eastAsia="Times New Roman" w:hAnsi="Calibri" w:cs="Calibri"/>
          <w:color w:val="000000"/>
          <w:kern w:val="0"/>
          <w:sz w:val="22"/>
          <w:szCs w:val="22"/>
          <w14:ligatures w14:val="none"/>
        </w:rPr>
        <w:t> gene, 53 in </w:t>
      </w:r>
      <w:r w:rsidRPr="002E40CA">
        <w:rPr>
          <w:rFonts w:ascii="Calibri" w:eastAsia="Times New Roman" w:hAnsi="Calibri" w:cs="Calibri"/>
          <w:i/>
          <w:iCs/>
          <w:color w:val="000000"/>
          <w:kern w:val="0"/>
          <w:sz w:val="22"/>
          <w:szCs w:val="22"/>
          <w14:ligatures w14:val="none"/>
        </w:rPr>
        <w:t>csp</w:t>
      </w:r>
      <w:r w:rsidRPr="002E40CA">
        <w:rPr>
          <w:rFonts w:ascii="Calibri" w:eastAsia="Times New Roman" w:hAnsi="Calibri" w:cs="Calibri"/>
          <w:color w:val="000000"/>
          <w:kern w:val="0"/>
          <w:sz w:val="22"/>
          <w:szCs w:val="22"/>
          <w14:ligatures w14:val="none"/>
        </w:rPr>
        <w:t>, and 64 in </w:t>
      </w:r>
      <w:r w:rsidRPr="002E40CA">
        <w:rPr>
          <w:rFonts w:ascii="Calibri" w:eastAsia="Times New Roman" w:hAnsi="Calibri" w:cs="Calibri"/>
          <w:i/>
          <w:iCs/>
          <w:color w:val="000000"/>
          <w:kern w:val="0"/>
          <w:sz w:val="22"/>
          <w:szCs w:val="22"/>
          <w14:ligatures w14:val="none"/>
        </w:rPr>
        <w:t>msp-1</w:t>
      </w:r>
      <w:r w:rsidRPr="002E40CA">
        <w:rPr>
          <w:rFonts w:ascii="Calibri" w:eastAsia="Times New Roman" w:hAnsi="Calibri" w:cs="Calibri"/>
          <w:color w:val="000000"/>
          <w:kern w:val="0"/>
          <w:sz w:val="22"/>
          <w:szCs w:val="22"/>
          <w:vertAlign w:val="subscript"/>
          <w14:ligatures w14:val="none"/>
        </w:rPr>
        <w:t>42</w:t>
      </w:r>
      <w:r w:rsidRPr="002E40CA">
        <w:rPr>
          <w:rFonts w:ascii="Calibri" w:eastAsia="Times New Roman" w:hAnsi="Calibri" w:cs="Calibri"/>
          <w:color w:val="000000"/>
          <w:kern w:val="0"/>
          <w:sz w:val="22"/>
          <w:szCs w:val="22"/>
          <w14:ligatures w14:val="none"/>
        </w:rPr>
        <w:t>. All genes exhibited significant nucleotide and haplotype diversities. Geographic differentiation was more pronounced in red blood cell invasion genes. There is strong evidence of balancing selection in the </w:t>
      </w:r>
      <w:r w:rsidRPr="002E40CA">
        <w:rPr>
          <w:rFonts w:ascii="Calibri" w:eastAsia="Times New Roman" w:hAnsi="Calibri" w:cs="Calibri"/>
          <w:i/>
          <w:iCs/>
          <w:color w:val="000000"/>
          <w:kern w:val="0"/>
          <w:sz w:val="22"/>
          <w:szCs w:val="22"/>
          <w14:ligatures w14:val="none"/>
        </w:rPr>
        <w:t>csp</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msp-1</w:t>
      </w:r>
      <w:r w:rsidRPr="002E40CA">
        <w:rPr>
          <w:rFonts w:ascii="Calibri" w:eastAsia="Times New Roman" w:hAnsi="Calibri" w:cs="Calibri"/>
          <w:i/>
          <w:iCs/>
          <w:color w:val="000000"/>
          <w:kern w:val="0"/>
          <w:sz w:val="22"/>
          <w:szCs w:val="22"/>
          <w:vertAlign w:val="subscript"/>
          <w14:ligatures w14:val="none"/>
        </w:rPr>
        <w:t>42</w:t>
      </w:r>
      <w:r w:rsidRPr="002E40CA">
        <w:rPr>
          <w:rFonts w:ascii="Calibri" w:eastAsia="Times New Roman" w:hAnsi="Calibri" w:cs="Calibri"/>
          <w:color w:val="000000"/>
          <w:kern w:val="0"/>
          <w:sz w:val="22"/>
          <w:szCs w:val="22"/>
          <w14:ligatures w14:val="none"/>
        </w:rPr>
        <w:t>, consistent with immune-mediated selection, and the </w:t>
      </w:r>
      <w:r w:rsidRPr="002E40CA">
        <w:rPr>
          <w:rFonts w:ascii="Calibri" w:eastAsia="Times New Roman" w:hAnsi="Calibri" w:cs="Calibri"/>
          <w:i/>
          <w:iCs/>
          <w:color w:val="000000"/>
          <w:kern w:val="0"/>
          <w:sz w:val="22"/>
          <w:szCs w:val="22"/>
          <w14:ligatures w14:val="none"/>
        </w:rPr>
        <w:t>dbp</w:t>
      </w:r>
      <w:r w:rsidRPr="002E40CA">
        <w:rPr>
          <w:rFonts w:ascii="Calibri" w:eastAsia="Times New Roman" w:hAnsi="Calibri" w:cs="Calibri"/>
          <w:color w:val="000000"/>
          <w:kern w:val="0"/>
          <w:sz w:val="22"/>
          <w:szCs w:val="22"/>
          <w14:ligatures w14:val="none"/>
        </w:rPr>
        <w:t> presented a positive selection. It was observed that genes involved in erythrocytic stages are more susceptible to diversity than those in pre-erythrocytic stages. These sequences were compared with global parasite populations obtained from GenBank for phylogenetic analyses. The </w:t>
      </w:r>
      <w:r w:rsidRPr="002E40CA">
        <w:rPr>
          <w:rFonts w:ascii="Calibri" w:eastAsia="Times New Roman" w:hAnsi="Calibri" w:cs="Calibri"/>
          <w:i/>
          <w:iCs/>
          <w:color w:val="000000"/>
          <w:kern w:val="0"/>
          <w:sz w:val="22"/>
          <w:szCs w:val="22"/>
          <w14:ligatures w14:val="none"/>
        </w:rPr>
        <w:t>csp</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msp-1</w:t>
      </w:r>
      <w:r w:rsidRPr="002E40CA">
        <w:rPr>
          <w:rFonts w:ascii="Calibri" w:eastAsia="Times New Roman" w:hAnsi="Calibri" w:cs="Calibri"/>
          <w:i/>
          <w:iCs/>
          <w:color w:val="000000"/>
          <w:kern w:val="0"/>
          <w:sz w:val="22"/>
          <w:szCs w:val="22"/>
          <w:vertAlign w:val="subscript"/>
          <w14:ligatures w14:val="none"/>
        </w:rPr>
        <w:t>42</w:t>
      </w:r>
      <w:r w:rsidRPr="002E40CA">
        <w:rPr>
          <w:rFonts w:ascii="Calibri" w:eastAsia="Times New Roman" w:hAnsi="Calibri" w:cs="Calibri"/>
          <w:color w:val="000000"/>
          <w:kern w:val="0"/>
          <w:sz w:val="22"/>
          <w:szCs w:val="22"/>
          <w14:ligatures w14:val="none"/>
        </w:rPr>
        <w:t> sequences showed no geographic clustering, while the pvdbp showed strong clustering. Despite the overall genetic diversity, critical gene regions interacting with host cells remained unchanged. This finding suggests that these binding sites have limited polymorphic variation due to the proteins' functional and structural constraints. The diversity observed in the genes involved in erythrocytic stages in the AF sequences underscores the adaptations of </w:t>
      </w:r>
      <w:r w:rsidRPr="002E40CA">
        <w:rPr>
          <w:rFonts w:ascii="Calibri" w:eastAsia="Times New Roman" w:hAnsi="Calibri" w:cs="Calibri"/>
          <w:i/>
          <w:iCs/>
          <w:color w:val="000000"/>
          <w:kern w:val="0"/>
          <w:sz w:val="22"/>
          <w:szCs w:val="22"/>
          <w14:ligatures w14:val="none"/>
        </w:rPr>
        <w:t>P. vivax</w:t>
      </w:r>
      <w:r w:rsidRPr="002E40CA">
        <w:rPr>
          <w:rFonts w:ascii="Calibri" w:eastAsia="Times New Roman" w:hAnsi="Calibri" w:cs="Calibri"/>
          <w:color w:val="000000"/>
          <w:kern w:val="0"/>
          <w:sz w:val="22"/>
          <w:szCs w:val="22"/>
          <w14:ligatures w14:val="none"/>
        </w:rPr>
        <w:t> that may facilitate spillover between human and non-human primates, thereby enabling zoonotic infections. This study collaborates with the development of effective vaccines and the implementation of targeted malaria control strategies.</w:t>
      </w:r>
    </w:p>
    <w:p w14:paraId="5E88507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25-A-3949-ASTMH</w:t>
      </w:r>
    </w:p>
    <w:p w14:paraId="2E83D12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Immunology</w:t>
      </w:r>
    </w:p>
    <w:p w14:paraId="11FAA80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Association between HLA Class I and II Alleles and Risk of Clinical Malaria Within a Malian Cohort</w:t>
      </w:r>
    </w:p>
    <w:p w14:paraId="580D8BA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Variations in the human leukocyte antigen (HLA) locus are associated with susceptibility to various pathogens, but the association between specific HLA alleles and clinical outcomes following </w:t>
      </w:r>
      <w:r w:rsidRPr="002E40CA">
        <w:rPr>
          <w:rFonts w:ascii="Calibri" w:eastAsia="Times New Roman" w:hAnsi="Calibri" w:cs="Calibri"/>
          <w:i/>
          <w:iCs/>
          <w:color w:val="000000"/>
          <w:kern w:val="0"/>
          <w:sz w:val="22"/>
          <w:szCs w:val="22"/>
          <w14:ligatures w14:val="none"/>
        </w:rPr>
        <w:t xml:space="preserve">Plasmodium </w:t>
      </w:r>
      <w:r w:rsidRPr="002E40CA">
        <w:rPr>
          <w:rFonts w:ascii="Calibri" w:eastAsia="Times New Roman" w:hAnsi="Calibri" w:cs="Calibri"/>
          <w:i/>
          <w:iCs/>
          <w:color w:val="000000"/>
          <w:kern w:val="0"/>
          <w:sz w:val="22"/>
          <w:szCs w:val="22"/>
          <w14:ligatures w14:val="none"/>
        </w:rPr>
        <w:lastRenderedPageBreak/>
        <w:t>falciparum</w:t>
      </w:r>
      <w:r w:rsidRPr="002E40CA">
        <w:rPr>
          <w:rFonts w:ascii="Calibri" w:eastAsia="Times New Roman" w:hAnsi="Calibri" w:cs="Calibri"/>
          <w:color w:val="000000"/>
          <w:kern w:val="0"/>
          <w:sz w:val="22"/>
          <w:szCs w:val="22"/>
          <w14:ligatures w14:val="none"/>
        </w:rPr>
        <w:t> infection remains only partially understood. The HLA complex plays an essential role in activating the cell-mediated response, as they present processed antigens to T cells and act as ligands for killer immunoglobin-like receptors (KIRs) on NK cells. These components of the immune response play dynamic roles through parasite reduction and upregulation of inflammatory pathways that may contribute to malaria pathogenesis. In a multi-year cohort study in Mali involving 691 participants, we examined the association between HLA I and II alleles and the risk of symptomatic </w:t>
      </w:r>
      <w:r w:rsidRPr="002E40CA">
        <w:rPr>
          <w:rFonts w:ascii="Calibri" w:eastAsia="Times New Roman" w:hAnsi="Calibri" w:cs="Calibri"/>
          <w:i/>
          <w:iCs/>
          <w:color w:val="000000"/>
          <w:kern w:val="0"/>
          <w:sz w:val="22"/>
          <w:szCs w:val="22"/>
          <w14:ligatures w14:val="none"/>
        </w:rPr>
        <w:t>Plasmodium falciparum</w:t>
      </w:r>
      <w:r w:rsidRPr="002E40CA">
        <w:rPr>
          <w:rFonts w:ascii="Calibri" w:eastAsia="Times New Roman" w:hAnsi="Calibri" w:cs="Calibri"/>
          <w:color w:val="000000"/>
          <w:kern w:val="0"/>
          <w:sz w:val="22"/>
          <w:szCs w:val="22"/>
          <w14:ligatures w14:val="none"/>
        </w:rPr>
        <w:t> malaria in a setting of intense, seasonal transmission. We identified two HLA I alleles, B*08:01 and B*18:01, that were associated with reduced and increased risk of clinical malaria, respectively. HLA II alleles DPA1*03:01:01 and DPB1*40:01:01 were also associated with an increased risk of clinical malaria. Whether these alleles also influence parasitemia is being investigated. We are characterizing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-specific T cell effector responses using peripheral blood mononuclear cells (PBMCs) of individuals with these HLA alleles of interest, to test the hypothesis that these alleles are associated with differential functional responses that might contribute to protection or pathogenesis. Our findings support the hypothesis that HLA class I and II alleles differentially affect clinical malaria outcomes, further underscoring the role of cell-mediated responses in naturally acquired immunity to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malaria.</w:t>
      </w:r>
    </w:p>
    <w:p w14:paraId="1AB387D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25-A-3950-ASTMH</w:t>
      </w:r>
    </w:p>
    <w:p w14:paraId="746E4A5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Schistosomiasis and Other Trematodes – Epidemiology and Control</w:t>
      </w:r>
    </w:p>
    <w:p w14:paraId="46260D1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Longitudinal impact of praziquantel on schistosomiasis infection among preschool-age children with </w:t>
      </w:r>
      <w:r w:rsidRPr="002E40CA">
        <w:rPr>
          <w:rFonts w:ascii="Calibri" w:eastAsia="Times New Roman" w:hAnsi="Calibri" w:cs="Calibri"/>
          <w:i/>
          <w:iCs/>
          <w:color w:val="000000"/>
          <w:kern w:val="0"/>
          <w:sz w:val="22"/>
          <w:szCs w:val="22"/>
          <w14:ligatures w14:val="none"/>
        </w:rPr>
        <w:t>Schistosoma mansoni</w:t>
      </w:r>
      <w:r w:rsidRPr="002E40CA">
        <w:rPr>
          <w:rFonts w:ascii="Calibri" w:eastAsia="Times New Roman" w:hAnsi="Calibri" w:cs="Calibri"/>
          <w:color w:val="000000"/>
          <w:kern w:val="0"/>
          <w:sz w:val="22"/>
          <w:szCs w:val="22"/>
          <w14:ligatures w14:val="none"/>
        </w:rPr>
        <w:t> infection in Uganda</w:t>
      </w:r>
    </w:p>
    <w:p w14:paraId="3CD2364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In school-age children, schistosomiasis-related morbidities include undernutrition, anemia, and stunting. Little is known about these morbidities among younger preschool-age children (PSAC). As part of a trial of optimal praziquantel (PZQ) dosing for PSAC, we present the 12-month follow-up findings assessing a) the impact of PZQ on </w:t>
      </w:r>
      <w:r w:rsidRPr="002E40CA">
        <w:rPr>
          <w:rFonts w:ascii="Calibri" w:eastAsia="Times New Roman" w:hAnsi="Calibri" w:cs="Calibri"/>
          <w:i/>
          <w:iCs/>
          <w:color w:val="000000"/>
          <w:kern w:val="0"/>
          <w:sz w:val="22"/>
          <w:szCs w:val="22"/>
          <w14:ligatures w14:val="none"/>
        </w:rPr>
        <w:t>S. mansoni</w:t>
      </w:r>
      <w:r w:rsidRPr="002E40CA">
        <w:rPr>
          <w:rFonts w:ascii="Calibri" w:eastAsia="Times New Roman" w:hAnsi="Calibri" w:cs="Calibri"/>
          <w:color w:val="000000"/>
          <w:kern w:val="0"/>
          <w:sz w:val="22"/>
          <w:szCs w:val="22"/>
          <w14:ligatures w14:val="none"/>
        </w:rPr>
        <w:t> infection burden after 12 months (referred to here as reinfection) and b) the impact of reinfection on schistosomiasis-related morbidities. PSAC age 12-47 months with </w:t>
      </w:r>
      <w:r w:rsidRPr="002E40CA">
        <w:rPr>
          <w:rFonts w:ascii="Calibri" w:eastAsia="Times New Roman" w:hAnsi="Calibri" w:cs="Calibri"/>
          <w:i/>
          <w:iCs/>
          <w:color w:val="000000"/>
          <w:kern w:val="0"/>
          <w:sz w:val="22"/>
          <w:szCs w:val="22"/>
          <w14:ligatures w14:val="none"/>
        </w:rPr>
        <w:t>S. mansoni</w:t>
      </w:r>
      <w:r w:rsidRPr="002E40CA">
        <w:rPr>
          <w:rFonts w:ascii="Calibri" w:eastAsia="Times New Roman" w:hAnsi="Calibri" w:cs="Calibri"/>
          <w:color w:val="000000"/>
          <w:kern w:val="0"/>
          <w:sz w:val="22"/>
          <w:szCs w:val="22"/>
          <w14:ligatures w14:val="none"/>
        </w:rPr>
        <w:t> infection, diagnosed by Kato Katz, were enrolled from Uganda. Participants were randomized to receive either 40 or 80 mg/kg PZQ administered either one time (baseline only) or two times (baseline and 6 months) over 12 months. Measures of infection intensity [eggs per gram of stool (EPG)], anemia [hemoglobin (Hb) &lt;11g/dL], and stunting [length-for-age z score (LAZ)&lt;-2] were collected at baseline and 12 months. Statistical analyses included multivariate log binomial regression and generalized estimating equations. Among 286 participants, 59 (21.4%) experienced treatment failure 4 weeks after baseline, and 165 (57.7%) were reinfected with </w:t>
      </w:r>
      <w:r w:rsidRPr="002E40CA">
        <w:rPr>
          <w:rFonts w:ascii="Calibri" w:eastAsia="Times New Roman" w:hAnsi="Calibri" w:cs="Calibri"/>
          <w:i/>
          <w:iCs/>
          <w:color w:val="000000"/>
          <w:kern w:val="0"/>
          <w:sz w:val="22"/>
          <w:szCs w:val="22"/>
          <w14:ligatures w14:val="none"/>
        </w:rPr>
        <w:t>S. mansoni</w:t>
      </w:r>
      <w:r w:rsidRPr="002E40CA">
        <w:rPr>
          <w:rFonts w:ascii="Calibri" w:eastAsia="Times New Roman" w:hAnsi="Calibri" w:cs="Calibri"/>
          <w:color w:val="000000"/>
          <w:kern w:val="0"/>
          <w:sz w:val="22"/>
          <w:szCs w:val="22"/>
          <w14:ligatures w14:val="none"/>
        </w:rPr>
        <w:t> after 12 months. Those who received PZQ at two times compared to one time had a reduced risk for reinfection after adjusting for treatment failure at 4 weeks (RR=0.68, 95% CI=0.55-0.84,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&lt;0.01). The decrease in stunting over 12 months was not impacted by reinfection status in fully adjusted models. Among those reinfected, the proportion of anemia increased between baseline (59.4%) and 12 months (74.2%). The increased risk for anemia at 12 months was related reinfection status after adjusting for age, baseline EPG, and treatment failure at 4 weeks (RR=1.69, 95% CI=1.07-2.65, </w:t>
      </w:r>
      <w:r w:rsidRPr="002E40CA">
        <w:rPr>
          <w:rFonts w:ascii="Calibri" w:eastAsia="Times New Roman" w:hAnsi="Calibri" w:cs="Calibri"/>
          <w:i/>
          <w:iCs/>
          <w:color w:val="000000"/>
          <w:kern w:val="0"/>
          <w:sz w:val="22"/>
          <w:szCs w:val="22"/>
          <w14:ligatures w14:val="none"/>
        </w:rPr>
        <w:t>p</w:t>
      </w:r>
      <w:r w:rsidRPr="002E40CA">
        <w:rPr>
          <w:rFonts w:ascii="Calibri" w:eastAsia="Times New Roman" w:hAnsi="Calibri" w:cs="Calibri"/>
          <w:color w:val="000000"/>
          <w:kern w:val="0"/>
          <w:sz w:val="22"/>
          <w:szCs w:val="22"/>
          <w14:ligatures w14:val="none"/>
        </w:rPr>
        <w:t>=0.02). Treating PSAC infected with </w:t>
      </w:r>
      <w:r w:rsidRPr="002E40CA">
        <w:rPr>
          <w:rFonts w:ascii="Calibri" w:eastAsia="Times New Roman" w:hAnsi="Calibri" w:cs="Calibri"/>
          <w:i/>
          <w:iCs/>
          <w:color w:val="000000"/>
          <w:kern w:val="0"/>
          <w:sz w:val="22"/>
          <w:szCs w:val="22"/>
          <w14:ligatures w14:val="none"/>
        </w:rPr>
        <w:t>S. mansoni</w:t>
      </w:r>
      <w:r w:rsidRPr="002E40CA">
        <w:rPr>
          <w:rFonts w:ascii="Calibri" w:eastAsia="Times New Roman" w:hAnsi="Calibri" w:cs="Calibri"/>
          <w:color w:val="000000"/>
          <w:kern w:val="0"/>
          <w:sz w:val="22"/>
          <w:szCs w:val="22"/>
          <w14:ligatures w14:val="none"/>
        </w:rPr>
        <w:t> with PZQ two times over 12 months reduced their risk for reinfection. Anemia worsened over time for those reinfected, demonstrating the importance of PZQ treatment in this age group. Treating PSAC with PZQ mitigates the burden of schistosomiasis-related morbidities, and these younger children must be included in the distribution of preventive chemotherapy.</w:t>
      </w:r>
    </w:p>
    <w:p w14:paraId="677A123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25-A-3951-ASTMH</w:t>
      </w:r>
    </w:p>
    <w:p w14:paraId="5119DDE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Bacteriology - Other Bacterial Infections</w:t>
      </w:r>
    </w:p>
    <w:p w14:paraId="68631F3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Antibody-omics Reveals Distinct Immunological States Across the Infection and Disease Spectrum in Leprosy</w:t>
      </w:r>
    </w:p>
    <w:p w14:paraId="3DB2611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Leprosy control and elimination is limited by lack of tools for unequivocal early detection and delineation of disease states. Current antibody (Ab) tests (e.g. anti-PGL-1 IgM) offer limited and variable </w:t>
      </w:r>
      <w:r w:rsidRPr="002E40CA">
        <w:rPr>
          <w:rFonts w:ascii="Calibri" w:eastAsia="Times New Roman" w:hAnsi="Calibri" w:cs="Calibri"/>
          <w:color w:val="000000"/>
          <w:kern w:val="0"/>
          <w:sz w:val="22"/>
          <w:szCs w:val="22"/>
          <w14:ligatures w14:val="none"/>
        </w:rPr>
        <w:lastRenderedPageBreak/>
        <w:t>sensitivity in detecting early and paucibacillary (PB) infection. We have developed a multiplexed ‘Ab-omics’ platform for deep biophysical profiling (both Fab &amp; Fc ends) of broad sets of antigen-specific Abs including their isotype, subclass, glycosylation and Fc receptor (FcR) binding. Machine-learning applied to this high-dimensional data can reveal unique Ab signatures predictive of disease state and outcome. Here, we applied Ab-omics to sera from 150 individuals from Minas Gerais, Brazil, including clinically confirmed leprosy patients (LEP), household contacts (HHC), and endemic controls (EC). Barcoded beads coated with Mycobacterium leprae (ML) (Ag85B, CFP10, GroES, BF, LAM, and PGL-1) and non-ML antigens were incubated with serum and probed with various isotype and subclass probes, tetramerized Fc receptors and lectins, measuring a total of 221 Ab features (17 Ab Fc probes X 13 antigens) per sample. Machine-learning (LASSO-SVM) based analysis then identified a minimal signature that distinguished LEP from EC with perfect accuracy (AUC = 1.0). Beyond the hallmark IgM, ML-specific IgA Abs, FcγR2A binding and sialylation were found to be higher in LEP indicating a role of class-switching, altered FcR engagement, and anti-inflammatory glycosylation shifts. Further within the LEP group, the Ab-omic signatures clearly distinguished multibacillary (MB) and PB cases. Higher IgG3 and FcγR3A binding was found in MB, linked to a functionally active Ab response. Strikingly, HHCs were found to have a unique Ab-omic profile as well, distinct (AUC &gt; 0.9) from LEP and ECs, even in the absence of clinical symptoms, with evidence of selective antigenic targeting (Ag85B vs PGL-1), differential class-switching (IgM vs IgA) and higher levels ML-specific Ab galactosylation, indicating an anti-inflammatory shift. Our findings suggest that a purely Ab-based biomarker can achieve accurate diagnosis and distinction of disease states in Leprosy.</w:t>
      </w:r>
    </w:p>
    <w:p w14:paraId="7F42B75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25-A-3952-ASTMH</w:t>
      </w:r>
    </w:p>
    <w:p w14:paraId="3D7F9F1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Prevention</w:t>
      </w:r>
    </w:p>
    <w:p w14:paraId="6406977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Impact of Decentralized Procurement strategy on reducing stock out of Sulfadoxine-Pyrimethamine and coverage of intermittent preventive therapy of Malaria in Pregnancy in Mainland Tanzania: Experience from four years of implementation from 2020 to 2023</w:t>
      </w:r>
    </w:p>
    <w:p w14:paraId="6BED517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in pregnancy (MiP) increases maternal and fetal risks. WHO recommends providing three or more doses of intermittent preventive treatment during pregnancy (IPTp) with sulfadoxine-pyrimethamine (SP). Stockout of SP hinders IPTp uptake; various strategies have been implemented to address stockout issues, including strengthening the supply chain and mobilizing domestic resources for SP procurement. Tanzania’s Ministry of Health (MOH) decentralized SP procurement in 2020, marking a major shift from national-level procurement to a decentralized, facility-level decision-making approach. This study assessed the impact of this policy on SP stockouts and IPTp3+ coverage from 2020 to 2023. Over 10,000 stock-out reports from over 7000 health facilities (HF) in Mainland Tanzania were analyzed. Stock-out days were categorized as none (0), low (1-30), moderate (31-60), or high (61+), and these were linked to IPTp3+ consumption data. Pearson correlation and Poisson regression were used to analyze associations between stock levels and IPTp3+ coverage, adjusting for malaria transmission intensity, residency, and year. Results showed that high stockouts declined from 29% in 2020 to 5.7% in 2023. Regions with high transmission had a decline in high stockouts; in Kagera it declined from 45% to 3%, Mara from 63% to 7%, and Geita from 79% to 6 %, in 2020 and 2023, respectively. The highest iPTp3+ coverage was in HFs with minimal stockouts and the lowest in those with frequent shortages. The difference in IPTp3+ coverage among HFs with no stockouts and those with high stockouts was 14%, 9%, 9%, and 8% in 2020, 2021, 2022, and 2023, respectively. A weak correlation was observed between stockouts and IPTp3+ coverage, ranging from -0.15 in 2020 to -0.06 in 2023 (p &lt; 0.05). Stock out of SP declined over time following decentralization of the procurement approach, and the average IPTp3+ uptake was higher (71%) in 2023 compared to 2018 (55%). However, the weak correlation observed suggests additional barriers to IPTp3+ coverage must be addressed to optimize prevention of MiP</w:t>
      </w:r>
    </w:p>
    <w:p w14:paraId="0A5C67D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25-A-3953-ASTMH</w:t>
      </w:r>
    </w:p>
    <w:p w14:paraId="1608F3A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Antimalarial Resistance and Chemotherapy</w:t>
      </w:r>
    </w:p>
    <w:p w14:paraId="707754B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New emergence of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mutants in Guyana: implications on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resistance to artemisinin derivatives</w:t>
      </w:r>
    </w:p>
    <w:p w14:paraId="2CFA83B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Artemisinin resistance poses a significant challenge for the elimination of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malaria in the Guiana Shield, a region of South America. The resistance is primarily monitored through the analysis of mutations in the propeller domain of the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gene. Out of over a hundred mutations identified worldwide, only 13 have been confirmed as markers of artemisinin decrease of sensitivity. During 2016-2017, the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C580Y mutation was detected in three genetically related foci in Guyana. Genome editing of parasites from this area confirmed a high decrease in artemisinin </w:t>
      </w:r>
      <w:r w:rsidRPr="002E40CA">
        <w:rPr>
          <w:rFonts w:ascii="Calibri" w:eastAsia="Times New Roman" w:hAnsi="Calibri" w:cs="Calibri"/>
          <w:i/>
          <w:iCs/>
          <w:color w:val="000000"/>
          <w:kern w:val="0"/>
          <w:sz w:val="22"/>
          <w:szCs w:val="22"/>
          <w14:ligatures w14:val="none"/>
        </w:rPr>
        <w:t>in vitro </w:t>
      </w:r>
      <w:r w:rsidRPr="002E40CA">
        <w:rPr>
          <w:rFonts w:ascii="Calibri" w:eastAsia="Times New Roman" w:hAnsi="Calibri" w:cs="Calibri"/>
          <w:color w:val="000000"/>
          <w:kern w:val="0"/>
          <w:sz w:val="22"/>
          <w:szCs w:val="22"/>
          <w14:ligatures w14:val="none"/>
        </w:rPr>
        <w:t>susceptibility linked to this mutation as previously observed in parasites from Southeast Asia. Between 2021 and 2023, a large-scale study involving 2,730 samples from Guyana and French Guiana aimed to track the spread of these foci and the selection of other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mutations. The C580Y mutation in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was absent in all samples. However, a new mutation, A569V, was present in one isolate. While this mutation has been described in Africa, it has not yet been validated as a resistance marker. Genome editing experiments underway to assess its impact on parasites with South American and African genetic backgrounds, aiming to deepen the understanding of its potential role in resistance. Unexpectedly, the clonal lineage of C580Y disappeared in Guyana, likely due to the high effectiveness of the partner drug, lumefantrine. Ongoing surveillance of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mutations is crucial to analyse the dynamic of selection in this hotspot for antimalarial drug resistance and to detect new mutations that may threaten the effectiveness of artemisinin-based therapies. This monitoring is a key strategy in efforts to eliminate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and mitigate the spread of drug resistance in the region.</w:t>
      </w:r>
    </w:p>
    <w:p w14:paraId="219AFD9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25-A-3954-ASTMH</w:t>
      </w:r>
    </w:p>
    <w:p w14:paraId="51FF26A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Security/Emerging Infection Preparedness, Surveillance and Response(s)</w:t>
      </w:r>
    </w:p>
    <w:p w14:paraId="4479BEB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Remote Emerging Disease Intelligence-NETwork (REDI-NET): a Consortium supported scalable surveillance and pathogen detection platform</w:t>
      </w:r>
    </w:p>
    <w:p w14:paraId="0D9720B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Outbreaks of infectious disease continue world-wide. Often, pathogen surveillance and identification, the first step for effective mitigation, is hampered by a lack of technical expertise and, or infrastructure required to generate rigorous data for decision-making on appropriate prevention and response measures. The Remote Emerging Disease Intelligence-NETwork (REDI-NET) is a Consortium of experts representing academia, government, non-government organizations, and industries, collaborating to detect, predict and contain emerging and re-emerging infectious disease threats. The REDI-NET leverages broad expertise to strengthen surveillance capacity where gaps exist, through standardizing and accelerating robust data outputs based on metagenomic next-generation sequencing (NGS) for pathogen detection in various invertebrate and vertebrate sample types. A custom-designed, mobile field data entry application with built-in functionality for data control, and a secure, web-based interactive Data Portal are used for entering, viewing and filtering field sample metadata and laboratory testing data, integrated into the REDI-NET electronically-merged system (e-MERGE System). The REDI-NET provides training and technical support at various stages of surveillance efforts using a ‘case-by-case’ approach depending on partners’ specific needs. The REDI-NET has expanded surveillance and strengthened capacity for pathogen detection in remote settings and varied ecologies (tropical forest, savannah, marsh/wetland). The REDI-NET e-Merge System is adaptable and has seamlessly been scaled for new sample type(s) and associated metadata. The REDI-NET Standard Operating Procedures (SOPs) have been published open-access for utilization by the scientific community. The custom-established NGS analysis platform enables automated functionality to detect known viral pathogens and generate output reports for non-specialists. Here we present an overview of REDI-NET program successes from inception of the initiative, and discuss future plans to enhance Global Health outcomes.</w:t>
      </w:r>
    </w:p>
    <w:p w14:paraId="79CFE8D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25-A-3955-ASTMH</w:t>
      </w:r>
    </w:p>
    <w:p w14:paraId="3823AB4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One Health: The Interface of Humans, Ecosystems, and Animal Health</w:t>
      </w:r>
    </w:p>
    <w:p w14:paraId="4B6EF80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Unusual Etiologies of Bacteraemia in Under-5 Children: A Case for One-Health Diagnostic Approaches</w:t>
      </w:r>
    </w:p>
    <w:p w14:paraId="7B2EA6B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Unusual and emerging pathogens have increasingly been identified as causative agents of serious bacterial infections in young children. Within the context of a study on the etiology and transmission of serious bacterial infections in young African children, we highlight uncommon bacterial causes of bacteremia in under-five children in Nigeria. Study area: Selected tertiary hospitals in Nigeria. Inclusion: Hospitalized children, aged &lt; 5 years, presenting with fever or a history of fever. Enrolment period: June 2023 - September 2024. Exclusion: Hospitalization within 4 weeks of index illness. Blood culture samples were collected at the time of hospitalization and swabs (rectal/environmental surfaces) from human and animal contacts at the homes of enrolled children. Of the 1,558 enrolled children who had clinical samples processed, there were five cases with unusual bacterial pathogens identified from blood culture. Four of the isolates were in neonates who had risk factors for sepsis. </w:t>
      </w:r>
      <w:r w:rsidRPr="002E40CA">
        <w:rPr>
          <w:rFonts w:ascii="Calibri" w:eastAsia="Times New Roman" w:hAnsi="Calibri" w:cs="Calibri"/>
          <w:i/>
          <w:iCs/>
          <w:color w:val="000000"/>
          <w:kern w:val="0"/>
          <w:sz w:val="22"/>
          <w:szCs w:val="22"/>
          <w14:ligatures w14:val="none"/>
        </w:rPr>
        <w:t>Aeromonas salmonicida</w:t>
      </w:r>
      <w:r w:rsidRPr="002E40CA">
        <w:rPr>
          <w:rFonts w:ascii="Calibri" w:eastAsia="Times New Roman" w:hAnsi="Calibri" w:cs="Calibri"/>
          <w:color w:val="000000"/>
          <w:kern w:val="0"/>
          <w:sz w:val="22"/>
          <w:szCs w:val="22"/>
          <w14:ligatures w14:val="none"/>
        </w:rPr>
        <w:t> was isolated in 3 neonates; two of the isolates were resistant to ciprofloxacin and one resistant to meropenem. </w:t>
      </w:r>
      <w:r w:rsidRPr="002E40CA">
        <w:rPr>
          <w:rFonts w:ascii="Calibri" w:eastAsia="Times New Roman" w:hAnsi="Calibri" w:cs="Calibri"/>
          <w:i/>
          <w:iCs/>
          <w:color w:val="000000"/>
          <w:kern w:val="0"/>
          <w:sz w:val="22"/>
          <w:szCs w:val="22"/>
          <w14:ligatures w14:val="none"/>
        </w:rPr>
        <w:t>Streptococcus pluranimalium</w:t>
      </w:r>
      <w:r w:rsidRPr="002E40CA">
        <w:rPr>
          <w:rFonts w:ascii="Calibri" w:eastAsia="Times New Roman" w:hAnsi="Calibri" w:cs="Calibri"/>
          <w:color w:val="000000"/>
          <w:kern w:val="0"/>
          <w:sz w:val="22"/>
          <w:szCs w:val="22"/>
          <w14:ligatures w14:val="none"/>
        </w:rPr>
        <w:t>, isolated in a neonate was resistant to erythromycin, tetracyclin and levofloxacin. </w:t>
      </w:r>
      <w:r w:rsidRPr="002E40CA">
        <w:rPr>
          <w:rFonts w:ascii="Calibri" w:eastAsia="Times New Roman" w:hAnsi="Calibri" w:cs="Calibri"/>
          <w:i/>
          <w:iCs/>
          <w:color w:val="000000"/>
          <w:kern w:val="0"/>
          <w:sz w:val="22"/>
          <w:szCs w:val="22"/>
          <w14:ligatures w14:val="none"/>
        </w:rPr>
        <w:t>Rhizobium radiobacter</w:t>
      </w:r>
      <w:r w:rsidRPr="002E40CA">
        <w:rPr>
          <w:rFonts w:ascii="Calibri" w:eastAsia="Times New Roman" w:hAnsi="Calibri" w:cs="Calibri"/>
          <w:color w:val="000000"/>
          <w:kern w:val="0"/>
          <w:sz w:val="22"/>
          <w:szCs w:val="22"/>
          <w14:ligatures w14:val="none"/>
        </w:rPr>
        <w:t> was seen in a 14-month-old male infant and it was resistant to ceftazidime. The neonate with </w:t>
      </w:r>
      <w:r w:rsidRPr="002E40CA">
        <w:rPr>
          <w:rFonts w:ascii="Calibri" w:eastAsia="Times New Roman" w:hAnsi="Calibri" w:cs="Calibri"/>
          <w:i/>
          <w:iCs/>
          <w:color w:val="000000"/>
          <w:kern w:val="0"/>
          <w:sz w:val="22"/>
          <w:szCs w:val="22"/>
          <w14:ligatures w14:val="none"/>
        </w:rPr>
        <w:t>Streptococcus pluranimalium </w:t>
      </w:r>
      <w:r w:rsidRPr="002E40CA">
        <w:rPr>
          <w:rFonts w:ascii="Calibri" w:eastAsia="Times New Roman" w:hAnsi="Calibri" w:cs="Calibri"/>
          <w:color w:val="000000"/>
          <w:kern w:val="0"/>
          <w:sz w:val="22"/>
          <w:szCs w:val="22"/>
          <w14:ligatures w14:val="none"/>
        </w:rPr>
        <w:t>died while the others were discharged home after treatment. Reservoirs for uncommon pathogens such as </w:t>
      </w:r>
      <w:r w:rsidRPr="002E40CA">
        <w:rPr>
          <w:rFonts w:ascii="Calibri" w:eastAsia="Times New Roman" w:hAnsi="Calibri" w:cs="Calibri"/>
          <w:i/>
          <w:iCs/>
          <w:color w:val="000000"/>
          <w:kern w:val="0"/>
          <w:sz w:val="22"/>
          <w:szCs w:val="22"/>
          <w14:ligatures w14:val="none"/>
        </w:rPr>
        <w:t>Streptococcus pluranimalium</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Aeromonas salmonicida</w:t>
      </w:r>
      <w:r w:rsidRPr="002E40CA">
        <w:rPr>
          <w:rFonts w:ascii="Calibri" w:eastAsia="Times New Roman" w:hAnsi="Calibri" w:cs="Calibri"/>
          <w:color w:val="000000"/>
          <w:kern w:val="0"/>
          <w:sz w:val="22"/>
          <w:szCs w:val="22"/>
          <w14:ligatures w14:val="none"/>
        </w:rPr>
        <w:t> include ruminants and fishes. </w:t>
      </w:r>
      <w:r w:rsidRPr="002E40CA">
        <w:rPr>
          <w:rFonts w:ascii="Calibri" w:eastAsia="Times New Roman" w:hAnsi="Calibri" w:cs="Calibri"/>
          <w:i/>
          <w:iCs/>
          <w:color w:val="000000"/>
          <w:kern w:val="0"/>
          <w:sz w:val="22"/>
          <w:szCs w:val="22"/>
          <w14:ligatures w14:val="none"/>
        </w:rPr>
        <w:t>Rhizobium radiobacter</w:t>
      </w:r>
      <w:r w:rsidRPr="002E40CA">
        <w:rPr>
          <w:rFonts w:ascii="Calibri" w:eastAsia="Times New Roman" w:hAnsi="Calibri" w:cs="Calibri"/>
          <w:color w:val="000000"/>
          <w:kern w:val="0"/>
          <w:sz w:val="22"/>
          <w:szCs w:val="22"/>
          <w14:ligatures w14:val="none"/>
        </w:rPr>
        <w:t> is a soil-dwelling bacterium that is not commonly associated with human infections. These infections may also contribute to mortality in young infants. A One-Health investigative approach will aid better understanding of the true etiology and transmission dynamics of infections in young children.</w:t>
      </w:r>
    </w:p>
    <w:p w14:paraId="47BFC4A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25-A-3956-ASTMH</w:t>
      </w:r>
    </w:p>
    <w:p w14:paraId="22E9123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Surveillance and Data Utilization</w:t>
      </w:r>
    </w:p>
    <w:p w14:paraId="626C9B0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Enhancing Data Collection for Intermittent Preventive Treatment of Malaria in Pregnancy: A Quality Improvement Approach to Strengthen Malaria Intervention Outcomes</w:t>
      </w:r>
    </w:p>
    <w:p w14:paraId="7B8332B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Burkina Faso’s malaria elimination strategy prioritizes pregnant women through intermittent preventive treatment of malaria in pregnancy (IPTp) to protect pregnant women and avoid complications. Sulfadoxine-pyrimethamine is administered during antenatal care (ANC), indirectly linking ANC coverage (mainly ANC4) and IPTp3. Over the past four years, coverage of IPTp3 in PMI intervention regions was 80% per year, while ANC4 was 60% per year. This significant discrepancy between ANC4 and IPTp3 coverage necessitated the implementation of a data quality assessment process, as well as supervision of providers to ensure compliance with the national protocol for IPTp3. The Data Quality Assurance (DQA) of malaria data targeted the whole country by evaluating the 8 data quality components. Based on the findings from the observations and recommendations of this DQA, formative supervision was organized in 36 health facilities to validate the IPTp3 and ANC4 coverage. The data for this assessment came from the HMIS database and the maternity registers. Based on registry data, the denominator used to calculate IPTp3 coverage was the total number of women who completed their pregnancy cycle within 6 months and received ANC 1. A comparative analysis of IPTp3 coverage extracted from HMIS was conducted to assess data quality. During the 6 months, 6,007 ANC1 were registered in the HMIS database, 73% (n=4,410) completed ANC4, and IPTp3 covered 80% (n=4,824). Data extracted from registers covering women who had completed their pregnancy cycle (n=5964) showed that 64% (3,816) had completed ANC4 and 57% (n=3,424) had completed IPTp3. The accuracy score for ANC4 is 13% and for IPTp3 is 29%. According to the national protocol, each dose of SP must be administered at least 28 days apart. Data extracted from maternity registers indicate that 8% of women received doses of SP at an interval of less than 28 days, which contributes to increasing the number of women receiving IPTp3. To improve data quality and reduce errors in the administration of IPTp, a system for monitoring pregnant women in health facilities has been set up, enabling data to be collected and validated monthly.</w:t>
      </w:r>
    </w:p>
    <w:p w14:paraId="733E00B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25-A-3957-ASTMH</w:t>
      </w:r>
    </w:p>
    <w:p w14:paraId="2CADF26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28391A6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Integrated Serosurveillance as a Tool for Monitorin of Neglected Tropical Disease Monitoring in Vanuatu</w:t>
      </w:r>
    </w:p>
    <w:p w14:paraId="31B5E79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Between 2021 and 2023, the Vanuatu Ministry of Health (MoH), with support from the Pacific Integrated Neglected Tropical Diseases Elimination (PINE) project, conducted two rounds of mass drug administration (MDA) with ivermectin, albendazole, and azithromycin, alongside integrated serological surveys across Sanma, Shefa, and Tafea provinces. Dried blood spots (DBS) were collected in a subset of villages for multiplex analysis of 31 antigens, including key neglected tropical diseases (NTDs). Yaws seroprevalence (dual anti-rp17 and anti-TmpA positivity) in children aged 1-14 was 3.7% in Tafea (11/297), 1.5% in Shefa (2/133), and 0% in Sanma (0/161), with 13 children testing double-positive. Trachoma (anti-Pgp3) seroprevalence in 1-14-year-olds was 21.4% in Tafea, 29.0% in Sanma, and 28.9% in Shefa. Seroconversion rates ranged from 2.3 to 4.0 per 100 children annually. Despite its elimination in 2022, trachoma antibodies remain detectable, likely reflecting historical exposure. Lymphatic filariasis antibodies (anti-bm14, bm33, wb123) were present in children in all provinces, but no triple positives were detected among those aged 1-14. Two triple-positive cases—both females aged 40-49—were identified in Sanma and Shefa, suggesting residual exposure. Strongyloidiasis (anti-NIE) seroprevalence in 1-14-year-olds was 1.8%, with highest prevalence in Sanma (3.6%). Taeniasis (anti-rES33) was 0.91% overall, and cysticercosis (anti-T24H) was 1.2%, with all provinces represented. Highest T24H positivity was observed in Tafea (2.1%).These findings highlight new and residual exposure. These results will inform MoH planning for future NTD interventions and demonstrate the value of integrated serology for multi-disease surveillance in resource-limited settings. Continued data validation and age-stratified analysis are planned to refine interpretation of exposure trends.</w:t>
      </w:r>
    </w:p>
    <w:p w14:paraId="2A8231F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25-A-3958-ASTMH</w:t>
      </w:r>
    </w:p>
    <w:p w14:paraId="5FC4C89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Viruses - Epidemiology</w:t>
      </w:r>
    </w:p>
    <w:p w14:paraId="1B4F671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Assessing Drivers of the Large Increase in Dengue in Brazil in 2024</w:t>
      </w:r>
    </w:p>
    <w:p w14:paraId="50321C2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Brazil, like other areas of the Americas, saw a dramatic surge in dengue cases in 2024, raising questions about its drivers. Rising temperatures, population susceptibility changes (e.g., immunity increasing severe disease risk), and novel dengue viruses may have contributed. We analyzed state-specific 2024 incidence against 2000-2023 data to quantify anomalies. Nine states—Bahia, Distrito Federal, Goiás, Minas Gerais, Paraná, Rio de Janeiro, Rio Grande do Sul, Santa Catarina, São Paulo—hit the 100th percentile, their highest incidence in 25 years. Southern and southeastern states (Minas Gerais, Paraná, Rio de Janeiro, Rio Grande do Sul, Santa Catarina, São Paulo) , accounted for an average of 48.2% of Brazil’s annual dengue cases (331,587 cases per year, 2000-2023). In 2024, they reported 4,808,279 cases, 84.9% of 5.66 million total cases (despite accounting for ~55.3% of the population)—a sharp rise in numbers and proportion. Northeastern states like Ceará (21.7th percentile) and Pernambuco (39.1st percentile), 2024 did not see a larger outbreak than previous years.We assessed climate’s role by comparing 2024 temperature anomalies to historical trends, estimating reproductive numbers (R₀) via thermal suitability models. Temperature increases likely elevated R₀ above epidemic thresholds in southern regions, previously less affected. We use temperature-dependent mechanistic models to explore the potential role for changes in susceptibility due to historical transmission or the emergence of new serotypes or genotypes. These analyses aim to quantify the drivers responsible for the significant increase in cases reported in 2024, and underscore southern Brazil’s rising vulnerability to dengue, and the risks it faces from the potential introduction of new serotypes into susceptible areas.</w:t>
      </w:r>
    </w:p>
    <w:p w14:paraId="2D6F766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25-A-3959-ASTMH</w:t>
      </w:r>
    </w:p>
    <w:p w14:paraId="281E7D5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Clinical Tropical Medicine</w:t>
      </w:r>
    </w:p>
    <w:p w14:paraId="34BBAC0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From Buruli ulcer-Laboratory Network to SKIN NTD Laboratory Network: Lessons Learned and Perspectives on an Integrated Laboratory Network for Skin Neglected Tropical Diseases</w:t>
      </w:r>
    </w:p>
    <w:p w14:paraId="1EC45E1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Neglected Tropical Diseases (NTDs) continue to pose a substantial public health burden, particularly in endemic regions where access to reliable diagnostic infrastructure is limited. Laboratory-based diagnosis </w:t>
      </w:r>
      <w:r w:rsidRPr="002E40CA">
        <w:rPr>
          <w:rFonts w:ascii="Calibri" w:eastAsia="Times New Roman" w:hAnsi="Calibri" w:cs="Calibri"/>
          <w:color w:val="000000"/>
          <w:kern w:val="0"/>
          <w:sz w:val="22"/>
          <w:szCs w:val="22"/>
          <w14:ligatures w14:val="none"/>
        </w:rPr>
        <w:lastRenderedPageBreak/>
        <w:t>is critical for disease surveillance, patient management, and guiding elimination strategies. The Buruli Ulcer Laboratory Network (BU-LABNET) was established to standardize diagnostic workflows, harmonize reagent usage, and implement external quality assurance (EQA) programs across laboratories, thereby ensuring accuracy and reliability of Buruli ulcer (BU) diagnostics. We successfully introduced a unified diagnostic framework, by harmonizing and standardizing BU diagnostic protocols in these African laboratories. The intervention facilitated consistency across laboratories. Additionally, four rounds of the EQA program have been successfully organized which further enhanced diagnostic accuracy and reproducibility. Building on this success, the network was expanded to form the Skin NTD LABNET, integrating diagnostics for other skin NTDs including yaws, leprosy, cutaneous leishmaniasis, and mycetoma. Successful harmonization and integration underscore the feasibility and advantages of a broader NTD laboratory network. The transition from BU-LABNET to Skin NTD LABNET also exemplifies the transformative potential of standardized diagnostic frameworks in enhancing laboratory data quality and reliability. Expanding this model to encompass additional NTDs could strengthen global surveillance, enhance diagnostic capacities, and foster collaborative networks among laboratories working on multiple diseases. Establishing a comprehensive NTD laboratory network could further accelerate global efforts in the control and elimination of NTDs across multiple diseases and endemic regions.</w:t>
      </w:r>
    </w:p>
    <w:p w14:paraId="6E5988D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25-A-3960-ASTMH</w:t>
      </w:r>
    </w:p>
    <w:p w14:paraId="7BE48C8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Antimalarial Resistance and Chemotherapy</w:t>
      </w:r>
    </w:p>
    <w:p w14:paraId="09F1109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Positive epistasis for fitness lowers barriers against evolution of multidrug resistance in malaria parasites</w:t>
      </w:r>
    </w:p>
    <w:p w14:paraId="0016EF3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parasites carrying resistance to all five classes of antimalarials are now common in SE Asia. However, the barriers to evolution of multidrug resistance are expected to be extremely high, given that each individual resistance mutation carries a substantial fitness cost. The size of these barriers depends critically on whether fitness costs imposed by different drug resistance genes behave additively, or whether epistatic interactions between genes result in costs that are lower or higher than expected from the null additive model. We generated mutations in </w:t>
      </w:r>
      <w:r w:rsidRPr="002E40CA">
        <w:rPr>
          <w:rFonts w:ascii="Calibri" w:eastAsia="Times New Roman" w:hAnsi="Calibri" w:cs="Calibri"/>
          <w:i/>
          <w:iCs/>
          <w:color w:val="000000"/>
          <w:kern w:val="0"/>
          <w:sz w:val="22"/>
          <w:szCs w:val="22"/>
          <w14:ligatures w14:val="none"/>
        </w:rPr>
        <w:t>kelch13</w:t>
      </w:r>
      <w:r w:rsidRPr="002E40CA">
        <w:rPr>
          <w:rFonts w:ascii="Calibri" w:eastAsia="Times New Roman" w:hAnsi="Calibri" w:cs="Calibri"/>
          <w:color w:val="000000"/>
          <w:kern w:val="0"/>
          <w:sz w:val="22"/>
          <w:szCs w:val="22"/>
          <w14:ligatures w14:val="none"/>
        </w:rPr>
        <w:t> underlying artemisinin (ART) resistance, and/or mutations in the chloroquine resistance transporter underlying piperaquine (PPQ) resistance to generate parasites showing multidrug resistance to the component drugs of a commonly used combination therapy. We then quantified drug sensitivity and directly measured fitness costs of these mutations alone or in combination using replicated pairwise competition experiments. We find positive epistasis for fitness: pfcrt-F145I mutations (PPQ-R) carry a selection coefficient (s) of -0.51, and kelch13-C580Y (s = - 0.22), while edited parasites carrying both mutations have s = -0.5, substantially less than the additive expectation (s = -0.73. The positive epistasis observed may occur in this case because both drugs target hemoglobin digestion, a key target for parasite survival. The outcome of positive epistasis is that barriers to evolution of multidrug resistance to these partner drugs are lower than might be expected. This may help explain the speed with which PPQ-ART resistant parasite lineages have spread across SE Asia. If positive epistasis is commonly observed between drug resistance mutations, this may help to explain how multidrug resistance can evolve in malaria parasites and other microbial pathogens.</w:t>
      </w:r>
    </w:p>
    <w:p w14:paraId="0AE4C45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25-A-3962-ASTMH</w:t>
      </w:r>
    </w:p>
    <w:p w14:paraId="054CF48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Schistosomiasis and Other Trematodes – Epidemiology and Control</w:t>
      </w:r>
    </w:p>
    <w:p w14:paraId="744DCC0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SCOPE-ing out success: Development and operational feasibility of the Smart Capture of Parasite Estimates (SCOPE) app to facilitate soil-transmitted helminth and schistosomiasis surveillance in the Philippines</w:t>
      </w:r>
    </w:p>
    <w:p w14:paraId="67983EC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Soil-transmitted helminthiasis (STH) and schistosomiasis (SCH) affect 1.5 billion people globally and have significant detrimental effects on health. Strategies to implement STH/SCH control programs rely on microscopic analysis of stool samples for diagnosis and surveillance. In the Philippines, active surveillance activities are conducted at the municipal level by medical technologists with variable </w:t>
      </w:r>
      <w:r w:rsidRPr="002E40CA">
        <w:rPr>
          <w:rFonts w:ascii="Calibri" w:eastAsia="Times New Roman" w:hAnsi="Calibri" w:cs="Calibri"/>
          <w:color w:val="000000"/>
          <w:kern w:val="0"/>
          <w:sz w:val="22"/>
          <w:szCs w:val="22"/>
          <w14:ligatures w14:val="none"/>
        </w:rPr>
        <w:lastRenderedPageBreak/>
        <w:t>training. We developed a mobile phone-based STH/SCH egg identification and counting tool (the SCOPE app) that employs machine learning to classify eggs. The app runs on a mobile phone attached to a light microscope using an adaptor to fit the phone camera over the eye piece. The app collects data offline and syncs to a cloud database once internet is available. Over 18,000 egg images were collected from field surveillance activities in the Philippines to develop a contextually appropriate data set. All images were processed and labeled with the species type by four expert parasitologists. The images, along with egg locations and labels, were split into training, test, and holdout sets to train and evaluate the model, which attained mean weighted precision of 0.96, recall of 0.95, and F1 of 0.95 across all egg types. This was better than the performance of a typical medical technologist (0.85, 0.84, and 0.84, respectively).</w:t>
      </w:r>
    </w:p>
    <w:p w14:paraId="56ACA4F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25-A-3963-ASTMH</w:t>
      </w:r>
    </w:p>
    <w:p w14:paraId="384187A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Helminths – Nematodes – Filariasis (Clinical)</w:t>
      </w:r>
    </w:p>
    <w:p w14:paraId="44FEB98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Efficacy of moxidectin plus albendazole for lymphatic filariasis and onchocerciasis; follow-up of a large community safety study in a co-endemic area</w:t>
      </w:r>
    </w:p>
    <w:p w14:paraId="7B21884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WHO guidelines recommend mass drug administration (MDA) with ivermectin plus albendazole (IA) in lymphatic filariasis (LF) and onchocerciasis co-endemic areas. Moxidectin is superior to ivermectin for onchocerciasis, and the first clinical trial of moxidectin for LF showed that moxidectin plus albendazole (MoxA) is superior to IA for Bancroftian filariasis. To assess the safety of MoxA in an MDA setting, the MDGH-MOX-3002 study in Côte d’Ivoire (clinicaltrials.gov ID NCT04311671) treated over 5,000 individuals randomized in a 4:1 ratio to receive either MoxA or IA. Although safety (treatment-emergent adverse events) was the primary outcome of the study, 348 treated individuals were microfilaria (Mf)-positive for either LF (N=38), onchocerciasis (N=303), or both parasites (N=7). This provided an opportunity to obtain additional efficacy data on MoxA for LF and to document for the first time the efficacy of MoxA for onchocerciasis. We therefore initiated a two-year follow-up study among individuals who were Mf-positive. Between May 2024 and February 2025 (one year following treatment provided in MDGH-MOX-3002), we re-tested individuals with </w:t>
      </w:r>
      <w:r w:rsidRPr="002E40CA">
        <w:rPr>
          <w:rFonts w:ascii="Calibri" w:eastAsia="Times New Roman" w:hAnsi="Calibri" w:cs="Calibri"/>
          <w:i/>
          <w:iCs/>
          <w:color w:val="000000"/>
          <w:kern w:val="0"/>
          <w:sz w:val="22"/>
          <w:szCs w:val="22"/>
          <w14:ligatures w14:val="none"/>
        </w:rPr>
        <w:t>W. bancrofti </w:t>
      </w:r>
      <w:r w:rsidRPr="002E40CA">
        <w:rPr>
          <w:rFonts w:ascii="Calibri" w:eastAsia="Times New Roman" w:hAnsi="Calibri" w:cs="Calibri"/>
          <w:color w:val="000000"/>
          <w:kern w:val="0"/>
          <w:sz w:val="22"/>
          <w:szCs w:val="22"/>
          <w14:ligatures w14:val="none"/>
        </w:rPr>
        <w:t>microfilaremia at baseline by filariasis test strip (FTS) and 1 mL blood filtration, and those with </w:t>
      </w:r>
      <w:r w:rsidRPr="002E40CA">
        <w:rPr>
          <w:rFonts w:ascii="Calibri" w:eastAsia="Times New Roman" w:hAnsi="Calibri" w:cs="Calibri"/>
          <w:i/>
          <w:iCs/>
          <w:color w:val="000000"/>
          <w:kern w:val="0"/>
          <w:sz w:val="22"/>
          <w:szCs w:val="22"/>
          <w14:ligatures w14:val="none"/>
        </w:rPr>
        <w:t>Onchocerca volvulus</w:t>
      </w:r>
      <w:r w:rsidRPr="002E40CA">
        <w:rPr>
          <w:rFonts w:ascii="Calibri" w:eastAsia="Times New Roman" w:hAnsi="Calibri" w:cs="Calibri"/>
          <w:color w:val="000000"/>
          <w:kern w:val="0"/>
          <w:sz w:val="22"/>
          <w:szCs w:val="22"/>
          <w14:ligatures w14:val="none"/>
        </w:rPr>
        <w:t> microfiladermia at baseline with bilateral iliac skin snips. Participation at one year follow-up was 96% (297 individuals). Only one of 43 people (2%) with microfilaremia at baseline (geo mean 38 Mf/mL, SD </w:t>
      </w:r>
      <w:r w:rsidRPr="002E40CA">
        <w:rPr>
          <w:rFonts w:ascii="Calibri" w:eastAsia="Times New Roman" w:hAnsi="Calibri" w:cs="Calibri"/>
          <w:color w:val="000000"/>
          <w:kern w:val="0"/>
          <w:sz w:val="22"/>
          <w:szCs w:val="22"/>
          <w:u w:val="single"/>
          <w14:ligatures w14:val="none"/>
        </w:rPr>
        <w:t>+</w:t>
      </w:r>
      <w:r w:rsidRPr="002E40CA">
        <w:rPr>
          <w:rFonts w:ascii="Calibri" w:eastAsia="Times New Roman" w:hAnsi="Calibri" w:cs="Calibri"/>
          <w:color w:val="000000"/>
          <w:kern w:val="0"/>
          <w:sz w:val="22"/>
          <w:szCs w:val="22"/>
          <w14:ligatures w14:val="none"/>
        </w:rPr>
        <w:t>129.2), was Mf-positive at 12 months (18 Mf/mL). Only 29 of 260 individuals (11%) with microfiladermia at baseline remained were microfiladermic at 12 months; geometric mean skin snip Mf density was 2.56 (SD </w:t>
      </w:r>
      <w:r w:rsidRPr="002E40CA">
        <w:rPr>
          <w:rFonts w:ascii="Calibri" w:eastAsia="Times New Roman" w:hAnsi="Calibri" w:cs="Calibri"/>
          <w:color w:val="000000"/>
          <w:kern w:val="0"/>
          <w:sz w:val="22"/>
          <w:szCs w:val="22"/>
          <w:u w:val="single"/>
          <w14:ligatures w14:val="none"/>
        </w:rPr>
        <w:t>+</w:t>
      </w:r>
      <w:r w:rsidRPr="002E40CA">
        <w:rPr>
          <w:rFonts w:ascii="Calibri" w:eastAsia="Times New Roman" w:hAnsi="Calibri" w:cs="Calibri"/>
          <w:color w:val="000000"/>
          <w:kern w:val="0"/>
          <w:sz w:val="22"/>
          <w:szCs w:val="22"/>
          <w14:ligatures w14:val="none"/>
        </w:rPr>
        <w:t>8.4) at baseline and 0.86 (SD </w:t>
      </w:r>
      <w:r w:rsidRPr="002E40CA">
        <w:rPr>
          <w:rFonts w:ascii="Calibri" w:eastAsia="Times New Roman" w:hAnsi="Calibri" w:cs="Calibri"/>
          <w:color w:val="000000"/>
          <w:kern w:val="0"/>
          <w:sz w:val="22"/>
          <w:szCs w:val="22"/>
          <w:u w:val="single"/>
          <w14:ligatures w14:val="none"/>
        </w:rPr>
        <w:t>+</w:t>
      </w:r>
      <w:r w:rsidRPr="002E40CA">
        <w:rPr>
          <w:rFonts w:ascii="Calibri" w:eastAsia="Times New Roman" w:hAnsi="Calibri" w:cs="Calibri"/>
          <w:color w:val="000000"/>
          <w:kern w:val="0"/>
          <w:sz w:val="22"/>
          <w:szCs w:val="22"/>
          <w14:ligatures w14:val="none"/>
        </w:rPr>
        <w:t> 6.7) at 12-month follow-up. These data indicate that treatment received during MDGH-MOX-3002 resulted in complete clearance of Mf in 98% of individuals with bancroftian filariasis and 89% of individuals with onchocerciasis. An updated analysis by unblinded treatment assignment (still masked at the time of abstract submission) will be presented at the meeting.</w:t>
      </w:r>
    </w:p>
    <w:p w14:paraId="5074EF4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25-A-3964-ASTMH</w:t>
      </w:r>
    </w:p>
    <w:p w14:paraId="310BF2D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Viruses - Epidemiology</w:t>
      </w:r>
    </w:p>
    <w:p w14:paraId="326F4A7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Spatial heterogeneities of chikungunya transmission in a complex urban environment: insights from a 2020 cross-sectional serosurvey in Salvador, Brazil</w:t>
      </w:r>
    </w:p>
    <w:p w14:paraId="728796F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With the first licensed chikungunya virus (CHIKV) vaccine becoming available, public health entities need guidance for vaccination campaigns. However, due to limited chikungunya surveillance, especially in low- and middle-income countries, the underlying burden and drivers of transmission are poorly understood, hampering the development of clear guidelines. Chikungunya was introduced in Salvador, Brazil, in 2015, with two major outbreaks occurring in 2019 and 2020. At the end of 2020, we designed a cross-sectional citywide serological survey to enroll a representative sample of the general population. We collected dried blood spots for each participant and tested them for anti-CHIKV IgG antibodies using indirect ELISA assays. We built a spatially explicit regression framework to identify drivers of infection risk and to reconstruct the remaining proportion of susceptible individuals across the city. We found that 660 out of 1,977 (33%) participants were seropositive for chikungunya and that seroprevalence was </w:t>
      </w:r>
      <w:r w:rsidRPr="002E40CA">
        <w:rPr>
          <w:rFonts w:ascii="Calibri" w:eastAsia="Times New Roman" w:hAnsi="Calibri" w:cs="Calibri"/>
          <w:color w:val="000000"/>
          <w:kern w:val="0"/>
          <w:sz w:val="22"/>
          <w:szCs w:val="22"/>
          <w14:ligatures w14:val="none"/>
        </w:rPr>
        <w:lastRenderedPageBreak/>
        <w:t>not associated with age or sex. Seroprevalence ranged from 15.1% to 56.1% across the city, with a bimodal distribution with concentration of observations at either low or high seroprevalence. These heterogeneities were not associated with average household income or population density retrieved from national census. We estimated the distance under which serostatus is correlated to be 2.79 kilometers. Using spatially resolved population census data, we estimate that 770,000 individuals have been infected in Salvador since the introduction of the virus, such that 68% of the total 2.4 million population remains at risk of infection. Based on the number of reported cases in the city, we estimated that only 2.5% of these infections were detected by the surveillance system which goes against prior beliefs of higher case-infection ratio for chikungunya. The existence of spatial pockets of susceptible individuals suggests that parts of the city then remain at risk of infection and could benefit from a potential vaccination campaign that would benefit from improved passive surveillance combined with serological surveillance.</w:t>
      </w:r>
    </w:p>
    <w:p w14:paraId="56B720E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25-A-3965-ASTMH</w:t>
      </w:r>
    </w:p>
    <w:p w14:paraId="4A7606F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Antimalarial Resistance and Chemotherapy</w:t>
      </w:r>
    </w:p>
    <w:p w14:paraId="2CF65C1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Natural </w:t>
      </w:r>
      <w:r w:rsidRPr="002E40CA">
        <w:rPr>
          <w:rFonts w:ascii="Calibri" w:eastAsia="Times New Roman" w:hAnsi="Calibri" w:cs="Calibri"/>
          <w:i/>
          <w:iCs/>
          <w:color w:val="000000"/>
          <w:kern w:val="0"/>
          <w:sz w:val="22"/>
          <w:szCs w:val="22"/>
          <w14:ligatures w14:val="none"/>
        </w:rPr>
        <w:t>in vitro</w:t>
      </w:r>
      <w:r w:rsidRPr="002E40CA">
        <w:rPr>
          <w:rFonts w:ascii="Calibri" w:eastAsia="Times New Roman" w:hAnsi="Calibri" w:cs="Calibri"/>
          <w:color w:val="000000"/>
          <w:kern w:val="0"/>
          <w:sz w:val="22"/>
          <w:szCs w:val="22"/>
          <w14:ligatures w14:val="none"/>
        </w:rPr>
        <w:t> susceptibility of </w:t>
      </w:r>
      <w:r w:rsidRPr="002E40CA">
        <w:rPr>
          <w:rFonts w:ascii="Calibri" w:eastAsia="Times New Roman" w:hAnsi="Calibri" w:cs="Calibri"/>
          <w:i/>
          <w:iCs/>
          <w:color w:val="000000"/>
          <w:kern w:val="0"/>
          <w:sz w:val="22"/>
          <w:szCs w:val="22"/>
          <w14:ligatures w14:val="none"/>
        </w:rPr>
        <w:t>Plasmodium falciparum</w:t>
      </w:r>
      <w:r w:rsidRPr="002E40CA">
        <w:rPr>
          <w:rFonts w:ascii="Calibri" w:eastAsia="Times New Roman" w:hAnsi="Calibri" w:cs="Calibri"/>
          <w:color w:val="000000"/>
          <w:kern w:val="0"/>
          <w:sz w:val="22"/>
          <w:szCs w:val="22"/>
          <w14:ligatures w14:val="none"/>
        </w:rPr>
        <w:t> to pyronaridine over 2009-2023 in French Guiana</w:t>
      </w:r>
    </w:p>
    <w:p w14:paraId="0238C6B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Despite the availability of six artemisinin combination therapies (ACTs) worldwide, treatment options against </w:t>
      </w:r>
      <w:r w:rsidRPr="002E40CA">
        <w:rPr>
          <w:rFonts w:ascii="Calibri" w:eastAsia="Times New Roman" w:hAnsi="Calibri" w:cs="Calibri"/>
          <w:i/>
          <w:iCs/>
          <w:color w:val="000000"/>
          <w:kern w:val="0"/>
          <w:sz w:val="22"/>
          <w:szCs w:val="22"/>
          <w14:ligatures w14:val="none"/>
        </w:rPr>
        <w:t>Plasmodium falciparum</w:t>
      </w:r>
      <w:r w:rsidRPr="002E40CA">
        <w:rPr>
          <w:rFonts w:ascii="Calibri" w:eastAsia="Times New Roman" w:hAnsi="Calibri" w:cs="Calibri"/>
          <w:color w:val="000000"/>
          <w:kern w:val="0"/>
          <w:sz w:val="22"/>
          <w:szCs w:val="22"/>
          <w14:ligatures w14:val="none"/>
        </w:rPr>
        <w:t> are limited in the Amazon region. Partner-drug resistance in ACTs, such as piperaquine, restricts treatment alternatives. Currently, only artemether-lumefantrine remains effective in the region. In light of increasing drug resistance, evaluation of partner drug susceptibility is critical to successful malaria control and elimination. Artesunate-pyronaridine, the newest ACT, has yet to be commercialized in the Amazon region. This study aimed to assess the</w:t>
      </w:r>
      <w:r w:rsidRPr="002E40CA">
        <w:rPr>
          <w:rFonts w:ascii="Calibri" w:eastAsia="Times New Roman" w:hAnsi="Calibri" w:cs="Calibri"/>
          <w:i/>
          <w:iCs/>
          <w:color w:val="000000"/>
          <w:kern w:val="0"/>
          <w:sz w:val="22"/>
          <w:szCs w:val="22"/>
          <w14:ligatures w14:val="none"/>
        </w:rPr>
        <w:t> in vitro</w:t>
      </w:r>
      <w:r w:rsidRPr="002E40CA">
        <w:rPr>
          <w:rFonts w:ascii="Calibri" w:eastAsia="Times New Roman" w:hAnsi="Calibri" w:cs="Calibri"/>
          <w:color w:val="000000"/>
          <w:kern w:val="0"/>
          <w:sz w:val="22"/>
          <w:szCs w:val="22"/>
          <w14:ligatures w14:val="none"/>
        </w:rPr>
        <w:t> susceptibility of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to pyronaridine in French Guiana using the isotopic semi-microtest method and to analyze genetic markers </w:t>
      </w:r>
      <w:r w:rsidRPr="002E40CA">
        <w:rPr>
          <w:rFonts w:ascii="Calibri" w:eastAsia="Times New Roman" w:hAnsi="Calibri" w:cs="Calibri"/>
          <w:i/>
          <w:iCs/>
          <w:color w:val="000000"/>
          <w:kern w:val="0"/>
          <w:sz w:val="22"/>
          <w:szCs w:val="22"/>
          <w14:ligatures w14:val="none"/>
        </w:rPr>
        <w:t>pfmdr1</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pfcrt</w:t>
      </w:r>
      <w:r w:rsidRPr="002E40CA">
        <w:rPr>
          <w:rFonts w:ascii="Calibri" w:eastAsia="Times New Roman" w:hAnsi="Calibri" w:cs="Calibri"/>
          <w:color w:val="000000"/>
          <w:kern w:val="0"/>
          <w:sz w:val="22"/>
          <w:szCs w:val="22"/>
          <w14:ligatures w14:val="none"/>
        </w:rPr>
        <w:t>, commonly associated with resistance to 4-aminoquinolines. Isolates imported from Africa were also evaluated for comparison. All of the 514 isolates collected and analyzed between 2009 and 2023 from French Guiana (n=476) and Africa (n=38) were susceptible to pyronaridine (IC</w:t>
      </w:r>
      <w:r w:rsidRPr="002E40CA">
        <w:rPr>
          <w:rFonts w:ascii="Calibri" w:eastAsia="Times New Roman" w:hAnsi="Calibri" w:cs="Calibri"/>
          <w:color w:val="000000"/>
          <w:kern w:val="0"/>
          <w:sz w:val="22"/>
          <w:szCs w:val="22"/>
          <w:vertAlign w:val="subscript"/>
          <w14:ligatures w14:val="none"/>
        </w:rPr>
        <w:t>50</w:t>
      </w:r>
      <w:r w:rsidRPr="002E40CA">
        <w:rPr>
          <w:rFonts w:ascii="Calibri" w:eastAsia="Times New Roman" w:hAnsi="Calibri" w:cs="Calibri"/>
          <w:color w:val="000000"/>
          <w:kern w:val="0"/>
          <w:sz w:val="22"/>
          <w:szCs w:val="22"/>
          <w14:ligatures w14:val="none"/>
        </w:rPr>
        <w:t> &lt; 60 nM). Correlation between pyronaridine and other aminoquinoline derivatives including chloroquine, monodesethylamodiaquine, and mefloquine was assessed (</w:t>
      </w:r>
      <w:r w:rsidRPr="002E40CA">
        <w:rPr>
          <w:rFonts w:ascii="Calibri" w:eastAsia="Times New Roman" w:hAnsi="Calibri" w:cs="Calibri"/>
          <w:i/>
          <w:iCs/>
          <w:color w:val="000000"/>
          <w:kern w:val="0"/>
          <w:sz w:val="22"/>
          <w:szCs w:val="22"/>
          <w14:ligatures w14:val="none"/>
        </w:rPr>
        <w:t>r</w:t>
      </w:r>
      <w:r w:rsidRPr="002E40CA">
        <w:rPr>
          <w:rFonts w:ascii="Calibri" w:eastAsia="Times New Roman" w:hAnsi="Calibri" w:cs="Calibri"/>
          <w:color w:val="000000"/>
          <w:kern w:val="0"/>
          <w:sz w:val="22"/>
          <w:szCs w:val="22"/>
          <w:vertAlign w:val="superscript"/>
          <w14:ligatures w14:val="none"/>
        </w:rPr>
        <w:t>2</w:t>
      </w:r>
      <w:r w:rsidRPr="002E40CA">
        <w:rPr>
          <w:rFonts w:ascii="Calibri" w:eastAsia="Times New Roman" w:hAnsi="Calibri" w:cs="Calibri"/>
          <w:color w:val="000000"/>
          <w:kern w:val="0"/>
          <w:sz w:val="22"/>
          <w:szCs w:val="22"/>
          <w14:ligatures w14:val="none"/>
        </w:rPr>
        <w:t>=0.01 ; </w:t>
      </w:r>
      <w:r w:rsidRPr="002E40CA">
        <w:rPr>
          <w:rFonts w:ascii="Calibri" w:eastAsia="Times New Roman" w:hAnsi="Calibri" w:cs="Calibri"/>
          <w:i/>
          <w:iCs/>
          <w:color w:val="000000"/>
          <w:kern w:val="0"/>
          <w:sz w:val="22"/>
          <w:szCs w:val="22"/>
          <w14:ligatures w14:val="none"/>
        </w:rPr>
        <w:t>r</w:t>
      </w:r>
      <w:r w:rsidRPr="002E40CA">
        <w:rPr>
          <w:rFonts w:ascii="Calibri" w:eastAsia="Times New Roman" w:hAnsi="Calibri" w:cs="Calibri"/>
          <w:color w:val="000000"/>
          <w:kern w:val="0"/>
          <w:sz w:val="22"/>
          <w:szCs w:val="22"/>
          <w:vertAlign w:val="superscript"/>
          <w14:ligatures w14:val="none"/>
        </w:rPr>
        <w:t>2</w:t>
      </w:r>
      <w:r w:rsidRPr="002E40CA">
        <w:rPr>
          <w:rFonts w:ascii="Calibri" w:eastAsia="Times New Roman" w:hAnsi="Calibri" w:cs="Calibri"/>
          <w:color w:val="000000"/>
          <w:kern w:val="0"/>
          <w:sz w:val="22"/>
          <w:szCs w:val="22"/>
          <w14:ligatures w14:val="none"/>
        </w:rPr>
        <w:t>=0.04 ; </w:t>
      </w:r>
      <w:r w:rsidRPr="002E40CA">
        <w:rPr>
          <w:rFonts w:ascii="Calibri" w:eastAsia="Times New Roman" w:hAnsi="Calibri" w:cs="Calibri"/>
          <w:i/>
          <w:iCs/>
          <w:color w:val="000000"/>
          <w:kern w:val="0"/>
          <w:sz w:val="22"/>
          <w:szCs w:val="22"/>
          <w14:ligatures w14:val="none"/>
        </w:rPr>
        <w:t>r</w:t>
      </w:r>
      <w:r w:rsidRPr="002E40CA">
        <w:rPr>
          <w:rFonts w:ascii="Calibri" w:eastAsia="Times New Roman" w:hAnsi="Calibri" w:cs="Calibri"/>
          <w:color w:val="000000"/>
          <w:kern w:val="0"/>
          <w:sz w:val="22"/>
          <w:szCs w:val="22"/>
          <w:vertAlign w:val="superscript"/>
          <w14:ligatures w14:val="none"/>
        </w:rPr>
        <w:t>2</w:t>
      </w:r>
      <w:r w:rsidRPr="002E40CA">
        <w:rPr>
          <w:rFonts w:ascii="Calibri" w:eastAsia="Times New Roman" w:hAnsi="Calibri" w:cs="Calibri"/>
          <w:color w:val="000000"/>
          <w:kern w:val="0"/>
          <w:sz w:val="22"/>
          <w:szCs w:val="22"/>
          <w14:ligatures w14:val="none"/>
        </w:rPr>
        <w:t>=0.11, respectively), but no cross-resistance was found. Sequencing analysis of </w:t>
      </w:r>
      <w:r w:rsidRPr="002E40CA">
        <w:rPr>
          <w:rFonts w:ascii="Calibri" w:eastAsia="Times New Roman" w:hAnsi="Calibri" w:cs="Calibri"/>
          <w:i/>
          <w:iCs/>
          <w:color w:val="000000"/>
          <w:kern w:val="0"/>
          <w:sz w:val="22"/>
          <w:szCs w:val="22"/>
          <w14:ligatures w14:val="none"/>
        </w:rPr>
        <w:t>pfcrt</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pfmdr1</w:t>
      </w:r>
      <w:r w:rsidRPr="002E40CA">
        <w:rPr>
          <w:rFonts w:ascii="Calibri" w:eastAsia="Times New Roman" w:hAnsi="Calibri" w:cs="Calibri"/>
          <w:color w:val="000000"/>
          <w:kern w:val="0"/>
          <w:sz w:val="22"/>
          <w:szCs w:val="22"/>
          <w14:ligatures w14:val="none"/>
        </w:rPr>
        <w:t> genes revealed no association between </w:t>
      </w:r>
      <w:r w:rsidRPr="002E40CA">
        <w:rPr>
          <w:rFonts w:ascii="Calibri" w:eastAsia="Times New Roman" w:hAnsi="Calibri" w:cs="Calibri"/>
          <w:i/>
          <w:iCs/>
          <w:color w:val="000000"/>
          <w:kern w:val="0"/>
          <w:sz w:val="22"/>
          <w:szCs w:val="22"/>
          <w14:ligatures w14:val="none"/>
        </w:rPr>
        <w:t>pfcrt</w:t>
      </w:r>
      <w:r w:rsidRPr="002E40CA">
        <w:rPr>
          <w:rFonts w:ascii="Calibri" w:eastAsia="Times New Roman" w:hAnsi="Calibri" w:cs="Calibri"/>
          <w:color w:val="000000"/>
          <w:kern w:val="0"/>
          <w:sz w:val="22"/>
          <w:szCs w:val="22"/>
          <w14:ligatures w14:val="none"/>
        </w:rPr>
        <w:t> and reduced susceptibility to pyronaridine. Most South American isolates have PfMDR1</w:t>
      </w:r>
      <w:r w:rsidRPr="002E40CA">
        <w:rPr>
          <w:rFonts w:ascii="Calibri" w:eastAsia="Times New Roman" w:hAnsi="Calibri" w:cs="Calibri"/>
          <w:color w:val="000000"/>
          <w:kern w:val="0"/>
          <w:sz w:val="22"/>
          <w:szCs w:val="22"/>
          <w:vertAlign w:val="superscript"/>
          <w14:ligatures w14:val="none"/>
        </w:rPr>
        <w:t>S1034C </w:t>
      </w:r>
      <w:r w:rsidRPr="002E40CA">
        <w:rPr>
          <w:rFonts w:ascii="Calibri" w:eastAsia="Times New Roman" w:hAnsi="Calibri" w:cs="Calibri"/>
          <w:color w:val="000000"/>
          <w:kern w:val="0"/>
          <w:sz w:val="22"/>
          <w:szCs w:val="22"/>
          <w14:ligatures w14:val="none"/>
        </w:rPr>
        <w:t>polymorphism. However, the synonymous mutation PfMDR1</w:t>
      </w:r>
      <w:r w:rsidRPr="002E40CA">
        <w:rPr>
          <w:rFonts w:ascii="Calibri" w:eastAsia="Times New Roman" w:hAnsi="Calibri" w:cs="Calibri"/>
          <w:color w:val="000000"/>
          <w:kern w:val="0"/>
          <w:sz w:val="22"/>
          <w:szCs w:val="22"/>
          <w:vertAlign w:val="superscript"/>
          <w14:ligatures w14:val="none"/>
        </w:rPr>
        <w:t>S1034S</w:t>
      </w:r>
      <w:r w:rsidRPr="002E40CA">
        <w:rPr>
          <w:rFonts w:ascii="Calibri" w:eastAsia="Times New Roman" w:hAnsi="Calibri" w:cs="Calibri"/>
          <w:color w:val="000000"/>
          <w:kern w:val="0"/>
          <w:sz w:val="22"/>
          <w:szCs w:val="22"/>
          <w14:ligatures w14:val="none"/>
        </w:rPr>
        <w:t>, observed in 63% of French Guiana isolates, was associated with decreased pyronaridine susceptibility (p &lt; 0.0001). The findings of this study suggest that artesunate-pyronaridine could be a new treatment alternative for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in the Amazon region.</w:t>
      </w:r>
    </w:p>
    <w:p w14:paraId="572B14F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25-A-3966-ASTMH</w:t>
      </w:r>
    </w:p>
    <w:p w14:paraId="2AD04F6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Water, Sanitation, Hygiene and Environmental Health</w:t>
      </w:r>
    </w:p>
    <w:p w14:paraId="1483F79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Animal Exposure and Sanitation are Associated with Diarrhea Among Young Children in the Democratic Republic of the Congo: PICHA7 Prospective Cohort Study</w:t>
      </w:r>
    </w:p>
    <w:p w14:paraId="25BD4FE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In the Democratic Republic of the Congo (DRC), there are estimated to be 45 million diarrhea episodes annually for children under 5 years of age. The objective of this study was to investigate exposure pathways to fecal pathogens for young children that are significant contributors to diarrheal disease to allow for targeted water, sanitation, and hygiene (WASH) intervention for these pathways. The Preventative-Intervention-for-Cholera-for-7-Days (PICHA7) prospective cohort study was conducted in urban Bukavu, South Kivu province, DRC. The cohort study of 794 children under five of age included monthly diarrhea surveillance (3 or more loose stool in a 24 hour period in the past 2 weeks) and unannounced spot checks to assess WASH behaviors and conditions over a 12-month period. Regression analyzes were performed where risk factors were the predictor and diarrhea the subsequent month as the outcome. The presence of animals in the child's sleeping space [OR: 1.77; 95% CI (1.05, 2.97)], </w:t>
      </w:r>
      <w:r w:rsidRPr="002E40CA">
        <w:rPr>
          <w:rFonts w:ascii="Calibri" w:eastAsia="Times New Roman" w:hAnsi="Calibri" w:cs="Calibri"/>
          <w:color w:val="000000"/>
          <w:kern w:val="0"/>
          <w:sz w:val="22"/>
          <w:szCs w:val="22"/>
          <w14:ligatures w14:val="none"/>
        </w:rPr>
        <w:lastRenderedPageBreak/>
        <w:t>unimproved sanitation [Odds Ratio (OR) : 2.27; 95% CI (1.19, 4.33)], and consumption of food outside the household [OR :1.88; 95% CI (1.16, 3.05)] were significantly associated with diarrhea in the subsequent month. These results demonstrate the need for WASH interventions targeting reducing child contact with animal feces in the household environment, improved sanitation, and food hygiene to reduce exposure to fecal pathogens for susceptible pediatric populations.</w:t>
      </w:r>
    </w:p>
    <w:p w14:paraId="6AAEABF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25-A-3967-ASTMH</w:t>
      </w:r>
    </w:p>
    <w:p w14:paraId="4A0880F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43487A3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Cutaneous Leishmaniasis: A eleven years report of a Clinical and Investigation center in South America</w:t>
      </w:r>
    </w:p>
    <w:p w14:paraId="4E848A4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Cutaneous Leishmaniasis (CL) is a neglected tropical disease caused by Leishmania parasites and transmitted by phlebotomines. CL is endemic in Peru. We performed a retrospective study including sociodemographic, clinical and laboratory data of CL cases evaluated at the “Alexander von Humboldt” Institute of Tropical Medicine in Lima city between 2012-2022. Study data were collected and managed using REDCap electronic data capture tools. The data was analyzed by software Stata S.E. 18. Descriptive statistics and bivariate analysis were used to examine the relationship between clinical variables and groups of age. P&lt;0.05 value was significant. A total of 1518 cases were included in the study. Most patients were male (68,77%). The median age was 32 years old (IQR:19-50) and adults between 18-60 represented 63,18% of the cases. Most patients (92,99%) presented their first episode of CL, with a median time since symptom onset of 3 months (IQR: 2-5) and median number of lesions of 1 (IQR:1-2). Most infections occurred among agricultural workers (27,37%), and 16,53% were intradomicile. We described a total of 2,744 CL lesions, with single ulcers being the most common type (73.39%), followed by single nodules (10.75%). The median lesion length was 21 mm (IQR: 19-31), being smaller in patients &lt;5 years. The most common locations were the upper (33.37%) and lower limbs (33.66%) in the adult age group. Head lesions were predominant in children under 5 years of age (79.10%). We identified that the median size of the Leishmanin Skin Test (LST) was 16 mm (IQR: 2-20), being the lowest in children under 5 years old (11 mm, IQR: 1-19). 117 parasites were identified, L. (V.) braziliensis (47,86%) and L. (V.) peruviana (23,08%) were the most frequent. CL is an infection strongly associated with male dominated labor-oriented activities like farming. Adults had mostly lesioned in the limbs, and children presented minor size lesions mostly located in the head and associated with cervical adenopathy. The differences in clinical patterns between groups of age suggest that demographics and environmental factors could be influencing the disease dynamics.</w:t>
      </w:r>
    </w:p>
    <w:p w14:paraId="4DBAD0B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25-A-3968-ASTMH</w:t>
      </w:r>
    </w:p>
    <w:p w14:paraId="12E6CCE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Parasite Transmission Biology</w:t>
      </w:r>
    </w:p>
    <w:p w14:paraId="3B4FCFD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Dibenzyl Trisulfide Alters Erythrocyte Properties and Reduces </w:t>
      </w:r>
      <w:r w:rsidRPr="002E40CA">
        <w:rPr>
          <w:rFonts w:ascii="Calibri" w:eastAsia="Times New Roman" w:hAnsi="Calibri" w:cs="Calibri"/>
          <w:b/>
          <w:bCs/>
          <w:i/>
          <w:iCs/>
          <w:color w:val="000000"/>
          <w:kern w:val="0"/>
          <w:sz w:val="22"/>
          <w:szCs w:val="22"/>
          <w14:ligatures w14:val="none"/>
        </w:rPr>
        <w:t>Plasmodium falciparum</w:t>
      </w:r>
      <w:r w:rsidRPr="002E40CA">
        <w:rPr>
          <w:rFonts w:ascii="Calibri" w:eastAsia="Times New Roman" w:hAnsi="Calibri" w:cs="Calibri"/>
          <w:b/>
          <w:bCs/>
          <w:color w:val="000000"/>
          <w:kern w:val="0"/>
          <w:sz w:val="22"/>
          <w:szCs w:val="22"/>
          <w14:ligatures w14:val="none"/>
        </w:rPr>
        <w:t> Invasion and Adhesion</w:t>
      </w:r>
    </w:p>
    <w:p w14:paraId="7FE5A36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is an infectious disease caused by protozoan parasites of the genus </w:t>
      </w:r>
      <w:r w:rsidRPr="002E40CA">
        <w:rPr>
          <w:rFonts w:ascii="Calibri" w:eastAsia="Times New Roman" w:hAnsi="Calibri" w:cs="Calibri"/>
          <w:i/>
          <w:iCs/>
          <w:color w:val="000000"/>
          <w:kern w:val="0"/>
          <w:sz w:val="22"/>
          <w:szCs w:val="22"/>
          <w14:ligatures w14:val="none"/>
        </w:rPr>
        <w:t>Plasmodium</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is the most lethal species and has developed resistance to most available antimalarial drugs, leading to an urgent need for new antimalarial compounds.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undergoes an intraerythrocytic stage during which the parasite invades erythrocytes and multiplies asexually. During this phase, the parasite secretes proteins that are transported to the membrane of the infected erythrocyte, conferring adhesive properties through interactions with host receptors, such as those found on brain endothelial cells. Dibenzyl Trisulfide (DTS) is a secondary metabolite derived from the plant </w:t>
      </w:r>
      <w:r w:rsidRPr="002E40CA">
        <w:rPr>
          <w:rFonts w:ascii="Calibri" w:eastAsia="Times New Roman" w:hAnsi="Calibri" w:cs="Calibri"/>
          <w:i/>
          <w:iCs/>
          <w:color w:val="000000"/>
          <w:kern w:val="0"/>
          <w:sz w:val="22"/>
          <w:szCs w:val="22"/>
          <w14:ligatures w14:val="none"/>
        </w:rPr>
        <w:t>Petiveria alliacea</w:t>
      </w:r>
      <w:r w:rsidRPr="002E40CA">
        <w:rPr>
          <w:rFonts w:ascii="Calibri" w:eastAsia="Times New Roman" w:hAnsi="Calibri" w:cs="Calibri"/>
          <w:color w:val="000000"/>
          <w:kern w:val="0"/>
          <w:sz w:val="22"/>
          <w:szCs w:val="22"/>
          <w14:ligatures w14:val="none"/>
        </w:rPr>
        <w:t>, commonly known as Anamú, which is widely distributed throughout Panama. DTS has been shown to alter the biophysical properties of erythrocytes, increasing their deformability. In this study, we aimed to analyze the effect of DTS on the erythrocyte invasion process and the adhesive properties of </w:t>
      </w:r>
      <w:r w:rsidRPr="002E40CA">
        <w:rPr>
          <w:rFonts w:ascii="Calibri" w:eastAsia="Times New Roman" w:hAnsi="Calibri" w:cs="Calibri"/>
          <w:i/>
          <w:iCs/>
          <w:color w:val="000000"/>
          <w:kern w:val="0"/>
          <w:sz w:val="22"/>
          <w:szCs w:val="22"/>
          <w14:ligatures w14:val="none"/>
        </w:rPr>
        <w:t>P. falciparum</w:t>
      </w:r>
      <w:r w:rsidRPr="002E40CA">
        <w:rPr>
          <w:rFonts w:ascii="Calibri" w:eastAsia="Times New Roman" w:hAnsi="Calibri" w:cs="Calibri"/>
          <w:color w:val="000000"/>
          <w:kern w:val="0"/>
          <w:sz w:val="22"/>
          <w:szCs w:val="22"/>
          <w14:ligatures w14:val="none"/>
        </w:rPr>
        <w:t xml:space="preserve">-infected erythrocytes (PfIE). Uninfected erythrocytes and PfIE were treated with various concentrations of DTS to identify levels that alter erythrocyte morphology without causing cell lysis. Changes in erythrocyte morphology were evaluated by analyzing cell shape (erythrocyte diameter). The </w:t>
      </w:r>
      <w:r w:rsidRPr="002E40CA">
        <w:rPr>
          <w:rFonts w:ascii="Calibri" w:eastAsia="Times New Roman" w:hAnsi="Calibri" w:cs="Calibri"/>
          <w:color w:val="000000"/>
          <w:kern w:val="0"/>
          <w:sz w:val="22"/>
          <w:szCs w:val="22"/>
          <w14:ligatures w14:val="none"/>
        </w:rPr>
        <w:lastRenderedPageBreak/>
        <w:t>impact of DTS on parasite invasion was assessed by measuring parasitemia levels after treatment. Additionally, we examined PfIE adhesion to human brain microvascular endothelial cells using engineered 3D microvessels that mimic the brain endothelium. DTS clearly induced alterations in erythrocyte morphology, including an increase in cell diameter. Following DTS treatment, parasite invasion was reduced, as evidenced by decreased parasitemia levels. Our results also demonstrated that DTS-induced changes in erythrocyte shape influence PfIE adhesion to brain endothelial cells, suggesting a potential role for DTS in modulating parasite pathogenicity.</w:t>
      </w:r>
    </w:p>
    <w:p w14:paraId="27BB868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25-A-3969-ASTMH</w:t>
      </w:r>
    </w:p>
    <w:p w14:paraId="6023F11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Surveillance and Data Utilization</w:t>
      </w:r>
    </w:p>
    <w:p w14:paraId="5DE493E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Factors Associated with Appropriate Malaria Treatment in Children Under Five in Guinea: Secondary Analysis of EIPAG 2021</w:t>
      </w:r>
    </w:p>
    <w:p w14:paraId="250A3C7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In Guinea, malaria prevalence among children under five increased from 9% in 2012 to 28% in 2021. Despite this, the proportion of appropriately treated cases with ACT remains below the 90% target set by national and international guidelines. Identifying factors that influence appropriate malaria treatment is essential for improving case management. To identify sociodemographic, economic, clinical, and diagnostic factors associated with the appropriate treatment of malaria in children under five years of age in Guinea. This is a cross-sectional analytical study based on data from the 2021 EIPAG survey. The analysis included children under five who had experienced fever in the two weeks prior to the survey, had been tested for malaria, and had received antimalarial treatment. The study involved descriptive statistics, bivariate analyses, hierarchical clustering on principal components (HCPC) coupled with multiple correspondence analysis (MCA), and multivariate logistic regression to identify associated factors. Children whose caregivers were informed of the diagnosis, who sought care promptly, and who belonged to middle or high socioeconomic profiles (profiles 2 and 3) were significantly more likely to receive appropriate treatment. Media exposure, parental education level, and urban residence were also determining factors. Adherence to treatment protocols, increased access to health information through media, and early care-seeking behavior are critical levers for improving malaria treatment adequacy in young children in Guinea. These strategies can significantly contribute to reducing malaria-related morbidity and mortality in this vulnerable population.</w:t>
      </w:r>
    </w:p>
    <w:p w14:paraId="14BE624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25-A-3970-ASTMH</w:t>
      </w:r>
    </w:p>
    <w:p w14:paraId="66CCBE0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Kinetoplastida and Other Opportunistic and Anaerobic Protozoa - Epidemiology (Including Leishmania and Trypanosomes)</w:t>
      </w:r>
    </w:p>
    <w:p w14:paraId="57A28E3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The effects of adverse environmental exposures on risk for congenital Chagas transmission and adverse birth outcomes</w:t>
      </w:r>
    </w:p>
    <w:p w14:paraId="1235FFD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Little is known about the relationship of air pollution and heat stress with congenital transmission of infections such as </w:t>
      </w:r>
      <w:r w:rsidRPr="002E40CA">
        <w:rPr>
          <w:rFonts w:ascii="Calibri" w:eastAsia="Times New Roman" w:hAnsi="Calibri" w:cs="Calibri"/>
          <w:i/>
          <w:iCs/>
          <w:color w:val="000000"/>
          <w:kern w:val="0"/>
          <w:sz w:val="22"/>
          <w:szCs w:val="22"/>
          <w14:ligatures w14:val="none"/>
        </w:rPr>
        <w:t>Trypanosoma cruzi </w:t>
      </w:r>
      <w:r w:rsidRPr="002E40CA">
        <w:rPr>
          <w:rFonts w:ascii="Calibri" w:eastAsia="Times New Roman" w:hAnsi="Calibri" w:cs="Calibri"/>
          <w:color w:val="000000"/>
          <w:kern w:val="0"/>
          <w:sz w:val="22"/>
          <w:szCs w:val="22"/>
          <w14:ligatures w14:val="none"/>
        </w:rPr>
        <w:t>(</w:t>
      </w:r>
      <w:r w:rsidRPr="002E40CA">
        <w:rPr>
          <w:rFonts w:ascii="Calibri" w:eastAsia="Times New Roman" w:hAnsi="Calibri" w:cs="Calibri"/>
          <w:i/>
          <w:iCs/>
          <w:color w:val="000000"/>
          <w:kern w:val="0"/>
          <w:sz w:val="22"/>
          <w:szCs w:val="22"/>
          <w14:ligatures w14:val="none"/>
        </w:rPr>
        <w:t>Tc</w:t>
      </w:r>
      <w:r w:rsidRPr="002E40CA">
        <w:rPr>
          <w:rFonts w:ascii="Calibri" w:eastAsia="Times New Roman" w:hAnsi="Calibri" w:cs="Calibri"/>
          <w:color w:val="000000"/>
          <w:kern w:val="0"/>
          <w:sz w:val="22"/>
          <w:szCs w:val="22"/>
          <w14:ligatures w14:val="none"/>
        </w:rPr>
        <w:t>), the etiologic agent of Chagas disease. Approximately 300,000 US citizens are living with this infection while 6-8 million people are infected globally. </w:t>
      </w:r>
      <w:r w:rsidRPr="002E40CA">
        <w:rPr>
          <w:rFonts w:ascii="Calibri" w:eastAsia="Times New Roman" w:hAnsi="Calibri" w:cs="Calibri"/>
          <w:i/>
          <w:iCs/>
          <w:color w:val="000000"/>
          <w:kern w:val="0"/>
          <w:sz w:val="22"/>
          <w:szCs w:val="22"/>
          <w14:ligatures w14:val="none"/>
        </w:rPr>
        <w:t>Tc</w:t>
      </w:r>
      <w:r w:rsidRPr="002E40CA">
        <w:rPr>
          <w:rFonts w:ascii="Calibri" w:eastAsia="Times New Roman" w:hAnsi="Calibri" w:cs="Calibri"/>
          <w:color w:val="000000"/>
          <w:kern w:val="0"/>
          <w:sz w:val="22"/>
          <w:szCs w:val="22"/>
          <w14:ligatures w14:val="none"/>
        </w:rPr>
        <w:t> is congenitally transmitted in 5-10% of cases with seropositive mothers and causes adverse birth outcomes and developmental delays. </w:t>
      </w:r>
      <w:r w:rsidRPr="002E40CA">
        <w:rPr>
          <w:rFonts w:ascii="Calibri" w:eastAsia="Times New Roman" w:hAnsi="Calibri" w:cs="Calibri"/>
          <w:i/>
          <w:iCs/>
          <w:color w:val="000000"/>
          <w:kern w:val="0"/>
          <w:sz w:val="22"/>
          <w:szCs w:val="22"/>
          <w14:ligatures w14:val="none"/>
        </w:rPr>
        <w:t>Tc</w:t>
      </w:r>
      <w:r w:rsidRPr="002E40CA">
        <w:rPr>
          <w:rFonts w:ascii="Calibri" w:eastAsia="Times New Roman" w:hAnsi="Calibri" w:cs="Calibri"/>
          <w:color w:val="000000"/>
          <w:kern w:val="0"/>
          <w:sz w:val="22"/>
          <w:szCs w:val="22"/>
          <w14:ligatures w14:val="none"/>
        </w:rPr>
        <w:t> infections are reactivated due to changes in the maternal immune system during pregnancy involving a complex interaction among parasite, placenta, and inflammatory and oxidative stressors from repeat innate immune activation weakening the placental barrier allowing the parasite to infect the fetus. cCD remains significantly understudied, and the role of environmental stressors such as heat stress and air pollution during pregnancy on cCD and neonatal development deserve urgent attention. Exposure to excessive air particulate matter and heat stress during pregnancy have deleterious effects on birth outcomes and neurodevelopment, making them candidates to modify the risk of cCD and its impact on neurodevelopment. The mechanisms by which air particulate matter and heat cause adverse birth outcomes include inflammatory and oxidative stress which likely causes placental weakening and maladaptation that can promote cCD transmission. Heat stress continues to become more prevalent worldwide and PM</w:t>
      </w:r>
      <w:r w:rsidRPr="002E40CA">
        <w:rPr>
          <w:rFonts w:ascii="Calibri" w:eastAsia="Times New Roman" w:hAnsi="Calibri" w:cs="Calibri"/>
          <w:color w:val="000000"/>
          <w:kern w:val="0"/>
          <w:sz w:val="22"/>
          <w:szCs w:val="22"/>
          <w:vertAlign w:val="subscript"/>
          <w14:ligatures w14:val="none"/>
        </w:rPr>
        <w:t>2.5</w:t>
      </w:r>
      <w:r w:rsidRPr="002E40CA">
        <w:rPr>
          <w:rFonts w:ascii="Calibri" w:eastAsia="Times New Roman" w:hAnsi="Calibri" w:cs="Calibri"/>
          <w:color w:val="000000"/>
          <w:kern w:val="0"/>
          <w:sz w:val="22"/>
          <w:szCs w:val="22"/>
          <w14:ligatures w14:val="none"/>
        </w:rPr>
        <w:t> exposures persist, the association of gestational PM</w:t>
      </w:r>
      <w:r w:rsidRPr="002E40CA">
        <w:rPr>
          <w:rFonts w:ascii="Calibri" w:eastAsia="Times New Roman" w:hAnsi="Calibri" w:cs="Calibri"/>
          <w:color w:val="000000"/>
          <w:kern w:val="0"/>
          <w:sz w:val="22"/>
          <w:szCs w:val="22"/>
          <w:vertAlign w:val="subscript"/>
          <w14:ligatures w14:val="none"/>
        </w:rPr>
        <w:t>2.5</w:t>
      </w:r>
      <w:r w:rsidRPr="002E40CA">
        <w:rPr>
          <w:rFonts w:ascii="Calibri" w:eastAsia="Times New Roman" w:hAnsi="Calibri" w:cs="Calibri"/>
          <w:color w:val="000000"/>
          <w:kern w:val="0"/>
          <w:sz w:val="22"/>
          <w:szCs w:val="22"/>
          <w14:ligatures w14:val="none"/>
        </w:rPr>
        <w:t xml:space="preserve"> and </w:t>
      </w:r>
      <w:r w:rsidRPr="002E40CA">
        <w:rPr>
          <w:rFonts w:ascii="Calibri" w:eastAsia="Times New Roman" w:hAnsi="Calibri" w:cs="Calibri"/>
          <w:color w:val="000000"/>
          <w:kern w:val="0"/>
          <w:sz w:val="22"/>
          <w:szCs w:val="22"/>
          <w14:ligatures w14:val="none"/>
        </w:rPr>
        <w:lastRenderedPageBreak/>
        <w:t>heat stress with congenital Chagas transmission may serve as model for other congenital infections and may help plan for future prevention studies as infections spread to new regions around the world. We are developing a causal inference to discern associations between environmental stressors during pregnancy and cCD transmission. This study includes two cCD cohorts in Bolivia (&gt;10,000 mother-child dyads) as well as satellite remote sensing estimates of heat and PM</w:t>
      </w:r>
      <w:r w:rsidRPr="002E40CA">
        <w:rPr>
          <w:rFonts w:ascii="Calibri" w:eastAsia="Times New Roman" w:hAnsi="Calibri" w:cs="Calibri"/>
          <w:color w:val="000000"/>
          <w:kern w:val="0"/>
          <w:sz w:val="22"/>
          <w:szCs w:val="22"/>
          <w:vertAlign w:val="subscript"/>
          <w14:ligatures w14:val="none"/>
        </w:rPr>
        <w:t>2.5</w:t>
      </w:r>
      <w:r w:rsidRPr="002E40CA">
        <w:rPr>
          <w:rFonts w:ascii="Calibri" w:eastAsia="Times New Roman" w:hAnsi="Calibri" w:cs="Calibri"/>
          <w:color w:val="000000"/>
          <w:kern w:val="0"/>
          <w:sz w:val="22"/>
          <w:szCs w:val="22"/>
          <w14:ligatures w14:val="none"/>
        </w:rPr>
        <w:t>. Initial model development with Weighted Quantile Sum regression analysis is underway on a subset of 2,444 women, including 661 positive women (27%) and 48 positive infants (7.3%).</w:t>
      </w:r>
    </w:p>
    <w:p w14:paraId="3CA48F4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25-A-3972-ASTMH</w:t>
      </w:r>
    </w:p>
    <w:p w14:paraId="10189AA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Genetics, Genomics and Evolution</w:t>
      </w:r>
    </w:p>
    <w:p w14:paraId="1AF139E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Genomic Epidemiological Analysis of Antimalarial Drug Resistance Evolution in Mali, 2007-2017</w:t>
      </w:r>
    </w:p>
    <w:p w14:paraId="33463E5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remains a major public health threat. Drug resistance in malaria significantly undermines efforts to control and eradicate the disease. This study investigates the trends in resistance to key antimalarial drugs over a decade in Mali. We utilized data from the MalariaGen database to analyze haplotypes and single-nucleotide polymorphisms (SNPs) related to antimalarial resistance in 1804 samples. Analyzed haplotypes included mutations in the </w:t>
      </w:r>
      <w:r w:rsidRPr="002E40CA">
        <w:rPr>
          <w:rFonts w:ascii="Calibri" w:eastAsia="Times New Roman" w:hAnsi="Calibri" w:cs="Calibri"/>
          <w:i/>
          <w:iCs/>
          <w:color w:val="000000"/>
          <w:kern w:val="0"/>
          <w:sz w:val="22"/>
          <w:szCs w:val="22"/>
          <w14:ligatures w14:val="none"/>
        </w:rPr>
        <w:t>Pfdhfr</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Pfdhps</w:t>
      </w:r>
      <w:r w:rsidRPr="002E40CA">
        <w:rPr>
          <w:rFonts w:ascii="Calibri" w:eastAsia="Times New Roman" w:hAnsi="Calibri" w:cs="Calibri"/>
          <w:color w:val="000000"/>
          <w:kern w:val="0"/>
          <w:sz w:val="22"/>
          <w:szCs w:val="22"/>
          <w14:ligatures w14:val="none"/>
        </w:rPr>
        <w:t> genes, critical for resistance to Sulfadoxine-Pyrimethamine (SP). For SP-resistance, triple mutants at the 51, 59, and 108 codons of </w:t>
      </w:r>
      <w:r w:rsidRPr="002E40CA">
        <w:rPr>
          <w:rFonts w:ascii="Calibri" w:eastAsia="Times New Roman" w:hAnsi="Calibri" w:cs="Calibri"/>
          <w:i/>
          <w:iCs/>
          <w:color w:val="000000"/>
          <w:kern w:val="0"/>
          <w:sz w:val="22"/>
          <w:szCs w:val="22"/>
          <w14:ligatures w14:val="none"/>
        </w:rPr>
        <w:t>Pfdhfr</w:t>
      </w:r>
      <w:r w:rsidRPr="002E40CA">
        <w:rPr>
          <w:rFonts w:ascii="Calibri" w:eastAsia="Times New Roman" w:hAnsi="Calibri" w:cs="Calibri"/>
          <w:color w:val="000000"/>
          <w:kern w:val="0"/>
          <w:sz w:val="22"/>
          <w:szCs w:val="22"/>
          <w14:ligatures w14:val="none"/>
        </w:rPr>
        <w:t>; quadruple mutants at the 51, 59, and 108 codons of </w:t>
      </w:r>
      <w:r w:rsidRPr="002E40CA">
        <w:rPr>
          <w:rFonts w:ascii="Calibri" w:eastAsia="Times New Roman" w:hAnsi="Calibri" w:cs="Calibri"/>
          <w:i/>
          <w:iCs/>
          <w:color w:val="000000"/>
          <w:kern w:val="0"/>
          <w:sz w:val="22"/>
          <w:szCs w:val="22"/>
          <w14:ligatures w14:val="none"/>
        </w:rPr>
        <w:t>Pfdhfr</w:t>
      </w:r>
      <w:r w:rsidRPr="002E40CA">
        <w:rPr>
          <w:rFonts w:ascii="Calibri" w:eastAsia="Times New Roman" w:hAnsi="Calibri" w:cs="Calibri"/>
          <w:color w:val="000000"/>
          <w:kern w:val="0"/>
          <w:sz w:val="22"/>
          <w:szCs w:val="22"/>
          <w14:ligatures w14:val="none"/>
        </w:rPr>
        <w:t> plus the 437 codon of </w:t>
      </w:r>
      <w:r w:rsidRPr="002E40CA">
        <w:rPr>
          <w:rFonts w:ascii="Calibri" w:eastAsia="Times New Roman" w:hAnsi="Calibri" w:cs="Calibri"/>
          <w:i/>
          <w:iCs/>
          <w:color w:val="000000"/>
          <w:kern w:val="0"/>
          <w:sz w:val="22"/>
          <w:szCs w:val="22"/>
          <w14:ligatures w14:val="none"/>
        </w:rPr>
        <w:t>Pfdhps</w:t>
      </w:r>
      <w:r w:rsidRPr="002E40CA">
        <w:rPr>
          <w:rFonts w:ascii="Calibri" w:eastAsia="Times New Roman" w:hAnsi="Calibri" w:cs="Calibri"/>
          <w:color w:val="000000"/>
          <w:kern w:val="0"/>
          <w:sz w:val="22"/>
          <w:szCs w:val="22"/>
          <w14:ligatures w14:val="none"/>
        </w:rPr>
        <w:t>; and quintuple mutants at the 51, 59, and 108 codons of </w:t>
      </w:r>
      <w:r w:rsidRPr="002E40CA">
        <w:rPr>
          <w:rFonts w:ascii="Calibri" w:eastAsia="Times New Roman" w:hAnsi="Calibri" w:cs="Calibri"/>
          <w:i/>
          <w:iCs/>
          <w:color w:val="000000"/>
          <w:kern w:val="0"/>
          <w:sz w:val="22"/>
          <w:szCs w:val="22"/>
          <w14:ligatures w14:val="none"/>
        </w:rPr>
        <w:t>Pfdhfr</w:t>
      </w:r>
      <w:r w:rsidRPr="002E40CA">
        <w:rPr>
          <w:rFonts w:ascii="Calibri" w:eastAsia="Times New Roman" w:hAnsi="Calibri" w:cs="Calibri"/>
          <w:color w:val="000000"/>
          <w:kern w:val="0"/>
          <w:sz w:val="22"/>
          <w:szCs w:val="22"/>
          <w14:ligatures w14:val="none"/>
        </w:rPr>
        <w:t> plus the 437 and 540 codons of </w:t>
      </w:r>
      <w:r w:rsidRPr="002E40CA">
        <w:rPr>
          <w:rFonts w:ascii="Calibri" w:eastAsia="Times New Roman" w:hAnsi="Calibri" w:cs="Calibri"/>
          <w:i/>
          <w:iCs/>
          <w:color w:val="000000"/>
          <w:kern w:val="0"/>
          <w:sz w:val="22"/>
          <w:szCs w:val="22"/>
          <w14:ligatures w14:val="none"/>
        </w:rPr>
        <w:t>Pfdhps </w:t>
      </w:r>
      <w:r w:rsidRPr="002E40CA">
        <w:rPr>
          <w:rFonts w:ascii="Calibri" w:eastAsia="Times New Roman" w:hAnsi="Calibri" w:cs="Calibri"/>
          <w:color w:val="000000"/>
          <w:kern w:val="0"/>
          <w:sz w:val="22"/>
          <w:szCs w:val="22"/>
          <w14:ligatures w14:val="none"/>
        </w:rPr>
        <w:t>were studied. For chloroquine resistance, the 76 codon of the </w:t>
      </w:r>
      <w:r w:rsidRPr="002E40CA">
        <w:rPr>
          <w:rFonts w:ascii="Calibri" w:eastAsia="Times New Roman" w:hAnsi="Calibri" w:cs="Calibri"/>
          <w:i/>
          <w:iCs/>
          <w:color w:val="000000"/>
          <w:kern w:val="0"/>
          <w:sz w:val="22"/>
          <w:szCs w:val="22"/>
          <w14:ligatures w14:val="none"/>
        </w:rPr>
        <w:t>Pfcrt</w:t>
      </w:r>
      <w:r w:rsidRPr="002E40CA">
        <w:rPr>
          <w:rFonts w:ascii="Calibri" w:eastAsia="Times New Roman" w:hAnsi="Calibri" w:cs="Calibri"/>
          <w:color w:val="000000"/>
          <w:kern w:val="0"/>
          <w:sz w:val="22"/>
          <w:szCs w:val="22"/>
          <w14:ligatures w14:val="none"/>
        </w:rPr>
        <w:t> gene was used for classification, with 76T as the resistant profile. Resistance to Mefloquine and Piperaquine was assessed based on copy number variations of the </w:t>
      </w:r>
      <w:r w:rsidRPr="002E40CA">
        <w:rPr>
          <w:rFonts w:ascii="Calibri" w:eastAsia="Times New Roman" w:hAnsi="Calibri" w:cs="Calibri"/>
          <w:i/>
          <w:iCs/>
          <w:color w:val="000000"/>
          <w:kern w:val="0"/>
          <w:sz w:val="22"/>
          <w:szCs w:val="22"/>
          <w14:ligatures w14:val="none"/>
        </w:rPr>
        <w:t>Pfmdr1</w:t>
      </w:r>
      <w:r w:rsidRPr="002E40CA">
        <w:rPr>
          <w:rFonts w:ascii="Calibri" w:eastAsia="Times New Roman" w:hAnsi="Calibri" w:cs="Calibri"/>
          <w:color w:val="000000"/>
          <w:kern w:val="0"/>
          <w:sz w:val="22"/>
          <w:szCs w:val="22"/>
          <w14:ligatures w14:val="none"/>
        </w:rPr>
        <w:t> and the plasmepsin 2 and 3 genes, respectively. Finally, </w:t>
      </w:r>
      <w:r w:rsidRPr="002E40CA">
        <w:rPr>
          <w:rFonts w:ascii="Calibri" w:eastAsia="Times New Roman" w:hAnsi="Calibri" w:cs="Calibri"/>
          <w:i/>
          <w:iCs/>
          <w:color w:val="000000"/>
          <w:kern w:val="0"/>
          <w:sz w:val="22"/>
          <w:szCs w:val="22"/>
          <w14:ligatures w14:val="none"/>
        </w:rPr>
        <w:t>PfK13</w:t>
      </w:r>
      <w:r w:rsidRPr="002E40CA">
        <w:rPr>
          <w:rFonts w:ascii="Calibri" w:eastAsia="Times New Roman" w:hAnsi="Calibri" w:cs="Calibri"/>
          <w:color w:val="000000"/>
          <w:kern w:val="0"/>
          <w:sz w:val="22"/>
          <w:szCs w:val="22"/>
          <w14:ligatures w14:val="none"/>
        </w:rPr>
        <w:t> mutations were used to assess artemisinin resistance. Among the samples analyzed in 2007, 48.4% were dhfr triple mutants, increasing to 81.0% in 2017. For dhps, 29.7% of samples in 2007 had 437G, rising to 78.4% in 2017. Haplotype analysis showed that triple, quadruple, and quintuple mutants were 70.5% (668/948), 40.7% (346/850), and 0.6% (5/841), respectively. Chloroquine resistance decreased from 63.2% in 2007 to 17.1% in 2017, but an overall 47.8% resistance level was observed across 944 samples over the decade. No resistance to piperaquine or mefloquine was found in 1062 samples analyzed between 2007 and 2017. Additionally, no artemisinin resistance was detected, proving the continued efficacy of this treatment in Mali. The analysis reveals a significant increase in molecular markers of resistance to pyrimethamine from 2007 to 2017 in Mali, although quintuple dhfr and dhps mutations were still very rare. Chloroquine resistance has notably decreased. No resistance to piperaquine, mefloquine, or artemisinin was detected, indicating their continued efficacy.</w:t>
      </w:r>
    </w:p>
    <w:p w14:paraId="28D23BA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25-A-3973-ASTMH</w:t>
      </w:r>
    </w:p>
    <w:p w14:paraId="2447BB1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Bacteriology - Enteric Infections</w:t>
      </w:r>
    </w:p>
    <w:p w14:paraId="6EE1C62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Effects of Extreme Weather Events on Cholera in the Democratic Republic of the Congo 2020-2024 (PICHA7 Program)</w:t>
      </w:r>
    </w:p>
    <w:p w14:paraId="667CEEE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Extreme weather events such as droughts and floods have increased cholera outbreaks to historical highs in sub-Saharan Africa this year. Furthermore, humanitarian contexts with protracted conflict such the eastern part of the Democratic Republic of the Congo (DRC) are highly vulnerable to extreme weather events because of poor water and sanitation infrastructure which increases their risk of cholera and other infectious diseases. However, there is limited evidence on the health impacts of extreme weather events in humanitarian contexts. The objective of this study was to examine the impact of extreme weather events on cholera through leveraging 4 years of surveillance data from 115 healthcare facilities from 2020-2024 in urban Bukavu, DRC. In total 1068 diarrhea patients with GPS data available had their stool screened for </w:t>
      </w:r>
      <w:r w:rsidRPr="002E40CA">
        <w:rPr>
          <w:rFonts w:ascii="Calibri" w:eastAsia="Times New Roman" w:hAnsi="Calibri" w:cs="Calibri"/>
          <w:i/>
          <w:iCs/>
          <w:color w:val="000000"/>
          <w:kern w:val="0"/>
          <w:sz w:val="22"/>
          <w:szCs w:val="22"/>
          <w14:ligatures w14:val="none"/>
        </w:rPr>
        <w:t>Vibrio cholerae</w:t>
      </w:r>
      <w:r w:rsidRPr="002E40CA">
        <w:rPr>
          <w:rFonts w:ascii="Calibri" w:eastAsia="Times New Roman" w:hAnsi="Calibri" w:cs="Calibri"/>
          <w:color w:val="000000"/>
          <w:kern w:val="0"/>
          <w:sz w:val="22"/>
          <w:szCs w:val="22"/>
          <w14:ligatures w14:val="none"/>
        </w:rPr>
        <w:t xml:space="preserve"> by bacterial culture. Daily precipitation data was downloaded from CHIRPS (Climate Hazards Group InfraRed Precipitation with Station data), and daily temperature data from the CPC Global Unified Temperature dataset. Extreme weather events were defined as: (1) drought where precipitation &lt;75% of the median for the region occurring for at least </w:t>
      </w:r>
      <w:r w:rsidRPr="002E40CA">
        <w:rPr>
          <w:rFonts w:ascii="Calibri" w:eastAsia="Times New Roman" w:hAnsi="Calibri" w:cs="Calibri"/>
          <w:color w:val="000000"/>
          <w:kern w:val="0"/>
          <w:sz w:val="22"/>
          <w:szCs w:val="22"/>
          <w14:ligatures w14:val="none"/>
        </w:rPr>
        <w:lastRenderedPageBreak/>
        <w:t>three months; and (2) precipitation or temperature over the 90th percentile of the daily average. The rainy season in our study setting was September to January. A test-negative design was used to investigate the association between extreme weather events and cholera confirmed by a positive result for </w:t>
      </w:r>
      <w:r w:rsidRPr="002E40CA">
        <w:rPr>
          <w:rFonts w:ascii="Calibri" w:eastAsia="Times New Roman" w:hAnsi="Calibri" w:cs="Calibri"/>
          <w:i/>
          <w:iCs/>
          <w:color w:val="000000"/>
          <w:kern w:val="0"/>
          <w:sz w:val="22"/>
          <w:szCs w:val="22"/>
          <w14:ligatures w14:val="none"/>
        </w:rPr>
        <w:t>V. cholerae</w:t>
      </w:r>
      <w:r w:rsidRPr="002E40CA">
        <w:rPr>
          <w:rFonts w:ascii="Calibri" w:eastAsia="Times New Roman" w:hAnsi="Calibri" w:cs="Calibri"/>
          <w:color w:val="000000"/>
          <w:kern w:val="0"/>
          <w:sz w:val="22"/>
          <w:szCs w:val="22"/>
          <w14:ligatures w14:val="none"/>
        </w:rPr>
        <w:t> by bacterial culture. During times of drought there was a significantly higher odds of cholera (Odds ratio (OR): 1.58, 95% confidence interval (CI): 1.12-2.20), and a significantly lower odds of cholera during the rainy season (OR: 0.63, 95% CI: 0.46-0.85). In the eastern DRC, cholera occurred significantly more during times of drought and less during the rainy season. Early warning systems which promote water, sanitation, and hygiene interventions will be important for promoting resilience to extreme weather events in humanitarian contexts such as eastern DRC.</w:t>
      </w:r>
    </w:p>
    <w:p w14:paraId="61E73C6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25-A-3974-ASTMH</w:t>
      </w:r>
    </w:p>
    <w:p w14:paraId="7F047B9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Elimination</w:t>
      </w:r>
    </w:p>
    <w:p w14:paraId="6A05BFE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impact of onsite data validation and staff mentorship on On-Shelf Availability of key Malaria Health products at public health service delivery points in Ogun State, Western Nigeria</w:t>
      </w:r>
    </w:p>
    <w:p w14:paraId="799F9A0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Access to malaria health products is fundamental to achieving zero malaria in the Ogun State health care delivery system. Accurate and complete reporting of malaria data from health facilities unto the Nigeria Health Logistic Management Information System (NHLMIS), is critical to ensuring that health facilities in Ogun State are within the optimum stock levels that guarantee continuous availability of the life-saving health products. Sub-optimal stock levels of malaria health products have been a source of concern in Ogun State Nigeria, as it undermines the state malaria elimination efforts. Sub-optimal stock levels result in stock out of key malaria health products. For improved supply chain data management that assures optimal availability of malaria health products; onsite malaria data validation and collection, real-time data capture, and hands-on refresher training of health facility officer-in-charge on logistics management information system (LMIS) reporting. This approach prevents incorrect data capture, and proxy data validation and strengthens institutional capacity amidst high attrition of key health facility workers. The onsite health facility data validation and collection model was adopted to eliminate proxy and virtual validation of malaria data and to ensure accurate data and real-time data capture from source documents. This model was adopted in the 321 Global Fund-supported health facilities across the 20 local government areas in Ogun State in June 2024. The model ensures real-time data capture and geo-location mapping that allow stakeholders to track facility visits by data validators, providing on-the-spot reviews of facility data and equally allowing for hands-on mentorship. Before the introduction of this model, the average availability of malaria health products at public health facilities was 85% between 2021 and 2023. However, the average availability has improved to 98% from January 2024 to December 2024 following the introduction of this model. These findings underscore the importance of onsite and real-time data capture and its impacts on access to malaria products.</w:t>
      </w:r>
    </w:p>
    <w:p w14:paraId="7AE485E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25-A-3975-ASTMH</w:t>
      </w:r>
    </w:p>
    <w:p w14:paraId="2BF127D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5D91220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FIELD TRIAL OF EFFICACY, SAFETY AND ACCEPTABILITY OF STAYTEC™ (WITH 20% IR3535®) INSECT REPELLENT LOTION, AKIVA™, FOR SUSTAINABLE MALARIA VECTOR CONTROL IN NIGERIA</w:t>
      </w:r>
    </w:p>
    <w:p w14:paraId="23D2C9E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The intolerably high burdens of malaria in Nigeria, coupled with the gross inadequacies of present malaria control tools and strategies in the country, have necessitated the integration of complimentary interventions including, the use of mosquito repellent products for human protection, where and when the traditional insecticide-treated bed nets may not be operational. To this end, the STAYTECTM with 20% IR3535® insect repellent lotion (commercially known as AKIVA), was subjected to field trial in Nigeria, to determine its repellence-efficacy and persistence against mosquito bites, assess any side-effects to users and general acceptability of the product by the people. The field trial was carried in two States namely, Niger (in the Savannah region) and Delta (Rainforest Southern region) in the country, from January through March, 2025. All trial methodologies and procedures including, ethical considerations, experimental designs, recruitment of volunteers, surveys, preparation and </w:t>
      </w:r>
      <w:r w:rsidRPr="002E40CA">
        <w:rPr>
          <w:rFonts w:ascii="Calibri" w:eastAsia="Times New Roman" w:hAnsi="Calibri" w:cs="Calibri"/>
          <w:color w:val="000000"/>
          <w:kern w:val="0"/>
          <w:sz w:val="22"/>
          <w:szCs w:val="22"/>
          <w14:ligatures w14:val="none"/>
        </w:rPr>
        <w:lastRenderedPageBreak/>
        <w:t>administration of Questionnaire, data management and analyses, interpretation of results, etc, were carried out according to World Health Organisation-recommended best-practices guidelines and protocols, for field testing of efficacy of formulated mosquito repellent products. The results of the baseline entomological survey revealed the presence of two malaria vector species namely, Anopheles gambiae s.l. (65.2%) and An. coustani (2.9%), and only An. gambiae s.l. (86.36%) in the trial sites, in Niger and Delta states, respectively; with the aggregate culicine mosquitoes, respectively, constituting 31.9% and 13.63% in the two sites. The field efficacy trial of the AKIVA insect repellent, revealed 100% human protection (i.e., no mosquito bite) for the 12 hours observation period both indoors and outdoors, for the Test experiment volunteers (i.e., subjects who applied the product on their legs), throughout the trial period in all locations in the two States.</w:t>
      </w:r>
    </w:p>
    <w:p w14:paraId="68992DB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25-A-3977-ASTMH</w:t>
      </w:r>
    </w:p>
    <w:p w14:paraId="577C7EA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Clinical Tropical Medicine</w:t>
      </w:r>
    </w:p>
    <w:p w14:paraId="5E14BCF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Evaluation of a Children’s Rapid Assessment of Febrile Travellers’ (CRAFT) Clinic: A retrospective review of patient outcomes</w:t>
      </w:r>
    </w:p>
    <w:p w14:paraId="5CA13A5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Fever in returned pediatric travelers is a medical emergency requiring prompt evaluation to distinguish potentially life-threatening conditions, such as malaria, from more common, self-limited infections. Delayed diagnosis and treatment can lead to serious complications and mortality, underscoring the need for early intervention. Existing Canadian guidelines for febrile travelers are predominantly adult-oriented and may not adequately address the needs of children, who often require hospitalization and are less likely to receive pre-travel advice. In response to this gap, the Children’s Rapid Assessment of Febrile Travellers (CRAFT) clinic was established in 2023 at the Hospital for Sick Children in Toronto, Canada, to provide specialized care to children with suspected travel-related illnesses. The clinic uses a triage algorithm adapted from adult guidelines and the RAFT clinic to streamline assessment and optimize resources. This retrospective analysis describes the travel and clinical features, diagnoses, and outcomes of pediatric patients seen at the CRAFT clinic between April 1, 2023, and May 23, 2024. A total of 139 patient charts were reviewed. The most frequent travel destinations were the Dominican Republic, India, Cuba, and the Philippines. Of the patients, 13% were recent migrants, 33% had traveled for tourism, and 51% were visiting friends or relatives (VFR). Overall, 15% were diagnosed with systemic febrile illnesses. Within the VFR subgroup, 56% had upper respiratory tract infections, 17% had systemic febrile illnesses, and 13% had gastrointestinal illnesses. Across the full cohort, the most common diagnoses were upper respiratory infections (56%), including influenza A, which accounted for 16% of all cases. Notably, 64% of travelers had not received pre-travel medical advice. Respiratory disorders, particularly influenza A, were the most frequent diagnoses among returned pediatric travelers, highlighting the need for targeted public health messaging, improved pre-travel counseling, pediatric-specific guidelines for post-travel care, and enhanced education on vaccine-preventable illnesses.</w:t>
      </w:r>
    </w:p>
    <w:p w14:paraId="304754A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25-A-3980-ASTMH</w:t>
      </w:r>
    </w:p>
    <w:p w14:paraId="3B873D9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Security/Emerging Infection Preparedness, Surveillance and Response(s)</w:t>
      </w:r>
    </w:p>
    <w:p w14:paraId="4E53C40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Novel technologies for intradermal delivery of fractional-dose inactivated poliomyelitis vaccine: Review of implementation research and implications for equitable neglected tropical disease vaccine access</w:t>
      </w:r>
    </w:p>
    <w:p w14:paraId="7E93C3B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Recent trends in intradermal (ID) vaccination, as seen in the Global Polio Eradication Initiative and in the 2022 monkeypox (mpox) pandemic, are a reminder that vaccine administration to the dermis is a valuable alternative to the traditional routes of parenteral delivery. However, ID delivery remains an underutilized strategy with the potential for broader impact including improved vaccine effectiveness, coverage, and cost savings. We conducted a systematic review of the published implementation research on novel ID delivery methods used for fractional inactivated polio vaccine (fIPV) immunization to better understand the available ID delivery options, their implementation challenges, benefits, and opportunities for broader use for ID delivery of other vaccines including rabies, malaria, and mpox. Five </w:t>
      </w:r>
      <w:r w:rsidRPr="002E40CA">
        <w:rPr>
          <w:rFonts w:ascii="Calibri" w:eastAsia="Times New Roman" w:hAnsi="Calibri" w:cs="Calibri"/>
          <w:color w:val="000000"/>
          <w:kern w:val="0"/>
          <w:sz w:val="22"/>
          <w:szCs w:val="22"/>
          <w14:ligatures w14:val="none"/>
        </w:rPr>
        <w:lastRenderedPageBreak/>
        <w:t>novel ID technologies were identified. In general, these compared favorably against NS delivery. The benefits of individual technologies include high acceptance with both healthcare workers and caregivers, improved coverage rates, and cost savings. Two ID delivery technologies for fIPV are commercially available. Novel technologies for ID delivery of fIPV are viable, and, in some cases, offer advantages over ID delivery with NS. Commercially available needle-free ID delivery has been thoroughly researched for campaign use and shown to reduce costs and increase coverage for polio immunization programs. ID delivery using novel alternatives to NS can be a valuable strategy for increasing equitable access to vaccines and for addressing vaccine shortages during campaigns and pandemic response. Commercially available needle-free ID delivery can increase campaign reach, enable effective strategies such as house-to-house campaigns, and potentially empower personnel without formal health training to administer vaccines. These results also suggest alternative ID delivery methods should be evaluated in new vaccine development.</w:t>
      </w:r>
    </w:p>
    <w:p w14:paraId="05C728E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25-A-3981-ASTMH</w:t>
      </w:r>
    </w:p>
    <w:p w14:paraId="44790A6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7290B4C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Impact of the Bayamón Integrated Vector Management Program on </w:t>
      </w:r>
      <w:r w:rsidRPr="002E40CA">
        <w:rPr>
          <w:rFonts w:ascii="Calibri" w:eastAsia="Times New Roman" w:hAnsi="Calibri" w:cs="Calibri"/>
          <w:i/>
          <w:iCs/>
          <w:color w:val="000000"/>
          <w:kern w:val="0"/>
          <w:sz w:val="22"/>
          <w:szCs w:val="22"/>
          <w14:ligatures w14:val="none"/>
        </w:rPr>
        <w:t>Aedes aegypti</w:t>
      </w:r>
      <w:r w:rsidRPr="002E40CA">
        <w:rPr>
          <w:rFonts w:ascii="Calibri" w:eastAsia="Times New Roman" w:hAnsi="Calibri" w:cs="Calibri"/>
          <w:color w:val="000000"/>
          <w:kern w:val="0"/>
          <w:sz w:val="22"/>
          <w:szCs w:val="22"/>
          <w14:ligatures w14:val="none"/>
        </w:rPr>
        <w:t> abundance in public housing, Puerto Rico, 2024</w:t>
      </w:r>
    </w:p>
    <w:p w14:paraId="347452A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With dengue cases increasing globally, effective vector control strategies are needed to reduce transmission. We implemented an integrated vector management (IVM) program in public housing complexes (PHCs) in Bayamón, Puerto Rico during the 2024 dengue outbreak. Using arboviral case data from the San Juan metro area during 2010-2022, we selected 11 PHCs in high incidence areas of Bayamón. Using surveillance autocidal gravid ovitraps (AGOs), the number of female </w:t>
      </w:r>
      <w:r w:rsidRPr="002E40CA">
        <w:rPr>
          <w:rFonts w:ascii="Calibri" w:eastAsia="Times New Roman" w:hAnsi="Calibri" w:cs="Calibri"/>
          <w:i/>
          <w:iCs/>
          <w:color w:val="000000"/>
          <w:kern w:val="0"/>
          <w:sz w:val="22"/>
          <w:szCs w:val="22"/>
          <w14:ligatures w14:val="none"/>
        </w:rPr>
        <w:t>Aedes aegypti</w:t>
      </w:r>
      <w:r w:rsidRPr="002E40CA">
        <w:rPr>
          <w:rFonts w:ascii="Calibri" w:eastAsia="Times New Roman" w:hAnsi="Calibri" w:cs="Calibri"/>
          <w:color w:val="000000"/>
          <w:kern w:val="0"/>
          <w:sz w:val="22"/>
          <w:szCs w:val="22"/>
          <w14:ligatures w14:val="none"/>
        </w:rPr>
        <w:t> mosquitoes was monitored weekly beginning in February 2024. Mass trapping with additional AGOs (n=523) was deployed in a stepped-wedge design across PHCs during March-June 2024. Routine larvicide application and management of common breeding sites also began in all PHCs in June. In an intention-to-treat analysis, we fit a multi-level negative binomial regression model to estimate the reduction in mosquitoes attributable to interventions, controlling for seasonal trends. Captured mosquitoes were pooled and tested for dengue virus. Human cases were detected through passive surveillance. We counted 35,684 mosquitoes during 4,430 collections from 155 surveillance AGOs. The average weekly number of mosquitoes per trap peaked at 12.0 in May and dropped to 6.5 in July. During the stepped-wedge implementation (February-July), we estimate a 25% (95% credible interval: 19-31%) reduction in the weekly number of mosquitoes per trap attributable to vector control interventions. We found 27 dengue virus detections (6 cases and 21 in mosquitoes), with 15 occurring during 116 PHC-weeks (0.13/PHC-week) without interventions and 12/137 (0.09/PHC-week) with interventions. After initiation in all PHCs, the average weekly number of mosquitoes per trap further declined to 3.3 in October. During the 2024 dengue outbreak, vector control significantly decreased the number of female </w:t>
      </w:r>
      <w:r w:rsidRPr="002E40CA">
        <w:rPr>
          <w:rFonts w:ascii="Calibri" w:eastAsia="Times New Roman" w:hAnsi="Calibri" w:cs="Calibri"/>
          <w:i/>
          <w:iCs/>
          <w:color w:val="000000"/>
          <w:kern w:val="0"/>
          <w:sz w:val="22"/>
          <w:szCs w:val="22"/>
          <w14:ligatures w14:val="none"/>
        </w:rPr>
        <w:t>Ae. aegypti</w:t>
      </w:r>
      <w:r w:rsidRPr="002E40CA">
        <w:rPr>
          <w:rFonts w:ascii="Calibri" w:eastAsia="Times New Roman" w:hAnsi="Calibri" w:cs="Calibri"/>
          <w:color w:val="000000"/>
          <w:kern w:val="0"/>
          <w:sz w:val="22"/>
          <w:szCs w:val="22"/>
          <w14:ligatures w14:val="none"/>
        </w:rPr>
        <w:t> in PHCs, despite conservative analytical assumptions. Further improvement of the Bayamón IVM Program and assessment of long-term impact in reducing dengue cases is needed.</w:t>
      </w:r>
    </w:p>
    <w:p w14:paraId="6D94474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25-A-3982-ASTMH</w:t>
      </w:r>
    </w:p>
    <w:p w14:paraId="6C7E805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Antimalarial Resistance and Chemotherapy</w:t>
      </w:r>
    </w:p>
    <w:p w14:paraId="4C0EBA5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Double mutations in Kelch13 drive resistance to next-generation artemisinin derivatives in </w:t>
      </w:r>
      <w:r w:rsidRPr="002E40CA">
        <w:rPr>
          <w:rFonts w:ascii="Calibri" w:eastAsia="Times New Roman" w:hAnsi="Calibri" w:cs="Calibri"/>
          <w:i/>
          <w:iCs/>
          <w:color w:val="000000"/>
          <w:kern w:val="0"/>
          <w:sz w:val="22"/>
          <w:szCs w:val="22"/>
          <w14:ligatures w14:val="none"/>
        </w:rPr>
        <w:t>Plasmodium falciparum</w:t>
      </w:r>
    </w:p>
    <w:p w14:paraId="6C10482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Artefenomel (OZ439) is a synthetic ozonide and a promising preclinical antimalarial candidate for treating </w:t>
      </w:r>
      <w:r w:rsidRPr="002E40CA">
        <w:rPr>
          <w:rFonts w:ascii="Calibri" w:eastAsia="Times New Roman" w:hAnsi="Calibri" w:cs="Calibri"/>
          <w:i/>
          <w:iCs/>
          <w:color w:val="000000"/>
          <w:kern w:val="0"/>
          <w:sz w:val="22"/>
          <w:szCs w:val="22"/>
          <w14:ligatures w14:val="none"/>
        </w:rPr>
        <w:t>Plasmodium falciparum </w:t>
      </w:r>
      <w:r w:rsidRPr="002E40CA">
        <w:rPr>
          <w:rFonts w:ascii="Calibri" w:eastAsia="Times New Roman" w:hAnsi="Calibri" w:cs="Calibri"/>
          <w:color w:val="000000"/>
          <w:kern w:val="0"/>
          <w:sz w:val="22"/>
          <w:szCs w:val="22"/>
          <w14:ligatures w14:val="none"/>
        </w:rPr>
        <w:t>malaria. Like artemisinins, it contains a bioactive endoperoxide moiety but offers a significantly longer </w:t>
      </w:r>
      <w:r w:rsidRPr="002E40CA">
        <w:rPr>
          <w:rFonts w:ascii="Calibri" w:eastAsia="Times New Roman" w:hAnsi="Calibri" w:cs="Calibri"/>
          <w:i/>
          <w:iCs/>
          <w:color w:val="000000"/>
          <w:kern w:val="0"/>
          <w:sz w:val="22"/>
          <w:szCs w:val="22"/>
          <w14:ligatures w14:val="none"/>
        </w:rPr>
        <w:t>in vivo </w:t>
      </w:r>
      <w:r w:rsidRPr="002E40CA">
        <w:rPr>
          <w:rFonts w:ascii="Calibri" w:eastAsia="Times New Roman" w:hAnsi="Calibri" w:cs="Calibri"/>
          <w:color w:val="000000"/>
          <w:kern w:val="0"/>
          <w:sz w:val="22"/>
          <w:szCs w:val="22"/>
          <w14:ligatures w14:val="none"/>
        </w:rPr>
        <w:t>half-life and retains potency against both Kelch13 (K13) wild-type and mutant artemisinin-resistant parasites. To assess the potential for resistance, we performed </w:t>
      </w:r>
      <w:r w:rsidRPr="002E40CA">
        <w:rPr>
          <w:rFonts w:ascii="Calibri" w:eastAsia="Times New Roman" w:hAnsi="Calibri" w:cs="Calibri"/>
          <w:i/>
          <w:iCs/>
          <w:color w:val="000000"/>
          <w:kern w:val="0"/>
          <w:sz w:val="22"/>
          <w:szCs w:val="22"/>
          <w14:ligatures w14:val="none"/>
        </w:rPr>
        <w:t>in vitro </w:t>
      </w:r>
      <w:r w:rsidRPr="002E40CA">
        <w:rPr>
          <w:rFonts w:ascii="Calibri" w:eastAsia="Times New Roman" w:hAnsi="Calibri" w:cs="Calibri"/>
          <w:color w:val="000000"/>
          <w:kern w:val="0"/>
          <w:sz w:val="22"/>
          <w:szCs w:val="22"/>
          <w14:ligatures w14:val="none"/>
        </w:rPr>
        <w:t>selection using the Cambodian Cam3.II strain (K13 R539T) under increasing artefenomel pressure over 18 months. This yielded parasites capable of surviving physiologically relevant </w:t>
      </w:r>
      <w:r w:rsidRPr="002E40CA">
        <w:rPr>
          <w:rFonts w:ascii="Calibri" w:eastAsia="Times New Roman" w:hAnsi="Calibri" w:cs="Calibri"/>
          <w:i/>
          <w:iCs/>
          <w:color w:val="000000"/>
          <w:kern w:val="0"/>
          <w:sz w:val="22"/>
          <w:szCs w:val="22"/>
          <w14:ligatures w14:val="none"/>
        </w:rPr>
        <w:t>in vitro </w:t>
      </w:r>
      <w:r w:rsidRPr="002E40CA">
        <w:rPr>
          <w:rFonts w:ascii="Calibri" w:eastAsia="Times New Roman" w:hAnsi="Calibri" w:cs="Calibri"/>
          <w:color w:val="000000"/>
          <w:kern w:val="0"/>
          <w:sz w:val="22"/>
          <w:szCs w:val="22"/>
          <w14:ligatures w14:val="none"/>
        </w:rPr>
        <w:t xml:space="preserve">concentrations of artefenomel. Whole-genome sequencing identified a novel A212T mutation in </w:t>
      </w:r>
      <w:r w:rsidRPr="002E40CA">
        <w:rPr>
          <w:rFonts w:ascii="Calibri" w:eastAsia="Times New Roman" w:hAnsi="Calibri" w:cs="Calibri"/>
          <w:color w:val="000000"/>
          <w:kern w:val="0"/>
          <w:sz w:val="22"/>
          <w:szCs w:val="22"/>
          <w14:ligatures w14:val="none"/>
        </w:rPr>
        <w:lastRenderedPageBreak/>
        <w:t>the k13 gene. To investigate its functional role, we used CRISPR/Cas9 to introduce A212T into Cam3.II parasites harboring K13 wild-type, R539T, or C580Y alleles. We also removed it from the artefenomel-resistant line. Phenotypic assays revealed that the A212T+R539T combination significantly accelerated parasite recovery following 48-hour artefenomel exposure across multiple concentrations, while A212T alone had no impact on recovery. The double mutant also exhibited high-level resistance to dihydroartemisinin in ring survival assays. To explore the resistance mechanisms, we conducted global peptidomic and metabolomic profiling. Artefenomel-resistant parasites displayed altered levels of metabolites linked to glutathione metabolism, purine and pyrimidine biosynthesis, and aspartate/glutamate pathways, without changes in hemoglobin-derived peptides. These findings suggest that accelerated recovery from drug exposure, facilitated by A212T, is associated with enhanced redox regulation rather than reduced heme-mediated drug activation. Collectively, our results demonstrate that resistance to artefenomel can emerge through additional k13 mutations in combination with existing artemisinin-resistance alleles, thus emphasizing the importance of continued molecular surveillance and the potential limitations of deploying next-generation endoperoxides in regions with established artemisinin resistance.</w:t>
      </w:r>
    </w:p>
    <w:p w14:paraId="47AC7C6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25-A-3983-ASTMH</w:t>
      </w:r>
    </w:p>
    <w:p w14:paraId="3F2E121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Cestodes (including taeniasis and cysticercosis, echinococcosis/hydatid disease, and others)</w:t>
      </w:r>
    </w:p>
    <w:p w14:paraId="657850B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Identifying the sources of proinflammatory mediators in subarachnoid neurocysticercosis using single cell sequencing</w:t>
      </w:r>
    </w:p>
    <w:p w14:paraId="53BE942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Subarachnoid (racemose) neurocysticercosis (SANCC) is a severe, invasive cestode infection of the central nervous system (CNS) that most often manifests symptoms due to the complications due to inflammation (i.e. acute or chronic aseptic meningitis, communicating hydrocephalus, ischemia/aneurysm/hemorrhage. While corticosteroids are widely used and are effective at associated symptoms, at high doses and long durations they have significant side effects and complications. Understanding key cellular contributors to the inflammation and inflammatory complications is critical to eventually using a targeted steroid-sparing therapeutic strategy in SANCC. We have recently demonstrated evidence of eosinophil recruitment to, and activation in, the CNS in SANCC compared with uninfected controls. To further characterize the cellular features and sources of important cytokines and chemokines, fresh CSF of 12 SANCC patients prior to starting treatment was subjected to single cell RNA sequencing (scRNAseq). The bulk of Type 2 cytokine expression (IL-4, IL-5 and IL-13) was found in CD4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cells. The largest compartment with expression of interferon gamma (IFN) was CD8 cells. While contributing less than 10% to the total overall cellular burden in the CSF during active SANCC, myeloid cells, innate lymphoid cells (ILCs) and NK-like cells had the highest expression of IL-18. The composition of the myeloid compartment included AREG</w:t>
      </w:r>
      <w:r w:rsidRPr="002E40CA">
        <w:rPr>
          <w:rFonts w:ascii="Calibri" w:eastAsia="Times New Roman" w:hAnsi="Calibri" w:cs="Calibri"/>
          <w:color w:val="000000"/>
          <w:kern w:val="0"/>
          <w:sz w:val="22"/>
          <w:szCs w:val="22"/>
          <w:vertAlign w:val="superscript"/>
          <w14:ligatures w14:val="none"/>
        </w:rPr>
        <w:t>+ </w:t>
      </w:r>
      <w:r w:rsidRPr="002E40CA">
        <w:rPr>
          <w:rFonts w:ascii="Calibri" w:eastAsia="Times New Roman" w:hAnsi="Calibri" w:cs="Calibri"/>
          <w:color w:val="000000"/>
          <w:kern w:val="0"/>
          <w:sz w:val="22"/>
          <w:szCs w:val="22"/>
          <w14:ligatures w14:val="none"/>
        </w:rPr>
        <w:t>conventional dendritic cells 2 (cDC2 [21%]), CD14</w:t>
      </w:r>
      <w:r w:rsidRPr="002E40CA">
        <w:rPr>
          <w:rFonts w:ascii="Calibri" w:eastAsia="Times New Roman" w:hAnsi="Calibri" w:cs="Calibri"/>
          <w:color w:val="000000"/>
          <w:kern w:val="0"/>
          <w:sz w:val="22"/>
          <w:szCs w:val="22"/>
          <w:vertAlign w:val="superscript"/>
          <w14:ligatures w14:val="none"/>
        </w:rPr>
        <w:t>+</w:t>
      </w:r>
      <w:r w:rsidRPr="002E40CA">
        <w:rPr>
          <w:rFonts w:ascii="Calibri" w:eastAsia="Times New Roman" w:hAnsi="Calibri" w:cs="Calibri"/>
          <w:color w:val="000000"/>
          <w:kern w:val="0"/>
          <w:sz w:val="22"/>
          <w:szCs w:val="22"/>
          <w14:ligatures w14:val="none"/>
        </w:rPr>
        <w:t> monocytes (19%), microglia-like cells (18%), other cDC2 (17%), AXL siglec6+ dendritic cells (DCs [14%]), conventional dendritic cells 1 (cDC1 [7%]), ACY3+ DC (2%), and Lamp3+ DC (1%). The chemokines CCL24 and CCL13 were primarily expressed in microglia-like cells. Despite the very small proportion of Lamp3+ DCs, they were the sole source of chemokine CCL3 expression. Some of these recently described cell phenotypes have been associated with chronic inflammatory conditions and warrant further elucidation of their role in SANCC disease.</w:t>
      </w:r>
    </w:p>
    <w:p w14:paraId="5146F4D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25-A-3984-ASTMH</w:t>
      </w:r>
    </w:p>
    <w:p w14:paraId="2A2C817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Genetics, Genomics and Evolution</w:t>
      </w:r>
    </w:p>
    <w:p w14:paraId="086EF75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Genetic Diversity of Plasmodium vivax in Indigenous Communities of Condorcanqui Province, Amazonas Region, 2019-2022</w:t>
      </w:r>
    </w:p>
    <w:p w14:paraId="241380E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Amazonas is the third region with the highest number of Plasmodium vivax cases in Peru. Its Río Santiago district, in the province of Condorcanqui, is the most affected, reporting 77.1% of cases. The native communities of this district lack basic services, transportation between communities is limited, and travel for festivities is occasional. From 2015 to 2018, the average annual incidence rate was 19.8. </w:t>
      </w:r>
      <w:r w:rsidRPr="002E40CA">
        <w:rPr>
          <w:rFonts w:ascii="Calibri" w:eastAsia="Times New Roman" w:hAnsi="Calibri" w:cs="Calibri"/>
          <w:color w:val="000000"/>
          <w:kern w:val="0"/>
          <w:sz w:val="22"/>
          <w:szCs w:val="22"/>
          <w14:ligatures w14:val="none"/>
        </w:rPr>
        <w:lastRenderedPageBreak/>
        <w:t>However, at the end of 2019 and the beginning of 2020, the district experienced a 2.5-fold increase in cases compared to previous years. In this study, we evaluated whether the increase of P. vivax cases in Rio Santiago from 2019 to 2020 was driven by the clonal expansion of a single P. vivax population or by multiple populations. We analyzed 90 P. vivax-positive samples collected from native communities between 2019 and 2022. Samples underwent selective whole-genome amplification and sequencing, followed by data cleaning and variant calling, resulting in 50 genomes with 75% of coverage with depth of at least 5 reads. Clonality was assessed using both within-host diversity (Fws) and the fraction of heterozygous loci (fracHet), classifying infections as monoclonal or polyclonal based on quartile thresholds and IQR outlier detection. Genetic diversity was evaluated using expected heterozygosity (He) and nucleotide diversity (π). All samples were classified as monoclonal. Most had Fws &gt; 0.95, while two samples had Fws = 0.94; however, these two samples exhibited fracHet values &lt; 6.8 x 10-3, confirming their monoclonal status. This study revealed low diversity levels: He = 0.02 for SNPs, He = 0.05 for INDELs, and nucleotide diversity π &lt; 1.3 x 10-4. Our findings indicate that P. vivax infections in Rio Santiago are predominantly monoclonal, with low diversity, suggesting clonal expansion as the main driver of transmission during this time. This study provides a baseline for future research aimed at determining changes in the population structure of the parasites and the effect of case importation in this region. Likewise, these insights underscore the need for strategies to disrupt local transmission through active case detection.</w:t>
      </w:r>
    </w:p>
    <w:p w14:paraId="1B45C00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25-A-3985-ASTMH</w:t>
      </w:r>
    </w:p>
    <w:p w14:paraId="5DE5257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Viruses - Epidemiology</w:t>
      </w:r>
    </w:p>
    <w:p w14:paraId="3ADAF3F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Mapping Movement: Inter-Village Travel and Implications for Dengue Transmission in Northwestern Ecuador</w:t>
      </w:r>
    </w:p>
    <w:p w14:paraId="7CCD106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Small scale within-community human movement is implicated in the transmission of dengue virus (DENV), particularly house-to-house movement. Larger scale cross-community movement is hypothesized as a key driver of transmission in remote regions with lower population density; however, these transport networks are not well characterized. In northwestern Ecuador, movement through urban centers is linked to transmission in remote villages, indicated by a 2019 DENV outbreak in a village only accessible by water. Building on this observation, we conducted a pilot study on inter-village movement across three river systems in northwestern Ecuador. A cross-sectional survey interviewed adults in 23 villages (10 houses per village) about individual movement patterns outside their village during the week prior to interview. We applied network analysis techniques to assess inter-village movement patterns, categorizing data into four strata: three river-based and one road-accessible village group. We constructed weighted directed networks for each stratum, computing weighted and unweighted node centrality and quantifying cross-stratum movement by calculating the percentage of out-edges directed to external strata. Additionally, participants’ reasons for travel to key destinations were summarized within each stratum. We found travel is predominantly for commerce, work, or healthcare. In two river systems, travel is mostly confined within the same river, with occasional movement to larger coastal or commercial centers. Conversely, in the third river system, which is closely connected to road-accessible localities, travel to road-based villages is most frequent. These patterns suggest that village proximity to transportation networks may increase vulnerability to DENV, contrasting with potentially lower risk in villages where travel remains river-confined. Our analysis proposes that social interactions beyond house-to-house movement might contribute to DENV introduction and spread. Network structures summarizing regional level movement may be an important risk factor for dengue spread among remote rural corridors.</w:t>
      </w:r>
    </w:p>
    <w:p w14:paraId="61FA636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25-A-3986-ASTMH</w:t>
      </w:r>
    </w:p>
    <w:p w14:paraId="5DC4648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Epidemiology</w:t>
      </w:r>
    </w:p>
    <w:p w14:paraId="5251370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Urban Micro-Stratification of Malaria Transmission to Guide Targeted Interventions in Conakry, Guinea</w:t>
      </w:r>
    </w:p>
    <w:p w14:paraId="10B9EDC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Conakry, the capital and largest city of Guinea, experiences low but spatially heterogeneous malaria transmission, with an incidence of 76 cases per 1,000 population in 2023. Despite overall progress attributed to urbanization and malaria control interventions, certain neighborhoods remain at high risk due to poor socio-economic and environmental conditions. This doctoral research project aims to identify residual transmission patterns and guide the prioritization of malaria interventions through micro-stratification. The study has five main objectives: (1) estimate malaria prevalence, (2) analyze vector dynamics and behavior, (3) assess the quality of routine health data, (4) explore travel history among malaria cases, and (5) develop spatial and analytical tools to guide targeted responses. The research will unfold over three years in three phases: a systematic review of urban malaria studies in sub-Saharan Africa, a cross-sectional survey on prevalence and intervention coverage, and monthly entomological surveys conducted in collaboration with the National Malaria Control Program (NMCP). Data will be analyzed using spatial and statistical methods to assess neighborhood-level transmission patterns. The EMOD (Epidemiological MODeling Software) platform will be used to simulate intervention scenarios and support strategic planning. This project aims to inform a stratified and adaptive response to urban malaria, in line with WHO recommendations for targeted malaria control.</w:t>
      </w:r>
    </w:p>
    <w:p w14:paraId="47E3AF0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25-A-3987-ASTMH</w:t>
      </w:r>
    </w:p>
    <w:p w14:paraId="04BE812E"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Cestodes (including taeniasis and cysticercosis, echinococcosis/hydatid disease, and others)</w:t>
      </w:r>
    </w:p>
    <w:p w14:paraId="1B6E68D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Exploratory Study on Genetic Variants Related to Cystic Echinococcosis Susceptibility and Albendazole Pharmacogenetics in the Cusco Region Peru</w:t>
      </w:r>
    </w:p>
    <w:p w14:paraId="75B8397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Cystic echinococcosis, caused by </w:t>
      </w:r>
      <w:r w:rsidRPr="002E40CA">
        <w:rPr>
          <w:rFonts w:ascii="Calibri" w:eastAsia="Times New Roman" w:hAnsi="Calibri" w:cs="Calibri"/>
          <w:i/>
          <w:iCs/>
          <w:color w:val="000000"/>
          <w:kern w:val="0"/>
          <w:sz w:val="22"/>
          <w:szCs w:val="22"/>
          <w14:ligatures w14:val="none"/>
        </w:rPr>
        <w:t>Echinococcus granulosus</w:t>
      </w:r>
      <w:r w:rsidRPr="002E40CA">
        <w:rPr>
          <w:rFonts w:ascii="Calibri" w:eastAsia="Times New Roman" w:hAnsi="Calibri" w:cs="Calibri"/>
          <w:color w:val="000000"/>
          <w:kern w:val="0"/>
          <w:sz w:val="22"/>
          <w:szCs w:val="22"/>
          <w14:ligatures w14:val="none"/>
        </w:rPr>
        <w:t>, is a neglected zoonotic disease with significant public health implications in endemic regions such as Cusco, Peru. Genetic factors influencing infection susceptibility and response to albendazole, the primary treatment, remain unclear. This study investigates genetic polymorphisms associated with hydatidosis susceptibility and albendazole metabolism in Cusco. A cross-sectional study was conducted with 20 individuals from endemic areas. Peripheral blood samples were collected for genomic DNA extraction, followed by SNP genotyping using the Illumina Global Screening Array. Polymorphisms in immune-related genes (</w:t>
      </w:r>
      <w:r w:rsidRPr="002E40CA">
        <w:rPr>
          <w:rFonts w:ascii="Calibri" w:eastAsia="Times New Roman" w:hAnsi="Calibri" w:cs="Calibri"/>
          <w:i/>
          <w:iCs/>
          <w:color w:val="000000"/>
          <w:kern w:val="0"/>
          <w:sz w:val="22"/>
          <w:szCs w:val="22"/>
          <w14:ligatures w14:val="none"/>
        </w:rPr>
        <w:t>IL10, IL17A, VDR, IFNG, FOXP3, IL4, TNF, TLR4, CTLA4, MBL2, IL12B </w:t>
      </w:r>
      <w:r w:rsidRPr="002E40CA">
        <w:rPr>
          <w:rFonts w:ascii="Calibri" w:eastAsia="Times New Roman" w:hAnsi="Calibri" w:cs="Calibri"/>
          <w:color w:val="000000"/>
          <w:kern w:val="0"/>
          <w:sz w:val="22"/>
          <w:szCs w:val="22"/>
          <w14:ligatures w14:val="none"/>
        </w:rPr>
        <w:t>and</w:t>
      </w:r>
      <w:r w:rsidRPr="002E40CA">
        <w:rPr>
          <w:rFonts w:ascii="Calibri" w:eastAsia="Times New Roman" w:hAnsi="Calibri" w:cs="Calibri"/>
          <w:i/>
          <w:iCs/>
          <w:color w:val="000000"/>
          <w:kern w:val="0"/>
          <w:sz w:val="22"/>
          <w:szCs w:val="22"/>
          <w14:ligatures w14:val="none"/>
        </w:rPr>
        <w:t> TGFB1</w:t>
      </w:r>
      <w:r w:rsidRPr="002E40CA">
        <w:rPr>
          <w:rFonts w:ascii="Calibri" w:eastAsia="Times New Roman" w:hAnsi="Calibri" w:cs="Calibri"/>
          <w:color w:val="000000"/>
          <w:kern w:val="0"/>
          <w:sz w:val="22"/>
          <w:szCs w:val="22"/>
          <w14:ligatures w14:val="none"/>
        </w:rPr>
        <w:t>) and drug metabolism genes (</w:t>
      </w:r>
      <w:r w:rsidRPr="002E40CA">
        <w:rPr>
          <w:rFonts w:ascii="Calibri" w:eastAsia="Times New Roman" w:hAnsi="Calibri" w:cs="Calibri"/>
          <w:i/>
          <w:iCs/>
          <w:color w:val="000000"/>
          <w:kern w:val="0"/>
          <w:sz w:val="22"/>
          <w:szCs w:val="22"/>
          <w14:ligatures w14:val="none"/>
        </w:rPr>
        <w:t>CYP3A4, CYP2B6,</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CYP1A2, ABCB1, SLCO1B1 </w:t>
      </w:r>
      <w:r w:rsidRPr="002E40CA">
        <w:rPr>
          <w:rFonts w:ascii="Calibri" w:eastAsia="Times New Roman" w:hAnsi="Calibri" w:cs="Calibri"/>
          <w:color w:val="000000"/>
          <w:kern w:val="0"/>
          <w:sz w:val="22"/>
          <w:szCs w:val="22"/>
          <w14:ligatures w14:val="none"/>
        </w:rPr>
        <w:t>and</w:t>
      </w:r>
      <w:r w:rsidRPr="002E40CA">
        <w:rPr>
          <w:rFonts w:ascii="Calibri" w:eastAsia="Times New Roman" w:hAnsi="Calibri" w:cs="Calibri"/>
          <w:i/>
          <w:iCs/>
          <w:color w:val="000000"/>
          <w:kern w:val="0"/>
          <w:sz w:val="22"/>
          <w:szCs w:val="22"/>
          <w14:ligatures w14:val="none"/>
        </w:rPr>
        <w:t> CYP2E1</w:t>
      </w:r>
      <w:r w:rsidRPr="002E40CA">
        <w:rPr>
          <w:rFonts w:ascii="Calibri" w:eastAsia="Times New Roman" w:hAnsi="Calibri" w:cs="Calibri"/>
          <w:color w:val="000000"/>
          <w:kern w:val="0"/>
          <w:sz w:val="22"/>
          <w:szCs w:val="22"/>
          <w14:ligatures w14:val="none"/>
        </w:rPr>
        <w:t>) were analyzed. High-prevalence SNPs, including </w:t>
      </w:r>
      <w:r w:rsidRPr="002E40CA">
        <w:rPr>
          <w:rFonts w:ascii="Calibri" w:eastAsia="Times New Roman" w:hAnsi="Calibri" w:cs="Calibri"/>
          <w:i/>
          <w:iCs/>
          <w:color w:val="000000"/>
          <w:kern w:val="0"/>
          <w:sz w:val="22"/>
          <w:szCs w:val="22"/>
          <w14:ligatures w14:val="none"/>
        </w:rPr>
        <w:t>IL10 rs1800896</w:t>
      </w:r>
      <w:r w:rsidRPr="002E40CA">
        <w:rPr>
          <w:rFonts w:ascii="Calibri" w:eastAsia="Times New Roman" w:hAnsi="Calibri" w:cs="Calibri"/>
          <w:color w:val="000000"/>
          <w:kern w:val="0"/>
          <w:sz w:val="22"/>
          <w:szCs w:val="22"/>
          <w14:ligatures w14:val="none"/>
        </w:rPr>
        <w:t> (77.5%), </w:t>
      </w:r>
      <w:r w:rsidRPr="002E40CA">
        <w:rPr>
          <w:rFonts w:ascii="Calibri" w:eastAsia="Times New Roman" w:hAnsi="Calibri" w:cs="Calibri"/>
          <w:i/>
          <w:iCs/>
          <w:color w:val="000000"/>
          <w:kern w:val="0"/>
          <w:sz w:val="22"/>
          <w:szCs w:val="22"/>
          <w14:ligatures w14:val="none"/>
        </w:rPr>
        <w:t>IL17A rs2275913</w:t>
      </w:r>
      <w:r w:rsidRPr="002E40CA">
        <w:rPr>
          <w:rFonts w:ascii="Calibri" w:eastAsia="Times New Roman" w:hAnsi="Calibri" w:cs="Calibri"/>
          <w:color w:val="000000"/>
          <w:kern w:val="0"/>
          <w:sz w:val="22"/>
          <w:szCs w:val="22"/>
          <w14:ligatures w14:val="none"/>
        </w:rPr>
        <w:t> (97.5%), IFNG rs2779249 (92.5%), FOXP3 rs11568821 (97.5%) y TGFB1 rs1800469 (80.0%) and </w:t>
      </w:r>
      <w:r w:rsidRPr="002E40CA">
        <w:rPr>
          <w:rFonts w:ascii="Calibri" w:eastAsia="Times New Roman" w:hAnsi="Calibri" w:cs="Calibri"/>
          <w:i/>
          <w:iCs/>
          <w:color w:val="000000"/>
          <w:kern w:val="0"/>
          <w:sz w:val="22"/>
          <w:szCs w:val="22"/>
          <w14:ligatures w14:val="none"/>
        </w:rPr>
        <w:t>VDR rs2228570</w:t>
      </w:r>
      <w:r w:rsidRPr="002E40CA">
        <w:rPr>
          <w:rFonts w:ascii="Calibri" w:eastAsia="Times New Roman" w:hAnsi="Calibri" w:cs="Calibri"/>
          <w:color w:val="000000"/>
          <w:kern w:val="0"/>
          <w:sz w:val="22"/>
          <w:szCs w:val="22"/>
          <w14:ligatures w14:val="none"/>
        </w:rPr>
        <w:t> (87.5%), suggest their role in susceptibility to </w:t>
      </w:r>
      <w:r w:rsidRPr="002E40CA">
        <w:rPr>
          <w:rFonts w:ascii="Calibri" w:eastAsia="Times New Roman" w:hAnsi="Calibri" w:cs="Calibri"/>
          <w:i/>
          <w:iCs/>
          <w:color w:val="000000"/>
          <w:kern w:val="0"/>
          <w:sz w:val="22"/>
          <w:szCs w:val="22"/>
          <w14:ligatures w14:val="none"/>
        </w:rPr>
        <w:t>E. granulosus</w:t>
      </w:r>
      <w:r w:rsidRPr="002E40CA">
        <w:rPr>
          <w:rFonts w:ascii="Calibri" w:eastAsia="Times New Roman" w:hAnsi="Calibri" w:cs="Calibri"/>
          <w:color w:val="000000"/>
          <w:kern w:val="0"/>
          <w:sz w:val="22"/>
          <w:szCs w:val="22"/>
          <w14:ligatures w14:val="none"/>
        </w:rPr>
        <w:t>. Variants in </w:t>
      </w:r>
      <w:r w:rsidRPr="002E40CA">
        <w:rPr>
          <w:rFonts w:ascii="Calibri" w:eastAsia="Times New Roman" w:hAnsi="Calibri" w:cs="Calibri"/>
          <w:i/>
          <w:iCs/>
          <w:color w:val="000000"/>
          <w:kern w:val="0"/>
          <w:sz w:val="22"/>
          <w:szCs w:val="22"/>
          <w14:ligatures w14:val="none"/>
        </w:rPr>
        <w:t>CYP3A4 (rs2740574</w:t>
      </w:r>
      <w:r w:rsidRPr="002E40CA">
        <w:rPr>
          <w:rFonts w:ascii="Calibri" w:eastAsia="Times New Roman" w:hAnsi="Calibri" w:cs="Calibri"/>
          <w:color w:val="000000"/>
          <w:kern w:val="0"/>
          <w:sz w:val="22"/>
          <w:szCs w:val="22"/>
          <w14:ligatures w14:val="none"/>
        </w:rPr>
        <w:t>, 87.5%) and </w:t>
      </w:r>
      <w:r w:rsidRPr="002E40CA">
        <w:rPr>
          <w:rFonts w:ascii="Calibri" w:eastAsia="Times New Roman" w:hAnsi="Calibri" w:cs="Calibri"/>
          <w:i/>
          <w:iCs/>
          <w:color w:val="000000"/>
          <w:kern w:val="0"/>
          <w:sz w:val="22"/>
          <w:szCs w:val="22"/>
          <w14:ligatures w14:val="none"/>
        </w:rPr>
        <w:t>CYP2B6 (rs2266780</w:t>
      </w:r>
      <w:r w:rsidRPr="002E40CA">
        <w:rPr>
          <w:rFonts w:ascii="Calibri" w:eastAsia="Times New Roman" w:hAnsi="Calibri" w:cs="Calibri"/>
          <w:color w:val="000000"/>
          <w:kern w:val="0"/>
          <w:sz w:val="22"/>
          <w:szCs w:val="22"/>
          <w14:ligatures w14:val="none"/>
        </w:rPr>
        <w:t>, 97.5%) indicate potential effects on albendazole metabolism. Comparative analysis revealed distinct allele distributions in Cusco, particularly for </w:t>
      </w:r>
      <w:r w:rsidRPr="002E40CA">
        <w:rPr>
          <w:rFonts w:ascii="Calibri" w:eastAsia="Times New Roman" w:hAnsi="Calibri" w:cs="Calibri"/>
          <w:i/>
          <w:iCs/>
          <w:color w:val="000000"/>
          <w:kern w:val="0"/>
          <w:sz w:val="22"/>
          <w:szCs w:val="22"/>
          <w14:ligatures w14:val="none"/>
        </w:rPr>
        <w:t>TGFB1 rs1800469</w:t>
      </w:r>
      <w:r w:rsidRPr="002E40CA">
        <w:rPr>
          <w:rFonts w:ascii="Calibri" w:eastAsia="Times New Roman" w:hAnsi="Calibri" w:cs="Calibri"/>
          <w:color w:val="000000"/>
          <w:kern w:val="0"/>
          <w:sz w:val="22"/>
          <w:szCs w:val="22"/>
          <w14:ligatures w14:val="none"/>
        </w:rPr>
        <w:t> (80.0%) and </w:t>
      </w:r>
      <w:r w:rsidRPr="002E40CA">
        <w:rPr>
          <w:rFonts w:ascii="Calibri" w:eastAsia="Times New Roman" w:hAnsi="Calibri" w:cs="Calibri"/>
          <w:i/>
          <w:iCs/>
          <w:color w:val="000000"/>
          <w:kern w:val="0"/>
          <w:sz w:val="22"/>
          <w:szCs w:val="22"/>
          <w14:ligatures w14:val="none"/>
        </w:rPr>
        <w:t>CYP2B6 rs2266782</w:t>
      </w:r>
      <w:r w:rsidRPr="002E40CA">
        <w:rPr>
          <w:rFonts w:ascii="Calibri" w:eastAsia="Times New Roman" w:hAnsi="Calibri" w:cs="Calibri"/>
          <w:color w:val="000000"/>
          <w:kern w:val="0"/>
          <w:sz w:val="22"/>
          <w:szCs w:val="22"/>
          <w14:ligatures w14:val="none"/>
        </w:rPr>
        <w:t> (90.0%), emphasizing population-specific genetic influences. These findings highlight the need for pharmacogenetic screening to optimize albendazole therapy and support precision medicine approaches for hydatidosis management in endemic regions. Further studies with larger cohorts are required to confirm these associations.</w:t>
      </w:r>
    </w:p>
    <w:p w14:paraId="3780BF9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25-A-3988-ASTMH</w:t>
      </w:r>
    </w:p>
    <w:p w14:paraId="6143541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Immunology</w:t>
      </w:r>
    </w:p>
    <w:p w14:paraId="6EFD7B0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Age-Related Differences in Immunoregulatory Responses to Malaria in Kenyan Children and Adults</w:t>
      </w:r>
    </w:p>
    <w:p w14:paraId="0D6492E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With repeated exposure, individuals develop partial clinical immunity to malaria that is characterized by a balance between anti-disease and anti-parasite immunity. We investigated age-related differences in innate and adaptive immune responses to uncomplicated malaria. We performed single cell RNA-Seq on 16 PBMC samples from malaria-susceptible children aged 1-4 yrs (n=4) and malaria-immune adults (n=4) from Kenya at the time of presentation with acute malaria and 4-6 wks after recovery. Data processing, alignment, and QC was performed using the CellRanger pipeline and cell type annotation using reference-based mapping against the Chan Zuckerberg CELLxGENE database. We analyzed a total of 183,045 PBMC, with 95% of reads confidently mapped to the transcriptome. We performed differentially expressed gene (DEG) analysis of monocytes, T cells, and B cells. DEGs in acute vs. recovery </w:t>
      </w:r>
      <w:r w:rsidRPr="002E40CA">
        <w:rPr>
          <w:rFonts w:ascii="Calibri" w:eastAsia="Times New Roman" w:hAnsi="Calibri" w:cs="Calibri"/>
          <w:color w:val="000000"/>
          <w:kern w:val="0"/>
          <w:sz w:val="22"/>
          <w:szCs w:val="22"/>
          <w14:ligatures w14:val="none"/>
        </w:rPr>
        <w:lastRenderedPageBreak/>
        <w:t>monocytes, T cells, and B cells in children and adults were all enriched for Reactome pathways related to type I interferon (IFN) signaling. The magnitude of expression of several IFN-related genes was significantly higher in child vs. adult acute malaria monocytes, including </w:t>
      </w:r>
      <w:r w:rsidRPr="002E40CA">
        <w:rPr>
          <w:rFonts w:ascii="Calibri" w:eastAsia="Times New Roman" w:hAnsi="Calibri" w:cs="Calibri"/>
          <w:i/>
          <w:iCs/>
          <w:color w:val="000000"/>
          <w:kern w:val="0"/>
          <w:sz w:val="22"/>
          <w:szCs w:val="22"/>
          <w14:ligatures w14:val="none"/>
        </w:rPr>
        <w:t>IFNB1, IFNA1, IFNA8, IFNA14, IFNA16, </w:t>
      </w:r>
      <w:r w:rsidRPr="002E40CA">
        <w:rPr>
          <w:rFonts w:ascii="Calibri" w:eastAsia="Times New Roman" w:hAnsi="Calibri" w:cs="Calibri"/>
          <w:color w:val="000000"/>
          <w:kern w:val="0"/>
          <w:sz w:val="22"/>
          <w:szCs w:val="22"/>
          <w14:ligatures w14:val="none"/>
        </w:rPr>
        <w:t>and </w:t>
      </w:r>
      <w:r w:rsidRPr="002E40CA">
        <w:rPr>
          <w:rFonts w:ascii="Calibri" w:eastAsia="Times New Roman" w:hAnsi="Calibri" w:cs="Calibri"/>
          <w:i/>
          <w:iCs/>
          <w:color w:val="000000"/>
          <w:kern w:val="0"/>
          <w:sz w:val="22"/>
          <w:szCs w:val="22"/>
          <w14:ligatures w14:val="none"/>
        </w:rPr>
        <w:t>IFIT2. </w:t>
      </w:r>
      <w:r w:rsidRPr="002E40CA">
        <w:rPr>
          <w:rFonts w:ascii="Calibri" w:eastAsia="Times New Roman" w:hAnsi="Calibri" w:cs="Calibri"/>
          <w:color w:val="000000"/>
          <w:kern w:val="0"/>
          <w:sz w:val="22"/>
          <w:szCs w:val="22"/>
          <w14:ligatures w14:val="none"/>
        </w:rPr>
        <w:t>In contrast, adult monocytes had increased expression of several genes that regulate pro-inflammatory responses, such as </w:t>
      </w:r>
      <w:r w:rsidRPr="002E40CA">
        <w:rPr>
          <w:rFonts w:ascii="Calibri" w:eastAsia="Times New Roman" w:hAnsi="Calibri" w:cs="Calibri"/>
          <w:i/>
          <w:iCs/>
          <w:color w:val="000000"/>
          <w:kern w:val="0"/>
          <w:sz w:val="22"/>
          <w:szCs w:val="22"/>
          <w14:ligatures w14:val="none"/>
        </w:rPr>
        <w:t>HSPA1B, LILRA4, CLEC4C, PTGDS, </w:t>
      </w:r>
      <w:r w:rsidRPr="002E40CA">
        <w:rPr>
          <w:rFonts w:ascii="Calibri" w:eastAsia="Times New Roman" w:hAnsi="Calibri" w:cs="Calibri"/>
          <w:color w:val="000000"/>
          <w:kern w:val="0"/>
          <w:sz w:val="22"/>
          <w:szCs w:val="22"/>
          <w14:ligatures w14:val="none"/>
        </w:rPr>
        <w:t>and</w:t>
      </w:r>
      <w:r w:rsidRPr="002E40CA">
        <w:rPr>
          <w:rFonts w:ascii="Calibri" w:eastAsia="Times New Roman" w:hAnsi="Calibri" w:cs="Calibri"/>
          <w:i/>
          <w:iCs/>
          <w:color w:val="000000"/>
          <w:kern w:val="0"/>
          <w:sz w:val="22"/>
          <w:szCs w:val="22"/>
          <w14:ligatures w14:val="none"/>
        </w:rPr>
        <w:t> IFI44L</w:t>
      </w:r>
      <w:r w:rsidRPr="002E40CA">
        <w:rPr>
          <w:rFonts w:ascii="Calibri" w:eastAsia="Times New Roman" w:hAnsi="Calibri" w:cs="Calibri"/>
          <w:color w:val="000000"/>
          <w:kern w:val="0"/>
          <w:sz w:val="22"/>
          <w:szCs w:val="22"/>
          <w14:ligatures w14:val="none"/>
        </w:rPr>
        <w:t>. Child vs. adult monocytes also had increased expression of </w:t>
      </w:r>
      <w:r w:rsidRPr="002E40CA">
        <w:rPr>
          <w:rFonts w:ascii="Calibri" w:eastAsia="Times New Roman" w:hAnsi="Calibri" w:cs="Calibri"/>
          <w:i/>
          <w:iCs/>
          <w:color w:val="000000"/>
          <w:kern w:val="0"/>
          <w:sz w:val="22"/>
          <w:szCs w:val="22"/>
          <w14:ligatures w14:val="none"/>
        </w:rPr>
        <w:t>IL1B, IL6, TNF, CSF3,</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CD163</w:t>
      </w:r>
      <w:r w:rsidRPr="002E40CA">
        <w:rPr>
          <w:rFonts w:ascii="Calibri" w:eastAsia="Times New Roman" w:hAnsi="Calibri" w:cs="Calibri"/>
          <w:color w:val="000000"/>
          <w:kern w:val="0"/>
          <w:sz w:val="22"/>
          <w:szCs w:val="22"/>
          <w14:ligatures w14:val="none"/>
        </w:rPr>
        <w:t>. Child vs. adult T cells had increased expression of IFN-stimulated genes </w:t>
      </w:r>
      <w:r w:rsidRPr="002E40CA">
        <w:rPr>
          <w:rFonts w:ascii="Calibri" w:eastAsia="Times New Roman" w:hAnsi="Calibri" w:cs="Calibri"/>
          <w:i/>
          <w:iCs/>
          <w:color w:val="000000"/>
          <w:kern w:val="0"/>
          <w:sz w:val="22"/>
          <w:szCs w:val="22"/>
          <w14:ligatures w14:val="none"/>
        </w:rPr>
        <w:t>ISG15</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IFI6</w:t>
      </w:r>
      <w:r w:rsidRPr="002E40CA">
        <w:rPr>
          <w:rFonts w:ascii="Calibri" w:eastAsia="Times New Roman" w:hAnsi="Calibri" w:cs="Calibri"/>
          <w:color w:val="000000"/>
          <w:kern w:val="0"/>
          <w:sz w:val="22"/>
          <w:szCs w:val="22"/>
          <w14:ligatures w14:val="none"/>
        </w:rPr>
        <w:t>, as well as regulatory </w:t>
      </w:r>
      <w:r w:rsidRPr="002E40CA">
        <w:rPr>
          <w:rFonts w:ascii="Calibri" w:eastAsia="Times New Roman" w:hAnsi="Calibri" w:cs="Calibri"/>
          <w:i/>
          <w:iCs/>
          <w:color w:val="000000"/>
          <w:kern w:val="0"/>
          <w:sz w:val="22"/>
          <w:szCs w:val="22"/>
          <w14:ligatures w14:val="none"/>
        </w:rPr>
        <w:t>LAG3</w:t>
      </w:r>
      <w:r w:rsidRPr="002E40CA">
        <w:rPr>
          <w:rFonts w:ascii="Calibri" w:eastAsia="Times New Roman" w:hAnsi="Calibri" w:cs="Calibri"/>
          <w:color w:val="000000"/>
          <w:kern w:val="0"/>
          <w:sz w:val="22"/>
          <w:szCs w:val="22"/>
          <w14:ligatures w14:val="none"/>
        </w:rPr>
        <w:t>, while adult T cells expressed higher levels of </w:t>
      </w:r>
      <w:r w:rsidRPr="002E40CA">
        <w:rPr>
          <w:rFonts w:ascii="Calibri" w:eastAsia="Times New Roman" w:hAnsi="Calibri" w:cs="Calibri"/>
          <w:i/>
          <w:iCs/>
          <w:color w:val="000000"/>
          <w:kern w:val="0"/>
          <w:sz w:val="22"/>
          <w:szCs w:val="22"/>
          <w14:ligatures w14:val="none"/>
        </w:rPr>
        <w:t>CD40LG</w:t>
      </w:r>
      <w:r w:rsidRPr="002E40CA">
        <w:rPr>
          <w:rFonts w:ascii="Calibri" w:eastAsia="Times New Roman" w:hAnsi="Calibri" w:cs="Calibri"/>
          <w:color w:val="000000"/>
          <w:kern w:val="0"/>
          <w:sz w:val="22"/>
          <w:szCs w:val="22"/>
          <w14:ligatures w14:val="none"/>
        </w:rPr>
        <w:t>. Child B cells had increased expression of </w:t>
      </w:r>
      <w:r w:rsidRPr="002E40CA">
        <w:rPr>
          <w:rFonts w:ascii="Calibri" w:eastAsia="Times New Roman" w:hAnsi="Calibri" w:cs="Calibri"/>
          <w:i/>
          <w:iCs/>
          <w:color w:val="000000"/>
          <w:kern w:val="0"/>
          <w:sz w:val="22"/>
          <w:szCs w:val="22"/>
          <w14:ligatures w14:val="none"/>
        </w:rPr>
        <w:t>ISG15</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IFI6</w:t>
      </w:r>
      <w:r w:rsidRPr="002E40CA">
        <w:rPr>
          <w:rFonts w:ascii="Calibri" w:eastAsia="Times New Roman" w:hAnsi="Calibri" w:cs="Calibri"/>
          <w:color w:val="000000"/>
          <w:kern w:val="0"/>
          <w:sz w:val="22"/>
          <w:szCs w:val="22"/>
          <w14:ligatures w14:val="none"/>
        </w:rPr>
        <w:t>, while adult B cells expressed higher levels of the </w:t>
      </w:r>
      <w:r w:rsidRPr="002E40CA">
        <w:rPr>
          <w:rFonts w:ascii="Calibri" w:eastAsia="Times New Roman" w:hAnsi="Calibri" w:cs="Calibri"/>
          <w:i/>
          <w:iCs/>
          <w:color w:val="000000"/>
          <w:kern w:val="0"/>
          <w:sz w:val="22"/>
          <w:szCs w:val="22"/>
          <w14:ligatures w14:val="none"/>
        </w:rPr>
        <w:t>EGR1 </w:t>
      </w:r>
      <w:r w:rsidRPr="002E40CA">
        <w:rPr>
          <w:rFonts w:ascii="Calibri" w:eastAsia="Times New Roman" w:hAnsi="Calibri" w:cs="Calibri"/>
          <w:color w:val="000000"/>
          <w:kern w:val="0"/>
          <w:sz w:val="22"/>
          <w:szCs w:val="22"/>
          <w14:ligatures w14:val="none"/>
        </w:rPr>
        <w:t>transcription factor and </w:t>
      </w:r>
      <w:r w:rsidRPr="002E40CA">
        <w:rPr>
          <w:rFonts w:ascii="Calibri" w:eastAsia="Times New Roman" w:hAnsi="Calibri" w:cs="Calibri"/>
          <w:i/>
          <w:iCs/>
          <w:color w:val="000000"/>
          <w:kern w:val="0"/>
          <w:sz w:val="22"/>
          <w:szCs w:val="22"/>
          <w14:ligatures w14:val="none"/>
        </w:rPr>
        <w:t>IGHG3</w:t>
      </w:r>
      <w:r w:rsidRPr="002E40CA">
        <w:rPr>
          <w:rFonts w:ascii="Calibri" w:eastAsia="Times New Roman" w:hAnsi="Calibri" w:cs="Calibri"/>
          <w:color w:val="000000"/>
          <w:kern w:val="0"/>
          <w:sz w:val="22"/>
          <w:szCs w:val="22"/>
          <w14:ligatures w14:val="none"/>
        </w:rPr>
        <w:t> (IgG3 heavy chain). These data suggest distinct age-related responses to acute malaria in which children exhibit robust pro-inflammatory type I IFN responses, while adults display a more regulated response. Analysis is ongoing and will include further analysis of cellular subpopulations, cell-cell interactions, and integration of transcriptomic and functional data.</w:t>
      </w:r>
    </w:p>
    <w:p w14:paraId="6663A08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25-A-3989-ASTMH</w:t>
      </w:r>
    </w:p>
    <w:p w14:paraId="171205E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Viruses - Emerging Viral Diseases</w:t>
      </w:r>
    </w:p>
    <w:p w14:paraId="297944D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impact of Zika, chikungunya, and dengue virus exposure among pregnant women and birth outcomes in the middle belt of Ghana</w:t>
      </w:r>
    </w:p>
    <w:p w14:paraId="2C5392E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Arboviruses such as Zika virus (ZIKV), chikungunya virus (CHIKV), and dengue virus (DENV) represent significant public health concerns, particularly for pregnant women due to potential adverse pregnancy outcomes. This study examined the seroprevalence of ZIKV, CHIKV, and DENV exposure among pregnant women and the implications for maternal and fetal health in Kintampo North and South Districts of Ghana. This study leveraged a pregnancy cohort study (PRISMA) in the middle-belt of Ghana by the Kintampo Health Research Centre (KHRC) and screened participants that were consented and enrolled for exposure at enrollment to the three main arboviruses. Blood samples were screened for exposure to the virus using the DPP® ZCD IgM/IgG System, a multiplex POC rapid test for detection of Zika, Chikungunya, Dengue by CHEMBIO Diagnostic Systems INC. Of the 509 pregnant women that were screened, with a median age of 27 years old, 7 live births and 8 miscarriages were recorded during data analysis. Overall ZCD seroprevalence was 50.1% with 12.8%(DENV_IgM), 6.5%(CHKV_IgM), 1.8%(ZIKV_IgM), and 27.9%(DENV_IgG), 21.1%(CHKV_IgG). 16.1%(ZIKV_IgG) positivity. Among those who had live births, 28.6%, 14.3%, 14.3%, and 14.3% had DENV_IgM, ZIKV_IgG, CHKV_IgM and CHKV_IgG positivity respectively. With miscarriages, 37.5%, 12.5%, 12.5%, 12.5% and 12.5% had DENV_IgG, ZIKV_IgM, ZIKV_IgG, DENV_IgM, and CHKV_IgG positivity, respectively. The study found about half of the participants were exposed to one of the arboviruses and the majority of those that had miscarriages had previous exposure to the dengue virus. A broader surveillance study with the capacity to confirm seropositive cases using molecular techniques is recommended to establish appropriate preventive and control measures against the arboviruses in Ghana.</w:t>
      </w:r>
    </w:p>
    <w:p w14:paraId="1D3664E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25-A-3990-ASTMH</w:t>
      </w:r>
    </w:p>
    <w:p w14:paraId="4AC8ECD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HIV and Tropical Co-Infections</w:t>
      </w:r>
    </w:p>
    <w:p w14:paraId="193303E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Comparative Analysis of Clinical, Post-mortem and Histological Diagnoses in HIV-related mortality</w:t>
      </w:r>
    </w:p>
    <w:p w14:paraId="5529317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Despite advancements in antiretroviral therapy, co-infections remain a significant cause of mortality among individuals with HIV/AIDS, particularly in resource-limited settings. Clinically diagnosing these co-infections can be complex due to overlapping symptoms and inadequate diagnostic tools. This study aims to evaluate the concordance and predictive accuracy of clinical, post-mortem, and histological diagnoses in HIV-infected patients. A total of 99 autopsies were performed on HIV patients at a tertiary referral teaching hospital in Ghana. Lung tissue biopsies were obtained for histopathological examination, while demographic data, laboratory results, and clinical diagnoses were collected from the patients’ medical records. Analyses were conducted using R Studio software. Chi-square tests were utilized to examine the associations between clinical, post-mortem, and histological diagnoses, while </w:t>
      </w:r>
      <w:r w:rsidRPr="002E40CA">
        <w:rPr>
          <w:rFonts w:ascii="Calibri" w:eastAsia="Times New Roman" w:hAnsi="Calibri" w:cs="Calibri"/>
          <w:color w:val="000000"/>
          <w:kern w:val="0"/>
          <w:sz w:val="22"/>
          <w:szCs w:val="22"/>
          <w14:ligatures w14:val="none"/>
        </w:rPr>
        <w:lastRenderedPageBreak/>
        <w:t>logistic regression models assessed the relationship between disease outcomes and diagnostic methodologies. Sensitivity, specificity, and overall accuracy were calculated using histological diagnosis as the reference. The participants' ages ranged from 6 to 76 years, with 60% being male. The most frequently diagnosed histological conditions included tuberculosis (43%), bacterial pneumonia (35%), and cerebral toxoplasmosis (18%). Chi-square analyses indicated significant, yet variable, concordance across the different diagnostic categories. Logistic regression models revealed that age, sex, and specific diseases were significant predictors of various post-mortem and histological outcomes. Notably, the post-mortem diagnosis of tuberculosis demonstrated high performance, with a sensitivity of 83.3%, specificity of 82.9%, precision of 60.6%, and overall accuracy of 83.0%. Nevertheless, other disease conditions remained clinically unrecognized. This study highlights the gaps in the clinical detection of diseases associated with HIV/AIDS. Autopsy and histological examinations were shown to be critical in identifying missed diagnoses and enhancing diagnostic accuracy.</w:t>
      </w:r>
    </w:p>
    <w:p w14:paraId="285BBB2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25-A-3991-ASTMH</w:t>
      </w:r>
    </w:p>
    <w:p w14:paraId="6227E35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2F4888F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Treating wild birds with ivermectin through backyard bird feeders to reduce West Nile virus transmission risk in Colorado</w:t>
      </w:r>
    </w:p>
    <w:p w14:paraId="0CBA82A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West Nile virus (WNV) is the leading cause of domestically acquired mosquito-borne disease in the United States, resulting in significant disease and death every year in humans, domesticated animals, and wildlife. Despite significant investment, current adult mosquito control efforts remain limited to insecticidal sprays that are often ineffective due to resistance and reactive use. Our group has been developing a WNV control solution that could be implemented by control districts, homeowners as well as like-minded communities. Because WNV is transmitted to humans from mosquito vectors that first bite infected birds, we have been developing endectocide-treated bird feed to target mosquitoes. We have validated this strategy in the laboratory in studies evaluating safety in and wild and lab-raised birds and efficacy against wild and lab-raised </w:t>
      </w:r>
      <w:r w:rsidRPr="002E40CA">
        <w:rPr>
          <w:rFonts w:ascii="Calibri" w:eastAsia="Times New Roman" w:hAnsi="Calibri" w:cs="Calibri"/>
          <w:i/>
          <w:iCs/>
          <w:color w:val="000000"/>
          <w:kern w:val="0"/>
          <w:sz w:val="22"/>
          <w:szCs w:val="22"/>
          <w14:ligatures w14:val="none"/>
        </w:rPr>
        <w:t>Culex tarsalis</w:t>
      </w:r>
      <w:r w:rsidRPr="002E40CA">
        <w:rPr>
          <w:rFonts w:ascii="Calibri" w:eastAsia="Times New Roman" w:hAnsi="Calibri" w:cs="Calibri"/>
          <w:color w:val="000000"/>
          <w:kern w:val="0"/>
          <w:sz w:val="22"/>
          <w:szCs w:val="22"/>
          <w14:ligatures w14:val="none"/>
        </w:rPr>
        <w:t>, the main bridge vector of WNV in northern Colorado. Our broad strategy is to place bird feed stations with ivermectin (IVM)-treated feed in areas with WNV-transmission risk to humans; the wild birds around the feeders will self-medicate by ingesting treated feed, and vector mosquitoes that bite these treated birds will have a high probability of dying before they can transmit WNV to people. In summer 2024 and 2025, we conducted a cluster randomized control trial in Northern Colorado to evaluate the impact of our intervention strategy on reducing WNV transmission risk. We enrolled 20 volunteer households (clusters) and randomly selected 10 to receive IVM-treated feed and 10 to receive control, with each cluster switching treatment between 2024 and 2025. Each cluster receives one birdfeeder with weekly feed changes, two CDC light traps for mosquito collection, and a camera to evaluate feeder visitation. Birds will be captured and sampled for WNV seroconversion and ivermectin presence in blood. Generalized linear mixed models will be used to analyze the abundance and pooled infection rate to determine vector indices of local WNV vectors, and mosquito wings will be age-graded by pixel intensity to determine population age structure.</w:t>
      </w:r>
    </w:p>
    <w:p w14:paraId="6A34341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25-A-3992-ASTMH</w:t>
      </w:r>
    </w:p>
    <w:p w14:paraId="6FBF18E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Genetics, Genomics and Evolution</w:t>
      </w:r>
    </w:p>
    <w:p w14:paraId="112AC80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 Modeling Study of Routine Genomic Surveillance as a Tool for Estimating Malaria Importation</w:t>
      </w:r>
    </w:p>
    <w:p w14:paraId="3149AA3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 xml:space="preserve">Identifying and controlling imported malaria infections is critical in the eradication endgame. However, traditional methods to quantify importation, such as travel surveys and mobility data, are often logistically challenging and biased. Routine genomic surveillance of clinical cases at health facilities offers a potentially low-cost alternative, as well-chosen genetic metrics may reflect local transmission conditions. However, this approach presents interpretation challenges, particularly in disentangling importation metrics from the effects of local transmission intensity. We conducted a detailed modeling analysis to identify which genetic metrics are most informative for estimating importation rates. </w:t>
      </w:r>
      <w:r w:rsidRPr="002E40CA">
        <w:rPr>
          <w:rFonts w:ascii="Calibri" w:eastAsia="Times New Roman" w:hAnsi="Calibri" w:cs="Calibri"/>
          <w:color w:val="000000"/>
          <w:kern w:val="0"/>
          <w:sz w:val="22"/>
          <w:szCs w:val="22"/>
          <w14:ligatures w14:val="none"/>
        </w:rPr>
        <w:lastRenderedPageBreak/>
        <w:t>Expanding an established malaria transmission model to incorporate parasite genetics, we simulate mobility between two parasite populations and examine how genetic metrics change under a range of transmission and importation scenarios.Focusing on simulated routine surveillance samples, we assess and rank the information content of each genetic metric towards discriminating importation rate. In general, commonly reported metrics such as complexity of infection and pairwise relatedness are influenced by both transmission intensity and importation. However, the abundance of rare clones as well as of strains which are weakly related to the rest of the population are two especially importation-sensitive metrics. This result matches the expectation that importations are typically rare clones which have little relatedness to the local parasite population. Conversely, complexity of infection is much more sensitive to overall transmission level than importation rate. The simulated importation rate is significantly more identifiable from the genetic samples when the local transmission intensity is known. This analysis provides evidence for which genetic metrics are the most informative to estimate importation. By focusing on these high-value features, routine genomic surveillance may help stratify districts by importation intensity, thereby informing optimal subnational intervention targeting.</w:t>
      </w:r>
    </w:p>
    <w:p w14:paraId="7213AD6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25-A-3993-ASTMH</w:t>
      </w:r>
    </w:p>
    <w:p w14:paraId="77EF8BA6"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Global Health - Information/Communication/Technologies Solutions in Global Health including Modeling</w:t>
      </w:r>
    </w:p>
    <w:p w14:paraId="3BCD53A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Creation and Application of a Health Campaign Integration Optimization Algorithm: Retrospective Analysis of Schistosomiasis Campaigns in Four Countries and Prospective Analysis Across Health Programs in Nigeria</w:t>
      </w:r>
    </w:p>
    <w:p w14:paraId="4F0FA46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Immunization Agenda 2030 identified campaign integration as a promising approach for increasing operational efficiencies across health campaigns, defined here as time-limited initiatives to address immunization or neglected tropical disease within communities. In 2023, we developed an optimization algorithm to identify integration opportunities using Health Campaign Intelligence Hub data from seven countries. The algorithm calculated compatibility scores for campaign pairings of different initiatives within each country based on target population, start date, and historical co-delivery. Binary integer programming was used to determine pairings that maximized overall compatibility. We report on the algorithm’s targeted use in searching for integration opportunities between preventive chemotherapy neglected tropical disease (PC-NTD) campaigns and other interventions. In a retrospective analysis, the algorithm identified missed integration opportunities in 2024 for praziquantel (PZQ) campaigns in schistosomiasis-endemic areas of the Democratic Republic of the Congo, Ethiopia, Guinea, and Nigeria. Out of 56 campaigns (of which five included PZQ), the algorithm evaluated 1,201 possible combinations, identified 210 potential integration opportunities, and selected 36 pairings to maximize compatibility. Six of these proposed pairings included PZQ with at least one in each country. In a prospective analysis of 28 campaigns in Nigeria from 2025-2026 (of which 13 included PC-NTDs), the algorithm evaluated 1,035 possible combinations, identified 111 potential integration opportunities, and selected 18 campaign pairings that maximized overall compatibility. Six of these 18 proposed pairings included PC-NTD campaigns. These results demonstrate the potential of a data-centric approach to identify potential integration opportunities and inform program decision-making. Planned algorithm refinements will add expiration dates, funding sources, and delivery methods. Future work could adapt the algorithm for country-specific use and incorporate projected integration impacts on campaign costs and coverage.</w:t>
      </w:r>
    </w:p>
    <w:p w14:paraId="2623091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25-A-3994-ASTMH</w:t>
      </w:r>
    </w:p>
    <w:p w14:paraId="292092F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Arthropods/Entomology - Other</w:t>
      </w:r>
    </w:p>
    <w:p w14:paraId="61B3F9B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Urban Cockroaches </w:t>
      </w:r>
      <w:r w:rsidRPr="002E40CA">
        <w:rPr>
          <w:rFonts w:ascii="Calibri" w:eastAsia="Times New Roman" w:hAnsi="Calibri" w:cs="Calibri"/>
          <w:b/>
          <w:bCs/>
          <w:i/>
          <w:iCs/>
          <w:color w:val="000000"/>
          <w:kern w:val="0"/>
          <w:sz w:val="22"/>
          <w:szCs w:val="22"/>
          <w14:ligatures w14:val="none"/>
        </w:rPr>
        <w:t>Periplaneta americana</w:t>
      </w:r>
      <w:r w:rsidRPr="002E40CA">
        <w:rPr>
          <w:rFonts w:ascii="Calibri" w:eastAsia="Times New Roman" w:hAnsi="Calibri" w:cs="Calibri"/>
          <w:b/>
          <w:bCs/>
          <w:color w:val="000000"/>
          <w:kern w:val="0"/>
          <w:sz w:val="22"/>
          <w:szCs w:val="22"/>
          <w14:ligatures w14:val="none"/>
        </w:rPr>
        <w:t> as Reservoirs of Clinically Relevant Parasites and Bacteria: Evidence from Panama</w:t>
      </w:r>
    </w:p>
    <w:p w14:paraId="50806482"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The American cockroach (</w:t>
      </w:r>
      <w:r w:rsidRPr="002E40CA">
        <w:rPr>
          <w:rFonts w:ascii="Calibri" w:eastAsia="Times New Roman" w:hAnsi="Calibri" w:cs="Calibri"/>
          <w:i/>
          <w:iCs/>
          <w:color w:val="000000"/>
          <w:kern w:val="0"/>
          <w:sz w:val="22"/>
          <w:szCs w:val="22"/>
          <w14:ligatures w14:val="none"/>
        </w:rPr>
        <w:t>Periplaneta americana</w:t>
      </w:r>
      <w:r w:rsidRPr="002E40CA">
        <w:rPr>
          <w:rFonts w:ascii="Calibri" w:eastAsia="Times New Roman" w:hAnsi="Calibri" w:cs="Calibri"/>
          <w:color w:val="000000"/>
          <w:kern w:val="0"/>
          <w:sz w:val="22"/>
          <w:szCs w:val="22"/>
          <w14:ligatures w14:val="none"/>
        </w:rPr>
        <w:t xml:space="preserve">) has been implicated as a vector for various pathogens, including parasites and bacteria that affect both humans and animals. Due to the potential public health risk, it is crucial to understand the diversity of pathogens in vectors. This study aimed to determine the prevalence of parasites and bacteria in the common cockroach and assess its role as both a biological </w:t>
      </w:r>
      <w:r w:rsidRPr="002E40CA">
        <w:rPr>
          <w:rFonts w:ascii="Calibri" w:eastAsia="Times New Roman" w:hAnsi="Calibri" w:cs="Calibri"/>
          <w:color w:val="000000"/>
          <w:kern w:val="0"/>
          <w:sz w:val="22"/>
          <w:szCs w:val="22"/>
          <w14:ligatures w14:val="none"/>
        </w:rPr>
        <w:lastRenderedPageBreak/>
        <w:t>and mechanical vector. Cockroaches were collected from urban areas in Panama. Specimen processing included preparing intestinal samples for light microscopy (fresh and stained with Lugol's iodine and methylene blue). PCR techniques were used to detect the Lophomonas genus. Bacterial samples were cultured on selective media and identified using VITEK 2 procedures. Among the 350 specimens analyzed, various parasitic forms were observed in the intestinal samples, including helminth eggs (50.5%), helminth larvae (35.4%), and cysts (26%). Protozoa such as </w:t>
      </w:r>
      <w:r w:rsidRPr="002E40CA">
        <w:rPr>
          <w:rFonts w:ascii="Calibri" w:eastAsia="Times New Roman" w:hAnsi="Calibri" w:cs="Calibri"/>
          <w:i/>
          <w:iCs/>
          <w:color w:val="000000"/>
          <w:kern w:val="0"/>
          <w:sz w:val="22"/>
          <w:szCs w:val="22"/>
          <w14:ligatures w14:val="none"/>
        </w:rPr>
        <w:t>Entamoeba</w:t>
      </w:r>
      <w:r w:rsidRPr="002E40CA">
        <w:rPr>
          <w:rFonts w:ascii="Calibri" w:eastAsia="Times New Roman" w:hAnsi="Calibri" w:cs="Calibri"/>
          <w:color w:val="000000"/>
          <w:kern w:val="0"/>
          <w:sz w:val="22"/>
          <w:szCs w:val="22"/>
          <w14:ligatures w14:val="none"/>
        </w:rPr>
        <w:t> sp., </w:t>
      </w:r>
      <w:r w:rsidRPr="002E40CA">
        <w:rPr>
          <w:rFonts w:ascii="Calibri" w:eastAsia="Times New Roman" w:hAnsi="Calibri" w:cs="Calibri"/>
          <w:i/>
          <w:iCs/>
          <w:color w:val="000000"/>
          <w:kern w:val="0"/>
          <w:sz w:val="22"/>
          <w:szCs w:val="22"/>
          <w14:ligatures w14:val="none"/>
        </w:rPr>
        <w:t>Balantidium</w:t>
      </w:r>
      <w:r w:rsidRPr="002E40CA">
        <w:rPr>
          <w:rFonts w:ascii="Calibri" w:eastAsia="Times New Roman" w:hAnsi="Calibri" w:cs="Calibri"/>
          <w:color w:val="000000"/>
          <w:kern w:val="0"/>
          <w:sz w:val="22"/>
          <w:szCs w:val="22"/>
          <w14:ligatures w14:val="none"/>
        </w:rPr>
        <w:t> sp., </w:t>
      </w:r>
      <w:r w:rsidRPr="002E40CA">
        <w:rPr>
          <w:rFonts w:ascii="Calibri" w:eastAsia="Times New Roman" w:hAnsi="Calibri" w:cs="Calibri"/>
          <w:i/>
          <w:iCs/>
          <w:color w:val="000000"/>
          <w:kern w:val="0"/>
          <w:sz w:val="22"/>
          <w:szCs w:val="22"/>
          <w14:ligatures w14:val="none"/>
        </w:rPr>
        <w:t>Gregarina</w:t>
      </w:r>
      <w:r w:rsidRPr="002E40CA">
        <w:rPr>
          <w:rFonts w:ascii="Calibri" w:eastAsia="Times New Roman" w:hAnsi="Calibri" w:cs="Calibri"/>
          <w:color w:val="000000"/>
          <w:kern w:val="0"/>
          <w:sz w:val="22"/>
          <w:szCs w:val="22"/>
          <w14:ligatures w14:val="none"/>
        </w:rPr>
        <w:t> sp., </w:t>
      </w:r>
      <w:r w:rsidRPr="002E40CA">
        <w:rPr>
          <w:rFonts w:ascii="Calibri" w:eastAsia="Times New Roman" w:hAnsi="Calibri" w:cs="Calibri"/>
          <w:i/>
          <w:iCs/>
          <w:color w:val="000000"/>
          <w:kern w:val="0"/>
          <w:sz w:val="22"/>
          <w:szCs w:val="22"/>
          <w14:ligatures w14:val="none"/>
        </w:rPr>
        <w:t>Lophomonas</w:t>
      </w:r>
      <w:r w:rsidRPr="002E40CA">
        <w:rPr>
          <w:rFonts w:ascii="Calibri" w:eastAsia="Times New Roman" w:hAnsi="Calibri" w:cs="Calibri"/>
          <w:color w:val="000000"/>
          <w:kern w:val="0"/>
          <w:sz w:val="22"/>
          <w:szCs w:val="22"/>
          <w14:ligatures w14:val="none"/>
        </w:rPr>
        <w:t> striata, and L. blattarum were among the most commonly identified, present in 64.6% of the samples. Helminths were found in 63.7% of samples and included genera such as Strongyloides, Uncinaria, Hammerschmidtiella, Thelastoma, Taenia, and Acanthocephala. Additionally, 100 intestinal samples were analyzed via conventional PCR, with 93% testing positive for the </w:t>
      </w:r>
      <w:r w:rsidRPr="002E40CA">
        <w:rPr>
          <w:rFonts w:ascii="Calibri" w:eastAsia="Times New Roman" w:hAnsi="Calibri" w:cs="Calibri"/>
          <w:i/>
          <w:iCs/>
          <w:color w:val="000000"/>
          <w:kern w:val="0"/>
          <w:sz w:val="22"/>
          <w:szCs w:val="22"/>
          <w14:ligatures w14:val="none"/>
        </w:rPr>
        <w:t>Lophomonas</w:t>
      </w:r>
      <w:r w:rsidRPr="002E40CA">
        <w:rPr>
          <w:rFonts w:ascii="Calibri" w:eastAsia="Times New Roman" w:hAnsi="Calibri" w:cs="Calibri"/>
          <w:color w:val="000000"/>
          <w:kern w:val="0"/>
          <w:sz w:val="22"/>
          <w:szCs w:val="22"/>
          <w14:ligatures w14:val="none"/>
        </w:rPr>
        <w:t> genus. Bacteriological analysis allowed for the isolation of clinically significant bacterial species, including </w:t>
      </w:r>
      <w:r w:rsidRPr="002E40CA">
        <w:rPr>
          <w:rFonts w:ascii="Calibri" w:eastAsia="Times New Roman" w:hAnsi="Calibri" w:cs="Calibri"/>
          <w:i/>
          <w:iCs/>
          <w:color w:val="000000"/>
          <w:kern w:val="0"/>
          <w:sz w:val="22"/>
          <w:szCs w:val="22"/>
          <w14:ligatures w14:val="none"/>
        </w:rPr>
        <w:t>Enterobacter aerogenes</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Enterobacter cloacae</w:t>
      </w:r>
      <w:r w:rsidRPr="002E40CA">
        <w:rPr>
          <w:rFonts w:ascii="Calibri" w:eastAsia="Times New Roman" w:hAnsi="Calibri" w:cs="Calibri"/>
          <w:color w:val="000000"/>
          <w:kern w:val="0"/>
          <w:sz w:val="22"/>
          <w:szCs w:val="22"/>
          <w14:ligatures w14:val="none"/>
        </w:rPr>
        <w:t> complex, </w:t>
      </w:r>
      <w:r w:rsidRPr="002E40CA">
        <w:rPr>
          <w:rFonts w:ascii="Calibri" w:eastAsia="Times New Roman" w:hAnsi="Calibri" w:cs="Calibri"/>
          <w:i/>
          <w:iCs/>
          <w:color w:val="000000"/>
          <w:kern w:val="0"/>
          <w:sz w:val="22"/>
          <w:szCs w:val="22"/>
          <w14:ligatures w14:val="none"/>
        </w:rPr>
        <w:t>Enterococcus avium</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E. faecium</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Escherichia coli</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Sphingomonas paucimobilis</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Staphylococcus aureus</w:t>
      </w:r>
      <w:r w:rsidRPr="002E40CA">
        <w:rPr>
          <w:rFonts w:ascii="Calibri" w:eastAsia="Times New Roman" w:hAnsi="Calibri" w:cs="Calibri"/>
          <w:color w:val="000000"/>
          <w:kern w:val="0"/>
          <w:sz w:val="22"/>
          <w:szCs w:val="22"/>
          <w14:ligatures w14:val="none"/>
        </w:rPr>
        <w:t>. The detection of these opportunistic and potentially pathogenic bacterial species reinforces the role of </w:t>
      </w:r>
      <w:r w:rsidRPr="002E40CA">
        <w:rPr>
          <w:rFonts w:ascii="Calibri" w:eastAsia="Times New Roman" w:hAnsi="Calibri" w:cs="Calibri"/>
          <w:i/>
          <w:iCs/>
          <w:color w:val="000000"/>
          <w:kern w:val="0"/>
          <w:sz w:val="22"/>
          <w:szCs w:val="22"/>
          <w14:ligatures w14:val="none"/>
        </w:rPr>
        <w:t>Periplaneta americana</w:t>
      </w:r>
      <w:r w:rsidRPr="002E40CA">
        <w:rPr>
          <w:rFonts w:ascii="Calibri" w:eastAsia="Times New Roman" w:hAnsi="Calibri" w:cs="Calibri"/>
          <w:color w:val="000000"/>
          <w:kern w:val="0"/>
          <w:sz w:val="22"/>
          <w:szCs w:val="22"/>
          <w14:ligatures w14:val="none"/>
        </w:rPr>
        <w:t> as a reservoir and mechanical vector of infectious agents. The combination of parasitological and bacteriological findings underscores the urgent need for further investigation and the implementation of integrated pest and public health control strategies to minimize the risk of disease transmission in urban environments.</w:t>
      </w:r>
    </w:p>
    <w:p w14:paraId="689CA67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25-A-3995-ASTMH</w:t>
      </w:r>
    </w:p>
    <w:p w14:paraId="5CAA275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Helminths – Nematodes – Intestinal Nematodes</w:t>
      </w:r>
    </w:p>
    <w:p w14:paraId="06B55E0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Impact of a community-wide mass drug administration intervention on environmental reservoirs of soil-transmitted helminths: a multi-country randomized controlled trial</w:t>
      </w:r>
    </w:p>
    <w:p w14:paraId="76E5D9D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Mass drug administration (MDA) is widely used to reduce morbidity from soil-transmitted helminth infections, yet STH species often persist in soil, driving reinfection. We investigated whether biannual community-wide MDA (cMDA) for three years (vs. annual school-based MDA) altered STH prevalence in the environment.We conducted a cross-sectional soil surveillance study nested within the DeWorm3 cluster-randomized trial in Benin and India. In each country, we collected 1,200 environmental samples across 40 clusters (20 intervention arm and 20 control arm), including household soil, public soil (markets, open defecation sites, schools, community water taps), and wastewater sediment. Sampling coincided with DeWorm3 endline stool collection two years post-intervention. We extracted environmental DNA (eDNA) using large-volume kits and used qPCR assays to detect </w:t>
      </w:r>
      <w:r w:rsidRPr="002E40CA">
        <w:rPr>
          <w:rFonts w:ascii="Calibri" w:eastAsia="Times New Roman" w:hAnsi="Calibri" w:cs="Calibri"/>
          <w:i/>
          <w:iCs/>
          <w:color w:val="000000"/>
          <w:kern w:val="0"/>
          <w:sz w:val="22"/>
          <w:szCs w:val="22"/>
          <w14:ligatures w14:val="none"/>
        </w:rPr>
        <w:t>Ascaris lumbricoides</w:t>
      </w:r>
      <w:r w:rsidRPr="002E40CA">
        <w:rPr>
          <w:rFonts w:ascii="Calibri" w:eastAsia="Times New Roman" w:hAnsi="Calibri" w:cs="Calibri"/>
          <w:color w:val="000000"/>
          <w:kern w:val="0"/>
          <w:sz w:val="22"/>
          <w:szCs w:val="22"/>
          <w14:ligatures w14:val="none"/>
        </w:rPr>
        <w:t>/</w:t>
      </w:r>
      <w:r w:rsidRPr="002E40CA">
        <w:rPr>
          <w:rFonts w:ascii="Calibri" w:eastAsia="Times New Roman" w:hAnsi="Calibri" w:cs="Calibri"/>
          <w:i/>
          <w:iCs/>
          <w:color w:val="000000"/>
          <w:kern w:val="0"/>
          <w:sz w:val="22"/>
          <w:szCs w:val="22"/>
          <w14:ligatures w14:val="none"/>
        </w:rPr>
        <w:t>suum, Necator</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americanus</w:t>
      </w:r>
      <w:r w:rsidRPr="002E40CA">
        <w:rPr>
          <w:rFonts w:ascii="Calibri" w:eastAsia="Times New Roman" w:hAnsi="Calibri" w:cs="Calibri"/>
          <w:color w:val="000000"/>
          <w:kern w:val="0"/>
          <w:sz w:val="22"/>
          <w:szCs w:val="22"/>
          <w14:ligatures w14:val="none"/>
        </w:rPr>
        <w:t>, </w:t>
      </w:r>
      <w:r w:rsidRPr="002E40CA">
        <w:rPr>
          <w:rFonts w:ascii="Calibri" w:eastAsia="Times New Roman" w:hAnsi="Calibri" w:cs="Calibri"/>
          <w:i/>
          <w:iCs/>
          <w:color w:val="000000"/>
          <w:kern w:val="0"/>
          <w:sz w:val="22"/>
          <w:szCs w:val="22"/>
          <w14:ligatures w14:val="none"/>
        </w:rPr>
        <w:t>Ancylostoma duodenale</w:t>
      </w:r>
      <w:r w:rsidRPr="002E40CA">
        <w:rPr>
          <w:rFonts w:ascii="Calibri" w:eastAsia="Times New Roman" w:hAnsi="Calibri" w:cs="Calibri"/>
          <w:color w:val="000000"/>
          <w:kern w:val="0"/>
          <w:sz w:val="22"/>
          <w:szCs w:val="22"/>
          <w14:ligatures w14:val="none"/>
        </w:rPr>
        <w:t>, and </w:t>
      </w:r>
      <w:r w:rsidRPr="002E40CA">
        <w:rPr>
          <w:rFonts w:ascii="Calibri" w:eastAsia="Times New Roman" w:hAnsi="Calibri" w:cs="Calibri"/>
          <w:i/>
          <w:iCs/>
          <w:color w:val="000000"/>
          <w:kern w:val="0"/>
          <w:sz w:val="22"/>
          <w:szCs w:val="22"/>
          <w14:ligatures w14:val="none"/>
        </w:rPr>
        <w:t>Trichuris trichiura</w:t>
      </w:r>
      <w:r w:rsidRPr="002E40CA">
        <w:rPr>
          <w:rFonts w:ascii="Calibri" w:eastAsia="Times New Roman" w:hAnsi="Calibri" w:cs="Calibri"/>
          <w:color w:val="000000"/>
          <w:kern w:val="0"/>
          <w:sz w:val="22"/>
          <w:szCs w:val="22"/>
          <w14:ligatures w14:val="none"/>
        </w:rPr>
        <w:t>. We estimated unadjusted prevalence ratios (PR) by intervention arm using modified Poisson regressions with cluster-robust standard errors. In Benin, STH eDNA prevalence was 8.6% for </w:t>
      </w:r>
      <w:r w:rsidRPr="002E40CA">
        <w:rPr>
          <w:rFonts w:ascii="Calibri" w:eastAsia="Times New Roman" w:hAnsi="Calibri" w:cs="Calibri"/>
          <w:i/>
          <w:iCs/>
          <w:color w:val="000000"/>
          <w:kern w:val="0"/>
          <w:sz w:val="22"/>
          <w:szCs w:val="22"/>
          <w14:ligatures w14:val="none"/>
        </w:rPr>
        <w:t>Ascaris spp</w:t>
      </w:r>
      <w:r w:rsidRPr="002E40CA">
        <w:rPr>
          <w:rFonts w:ascii="Calibri" w:eastAsia="Times New Roman" w:hAnsi="Calibri" w:cs="Calibri"/>
          <w:color w:val="000000"/>
          <w:kern w:val="0"/>
          <w:sz w:val="22"/>
          <w:szCs w:val="22"/>
          <w14:ligatures w14:val="none"/>
        </w:rPr>
        <w:t>., 5.6% for</w:t>
      </w:r>
      <w:r w:rsidRPr="002E40CA">
        <w:rPr>
          <w:rFonts w:ascii="Calibri" w:eastAsia="Times New Roman" w:hAnsi="Calibri" w:cs="Calibri"/>
          <w:i/>
          <w:iCs/>
          <w:color w:val="000000"/>
          <w:kern w:val="0"/>
          <w:sz w:val="22"/>
          <w:szCs w:val="22"/>
          <w14:ligatures w14:val="none"/>
        </w:rPr>
        <w:t> N. americanus</w:t>
      </w:r>
      <w:r w:rsidRPr="002E40CA">
        <w:rPr>
          <w:rFonts w:ascii="Calibri" w:eastAsia="Times New Roman" w:hAnsi="Calibri" w:cs="Calibri"/>
          <w:color w:val="000000"/>
          <w:kern w:val="0"/>
          <w:sz w:val="22"/>
          <w:szCs w:val="22"/>
          <w14:ligatures w14:val="none"/>
        </w:rPr>
        <w:t>, and 0.7% for </w:t>
      </w:r>
      <w:r w:rsidRPr="002E40CA">
        <w:rPr>
          <w:rFonts w:ascii="Calibri" w:eastAsia="Times New Roman" w:hAnsi="Calibri" w:cs="Calibri"/>
          <w:i/>
          <w:iCs/>
          <w:color w:val="000000"/>
          <w:kern w:val="0"/>
          <w:sz w:val="22"/>
          <w:szCs w:val="22"/>
          <w14:ligatures w14:val="none"/>
        </w:rPr>
        <w:t>A. duodenale</w:t>
      </w:r>
      <w:r w:rsidRPr="002E40CA">
        <w:rPr>
          <w:rFonts w:ascii="Calibri" w:eastAsia="Times New Roman" w:hAnsi="Calibri" w:cs="Calibri"/>
          <w:color w:val="000000"/>
          <w:kern w:val="0"/>
          <w:sz w:val="22"/>
          <w:szCs w:val="22"/>
          <w14:ligatures w14:val="none"/>
        </w:rPr>
        <w:t>, and 13.6% overall. In India, prevalence was 7.8%, 9.8%, 0.1%, and 16.9%, respectively. </w:t>
      </w:r>
      <w:r w:rsidRPr="002E40CA">
        <w:rPr>
          <w:rFonts w:ascii="Calibri" w:eastAsia="Times New Roman" w:hAnsi="Calibri" w:cs="Calibri"/>
          <w:i/>
          <w:iCs/>
          <w:color w:val="000000"/>
          <w:kern w:val="0"/>
          <w:sz w:val="22"/>
          <w:szCs w:val="22"/>
          <w14:ligatures w14:val="none"/>
        </w:rPr>
        <w:t>T. trichiura</w:t>
      </w:r>
      <w:r w:rsidRPr="002E40CA">
        <w:rPr>
          <w:rFonts w:ascii="Calibri" w:eastAsia="Times New Roman" w:hAnsi="Calibri" w:cs="Calibri"/>
          <w:color w:val="000000"/>
          <w:kern w:val="0"/>
          <w:sz w:val="22"/>
          <w:szCs w:val="22"/>
          <w14:ligatures w14:val="none"/>
        </w:rPr>
        <w:t> was not detected. </w:t>
      </w:r>
      <w:r w:rsidRPr="002E40CA">
        <w:rPr>
          <w:rFonts w:ascii="Calibri" w:eastAsia="Times New Roman" w:hAnsi="Calibri" w:cs="Calibri"/>
          <w:i/>
          <w:iCs/>
          <w:color w:val="000000"/>
          <w:kern w:val="0"/>
          <w:sz w:val="22"/>
          <w:szCs w:val="22"/>
          <w14:ligatures w14:val="none"/>
        </w:rPr>
        <w:t>Ascaris spp</w:t>
      </w:r>
      <w:r w:rsidRPr="002E40CA">
        <w:rPr>
          <w:rFonts w:ascii="Calibri" w:eastAsia="Times New Roman" w:hAnsi="Calibri" w:cs="Calibri"/>
          <w:color w:val="000000"/>
          <w:kern w:val="0"/>
          <w:sz w:val="22"/>
          <w:szCs w:val="22"/>
          <w14:ligatures w14:val="none"/>
        </w:rPr>
        <w:t>. was most prevalent in wastewater sediment (Benin: 18.5%; India 13.9%), while </w:t>
      </w:r>
      <w:r w:rsidRPr="002E40CA">
        <w:rPr>
          <w:rFonts w:ascii="Calibri" w:eastAsia="Times New Roman" w:hAnsi="Calibri" w:cs="Calibri"/>
          <w:i/>
          <w:iCs/>
          <w:color w:val="000000"/>
          <w:kern w:val="0"/>
          <w:sz w:val="22"/>
          <w:szCs w:val="22"/>
          <w14:ligatures w14:val="none"/>
        </w:rPr>
        <w:t>N. americanus</w:t>
      </w:r>
      <w:r w:rsidRPr="002E40CA">
        <w:rPr>
          <w:rFonts w:ascii="Calibri" w:eastAsia="Times New Roman" w:hAnsi="Calibri" w:cs="Calibri"/>
          <w:color w:val="000000"/>
          <w:kern w:val="0"/>
          <w:sz w:val="22"/>
          <w:szCs w:val="22"/>
          <w14:ligatures w14:val="none"/>
        </w:rPr>
        <w:t> was highest in school soil in Benin (11.0%) and market soil in India (21.5%). In Benin, overall STH eDNA prevalence was lower in intervention clusters vs. control clusters (PR: 0.75; 95% confidence interval (CI): 0.55, 1.01), with similar but non-significant reductions in </w:t>
      </w:r>
      <w:r w:rsidRPr="002E40CA">
        <w:rPr>
          <w:rFonts w:ascii="Calibri" w:eastAsia="Times New Roman" w:hAnsi="Calibri" w:cs="Calibri"/>
          <w:i/>
          <w:iCs/>
          <w:color w:val="000000"/>
          <w:kern w:val="0"/>
          <w:sz w:val="22"/>
          <w:szCs w:val="22"/>
          <w14:ligatures w14:val="none"/>
        </w:rPr>
        <w:t>Ascaris spp</w:t>
      </w:r>
      <w:r w:rsidRPr="002E40CA">
        <w:rPr>
          <w:rFonts w:ascii="Calibri" w:eastAsia="Times New Roman" w:hAnsi="Calibri" w:cs="Calibri"/>
          <w:color w:val="000000"/>
          <w:kern w:val="0"/>
          <w:sz w:val="22"/>
          <w:szCs w:val="22"/>
          <w14:ligatures w14:val="none"/>
        </w:rPr>
        <w:t>. (PR: 0.80; 95% CI: 0.54, 1.19) and </w:t>
      </w:r>
      <w:r w:rsidRPr="002E40CA">
        <w:rPr>
          <w:rFonts w:ascii="Calibri" w:eastAsia="Times New Roman" w:hAnsi="Calibri" w:cs="Calibri"/>
          <w:i/>
          <w:iCs/>
          <w:color w:val="000000"/>
          <w:kern w:val="0"/>
          <w:sz w:val="22"/>
          <w:szCs w:val="22"/>
          <w14:ligatures w14:val="none"/>
        </w:rPr>
        <w:t>N. americanus</w:t>
      </w:r>
      <w:r w:rsidRPr="002E40CA">
        <w:rPr>
          <w:rFonts w:ascii="Calibri" w:eastAsia="Times New Roman" w:hAnsi="Calibri" w:cs="Calibri"/>
          <w:color w:val="000000"/>
          <w:kern w:val="0"/>
          <w:sz w:val="22"/>
          <w:szCs w:val="22"/>
          <w14:ligatures w14:val="none"/>
        </w:rPr>
        <w:t> (PR: 0.77; 95% CI: 0.48, 1.24). In India, </w:t>
      </w:r>
      <w:r w:rsidRPr="002E40CA">
        <w:rPr>
          <w:rFonts w:ascii="Calibri" w:eastAsia="Times New Roman" w:hAnsi="Calibri" w:cs="Calibri"/>
          <w:i/>
          <w:iCs/>
          <w:color w:val="000000"/>
          <w:kern w:val="0"/>
          <w:sz w:val="22"/>
          <w:szCs w:val="22"/>
          <w14:ligatures w14:val="none"/>
        </w:rPr>
        <w:t>N. americanus</w:t>
      </w:r>
      <w:r w:rsidRPr="002E40CA">
        <w:rPr>
          <w:rFonts w:ascii="Calibri" w:eastAsia="Times New Roman" w:hAnsi="Calibri" w:cs="Calibri"/>
          <w:color w:val="000000"/>
          <w:kern w:val="0"/>
          <w:sz w:val="22"/>
          <w:szCs w:val="22"/>
          <w14:ligatures w14:val="none"/>
        </w:rPr>
        <w:t> prevalence was lower in intervention clusters (PR: 0.64; 95% CI: 0.43, 0.94), while </w:t>
      </w:r>
      <w:r w:rsidRPr="002E40CA">
        <w:rPr>
          <w:rFonts w:ascii="Calibri" w:eastAsia="Times New Roman" w:hAnsi="Calibri" w:cs="Calibri"/>
          <w:i/>
          <w:iCs/>
          <w:color w:val="000000"/>
          <w:kern w:val="0"/>
          <w:sz w:val="22"/>
          <w:szCs w:val="22"/>
          <w14:ligatures w14:val="none"/>
        </w:rPr>
        <w:t>Ascaris spp</w:t>
      </w:r>
      <w:r w:rsidRPr="002E40CA">
        <w:rPr>
          <w:rFonts w:ascii="Calibri" w:eastAsia="Times New Roman" w:hAnsi="Calibri" w:cs="Calibri"/>
          <w:color w:val="000000"/>
          <w:kern w:val="0"/>
          <w:sz w:val="22"/>
          <w:szCs w:val="22"/>
          <w14:ligatures w14:val="none"/>
        </w:rPr>
        <w:t>. prevalence was higher (PR: 1.44; 95% CI: 0.95, 2.19). Intervention reductions on </w:t>
      </w:r>
      <w:r w:rsidRPr="002E40CA">
        <w:rPr>
          <w:rFonts w:ascii="Calibri" w:eastAsia="Times New Roman" w:hAnsi="Calibri" w:cs="Calibri"/>
          <w:i/>
          <w:iCs/>
          <w:color w:val="000000"/>
          <w:kern w:val="0"/>
          <w:sz w:val="22"/>
          <w:szCs w:val="22"/>
          <w14:ligatures w14:val="none"/>
        </w:rPr>
        <w:t>N. americanus</w:t>
      </w:r>
      <w:r w:rsidRPr="002E40CA">
        <w:rPr>
          <w:rFonts w:ascii="Calibri" w:eastAsia="Times New Roman" w:hAnsi="Calibri" w:cs="Calibri"/>
          <w:color w:val="000000"/>
          <w:kern w:val="0"/>
          <w:sz w:val="22"/>
          <w:szCs w:val="22"/>
          <w14:ligatures w14:val="none"/>
        </w:rPr>
        <w:t> prevalence in India and on </w:t>
      </w:r>
      <w:r w:rsidRPr="002E40CA">
        <w:rPr>
          <w:rFonts w:ascii="Calibri" w:eastAsia="Times New Roman" w:hAnsi="Calibri" w:cs="Calibri"/>
          <w:i/>
          <w:iCs/>
          <w:color w:val="000000"/>
          <w:kern w:val="0"/>
          <w:sz w:val="22"/>
          <w:szCs w:val="22"/>
          <w14:ligatures w14:val="none"/>
        </w:rPr>
        <w:t>Ascaris spp</w:t>
      </w:r>
      <w:r w:rsidRPr="002E40CA">
        <w:rPr>
          <w:rFonts w:ascii="Calibri" w:eastAsia="Times New Roman" w:hAnsi="Calibri" w:cs="Calibri"/>
          <w:color w:val="000000"/>
          <w:kern w:val="0"/>
          <w:sz w:val="22"/>
          <w:szCs w:val="22"/>
          <w14:ligatures w14:val="none"/>
        </w:rPr>
        <w:t>. in Benin were strongest in clusters with lower population density. Our results suggest six rounds of intensive cMDA reduced STH eDNA, yet substantial levels persist in the environment, potentially perpetuating reinfection.</w:t>
      </w:r>
    </w:p>
    <w:p w14:paraId="6AE2BAA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25-A-3996-ASTMH</w:t>
      </w:r>
    </w:p>
    <w:p w14:paraId="171FD00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Viruses - Emerging Viral Diseases</w:t>
      </w:r>
    </w:p>
    <w:p w14:paraId="3A7C159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t>Defining the Geographic Distribution of Orthoflavivirus Seropositivity in Northern Victoria, Australia</w:t>
      </w:r>
    </w:p>
    <w:p w14:paraId="4554865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Japanese encephalitis serogroup orthoflaviviruses—including Japanese encephalitis virus (JEV), Murray Valley encephalitis virus (MVEV), and West Nile Virus(WNV)/Kunjin virus (KUNV)—represent emerging public health threats internationally. Recent outbreaks in Victoria, Australia, during 2022-23 highlight the need for improved understanding of the geographic distribution of human infection across the state. This study examines the spatial distribution and potential clusters of orthoflavivirus seropositivity using serological data from two cross-sectional seroprevalence surveys conducted in the northern part of the Australian state of Victoria. This is an ecologically significant region encompassing wetlands, agricultural areas, and regional towns situated along the Murray River, a major inland waterway that forms much of Victoria’s northern border with New South Wales. The studies collectively involved 1,247 participants from areas at risk of virus exposure. Combined, this represents the largest Australian dataset to include testing for all three viruses within this serogroup. Participants were tested using Defined-Epitope Blocking Enzyme-Linked Immunosorbent Assays (DEB-ELISA) for total antibodies against JEV, MVEV, and KUNV. Eighty-three seropositive cases and 1,164 seronegative controls were identified. Geocoded residences will be analysed in ArcGIS Pro; localised spatial autocorrelation tests will identify and assess significant clusters of seropositivity, and Global Moran’s I will screen for overall spatial dependence. We aim to identify spatially distinct areas of elevated orthoflavivirus exposure risk. Clarifying these geographic boundaries will inform public health strategies, including targeted surveillance, vector control, and vaccination initiatives. By integrating sero-epidemiological data with spatial analytical frameworks, this study aims to enhance the precision and effectiveness of public health preparedness and response efforts against vector-borne diseases in Australia, with applicable lessons for countries facing the emergence of orthoflaviviruses.</w:t>
      </w:r>
    </w:p>
    <w:p w14:paraId="56B36F15"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25-A-3997-ASTMH</w:t>
      </w:r>
    </w:p>
    <w:p w14:paraId="3CB9558A"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Bacteriology - Antimicrobial Resistance</w:t>
      </w:r>
    </w:p>
    <w:p w14:paraId="2D1371F7"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Characterizing the drivers of antibiotic misuse in Senegal and Tanzania: Informing development of an outcomes-based financing intervention to augment stewardship efforts</w:t>
      </w:r>
    </w:p>
    <w:p w14:paraId="5E07DA9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Antimicrobial resistance (AMR), driven by overuse or misuse of antimicrobial agents (especially antibiotics), has emerged as one of the leading public health threats of the twenty-first century. AMR reduces the effectiveness of antibiotics, making common infections harder to treat. Annually, AMR causes around 1.3 million deaths, with the highest burden in low and lower-middle income countries (LMICs). Current AMR reduction strategies are clinically focused, neglecting the financial and behavioral drivers of antibiotic misuse. Some high-income countries have successfully implemented incentive structures to reduce AMR, but similar models have been underexplored in LMICs. Outcomes-based financing (OBF) is an incentive system which could complement stewardship efforts by directly addressing overlooked drivers of misuse. Without tackling these behavioral and market forces, new tools to combat AMR risk becoming ineffective due to ongoing patterns of misuse. Integrating OBF with current efforts could improve the efficacy of AMS. To inform design of the OBF intervention, semi-structured interviews with patients and providers were conducted across 29 public and private facilities in Dakar, Senegal and Dar es Salaam, Tanzania from October to December 2024. All appropriate ethical approvals were obtained, and Pfizer (New York, USA) provided funding for this work. Interviews included 88 providers (40 in Senegal and 48 in Tanzania, including clinicians, pharmacists, and laboratory staff) and 199 patients (99 in Senegal, 100 in Tanzania). Early findings reveal misalignment with national guidelines, such as pharmacists dispensing antibiotics without prescriptions and clinicians prescribing antibiotics without confirmed test results. For patients, clinic wait times and visit costs are the main barriers to seeking clinical care. OBF could address these barriers by improving healthcare providers’ testing capabilities and rewarding performance improvements, leading to shorter wait times. Findings from this study will inform the design of an OBF intervention to pilot in partnership with the Ministries of Health in each country.</w:t>
      </w:r>
    </w:p>
    <w:p w14:paraId="6E5A7041"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25-A-3998-ASTMH</w:t>
      </w:r>
    </w:p>
    <w:p w14:paraId="1E9168C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Cestodes (including taeniasis and cysticercosis, echinococcosis/hydatid disease, and others)</w:t>
      </w:r>
    </w:p>
    <w:p w14:paraId="4B6E254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b/>
          <w:bCs/>
          <w:color w:val="000000"/>
          <w:kern w:val="0"/>
          <w:sz w:val="22"/>
          <w:szCs w:val="22"/>
          <w14:ligatures w14:val="none"/>
        </w:rPr>
        <w:lastRenderedPageBreak/>
        <w:t>Prevalence of liver cystic echinococcosis in four communities located in Peruvian central highlands</w:t>
      </w:r>
    </w:p>
    <w:p w14:paraId="5B985C4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Human cystic echinococcosis (CE) is a neglected zoonotic parasitic disease caused by </w:t>
      </w:r>
      <w:r w:rsidRPr="002E40CA">
        <w:rPr>
          <w:rFonts w:ascii="Calibri" w:eastAsia="Times New Roman" w:hAnsi="Calibri" w:cs="Calibri"/>
          <w:i/>
          <w:iCs/>
          <w:color w:val="000000"/>
          <w:kern w:val="0"/>
          <w:sz w:val="22"/>
          <w:szCs w:val="22"/>
          <w14:ligatures w14:val="none"/>
        </w:rPr>
        <w:t>Echinococcus granulosus</w:t>
      </w:r>
      <w:r w:rsidRPr="002E40CA">
        <w:rPr>
          <w:rFonts w:ascii="Calibri" w:eastAsia="Times New Roman" w:hAnsi="Calibri" w:cs="Calibri"/>
          <w:color w:val="000000"/>
          <w:kern w:val="0"/>
          <w:sz w:val="22"/>
          <w:szCs w:val="22"/>
          <w14:ligatures w14:val="none"/>
        </w:rPr>
        <w:t>, which represents a public health problem in Latin America and the world, particularly in rural livestock areas. Factors like low education, dog ownership, and poor hygiene contribute to infection. A cross-sectional study was conducted to estimate the prevalence of hepatic CE by ultrasound (US), CT scan and serology evaluation in four rural communities located in Peruvian central highlands. Clinical data were collected, and hepatic cysts were classified using World Health Organization (WHO) guidelines. Additionally, the household of positive subjects were visited, and US and serology evaluations were performed among members. All evaluated participants with at least one positive result have been invited to participate in a thoracoabdominal CT evaluation. 238 participants (152 households) among the four communities were evaluated by US, found a liver CE prevalence between 8.2% to 14%, and a proportion of CE1 type of 60%. Among evaluated households, eight of them (11.84%) had at least one positive CE result. Serology, assessed using EITB assay, showed a 12.9% (8/62) prevalence; however no significant association was found between CE positivity and participant characteristics. These results confirm that cystic echinococcosis remains prevalent and actively transmitted in Peruvian Andean communities, with positivity rates up to 14%, being essential the implementation of targeted control programs and active surveillance for disease control.</w:t>
      </w:r>
    </w:p>
    <w:p w14:paraId="7F19AB1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25-A-3999-ASTMH</w:t>
      </w:r>
    </w:p>
    <w:p w14:paraId="16C5AF9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Epidemiology</w:t>
      </w:r>
    </w:p>
    <w:p w14:paraId="38EE98C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Submicroscopic Plasmodium spp. Infections in Indigenous Communities of Condorcanqui Province: Prevalence and Associated Factors</w:t>
      </w:r>
    </w:p>
    <w:p w14:paraId="3467474F"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remains endemic in Peru, particularly in the Amazonas Region, with most cases reported in the Rio Santiago District, Condorcanqui Province. Submicroscopic infections can act as silent reservoirs, sustaining transmission and hindering elimination efforts. This study aimed to determine the prevalence of submicroscopic Plasmodium spp. infections and identify associated factors in native communities of Rio Santiago. A cross-sectional study was conducted in six native communities between November 2021 to October 2022 through active case detection. Blood samples were analyzed using microscopy and molecular methods. Multivariate logistic regression was used to assess factors associated with submicroscopic infections. A total of 1,267 samples were analyzed, with P. vivax as the most prevalent. The prevalence of submicroscopic infections was 49.2% (89/181), with the Caterpiza community showing the highest proportion (21.5%). Among submicroscopic infections, 36.5% (66/89) were asymptomatic. Multivariate analysis revealed that Symptomatic individuals had 89% lower odds of submicroscopic infection compared to asymptomatic ones (OR = 0.11, 95% CI: 0.04-0.28). Similarly, the presence of animals in the household (OR = 0.40, 95% CI: 0.16-0.95) was associated with a 60% reduction in the odds of submicroscopic infection. Additionally, living in Caterpiza increased the risk 16-fold compared to Alianza Progreso (OR = 16.04; 95% CI: 5.51-54.80). Our study found a high rate of submicroscopic infections in the Condorcanqui Province, emphasizing the challenge of undetected malaria cases. Both individual-level factors (symptom status and household animal presence) and community-level characteristics (geographic location) influence the risk of submicroscopic infection. The study highlights the need for preventive strategies that do not rely solely on symptom-based diagnosis and calls for regular testing in endemic areas to detect and treat hidden cases, using improved diagnostic tools like qPCR and serology to reduce the malaria burden.</w:t>
      </w:r>
    </w:p>
    <w:p w14:paraId="79276CB3"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25-A-4000-ASTMH</w:t>
      </w:r>
    </w:p>
    <w:p w14:paraId="78820868"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Malaria - Elimination</w:t>
      </w:r>
    </w:p>
    <w:p w14:paraId="2F8987E0"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A Tripartite Approach to Strengthening Accountability for Malaria Health Products in Adamawa State Health Facilities</w:t>
      </w:r>
    </w:p>
    <w:p w14:paraId="4A2E6D39"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lastRenderedPageBreak/>
        <w:t>The provision of malaria health products in Adamawa State, facilitated by the Global Fund Malaria Grant, serves a crucial objective outlined in the National Malaria Strategic Plans 2021-2025. The aim is to ensure comprehensive chemoprevention, diagnosis, and treatment for 80% of the target populations at risk by 2025 across 444 health facilities. These products include malaria Rapid Diagnostic Test (mRDT), Artemisinin-based Combination Therapy (ACT), Injection Artesunate, Long Lasting Insecticidal Nets (LLIN), and associated consumables, which are distributed through a last-mile delivery method. Effective assessment of such interventions necessitates rigorous accountability measures, ensuring proper documentation from product receipt to patient administration. Analysis of product accountability in 2023 revealed an average variance of 53% between dispensed quantities and confirmed uncomplicated malaria cases treated with ACTs from January to August. A tripartite approach encompassing 1. Health Management Information Systems (HMIS)-Logistics Management Information Systems (LMIS) Data Triangulation, 2. Targeted Capacity Building and 3. Last Mile Distribution (LMD) Plan Allocator was introduced to track product accountability and availability at the benefiting health facilities. Notable reduction in variance, from 49% in January-February to 10% in September-October 2023, and to as low as 5% in September-October 2024, was observed following the implementation of a tripartite approach aimed at bolstering accountability within health facilities. The findings underscore the importance of sustaining the tripartite approach, as it promises to enhance overall accountability and efficiency within the health system. This, in turn, is anticipated to improve access to the malaria health products, thereby benefiting the population of Adamawa State.</w:t>
      </w:r>
    </w:p>
    <w:p w14:paraId="7220FD2B"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25-A-4001-ASTMH</w:t>
      </w:r>
    </w:p>
    <w:p w14:paraId="769D562D"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Mosquitoes - Epidemiology and Vector Control</w:t>
      </w:r>
    </w:p>
    <w:p w14:paraId="0CFFEA6C"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Entomological and Epidemiological Indicators of Increased Rural Dengue Risk in the Peruvian Amazon</w:t>
      </w:r>
    </w:p>
    <w:p w14:paraId="50D0DE44" w14:textId="77777777" w:rsidR="002E40CA" w:rsidRPr="002E40CA" w:rsidRDefault="002E40CA" w:rsidP="002E40CA">
      <w:pPr>
        <w:spacing w:before="100" w:beforeAutospacing="1" w:after="100" w:afterAutospacing="1" w:line="200" w:lineRule="atLeast"/>
        <w:rPr>
          <w:rFonts w:ascii="Calibri" w:eastAsia="Times New Roman" w:hAnsi="Calibri" w:cs="Calibri"/>
          <w:color w:val="000000"/>
          <w:kern w:val="0"/>
          <w:sz w:val="22"/>
          <w:szCs w:val="22"/>
          <w14:ligatures w14:val="none"/>
        </w:rPr>
      </w:pPr>
      <w:r w:rsidRPr="002E40CA">
        <w:rPr>
          <w:rFonts w:ascii="Calibri" w:eastAsia="Times New Roman" w:hAnsi="Calibri" w:cs="Calibri"/>
          <w:color w:val="000000"/>
          <w:kern w:val="0"/>
          <w:sz w:val="22"/>
          <w:szCs w:val="22"/>
          <w14:ligatures w14:val="none"/>
        </w:rPr>
        <w:t>Dengue virus, transmitted by </w:t>
      </w:r>
      <w:r w:rsidRPr="002E40CA">
        <w:rPr>
          <w:rFonts w:ascii="Calibri" w:eastAsia="Times New Roman" w:hAnsi="Calibri" w:cs="Calibri"/>
          <w:i/>
          <w:iCs/>
          <w:color w:val="000000"/>
          <w:kern w:val="0"/>
          <w:sz w:val="22"/>
          <w:szCs w:val="22"/>
          <w14:ligatures w14:val="none"/>
        </w:rPr>
        <w:t>Aedes aegypti</w:t>
      </w:r>
      <w:r w:rsidRPr="002E40CA">
        <w:rPr>
          <w:rFonts w:ascii="Calibri" w:eastAsia="Times New Roman" w:hAnsi="Calibri" w:cs="Calibri"/>
          <w:color w:val="000000"/>
          <w:kern w:val="0"/>
          <w:sz w:val="22"/>
          <w:szCs w:val="22"/>
          <w14:ligatures w14:val="none"/>
        </w:rPr>
        <w:t> mosquitoes, has historically been an urban public health threat in the Americas, with rural areas largely unaffected. Recent trends indicate a shift in this paradigm, suggesting increasing risk in rural regions. To investigate this, we combined entomological and epidemiological methods across riverine communities between the port cities of Iquitos, Pucallpa, and Yurimaguas in the Peruvian Amazon. We conducted household collections using Prokopack aspirators, detecting </w:t>
      </w:r>
      <w:r w:rsidRPr="002E40CA">
        <w:rPr>
          <w:rFonts w:ascii="Calibri" w:eastAsia="Times New Roman" w:hAnsi="Calibri" w:cs="Calibri"/>
          <w:i/>
          <w:iCs/>
          <w:color w:val="000000"/>
          <w:kern w:val="0"/>
          <w:sz w:val="22"/>
          <w:szCs w:val="22"/>
          <w14:ligatures w14:val="none"/>
        </w:rPr>
        <w:t>Ae. aegypti </w:t>
      </w:r>
      <w:r w:rsidRPr="002E40CA">
        <w:rPr>
          <w:rFonts w:ascii="Calibri" w:eastAsia="Times New Roman" w:hAnsi="Calibri" w:cs="Calibri"/>
          <w:color w:val="000000"/>
          <w:kern w:val="0"/>
          <w:sz w:val="22"/>
          <w:szCs w:val="22"/>
          <w14:ligatures w14:val="none"/>
        </w:rPr>
        <w:t>adults in 29 of 30 of sites surveyed. Notably, 8 villages and towns exhibited higher entomological indices than the endemic cities. Further surveys conducted along the most remote section of the fluvial transit route included smaller villages and revealed </w:t>
      </w:r>
      <w:r w:rsidRPr="002E40CA">
        <w:rPr>
          <w:rFonts w:ascii="Calibri" w:eastAsia="Times New Roman" w:hAnsi="Calibri" w:cs="Calibri"/>
          <w:i/>
          <w:iCs/>
          <w:color w:val="000000"/>
          <w:kern w:val="0"/>
          <w:sz w:val="22"/>
          <w:szCs w:val="22"/>
          <w14:ligatures w14:val="none"/>
        </w:rPr>
        <w:t>Ae. aegypti </w:t>
      </w:r>
      <w:r w:rsidRPr="002E40CA">
        <w:rPr>
          <w:rFonts w:ascii="Calibri" w:eastAsia="Times New Roman" w:hAnsi="Calibri" w:cs="Calibri"/>
          <w:color w:val="000000"/>
          <w:kern w:val="0"/>
          <w:sz w:val="22"/>
          <w:szCs w:val="22"/>
          <w14:ligatures w14:val="none"/>
        </w:rPr>
        <w:t>infestation in 6 of 33 communities</w:t>
      </w:r>
      <w:r w:rsidRPr="002E40CA">
        <w:rPr>
          <w:rFonts w:ascii="Calibri" w:eastAsia="Times New Roman" w:hAnsi="Calibri" w:cs="Calibri"/>
          <w:i/>
          <w:iCs/>
          <w:color w:val="000000"/>
          <w:kern w:val="0"/>
          <w:sz w:val="22"/>
          <w:szCs w:val="22"/>
          <w14:ligatures w14:val="none"/>
        </w:rPr>
        <w:t>. </w:t>
      </w:r>
      <w:r w:rsidRPr="002E40CA">
        <w:rPr>
          <w:rFonts w:ascii="Calibri" w:eastAsia="Times New Roman" w:hAnsi="Calibri" w:cs="Calibri"/>
          <w:color w:val="000000"/>
          <w:kern w:val="0"/>
          <w:sz w:val="22"/>
          <w:szCs w:val="22"/>
          <w14:ligatures w14:val="none"/>
        </w:rPr>
        <w:t>Infestation status was associated with community size. Larger villages and towns (population of &gt;230) tended to be infested and smaller villages were uninfested, with three exceptions– two large villages remained free of </w:t>
      </w:r>
      <w:r w:rsidRPr="002E40CA">
        <w:rPr>
          <w:rFonts w:ascii="Calibri" w:eastAsia="Times New Roman" w:hAnsi="Calibri" w:cs="Calibri"/>
          <w:i/>
          <w:iCs/>
          <w:color w:val="000000"/>
          <w:kern w:val="0"/>
          <w:sz w:val="22"/>
          <w:szCs w:val="22"/>
          <w14:ligatures w14:val="none"/>
        </w:rPr>
        <w:t>Ae. aegypti</w:t>
      </w:r>
      <w:r w:rsidRPr="002E40CA">
        <w:rPr>
          <w:rFonts w:ascii="Calibri" w:eastAsia="Times New Roman" w:hAnsi="Calibri" w:cs="Calibri"/>
          <w:color w:val="000000"/>
          <w:kern w:val="0"/>
          <w:sz w:val="22"/>
          <w:szCs w:val="22"/>
          <w14:ligatures w14:val="none"/>
        </w:rPr>
        <w:t> and one small village was infested. The high level of </w:t>
      </w:r>
      <w:r w:rsidRPr="002E40CA">
        <w:rPr>
          <w:rFonts w:ascii="Calibri" w:eastAsia="Times New Roman" w:hAnsi="Calibri" w:cs="Calibri"/>
          <w:i/>
          <w:iCs/>
          <w:color w:val="000000"/>
          <w:kern w:val="0"/>
          <w:sz w:val="22"/>
          <w:szCs w:val="22"/>
          <w14:ligatures w14:val="none"/>
        </w:rPr>
        <w:t>Ae. aegypti</w:t>
      </w:r>
      <w:r w:rsidRPr="002E40CA">
        <w:rPr>
          <w:rFonts w:ascii="Calibri" w:eastAsia="Times New Roman" w:hAnsi="Calibri" w:cs="Calibri"/>
          <w:color w:val="000000"/>
          <w:kern w:val="0"/>
          <w:sz w:val="22"/>
          <w:szCs w:val="22"/>
          <w14:ligatures w14:val="none"/>
        </w:rPr>
        <w:t> infestation we detected in rural areas signals an alarming increase in dengue transmission potential. Regional data show an increase in the proportion of dengue cases occurring in rural areas during the past decade; this trend is likely understated due to reporting barriers in rural communities. In response, we conducted a seroprevalence study in three communities, including one with a confirmed outbreak, one with a suspected outbreak, and one with no outbreak, as verified by vector absence. Blood samples were tested using IgG ELISA kits to determine serostatus, providing valuable insights into local dengue transmission in remote villages, underreporting of cases, and travel-related infections. Our findings highlight the growing threat of dengue in rural Amazonian communities and the need for enhanced surveillance and reporting systems.</w:t>
      </w:r>
    </w:p>
    <w:p w14:paraId="78950DD9"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25-A-4002-ASTMH</w:t>
      </w:r>
    </w:p>
    <w:p w14:paraId="094148C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2890BE9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Accelerating global pathogen genomic surveillance on Terra</w:t>
      </w:r>
    </w:p>
    <w:p w14:paraId="53ECCD0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Pathogen genomic data has shown great value in public health surveillance and outbreak response, however persistent barriers to data management, analysis, and sharing have limited its uptake, especially in settings with limited computational infrastructure or expertise. The cloud-based Terra data </w:t>
      </w:r>
      <w:r w:rsidRPr="00AF28B8">
        <w:rPr>
          <w:rFonts w:ascii="Calibri" w:hAnsi="Calibri" w:cs="Calibri"/>
          <w:color w:val="000000"/>
          <w:sz w:val="22"/>
          <w:szCs w:val="22"/>
        </w:rPr>
        <w:lastRenderedPageBreak/>
        <w:t>platform is increasingly being used to enable data management and bioinformatic analysis in public health settings globally. We support this through analytical methods development, accessible workflow and workspace development, training, and analysis support, providing trusted assistance to public health activities and building local genomic capacity for routine surveillance and responsiveness to outbreaks, in particular in Africa and the global south. This has included key surveillance initiatives including for the Africa CDC-led multinational Vibrio cholera and Klebsiella pneumoniae surveillance programs, malaria drug resistance surveillance in Senegal, and response to emerging outbreaks of Mpox and Sudan Ebola virus. In parallel we use Terra for our research programs, including for compute-intensive applications like viral metagenomics analysis, single cell host-pathogen interaction studies, large scale malaria variant calling, and population-level genomic diversity data exploration. Beyond running data analyses, we find Terra useful for facilitating data management, improving data and analysis standardization and reproducibility, enabling internal and external collaboration, and allowing low code users to perform data analysis. Additionally, by providing a platform where methods developers and computational data analysts work in the same environment as wet lab researchers and public health professionals, Terra has been key to helping close the gap between biological discovery and translational implementation and impact of pathogen genomic data. This poster will highlight examples of Terra in supporting local pathogen genomic data management and analysis in public health settings and offer guidance on how it could be used to support emerging needs.</w:t>
      </w:r>
    </w:p>
    <w:p w14:paraId="3E831A8E"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25-A-4004-ASTMH</w:t>
      </w:r>
    </w:p>
    <w:p w14:paraId="469E8138"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49D00DB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Rapid molecular test B&amp;S MG-LAMP for detecting </w:t>
      </w:r>
      <w:r w:rsidRPr="00AF28B8">
        <w:rPr>
          <w:rFonts w:ascii="Calibri" w:hAnsi="Calibri" w:cs="Calibri"/>
          <w:b/>
          <w:bCs/>
          <w:i/>
          <w:iCs/>
          <w:color w:val="000000"/>
          <w:sz w:val="22"/>
          <w:szCs w:val="22"/>
        </w:rPr>
        <w:t>Plasmodium spp</w:t>
      </w:r>
      <w:r w:rsidRPr="00AF28B8">
        <w:rPr>
          <w:rFonts w:ascii="Calibri" w:hAnsi="Calibri" w:cs="Calibri"/>
          <w:b/>
          <w:bCs/>
          <w:color w:val="000000"/>
          <w:sz w:val="22"/>
          <w:szCs w:val="22"/>
        </w:rPr>
        <w:t>. in communities of the Rio Santiago district, Condorcanqui, Amazonas, Peru</w:t>
      </w:r>
    </w:p>
    <w:p w14:paraId="4DAA4306"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critical public health challenge in Peru, particularly in regions like Amazonas, where Río Santiago district accounts for 95% of the cases in this region. Between 2022 and 2023, 49,405 cases were reported nationwide, highlighting the urgent need for accessible and accurate diagnostic methods in resource-limited areas. In this context, the present study evaluated the performance of the B&amp;S MG-LAMP technique, a simplified method that combines boiling and centrifugation (B&amp;S) for DNA extraction, followed by loop-mediated isothermal amplification with malachite green (MG-LAMP), using real-time PCR as a reference. For laboratory validation, 50 positive samples (confirmed by real-time PCR for </w:t>
      </w:r>
      <w:r w:rsidRPr="00AF28B8">
        <w:rPr>
          <w:rFonts w:ascii="Calibri" w:hAnsi="Calibri" w:cs="Calibri"/>
          <w:i/>
          <w:iCs/>
          <w:color w:val="000000"/>
          <w:sz w:val="22"/>
          <w:szCs w:val="22"/>
        </w:rPr>
        <w:t>P. vivax</w:t>
      </w:r>
      <w:r w:rsidRPr="00AF28B8">
        <w:rPr>
          <w:rFonts w:ascii="Calibri" w:hAnsi="Calibri" w:cs="Calibri"/>
          <w:color w:val="000000"/>
          <w:sz w:val="22"/>
          <w:szCs w:val="22"/>
        </w:rPr>
        <w:t> or </w:t>
      </w:r>
      <w:r w:rsidRPr="00AF28B8">
        <w:rPr>
          <w:rFonts w:ascii="Calibri" w:hAnsi="Calibri" w:cs="Calibri"/>
          <w:i/>
          <w:iCs/>
          <w:color w:val="000000"/>
          <w:sz w:val="22"/>
          <w:szCs w:val="22"/>
        </w:rPr>
        <w:t>P. falciparum</w:t>
      </w:r>
      <w:r w:rsidRPr="00AF28B8">
        <w:rPr>
          <w:rFonts w:ascii="Calibri" w:hAnsi="Calibri" w:cs="Calibri"/>
          <w:color w:val="000000"/>
          <w:sz w:val="22"/>
          <w:szCs w:val="22"/>
        </w:rPr>
        <w:t>) and 50 negative samples were analyzed, all from communities in the Río Santiago district. Then, a field evaluation was conducted with 252 samples collected from the communities of Nueva Esperanza, Chosica, and Chapiza. The amplification by MG-LAMP was carried out in a portable thermal block, with results interpreted through colorimetry and visual observation. The results demonstrated that B&amp;S MG-LAMP surpassed the detection limit of real-time PCR, detecting up to 1 parasite/μL (compared to 2.5 p/μL of PCR) for the identification of </w:t>
      </w:r>
      <w:r w:rsidRPr="00AF28B8">
        <w:rPr>
          <w:rFonts w:ascii="Calibri" w:hAnsi="Calibri" w:cs="Calibri"/>
          <w:i/>
          <w:iCs/>
          <w:color w:val="000000"/>
          <w:sz w:val="22"/>
          <w:szCs w:val="22"/>
        </w:rPr>
        <w:t>Plasmodium spp</w:t>
      </w:r>
      <w:r w:rsidRPr="00AF28B8">
        <w:rPr>
          <w:rFonts w:ascii="Calibri" w:hAnsi="Calibri" w:cs="Calibri"/>
          <w:color w:val="000000"/>
          <w:sz w:val="22"/>
          <w:szCs w:val="22"/>
        </w:rPr>
        <w:t>. For species differentiation (</w:t>
      </w:r>
      <w:r w:rsidRPr="00AF28B8">
        <w:rPr>
          <w:rFonts w:ascii="Calibri" w:hAnsi="Calibri" w:cs="Calibri"/>
          <w:i/>
          <w:iCs/>
          <w:color w:val="000000"/>
          <w:sz w:val="22"/>
          <w:szCs w:val="22"/>
        </w:rPr>
        <w:t>P. vivax</w:t>
      </w:r>
      <w:r w:rsidRPr="00AF28B8">
        <w:rPr>
          <w:rFonts w:ascii="Calibri" w:hAnsi="Calibri" w:cs="Calibri"/>
          <w:color w:val="000000"/>
          <w:sz w:val="22"/>
          <w:szCs w:val="22"/>
        </w:rPr>
        <w:t> and </w:t>
      </w:r>
      <w:r w:rsidRPr="00AF28B8">
        <w:rPr>
          <w:rFonts w:ascii="Calibri" w:hAnsi="Calibri" w:cs="Calibri"/>
          <w:i/>
          <w:iCs/>
          <w:color w:val="000000"/>
          <w:sz w:val="22"/>
          <w:szCs w:val="22"/>
        </w:rPr>
        <w:t>P. falciparum</w:t>
      </w:r>
      <w:r w:rsidRPr="00AF28B8">
        <w:rPr>
          <w:rFonts w:ascii="Calibri" w:hAnsi="Calibri" w:cs="Calibri"/>
          <w:color w:val="000000"/>
          <w:sz w:val="22"/>
          <w:szCs w:val="22"/>
        </w:rPr>
        <w:t>), both techniques achieved a detection limit of 2.5 p/μL. The method exhibited 100% sensitivity, specificity, positive predictive value (PPV), and negative predictive value (NPV), and perfect agreement (kappa = 1). The field evaluation maintained a sensitivity of 100% and specificity of 99.15% for </w:t>
      </w:r>
      <w:r w:rsidRPr="00AF28B8">
        <w:rPr>
          <w:rFonts w:ascii="Calibri" w:hAnsi="Calibri" w:cs="Calibri"/>
          <w:i/>
          <w:iCs/>
          <w:color w:val="000000"/>
          <w:sz w:val="22"/>
          <w:szCs w:val="22"/>
        </w:rPr>
        <w:t>Plasmodium spp</w:t>
      </w:r>
      <w:r w:rsidRPr="00AF28B8">
        <w:rPr>
          <w:rFonts w:ascii="Calibri" w:hAnsi="Calibri" w:cs="Calibri"/>
          <w:color w:val="000000"/>
          <w:sz w:val="22"/>
          <w:szCs w:val="22"/>
        </w:rPr>
        <w:t>. and </w:t>
      </w:r>
      <w:r w:rsidRPr="00AF28B8">
        <w:rPr>
          <w:rFonts w:ascii="Calibri" w:hAnsi="Calibri" w:cs="Calibri"/>
          <w:i/>
          <w:iCs/>
          <w:color w:val="000000"/>
          <w:sz w:val="22"/>
          <w:szCs w:val="22"/>
        </w:rPr>
        <w:t>P. vivax</w:t>
      </w:r>
      <w:r w:rsidRPr="00AF28B8">
        <w:rPr>
          <w:rFonts w:ascii="Calibri" w:hAnsi="Calibri" w:cs="Calibri"/>
          <w:color w:val="000000"/>
          <w:sz w:val="22"/>
          <w:szCs w:val="22"/>
        </w:rPr>
        <w:t>, with a PPV of 89.47% and NPV of 100% for both, along with a high concordance (kappa = 0.92). However, no positive cases of </w:t>
      </w:r>
      <w:r w:rsidRPr="00AF28B8">
        <w:rPr>
          <w:rFonts w:ascii="Calibri" w:hAnsi="Calibri" w:cs="Calibri"/>
          <w:i/>
          <w:iCs/>
          <w:color w:val="000000"/>
          <w:sz w:val="22"/>
          <w:szCs w:val="22"/>
        </w:rPr>
        <w:t>P. falciparum</w:t>
      </w:r>
      <w:r w:rsidRPr="00AF28B8">
        <w:rPr>
          <w:rFonts w:ascii="Calibri" w:hAnsi="Calibri" w:cs="Calibri"/>
          <w:color w:val="000000"/>
          <w:sz w:val="22"/>
          <w:szCs w:val="22"/>
        </w:rPr>
        <w:t> were detected in the evaluated samples, preventing the calculation of diagnostic parameters for this species.</w:t>
      </w:r>
    </w:p>
    <w:p w14:paraId="17DA237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25-A-4005-ASTMH</w:t>
      </w:r>
    </w:p>
    <w:p w14:paraId="268F170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5A72FAA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The Cost of Misinformation From COVID-19 Vaccine Hesitancy in the United States</w:t>
      </w:r>
    </w:p>
    <w:p w14:paraId="0806985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Health misinformation endangers public health; yet the economic impact of preventable illnesses and deaths it causes remain largely undocumented. Vaccine misinformation led to widespread vaccine hesitancy in the United States during the COVID-19 pandemic, severely undermining vaccination efforts. This study measures the impact of misinformation on vaccine hesitancy and associated costs. A </w:t>
      </w:r>
      <w:r w:rsidRPr="00AF28B8">
        <w:rPr>
          <w:rFonts w:ascii="Calibri" w:hAnsi="Calibri" w:cs="Calibri"/>
          <w:color w:val="000000"/>
          <w:sz w:val="22"/>
          <w:szCs w:val="22"/>
        </w:rPr>
        <w:lastRenderedPageBreak/>
        <w:t>microsimulation model was created to estimate the effects of vaccine misinformation on COVID-19 outcomes, tracking vaccinations, cases, hospitalizations, deaths, and costs across states and age groups in 2021. Vaccine hesitancy due to misinformation was modeled with probabilities for infection and severity differing by vaccination status. Counterfactual scenarios removed misinformation, showing increased vaccination rates and reduced hospitalizations, deaths, and associated healthcare costs. Our model outputs were validated against observed data. We found that vaccine misinformation in 2021 was associated with approximately 2.3 million COVID-19 cases, 66,000 hospitalizations, and 45,000 preventable deaths. Misinformation about COVID-19 vaccines cost the United States $2 Billion from avertable hospitalizations in 2021. State-specific costs of misinformation were significant, with the highest total costs observed in California ($229 million), Texas ($173 million), Florida ($171 million), New York ($144 million), and Pennsylvania ($107 million). The highest individual burden of misinformation was estimated at $10-$14 per person in excess costs in Montana, Nevada, Colorado, Arizona, Wyoming, New Mexico, and Alaska. Misinformation about COVID-19 vaccines led to substantial public health and economic consequences with billions in added healthcare costs. Health misinformation remains a pervasive issue post-pandemic, undermining public health efforts. Comprehensive strategies to combat misinformation, rebuild trust in science and vaccines, and promote evidence-based health communication are critical to safeguarding population health and minimizing societal costs.</w:t>
      </w:r>
    </w:p>
    <w:p w14:paraId="000FC40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25-A-4006-ASTMH</w:t>
      </w:r>
    </w:p>
    <w:p w14:paraId="77E0531A"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73E0F15F"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performance metrics of Hepatitis E detection and diagnostic methods using composite reference standards method and Bayesian Latent Class modelling</w:t>
      </w:r>
    </w:p>
    <w:p w14:paraId="1798CAC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Accurate detection of hepatitis E virus (HEV) is key to diagnosis and understanding the epidemiology of this neglected pathogen. However, evaluating the accuracy of HEV tests is challenging due to the lack of a reliable gold standard. Here, we evaluate the performance of current HEV diagnostic methods: IgM ELISA, IgM rapid diagnostic tests (RDT), and PCR, and to demonstrate how Bayesian Latent Class Modeling (BLCM) can be used to address the complication of an imperfect gold standard. A scoping review and meta-analysis of peer reviewed published articles on HEV detection and diagnosis was conducted. A total of 1,778 documents were retrieved from PubMed and Embase using appropriate search terms for individual diagnostic methods and screened for inclusion. Only 38 documents were included and used to generate 2 x 2 tables for evaluating the performance measures of the diagnostic tests using composite reference standards (CRS) and BLCM.</w:t>
      </w:r>
      <w:r w:rsidRPr="00AF28B8">
        <w:rPr>
          <w:rFonts w:ascii="Calibri" w:hAnsi="Calibri" w:cs="Calibri"/>
          <w:b/>
          <w:bCs/>
          <w:color w:val="000000"/>
          <w:sz w:val="22"/>
          <w:szCs w:val="22"/>
        </w:rPr>
        <w:t> </w:t>
      </w:r>
      <w:r w:rsidRPr="00AF28B8">
        <w:rPr>
          <w:rFonts w:ascii="Calibri" w:hAnsi="Calibri" w:cs="Calibri"/>
          <w:color w:val="000000"/>
          <w:sz w:val="22"/>
          <w:szCs w:val="22"/>
        </w:rPr>
        <w:t>Using PCR as the reference, we estimated the sensitivity of ELISA to be 0.91 [95%CI: 0.86 - 0.94], while the specificity was 0.96 [CI: 0.91 - 1.00]. The sensitivity for RDT was found to be 0.89 [CI: 0.79 - 0.94], while the specificity was 1.0 [CI: 0.97 - 1.00]. The positive and negative predictive values (PPV and NPV) for ELISA were 0.92 [CI: 0.81 - 0.97] and 0.96 [CI: 0.94 - 0.98], respectively, while PPV and NPV for RDT were 0.99 [CI: 0.96 - 1.00] and 0.95 [CI: 0.87 - 0.98], respectively. Using BLCM, sensitivities for ELISA, PCR, and RDT were at 0.89 [CI: 0.87 - 0.91], 0.87 [CI: 0.85 - 0.89], 0.89 [CI: 0.85 - 0.92], respectively, while specificities were 1.0 [CI: 0.99 - 1.0] for all test methods. HEV prevalence estimated using BLCM was 0.39 [CI: 0.37 - 0.41], 0.41 [CI: 0.38 - 0.43], and 0.40 [CI: 0.36 - 0.44], while test accuracy was 0.95 [CI: 0.94 - 0.96], 0.94 [CI: 0.93 - 0.95], and 0.95 [CI: 0.93 - 0.96], for ELISA, PCR, and RDT, respectively. Both CRS and BLCM estimated similar sensitivity and specificity for all diagnostic test methods. In addition, BLCM estimated similar accuracy for each test method. Given the performance of the ELISA and RDT, we conclude that both test methods are as viable as the PCR method and adequate for HEV diagnosis.</w:t>
      </w:r>
    </w:p>
    <w:p w14:paraId="5BA7816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25-A-4007-ASTMH</w:t>
      </w:r>
    </w:p>
    <w:p w14:paraId="441CB2E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1C07F0E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Linking Human, Animal, and Environmental AMR Data: Insights from an Integrated Surveillance Database in Washington State</w:t>
      </w:r>
    </w:p>
    <w:p w14:paraId="77B1B57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Antimicrobial resistance (AMR) is a growing global problem, with an estimated 1.14 million deaths attributable to bacterial AMR in 2021. Multiple factors contribute to the emergence and spread of resistant pathogens, including use patterns of antimicrobials in both human and animal populations and environmental spread of antibiotic organisms and genes. To assess the impact of such factors, a One Health approach that considers resistance in humans, animals, and the environment is needed. The Washington Integrated Surveillance for Antimicrobial Resistance (WISAR) Database integrates antimicrobial data from human, animal, and environmental samples to provide insight into emerging antimicrobial resistance trends. WISAR combines more than 10 discrete data sources and allows comprehensive characterization of multiple pathogens across time. We will present trends in resistance for E. coli isolates in Washington State between 2015 and 2019. For both animal and human samples, the proportion of resistant samples for each year and for various sample types will be characterized for beta-lactams, sulfonamides, and carbapenems. This will be compared to resistance trends for environmental samples taken from various water sources in agricultural regions to identify if there are consistent trends between human, animal, and environmental samples over time. This analysis will result in an improved understanding of E.coli resistance in Washington State, which can help inform policies promoting antimicrobial stewardship.</w:t>
      </w:r>
    </w:p>
    <w:p w14:paraId="778B977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25-A-4008-ASTMH</w:t>
      </w:r>
    </w:p>
    <w:p w14:paraId="413F3043"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302B477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Challenges in acute febrile illness diagnostics in Guinea: comparison between clinical and laboratory diagnoses</w:t>
      </w:r>
    </w:p>
    <w:p w14:paraId="0760905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Pathogens causing acute febrile illness (AFI) have led to significant outbreaks in West Africa, including high-casualty epidemics. The case definition for AFI is vague and often has limited diagnostic effectiveness due to the variety of pathogens involved, complicating both clinical and laboratory diagnosis. In Guinea, case definitions for priority diseases were updated after the 2014-2016 Ebola epidemic to enhance early detection of epidemic-prone pathogens. However, AFI itself is not well-defined in the national IDSR guidelines, leading to reliance on additional symptoms and syndromic diagnoses, especially in remote areas where laboratory analysis is limited. This pilot cross-sectional study compared physician diagnoses based solely on clinical symptoms to laboratory findings (using multiplex/singleplex RT-PCR) in patients over 37.5°C at Dalaba and Gueckedou hospitals. A total of 1627 patients (877 from Dalaba and 750 from Gueckedou, 823 males and 803 females) participated; the mean age was 29 years, and the mean uncorrected temperature was 38.4 degrees Celsius. The most frequent physicians’ assumptions were malaria (78.6%), salmonellosis (37%, including 97 typhoid fever), pneumonia (11 %), and ARI/SARI (7.3%). Laboratory testing detected </w:t>
      </w:r>
      <w:r w:rsidRPr="00AF28B8">
        <w:rPr>
          <w:rFonts w:ascii="Calibri" w:hAnsi="Calibri" w:cs="Calibri"/>
          <w:i/>
          <w:iCs/>
          <w:color w:val="000000"/>
          <w:sz w:val="22"/>
          <w:szCs w:val="22"/>
        </w:rPr>
        <w:t>Plasmodium </w:t>
      </w:r>
      <w:r w:rsidRPr="00AF28B8">
        <w:rPr>
          <w:rFonts w:ascii="Calibri" w:hAnsi="Calibri" w:cs="Calibri"/>
          <w:color w:val="000000"/>
          <w:sz w:val="22"/>
          <w:szCs w:val="22"/>
        </w:rPr>
        <w:t>spp (27,66%), </w:t>
      </w:r>
      <w:r w:rsidRPr="00AF28B8">
        <w:rPr>
          <w:rFonts w:ascii="Calibri" w:hAnsi="Calibri" w:cs="Calibri"/>
          <w:i/>
          <w:iCs/>
          <w:color w:val="000000"/>
          <w:sz w:val="22"/>
          <w:szCs w:val="22"/>
        </w:rPr>
        <w:t>S. pneumoniae</w:t>
      </w:r>
      <w:r w:rsidRPr="00AF28B8">
        <w:rPr>
          <w:rFonts w:ascii="Calibri" w:hAnsi="Calibri" w:cs="Calibri"/>
          <w:color w:val="000000"/>
          <w:sz w:val="22"/>
          <w:szCs w:val="22"/>
        </w:rPr>
        <w:t> (6.82%), (</w:t>
      </w:r>
      <w:r w:rsidRPr="00AF28B8">
        <w:rPr>
          <w:rFonts w:ascii="Calibri" w:hAnsi="Calibri" w:cs="Calibri"/>
          <w:i/>
          <w:iCs/>
          <w:color w:val="000000"/>
          <w:sz w:val="22"/>
          <w:szCs w:val="22"/>
        </w:rPr>
        <w:t>S. aureus</w:t>
      </w:r>
      <w:r w:rsidRPr="00AF28B8">
        <w:rPr>
          <w:rFonts w:ascii="Calibri" w:hAnsi="Calibri" w:cs="Calibri"/>
          <w:color w:val="000000"/>
          <w:sz w:val="22"/>
          <w:szCs w:val="22"/>
        </w:rPr>
        <w:t> (3,50%). The study found low kappa agreement between clinical diagnoses and laboratory results (the highest kappa value was 0.057 for malaria compared to </w:t>
      </w:r>
      <w:r w:rsidRPr="00AF28B8">
        <w:rPr>
          <w:rFonts w:ascii="Calibri" w:hAnsi="Calibri" w:cs="Calibri"/>
          <w:i/>
          <w:iCs/>
          <w:color w:val="000000"/>
          <w:sz w:val="22"/>
          <w:szCs w:val="22"/>
        </w:rPr>
        <w:t>Plasmodium spp</w:t>
      </w:r>
      <w:r w:rsidRPr="00AF28B8">
        <w:rPr>
          <w:rFonts w:ascii="Calibri" w:hAnsi="Calibri" w:cs="Calibri"/>
          <w:color w:val="000000"/>
          <w:sz w:val="22"/>
          <w:szCs w:val="22"/>
        </w:rPr>
        <w:t>.), indicating discrepancies. Approximately 513 patients may have been incorrectly treated with antimalarials. Overall, the research highlights the diversity of AFI-associated pathogens in Guinea and suggests improved training for physicians and better testing protocols to enhance patient care and epidemic threat detection.</w:t>
      </w:r>
    </w:p>
    <w:p w14:paraId="1E8F4995"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25-A-4009-ASTMH</w:t>
      </w:r>
    </w:p>
    <w:p w14:paraId="7A068E0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68838585"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Impact of Sugar Meal Source on the Survival and Reproduction of Mosquito Vectors</w:t>
      </w:r>
    </w:p>
    <w:p w14:paraId="18A63D93"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Mosquito vectors are an increasing threat to global public health due to their transmission of a variety of disease-causing pathogens. An overlooked facet of mosquito biology involves the need for sugar meals. Mosquitoes require a source of sugar to provide energy and nutrition for activities throughout their adult life. Sugar meals are vital for many aspects of adult mosquito biology including survival, reproduction, and a mosquito’s ability to transmit pathogens. Mosquitoes obtain natural sugar meals from a variety of sugar meal sources such as floral nectar, Hemipteran honeydew, and fallen fruits. </w:t>
      </w:r>
      <w:r w:rsidRPr="00AF28B8">
        <w:rPr>
          <w:rFonts w:ascii="Calibri" w:hAnsi="Calibri" w:cs="Calibri"/>
          <w:color w:val="000000"/>
          <w:sz w:val="22"/>
          <w:szCs w:val="22"/>
        </w:rPr>
        <w:lastRenderedPageBreak/>
        <w:t>Natural sugar meal sources can contain vastly different types and quantities of sugars and/or amino acids. Thus, we hypothesize that different sugar meal sources can impact the survival and reproduction of mosquito vectors. Sugar concentration can vary drastically based on the age and conditions surrounding the sugar meal source. Therefore, we are analyzing the sugar and amino acid concentrations of samples from different floral nectars, Hemipteran honeydews, and fruit extracts using liquid chromatography. This provides standardized formulas to create artificial replicates of the sugar meals for repeatable and controlled trials. These artificial sugar meals are being fed to three species of mosquito vectors: </w:t>
      </w:r>
      <w:r w:rsidRPr="00AF28B8">
        <w:rPr>
          <w:rFonts w:ascii="Calibri" w:hAnsi="Calibri" w:cs="Calibri"/>
          <w:i/>
          <w:iCs/>
          <w:color w:val="000000"/>
          <w:sz w:val="22"/>
          <w:szCs w:val="22"/>
        </w:rPr>
        <w:t>Culex quinquefasciatus</w:t>
      </w:r>
      <w:r w:rsidRPr="00AF28B8">
        <w:rPr>
          <w:rFonts w:ascii="Calibri" w:hAnsi="Calibri" w:cs="Calibri"/>
          <w:color w:val="000000"/>
          <w:sz w:val="22"/>
          <w:szCs w:val="22"/>
        </w:rPr>
        <w:t>, </w:t>
      </w:r>
      <w:r w:rsidRPr="00AF28B8">
        <w:rPr>
          <w:rFonts w:ascii="Calibri" w:hAnsi="Calibri" w:cs="Calibri"/>
          <w:i/>
          <w:iCs/>
          <w:color w:val="000000"/>
          <w:sz w:val="22"/>
          <w:szCs w:val="22"/>
        </w:rPr>
        <w:t>Culex pipiens </w:t>
      </w:r>
      <w:r w:rsidRPr="00AF28B8">
        <w:rPr>
          <w:rFonts w:ascii="Calibri" w:hAnsi="Calibri" w:cs="Calibri"/>
          <w:color w:val="000000"/>
          <w:sz w:val="22"/>
          <w:szCs w:val="22"/>
        </w:rPr>
        <w:t>biotype </w:t>
      </w:r>
      <w:r w:rsidRPr="00AF28B8">
        <w:rPr>
          <w:rFonts w:ascii="Calibri" w:hAnsi="Calibri" w:cs="Calibri"/>
          <w:i/>
          <w:iCs/>
          <w:color w:val="000000"/>
          <w:sz w:val="22"/>
          <w:szCs w:val="22"/>
        </w:rPr>
        <w:t>molestus</w:t>
      </w:r>
      <w:r w:rsidRPr="00AF28B8">
        <w:rPr>
          <w:rFonts w:ascii="Calibri" w:hAnsi="Calibri" w:cs="Calibri"/>
          <w:color w:val="000000"/>
          <w:sz w:val="22"/>
          <w:szCs w:val="22"/>
        </w:rPr>
        <w:t>, and </w:t>
      </w:r>
      <w:r w:rsidRPr="00AF28B8">
        <w:rPr>
          <w:rFonts w:ascii="Calibri" w:hAnsi="Calibri" w:cs="Calibri"/>
          <w:i/>
          <w:iCs/>
          <w:color w:val="000000"/>
          <w:sz w:val="22"/>
          <w:szCs w:val="22"/>
        </w:rPr>
        <w:t>Aedes albopictus</w:t>
      </w:r>
      <w:r w:rsidRPr="00AF28B8">
        <w:rPr>
          <w:rFonts w:ascii="Calibri" w:hAnsi="Calibri" w:cs="Calibri"/>
          <w:color w:val="000000"/>
          <w:sz w:val="22"/>
          <w:szCs w:val="22"/>
        </w:rPr>
        <w:t>. Survival will be determined by the average lifespan for female mosquitoes fed with each sugar meal source, which will be compared to determine whether sugar meal source significantly alters the longevity of adult female mosquitoes. Reproduction will be quantified by measuring egg hatching success. Egg masses from individual female mosquitoes fed with the various sugar meal sources are being hatched. The number of hatched larvae compared to the number of eggs provides a metric for reproductive success for each sugar meal source. Experimentation is still ongoing and is expected to be completed by November of 2025. We anticipate that this data will provide a deeper understanding of the role a sugar meal source can play on the fitness of mosquito vectors.</w:t>
      </w:r>
    </w:p>
    <w:p w14:paraId="3C94E65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25-A-4010-ASTMH</w:t>
      </w:r>
    </w:p>
    <w:p w14:paraId="3755DC25"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Arthropods/Entomology - Other</w:t>
      </w:r>
    </w:p>
    <w:p w14:paraId="73EB3BE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i/>
          <w:iCs/>
          <w:color w:val="000000"/>
          <w:sz w:val="22"/>
          <w:szCs w:val="22"/>
        </w:rPr>
        <w:t>Lutzomyia longipalpis</w:t>
      </w:r>
      <w:r w:rsidRPr="00AF28B8">
        <w:rPr>
          <w:rFonts w:ascii="Calibri" w:hAnsi="Calibri" w:cs="Calibri"/>
          <w:color w:val="000000"/>
          <w:sz w:val="22"/>
          <w:szCs w:val="22"/>
        </w:rPr>
        <w:t> saliva increases parasitemia in dogs naturally infected by </w:t>
      </w:r>
      <w:r w:rsidRPr="00AF28B8">
        <w:rPr>
          <w:rFonts w:ascii="Calibri" w:hAnsi="Calibri" w:cs="Calibri"/>
          <w:i/>
          <w:iCs/>
          <w:color w:val="000000"/>
          <w:sz w:val="22"/>
          <w:szCs w:val="22"/>
        </w:rPr>
        <w:t>Leishmania infantum</w:t>
      </w:r>
    </w:p>
    <w:p w14:paraId="2266CDB0"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Leishmania infantum</w:t>
      </w:r>
      <w:r w:rsidRPr="00AF28B8">
        <w:rPr>
          <w:rFonts w:ascii="Calibri" w:hAnsi="Calibri" w:cs="Calibri"/>
          <w:color w:val="000000"/>
          <w:sz w:val="22"/>
          <w:szCs w:val="22"/>
        </w:rPr>
        <w:t> (</w:t>
      </w:r>
      <w:r w:rsidRPr="00AF28B8">
        <w:rPr>
          <w:rFonts w:ascii="Calibri" w:hAnsi="Calibri" w:cs="Calibri"/>
          <w:i/>
          <w:iCs/>
          <w:color w:val="000000"/>
          <w:sz w:val="22"/>
          <w:szCs w:val="22"/>
        </w:rPr>
        <w:t>Li</w:t>
      </w:r>
      <w:r w:rsidRPr="00AF28B8">
        <w:rPr>
          <w:rFonts w:ascii="Calibri" w:hAnsi="Calibri" w:cs="Calibri"/>
          <w:color w:val="000000"/>
          <w:sz w:val="22"/>
          <w:szCs w:val="22"/>
        </w:rPr>
        <w:t>) transmission to mammals occurs mainly via sandflies and during the blood feeding the sandflies delivered saliva into host skin. Sandfly</w:t>
      </w:r>
      <w:r w:rsidRPr="00AF28B8">
        <w:rPr>
          <w:rFonts w:ascii="Calibri" w:hAnsi="Calibri" w:cs="Calibri"/>
          <w:i/>
          <w:iCs/>
          <w:color w:val="000000"/>
          <w:sz w:val="22"/>
          <w:szCs w:val="22"/>
        </w:rPr>
        <w:t> </w:t>
      </w:r>
      <w:r w:rsidRPr="00AF28B8">
        <w:rPr>
          <w:rFonts w:ascii="Calibri" w:hAnsi="Calibri" w:cs="Calibri"/>
          <w:color w:val="000000"/>
          <w:sz w:val="22"/>
          <w:szCs w:val="22"/>
        </w:rPr>
        <w:t>saliva enhance </w:t>
      </w:r>
      <w:r w:rsidRPr="00AF28B8">
        <w:rPr>
          <w:rFonts w:ascii="Calibri" w:hAnsi="Calibri" w:cs="Calibri"/>
          <w:i/>
          <w:iCs/>
          <w:color w:val="000000"/>
          <w:sz w:val="22"/>
          <w:szCs w:val="22"/>
        </w:rPr>
        <w:t>Leishmania</w:t>
      </w:r>
      <w:r w:rsidRPr="00AF28B8">
        <w:rPr>
          <w:rFonts w:ascii="Calibri" w:hAnsi="Calibri" w:cs="Calibri"/>
          <w:color w:val="000000"/>
          <w:sz w:val="22"/>
          <w:szCs w:val="22"/>
        </w:rPr>
        <w:t> infectivity to the host and induces macrophages and neutrophils chemotaxis. In addition, there is an increase in transmissibility after multiple exposures to sandfly bites associated to an increase in parasitemia in vertebrate host. The aim of this study was to determine the role of</w:t>
      </w:r>
      <w:r w:rsidRPr="00AF28B8">
        <w:rPr>
          <w:rFonts w:ascii="Calibri" w:hAnsi="Calibri" w:cs="Calibri"/>
          <w:i/>
          <w:iCs/>
          <w:color w:val="000000"/>
          <w:sz w:val="22"/>
          <w:szCs w:val="22"/>
        </w:rPr>
        <w:t> Lu</w:t>
      </w:r>
      <w:r w:rsidRPr="00AF28B8">
        <w:rPr>
          <w:rFonts w:ascii="Calibri" w:hAnsi="Calibri" w:cs="Calibri"/>
          <w:color w:val="000000"/>
          <w:sz w:val="22"/>
          <w:szCs w:val="22"/>
        </w:rPr>
        <w:t>. </w:t>
      </w:r>
      <w:r w:rsidRPr="00AF28B8">
        <w:rPr>
          <w:rFonts w:ascii="Calibri" w:hAnsi="Calibri" w:cs="Calibri"/>
          <w:i/>
          <w:iCs/>
          <w:color w:val="000000"/>
          <w:sz w:val="22"/>
          <w:szCs w:val="22"/>
        </w:rPr>
        <w:t>longipalpis </w:t>
      </w:r>
      <w:r w:rsidRPr="00AF28B8">
        <w:rPr>
          <w:rFonts w:ascii="Calibri" w:hAnsi="Calibri" w:cs="Calibri"/>
          <w:color w:val="000000"/>
          <w:sz w:val="22"/>
          <w:szCs w:val="22"/>
        </w:rPr>
        <w:t>saliva in parasitemia and plasmatic proteins of naturally </w:t>
      </w:r>
      <w:r w:rsidRPr="00AF28B8">
        <w:rPr>
          <w:rFonts w:ascii="Calibri" w:hAnsi="Calibri" w:cs="Calibri"/>
          <w:i/>
          <w:iCs/>
          <w:color w:val="000000"/>
          <w:sz w:val="22"/>
          <w:szCs w:val="22"/>
        </w:rPr>
        <w:t>Li</w:t>
      </w:r>
      <w:r w:rsidRPr="00AF28B8">
        <w:rPr>
          <w:rFonts w:ascii="Calibri" w:hAnsi="Calibri" w:cs="Calibri"/>
          <w:color w:val="000000"/>
          <w:sz w:val="22"/>
          <w:szCs w:val="22"/>
        </w:rPr>
        <w:t> infected dogs from a visceral leishmaniasis (VL) endemic area of Brazil. A total of twenty-five dogs with VL were recruited and peripheral blood were collected followed by an intradermal inoculation of 20 homogenate salivary glands (HSG) from </w:t>
      </w:r>
      <w:r w:rsidRPr="00AF28B8">
        <w:rPr>
          <w:rFonts w:ascii="Calibri" w:hAnsi="Calibri" w:cs="Calibri"/>
          <w:i/>
          <w:iCs/>
          <w:color w:val="000000"/>
          <w:sz w:val="22"/>
          <w:szCs w:val="22"/>
        </w:rPr>
        <w:t>Lu. longipalpis</w:t>
      </w:r>
      <w:r w:rsidRPr="00AF28B8">
        <w:rPr>
          <w:rFonts w:ascii="Calibri" w:hAnsi="Calibri" w:cs="Calibri"/>
          <w:color w:val="000000"/>
          <w:sz w:val="22"/>
          <w:szCs w:val="22"/>
        </w:rPr>
        <w:t> female (saliva group-n=12) or saline (control group-n=13) in the ear. After 24 hours, the dog's blood was collected again to evaluate parasitemia and protein profile in canine plasma. Peripheral blood and tissue sample were analyzed by qPCR for the presence of </w:t>
      </w:r>
      <w:r w:rsidRPr="00AF28B8">
        <w:rPr>
          <w:rFonts w:ascii="Calibri" w:hAnsi="Calibri" w:cs="Calibri"/>
          <w:i/>
          <w:iCs/>
          <w:color w:val="000000"/>
          <w:sz w:val="22"/>
          <w:szCs w:val="22"/>
        </w:rPr>
        <w:t>Li</w:t>
      </w:r>
      <w:r w:rsidRPr="00AF28B8">
        <w:rPr>
          <w:rFonts w:ascii="Calibri" w:hAnsi="Calibri" w:cs="Calibri"/>
          <w:color w:val="000000"/>
          <w:sz w:val="22"/>
          <w:szCs w:val="22"/>
        </w:rPr>
        <w:t> DNA and plasma protein profile was assessed by mass spectrometry (LTQ Orbitrap Velos). A significant increase in</w:t>
      </w:r>
      <w:r w:rsidRPr="00AF28B8">
        <w:rPr>
          <w:rFonts w:ascii="Calibri" w:hAnsi="Calibri" w:cs="Calibri"/>
          <w:i/>
          <w:iCs/>
          <w:color w:val="000000"/>
          <w:sz w:val="22"/>
          <w:szCs w:val="22"/>
        </w:rPr>
        <w:t> L.i</w:t>
      </w:r>
      <w:r w:rsidRPr="00AF28B8">
        <w:rPr>
          <w:rFonts w:ascii="Calibri" w:hAnsi="Calibri" w:cs="Calibri"/>
          <w:color w:val="000000"/>
          <w:sz w:val="22"/>
          <w:szCs w:val="22"/>
        </w:rPr>
        <w:t> was observed in peripheral blood 24h after inoculation with </w:t>
      </w:r>
      <w:r w:rsidRPr="00AF28B8">
        <w:rPr>
          <w:rFonts w:ascii="Calibri" w:hAnsi="Calibri" w:cs="Calibri"/>
          <w:i/>
          <w:iCs/>
          <w:color w:val="000000"/>
          <w:sz w:val="22"/>
          <w:szCs w:val="22"/>
        </w:rPr>
        <w:t>Lu. longipalpis</w:t>
      </w:r>
      <w:r w:rsidRPr="00AF28B8">
        <w:rPr>
          <w:rFonts w:ascii="Calibri" w:hAnsi="Calibri" w:cs="Calibri"/>
          <w:color w:val="000000"/>
          <w:sz w:val="22"/>
          <w:szCs w:val="22"/>
        </w:rPr>
        <w:t> HGS (p=0.0034), unlike dogs inoculated with saline. Of notice, proliferation of </w:t>
      </w:r>
      <w:r w:rsidRPr="00AF28B8">
        <w:rPr>
          <w:rFonts w:ascii="Calibri" w:hAnsi="Calibri" w:cs="Calibri"/>
          <w:i/>
          <w:iCs/>
          <w:color w:val="000000"/>
          <w:sz w:val="22"/>
          <w:szCs w:val="22"/>
        </w:rPr>
        <w:t>Li</w:t>
      </w:r>
      <w:r w:rsidRPr="00AF28B8">
        <w:rPr>
          <w:rFonts w:ascii="Calibri" w:hAnsi="Calibri" w:cs="Calibri"/>
          <w:color w:val="000000"/>
          <w:sz w:val="22"/>
          <w:szCs w:val="22"/>
        </w:rPr>
        <w:t> in the amastigote form occurred with the presence of </w:t>
      </w:r>
      <w:r w:rsidRPr="00AF28B8">
        <w:rPr>
          <w:rFonts w:ascii="Calibri" w:hAnsi="Calibri" w:cs="Calibri"/>
          <w:i/>
          <w:iCs/>
          <w:color w:val="000000"/>
          <w:sz w:val="22"/>
          <w:szCs w:val="22"/>
        </w:rPr>
        <w:t>Lu. longipalpis</w:t>
      </w:r>
      <w:r w:rsidRPr="00AF28B8">
        <w:rPr>
          <w:rFonts w:ascii="Calibri" w:hAnsi="Calibri" w:cs="Calibri"/>
          <w:color w:val="000000"/>
          <w:sz w:val="22"/>
          <w:szCs w:val="22"/>
        </w:rPr>
        <w:t> saliva </w:t>
      </w:r>
      <w:r w:rsidRPr="00AF28B8">
        <w:rPr>
          <w:rFonts w:ascii="Calibri" w:hAnsi="Calibri" w:cs="Calibri"/>
          <w:i/>
          <w:iCs/>
          <w:color w:val="000000"/>
          <w:sz w:val="22"/>
          <w:szCs w:val="22"/>
        </w:rPr>
        <w:t>in vitro</w:t>
      </w:r>
      <w:r w:rsidRPr="00AF28B8">
        <w:rPr>
          <w:rFonts w:ascii="Calibri" w:hAnsi="Calibri" w:cs="Calibri"/>
          <w:color w:val="000000"/>
          <w:sz w:val="22"/>
          <w:szCs w:val="22"/>
        </w:rPr>
        <w:t>. The inoculum of </w:t>
      </w:r>
      <w:r w:rsidRPr="00AF28B8">
        <w:rPr>
          <w:rFonts w:ascii="Calibri" w:hAnsi="Calibri" w:cs="Calibri"/>
          <w:i/>
          <w:iCs/>
          <w:color w:val="000000"/>
          <w:sz w:val="22"/>
          <w:szCs w:val="22"/>
        </w:rPr>
        <w:t>Lu. longipalpis</w:t>
      </w:r>
      <w:r w:rsidRPr="00AF28B8">
        <w:rPr>
          <w:rFonts w:ascii="Calibri" w:hAnsi="Calibri" w:cs="Calibri"/>
          <w:color w:val="000000"/>
          <w:sz w:val="22"/>
          <w:szCs w:val="22"/>
        </w:rPr>
        <w:t> HGS is involved in the differential expression of plasma proteins that have anti-inflammatory activity such selectins, APoE and ApoH. Therefore, multiple exposures to the vector may play a systemic change in mammalian host in increasing the parasitemia from the vertebrate host to the insect vector. In conclusion, multiple exposures to the vector may play a systemic change in mammalian host in increasing the parasitemia from the vertebrate host to the insect vector potentially enabling them to increase transmission.</w:t>
      </w:r>
    </w:p>
    <w:p w14:paraId="5CEDA3A4"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25-A-4011-ASTMH</w:t>
      </w:r>
    </w:p>
    <w:p w14:paraId="23ABA817"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0B5C483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Predicting Pediatric Sepsis and Mortality Using a Novel Digital Health Approach in Bangladesh</w:t>
      </w:r>
    </w:p>
    <w:p w14:paraId="6E4AE88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Sepsis disproportionately impacts children in low-resource settings, where diagnostic tools like the 2024 Phoenix Sepsis Score (PSS) are constrained by reliance on laboratory testing, limiting applicability outside high-income countries. Low-cost wearable devices that continuously capture physiological data, combined with machine learning models for real-time sepsis prediction, present a transformative solution to enhance pediatric sepsis care, reducing dependence on advanced equipment and empowering frontline providers. This research uses data from wearable devices and PSS criteria with </w:t>
      </w:r>
      <w:r w:rsidRPr="00AF28B8">
        <w:rPr>
          <w:rFonts w:ascii="Calibri" w:hAnsi="Calibri" w:cs="Calibri"/>
          <w:color w:val="000000"/>
          <w:sz w:val="22"/>
          <w:szCs w:val="22"/>
        </w:rPr>
        <w:lastRenderedPageBreak/>
        <w:t>machine learning to predict pediatric sepsis and mortality. This prospective observational study enrolled 100 pediatric ICU patients with suspected sepsis in Dhaka, Bangladesh. Continuous physiological data were collected using a wearable biosensor device, while clinical exams and laboratory tests identified sepsis, septic shock (defined using PSS) and mortality. LASSO regression models were developed and validated through leave-one-group-out cross-validation (LOGO-CV) using biosensor data. Our clinical diagnostic model for sepsis using biosensor-only features demonstrated an AUROC of 0.78 (null AUROC = 0.58). For septic shock, the model demonstrated an AUROC of 0.85 (null AUROC = 0.61. The mortality model demonstrated an AUROC of 0.87 (null AUROC = 0.64). Sensitivity analyses showed improvement of AUROC to 0.89 for prediction of sepsis with manual SpO2 data included. This study demonstrates the potential of wearable devices and machine learning models to predict pediatric sepsis, septic shock, and mortality in low-resource settings. With promising accuracy and robustness, these models address critical limitations of traditional methods. External validation, larger sample sizes, and mHealth integration are needed to support clinical applicability and broader implementation.</w:t>
      </w:r>
    </w:p>
    <w:p w14:paraId="4AC763A0"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25-A-4012-ASTMH</w:t>
      </w:r>
    </w:p>
    <w:p w14:paraId="5E45D035"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Planetary Health including Climate Change</w:t>
      </w:r>
    </w:p>
    <w:p w14:paraId="37516E5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Malaria and nutritional status following tropical cyclones in southeast Madagascar</w:t>
      </w:r>
    </w:p>
    <w:p w14:paraId="4A03382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estimated number of malaria cases in Madagascar has increased in recent years, in parallel with high food insecurity associated with extreme weather events. As a result, many households impacted by climate related disasters face coincident burdens of malaria and malnutrition. Few data on the intersection of malaria and malnutrition are available at the household level, however, motivating our analysis of data from a prospective cohort study of 500 cyclone-affected households in Mananjary district, southeast Madagascar (data collection spanning 2021-2023). From 20,718 malaria infection observations paired with anthropometry, hemoglobin measures, and a food security questionnaire, we identify associations between malaria infection status and nutritional indicators, and perform clustering analyses to assess the nonrandom distribution of malaria and malnutrition risk at small (e.g., sub-district) spatial scales. In the context of increasingly extreme weather, we discuss implications for community-scale malaria control and opportunities for malaria-malnutrition co-intervention.</w:t>
      </w:r>
    </w:p>
    <w:p w14:paraId="788E189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25-A-4013-ASTMH</w:t>
      </w:r>
    </w:p>
    <w:p w14:paraId="7E53472D"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5BDE8B3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Novel combination of PfCytB inhibitors shows promise for treatment of blood stage </w:t>
      </w:r>
      <w:r w:rsidRPr="00AF28B8">
        <w:rPr>
          <w:rFonts w:ascii="Calibri" w:hAnsi="Calibri" w:cs="Calibri"/>
          <w:i/>
          <w:iCs/>
          <w:color w:val="000000"/>
          <w:sz w:val="22"/>
          <w:szCs w:val="22"/>
        </w:rPr>
        <w:t>Plasmodium falciparum</w:t>
      </w:r>
    </w:p>
    <w:p w14:paraId="038EF521"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emergence of drug-resistant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strains threatens the clinical efficacy of antimalarial drugs, including current first-line artemisinin-based combination therapies. Thus, new interventions are desperately needed to combat human malaria, a critical global health issue. Here we have examined targeting both the Qi and Qo regions of cytochrome B using a combination of PfCytB inhibitors: atovaquone and ELQ-596. Atovaquone, typically paired with proguanil for prophylaxis in travelers, targets the Qo site of the parasite’s cytochrome bc1 complex, inhibiting the mitochondrial electron transport chain. Resistance to atovaquone is readily seen in the field and associated with point mutations such as Y268S in the Qo region of cytochrome b. Similarly, resistance to ELQ-596, a compound targeting the Qi region of cytochrome b, is associated with point mutations in the Qi region of cytochrome b. Using a combination minimum inoculum of resistance (MIR) assay, we applied selective pressure on </w:t>
      </w:r>
      <w:r w:rsidRPr="00AF28B8">
        <w:rPr>
          <w:rFonts w:ascii="Calibri" w:hAnsi="Calibri" w:cs="Calibri"/>
          <w:i/>
          <w:iCs/>
          <w:color w:val="000000"/>
          <w:sz w:val="22"/>
          <w:szCs w:val="22"/>
        </w:rPr>
        <w:t>P. falciparum in vitro</w:t>
      </w:r>
      <w:r w:rsidRPr="00AF28B8">
        <w:rPr>
          <w:rFonts w:ascii="Calibri" w:hAnsi="Calibri" w:cs="Calibri"/>
          <w:color w:val="000000"/>
          <w:sz w:val="22"/>
          <w:szCs w:val="22"/>
        </w:rPr>
        <w:t xml:space="preserve"> using various ratios of atovaquone and ELQ-596 across different inocula to determine the resistance risk of combining the two compounds rather than employing them as single selection agents. Here, we observe that resistance to either atovaquone or ELQ-596 is evaded by combination treatment targeting the Qi and Qo sites of cytochrome b, both illustrating the efficacy of the compound pair and the utility of our combination MIR assay in screening for potential therapies before use in the field. Resistance to both compounds was only observed via a sequential pressure where atovaquone was used to pressure parasite lines with pre-existing ELQ-596 </w:t>
      </w:r>
      <w:r w:rsidRPr="00AF28B8">
        <w:rPr>
          <w:rFonts w:ascii="Calibri" w:hAnsi="Calibri" w:cs="Calibri"/>
          <w:color w:val="000000"/>
          <w:sz w:val="22"/>
          <w:szCs w:val="22"/>
        </w:rPr>
        <w:lastRenderedPageBreak/>
        <w:t>resistance. Our results showed that dual resistance was possible, but with resistance levels lower in double mutants compared to single mutants. Furthermore, isobologram analysis shows that atovaquone and ELQ-596 synergize. This synergy was maintained in strains with low to medium grade resistance to atovaquone. These data support atovaquone and ELQ-596 as a potential chemopreventive combination therapy to reduce the risk of multidrug resistance.</w:t>
      </w:r>
    </w:p>
    <w:p w14:paraId="1E5E9F0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25-A-4014-ASTMH</w:t>
      </w:r>
    </w:p>
    <w:p w14:paraId="2F0861B5"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6F99282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Driving Excellence: How Streamlining Goals Can Improve Reporting Timeliness in Public Health Facilities. An intervention trial for Local Government Authority Health Officials in Delta State, South-South Nigeria</w:t>
      </w:r>
    </w:p>
    <w:p w14:paraId="61A56FD9"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Timely and comprehensive data reporting is crucial for informed decision-making in health systems. In Delta State, Nigeria, on-time data reporting from 495 public health facilities across 25 local government officials (LGAs) consistently fell below 80% in 2021 and 2022, despite various strategies employed by LGA health authorities. Challenges included heavy workloads and a lack of accountability among facility workers. In 2023, Management Sciences for Health (MSH) introduced a new approach, coaching LGA officers to prioritize tasks effectively. Health facilities currently prepare data, which LGA officers validate and enter into the national DHIS system. To improve reporting timelines, LGA authorities categorized their responsibilities into four groups: urgent and important, not urgent but important, urgent but unimportant, and not urgent or important. Data reporting was ranked second in priority, leading to a substantial improvement in reporting efficiency. Additionally, LGAs demonstrating progress were acknowledged by state officials and served as mentors for others. As a result, on-time reporting rates in DHIS improved significantly from an average of 77% in 2021 and 79% in 2022 to 99% in 2023 and 2024, with all 25 LGAs in Delta State showing improvements. This success underscores the effectiveness of prioritization coaching in strengthening health data management. Further evaluation is required to assess the sustainability of these improvements and explore additional contributing factors, such as health workers’ proficiency in using data tools. The collaboration between the Global Fund and state authorities has reinforced accountability in tracking both health service delivery and commodity utilization at the facility level.</w:t>
      </w:r>
    </w:p>
    <w:p w14:paraId="22C0CD6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25-A-4015-ASTMH</w:t>
      </w:r>
    </w:p>
    <w:p w14:paraId="5994754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Field and ecological studies of viruses, including surveillance and spillover risk and emergence</w:t>
      </w:r>
    </w:p>
    <w:p w14:paraId="2F65147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Horseshoe bat species delimitation and bat-associated coronavirus diversity in Eastern Uganda</w:t>
      </w:r>
    </w:p>
    <w:p w14:paraId="53CEFEFB"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Horseshoe bats (genus Rhinolophus) are insectivorous bats with a wide geographic range and an established association with viruses, including SARS-like coronaviruses. Despite their potential to host viruses impacting human health, many horseshoe bats, particularly African species, remain poorly described. From 2020-2023, we captured horseshoe bats in caves near Mount Elgon National Park in Uganda. Morphometric data from 561 captures were recorded, and 215 wing biopsies from individual horseshoe bats were collected for species delimitation using mitochondrial and nuclear intron sequencing. We analyzed spectrographs of acoustic calls taken at the entrance of horseshoe bat caves and compared morphometric measurements to simulated biometric distributions generated from museum specimen data. Oral and rectal swabs from captured bats were screened using pan-coronavirus PCR assays and putative positive samples were sequenced. Liver and muscle tissues collected opportunistically from incidental mortalities were used to generate whole genomes. We found evidence supporting the presence of two cryptic species of horseshoe bats inhabiting our study caves in the R. eloquens/fumigatus species complex. Phylogenetic analysis of cytb results indicate congruence with morphometric clusters. Amplicon and whole genome sequencing of coronavirus-positive samples offer preliminary insights on virus sharing between the two groups. These results provide resolution to a portion of the R. eloquens/fumigatus species complex, two new reference genomes for use in future investigations, and additional ecological context for coronavirus circulation in horseshoe bats in Eastern Uganda.</w:t>
      </w:r>
    </w:p>
    <w:p w14:paraId="4718D6A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25-A-4016-ASTMH</w:t>
      </w:r>
    </w:p>
    <w:p w14:paraId="1EEF74A0"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6359DB3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AI-based identification of </w:t>
      </w:r>
      <w:r w:rsidRPr="00AF28B8">
        <w:rPr>
          <w:rFonts w:ascii="Calibri" w:hAnsi="Calibri" w:cs="Calibri"/>
          <w:b/>
          <w:bCs/>
          <w:i/>
          <w:iCs/>
          <w:color w:val="000000"/>
          <w:sz w:val="22"/>
          <w:szCs w:val="22"/>
        </w:rPr>
        <w:t>Plasmodium falciparum</w:t>
      </w:r>
      <w:r w:rsidRPr="00AF28B8">
        <w:rPr>
          <w:rFonts w:ascii="Calibri" w:hAnsi="Calibri" w:cs="Calibri"/>
          <w:b/>
          <w:bCs/>
          <w:color w:val="000000"/>
          <w:sz w:val="22"/>
          <w:szCs w:val="22"/>
        </w:rPr>
        <w:t> parasitized cells and life stages across imaging domains</w:t>
      </w:r>
    </w:p>
    <w:p w14:paraId="093AC211"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Plasmodium</w:t>
      </w:r>
      <w:r w:rsidRPr="00AF28B8">
        <w:rPr>
          <w:rFonts w:ascii="Calibri" w:hAnsi="Calibri" w:cs="Calibri"/>
          <w:color w:val="000000"/>
          <w:sz w:val="22"/>
          <w:szCs w:val="22"/>
        </w:rPr>
        <w:t> </w:t>
      </w:r>
      <w:r w:rsidRPr="00AF28B8">
        <w:rPr>
          <w:rFonts w:ascii="Calibri" w:hAnsi="Calibri" w:cs="Calibri"/>
          <w:i/>
          <w:iCs/>
          <w:color w:val="000000"/>
          <w:sz w:val="22"/>
          <w:szCs w:val="22"/>
        </w:rPr>
        <w:t>falciparum</w:t>
      </w:r>
      <w:r w:rsidRPr="00AF28B8">
        <w:rPr>
          <w:rFonts w:ascii="Calibri" w:hAnsi="Calibri" w:cs="Calibri"/>
          <w:color w:val="000000"/>
          <w:sz w:val="22"/>
          <w:szCs w:val="22"/>
        </w:rPr>
        <w:t> progresses through distinct life stages in the human host—early ring, late ring, trophozoite, schizont, and gametocyte—and the detection and quantification of these different stages contributes useful information for prognosis, treatment response, and transmission potential. However, manual identification by microscopy is labor-intensive and subject to variability. To address this, we integrated an AI-based pipeline combining object detection and fine-scale life stage classification of infected red blood cells using Giemsa-stained thin blood smears from multiple labs and imaging platforms. To improve generalization, we developed a novel stain normalization module within our pipeline. Physically informed by the Beer-Lambert law, the module can adaptively learn stain-invariant features in a fully trainable manner, without requiring template images or prior stain information. The modular design allows seamless integration with different backbone networks, enabling flexible adaptation to various detection and classification tasks. Our evaluation involved datasets with significant stain and magnification variability, including 3,090 cell patches from four microscopy systems (Hamamatsu, Zeiss, Olympus, Morphle), 24,720 annotated public thin blood smear images, and an internal Zeiss Axioscan test set. We achieved 90.3% relaxed accuracy for classification and 57.1 mAP50-95 for detection. Compared to existing deep learning approaches, our pipeline outperformed all other normalization methods for the malaria datasets and matched or exceeded the performance of other methods for non-malaria histopathology training sets. These results highlight the potential of deep learning to support more scalable and standardized malaria diagnostics and research tools, particularly in resource-limited settings.</w:t>
      </w:r>
    </w:p>
    <w:p w14:paraId="2E33C2C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25-A-4017-ASTMH</w:t>
      </w:r>
    </w:p>
    <w:p w14:paraId="12C4BD9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Invasion, Cellular and Molecular Biology (Including Leishmania and Trypanosomes)</w:t>
      </w:r>
    </w:p>
    <w:p w14:paraId="20A912A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Differentially expressed microRNAs involved in Congenital Chagas transmission</w:t>
      </w:r>
    </w:p>
    <w:p w14:paraId="113D8C9A"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Chagas disease, caused by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is widespread in Latin America but is now of global concern due to the migration of childbearing women from endemic to non-endemic areas, leading to congenital transmission. While not all infected mothers pass the disease to their infants, little is known about the factors influencing this transmission. MicroRNAs (short RNA molecules) could regulate protein expression and modulate immune responses to pathogens found in maternal tissues, potentially playing a pivotal role in this context. Identifying differentially expressed microRNAs in transmitting mothers could elucidate molecular mechanisms of congenital transmission, enabling early detection and improved treatment for affected infants. Placental samples from 9 mothers who transmitted Chagas disease to their infants and 9 positive mothers who did not transmit the disease were processed. RNA was isolated using a commercial kit, after sequencing, differential expression analysis was performed using the DeSeq2 algorithm. Four hundred and sixty-two microRNAs were detected in the placental samples, of which 6 microRNAs were differentially expressed (p &lt; 0.05) between transmitting and non-transmitting mothers. The hsa-miR-515-5p and hsa-miR-526-3p were found to be underexpressed with log2FC of -1.09 and -1.24, respectively, whereas the hsa-miR-187-3p, hsa-miR-146a-5p, hsa-miR-410-5p and hsa-miR-223-5p were found to be overexpressed with log2FC of 1.01, 1.01, 1.19 and 1.39, respectively. The hsa-miR-526-3p was found to have the lowest expression and the hsa-miR-223-5p the highest expression in mothers transmitting the disease to their infants. These results should be verified by RT-qPCR. In a previous study, miR-515-5p has also been found to be underexpressed in </w:t>
      </w:r>
      <w:r w:rsidRPr="00AF28B8">
        <w:rPr>
          <w:rFonts w:ascii="Calibri" w:hAnsi="Calibri" w:cs="Calibri"/>
          <w:i/>
          <w:iCs/>
          <w:color w:val="000000"/>
          <w:sz w:val="22"/>
          <w:szCs w:val="22"/>
        </w:rPr>
        <w:t>ex vivo</w:t>
      </w:r>
      <w:r w:rsidRPr="00AF28B8">
        <w:rPr>
          <w:rFonts w:ascii="Calibri" w:hAnsi="Calibri" w:cs="Calibri"/>
          <w:color w:val="000000"/>
          <w:sz w:val="22"/>
          <w:szCs w:val="22"/>
        </w:rPr>
        <w:t> infection of human placental explants. This miRNA has a potential role in the trophoblast cell proliferation and protection against the parasite. This is the first study using clinical samples. Further studies are required to validate our findings and to disentangle the potential molecular pathways involved in Chagas congenital transmission.</w:t>
      </w:r>
    </w:p>
    <w:p w14:paraId="0147B40F"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25-A-4018-ASTMH</w:t>
      </w:r>
    </w:p>
    <w:p w14:paraId="36D35B32"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655E6C6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Sustained dengue virus replication following B cell-receptor dependent infection of immortalized human B cells</w:t>
      </w:r>
    </w:p>
    <w:p w14:paraId="7271652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virus (DENV) is a mosquito-borne single positive-strand RNA virus in the Flaviviridae family. Four serotypes of DENV (1-4) cause approximately 400 million infections with 100 million symptomatic dengue cases and 21,000 deaths annually. Risk of developing severe disease is increased in individuals experiencing secondary/heterologous infections. A long-standing conceptual framework for this phenomenon is antibody dependent enhancement (ADE), wherein DENV cross-serotype-reactive antibodies elicited by a prior DENV infection do not neutralize the new infection but instead facilitate virus uptake and dissemination by Fc receptor-bearing myeloid cells. However, B cells are the largest circulating reservoir of DENV genome-positive cells in patients with acute disease, especially during secondary DENV infection. To elucidate a potential role of DENV replication in B cells, we developed an immortalized cross-reactive human B cell line from a person exposed to a DENV1 followed by DENV2. In these DENV-specific surface IgG+ cells, but not ZIKV-reactive IgG+ cells, we observed B cell receptor-dependent enhancement (BDE) of DENV infection in vitro. These cells are sensitive to low multiplicity of infection and can sustain production of infectious virus. We propose that this system can generate insights into the mechanisms involved in entry and replication of DENV in human B cells.</w:t>
      </w:r>
    </w:p>
    <w:p w14:paraId="0343BE0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25-A-4019-ASTMH</w:t>
      </w:r>
    </w:p>
    <w:p w14:paraId="58DCDEA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Diagnosis - Challenges and Innovations</w:t>
      </w:r>
    </w:p>
    <w:p w14:paraId="2C560ED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Equivalence testing of fresh finger-prick capillary and venous blood stored in various anticoagulants on three Biocredit Malaria rapid diagnostic tests in suspected malaria patients</w:t>
      </w:r>
    </w:p>
    <w:p w14:paraId="7C84806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rapid diagnostic tests (mRDTs) is widely used diagnostic for parasitological confirmation of suspected malaria cases. As a point of care test, finger-prick capillary blood is collected and tested immediately, especially in the community and primary health centres (PHCs) where patients seek care. However, in facilities with laboratories, especially Comprehensive PHCs, secondary and tertiary health facilities were multiple tests are conducted, venous blood stored in anticoagulants to preserve the blood are used for malaria testing without requiring additional finger prick capillary blood from the patient. As part of the prequalification requirement of the World Health Organization, manufacturers of malaria RDT should provide evidence of equivalence of RDT test results in positive/negative malaria samples from fresh finger prick capillary blood and those stored in anticoagulants. In this mRDT equivalence study, we assessed three RapiGEN Inc’s Biocredit Malaria rapid diagnostic tests in suspected malaria patients suspected with malaria. Each lot of BIOCREDIT Malaria Ag Pf/Pv (pLDH/pLDH), BIOCREDIT Malaria Ag Pf (pLDH/HRPII) and BIOCREDIT Malaria Ag Pf (pLDH) RDTs were tested with 25 negative and 25 positive malaria specimens each. A total of 375 negative and 375 positive samples were used for the various assessments. Composite samples from finger prick capillary blood, fresh venous blood, and stored venous blood in the following anticoagulants were tested: Lithium heparin, EDTA and Sodium citrate anticoagulants. Parasite confirmation was by microscopy and polymerase chain reaction (pcr). We showed 100% equivalence between the capillary blood, fresh venous blood and venous blood stored blood in Lithium heparin, EDTA and Sodium citrate anticoagulants in negative and positive samples. Parasitaemia of positive RDT test line intensity was equivalent in all samples and confirmed manufacturer's stated claims of equivalence.</w:t>
      </w:r>
    </w:p>
    <w:p w14:paraId="024007D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25-A-4020-ASTMH</w:t>
      </w:r>
    </w:p>
    <w:p w14:paraId="6D7A14D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7F7DF2A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 effective Antimalarial Kalihinol Analog Targets </w:t>
      </w:r>
      <w:r w:rsidRPr="00AF28B8">
        <w:rPr>
          <w:rFonts w:ascii="Calibri" w:hAnsi="Calibri" w:cs="Calibri"/>
          <w:i/>
          <w:iCs/>
          <w:color w:val="000000"/>
          <w:sz w:val="22"/>
          <w:szCs w:val="22"/>
        </w:rPr>
        <w:t>Plasmodium</w:t>
      </w:r>
      <w:r w:rsidRPr="00AF28B8">
        <w:rPr>
          <w:rFonts w:ascii="Calibri" w:hAnsi="Calibri" w:cs="Calibri"/>
          <w:color w:val="000000"/>
          <w:sz w:val="22"/>
          <w:szCs w:val="22"/>
        </w:rPr>
        <w:t> </w:t>
      </w:r>
      <w:r w:rsidRPr="00AF28B8">
        <w:rPr>
          <w:rFonts w:ascii="Calibri" w:hAnsi="Calibri" w:cs="Calibri"/>
          <w:i/>
          <w:iCs/>
          <w:color w:val="000000"/>
          <w:sz w:val="22"/>
          <w:szCs w:val="22"/>
        </w:rPr>
        <w:t>falciparum</w:t>
      </w:r>
      <w:r w:rsidRPr="00AF28B8">
        <w:rPr>
          <w:rFonts w:ascii="Calibri" w:hAnsi="Calibri" w:cs="Calibri"/>
          <w:color w:val="000000"/>
          <w:sz w:val="22"/>
          <w:szCs w:val="22"/>
        </w:rPr>
        <w:t> Apicoplast and Membrane Biogenesis</w:t>
      </w:r>
    </w:p>
    <w:p w14:paraId="1DD35906"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We report the discovery and mode of action of MED6-189, a new analogue of the kalihinol family of isocyanoterpene natural products, effective against drug-sensitive and -resistant </w:t>
      </w:r>
      <w:r w:rsidRPr="00AF28B8">
        <w:rPr>
          <w:rFonts w:ascii="Calibri" w:hAnsi="Calibri" w:cs="Calibri"/>
          <w:i/>
          <w:iCs/>
          <w:color w:val="000000"/>
          <w:sz w:val="22"/>
          <w:szCs w:val="22"/>
        </w:rPr>
        <w:t>P. falciparum</w:t>
      </w:r>
      <w:r w:rsidRPr="00AF28B8">
        <w:rPr>
          <w:rFonts w:ascii="Calibri" w:hAnsi="Calibri" w:cs="Calibri"/>
          <w:color w:val="000000"/>
          <w:sz w:val="22"/>
          <w:szCs w:val="22"/>
        </w:rPr>
        <w:t> strains, blocking both asexual replication and sexual differentiation. </w:t>
      </w:r>
      <w:r w:rsidRPr="00AF28B8">
        <w:rPr>
          <w:rFonts w:ascii="Calibri" w:hAnsi="Calibri" w:cs="Calibri"/>
          <w:i/>
          <w:iCs/>
          <w:color w:val="000000"/>
          <w:sz w:val="22"/>
          <w:szCs w:val="22"/>
        </w:rPr>
        <w:t>In vivo</w:t>
      </w:r>
      <w:r w:rsidRPr="00AF28B8">
        <w:rPr>
          <w:rFonts w:ascii="Calibri" w:hAnsi="Calibri" w:cs="Calibri"/>
          <w:color w:val="000000"/>
          <w:sz w:val="22"/>
          <w:szCs w:val="22"/>
        </w:rPr>
        <w:t> studies using a humanized mouse model of malaria confirms strong efficacy of the compound in animals with no apparent hemolytic activity or toxicity. Complementary chemical, molecular and systems biology approaches revealed that MED6-189 targets the parasite apicoplast and acts by inhibiting lipid biogenesis and cellular trafficking. Genetic analyses revealed that a mutation in </w:t>
      </w:r>
      <w:r w:rsidRPr="00AF28B8">
        <w:rPr>
          <w:rFonts w:ascii="Calibri" w:hAnsi="Calibri" w:cs="Calibri"/>
          <w:i/>
          <w:iCs/>
          <w:color w:val="000000"/>
          <w:sz w:val="22"/>
          <w:szCs w:val="22"/>
        </w:rPr>
        <w:t>PfSec13</w:t>
      </w:r>
      <w:r w:rsidRPr="00AF28B8">
        <w:rPr>
          <w:rFonts w:ascii="Calibri" w:hAnsi="Calibri" w:cs="Calibri"/>
          <w:color w:val="000000"/>
          <w:sz w:val="22"/>
          <w:szCs w:val="22"/>
        </w:rPr>
        <w:t>, which encodes a component of the parasite secretory machinery, reduced susceptibility to the drug. The high potency of MED6-189, excellent therapeutic profile, and unique mode of action make it an excellent addition to the antimalarial drug pipeline.</w:t>
      </w:r>
    </w:p>
    <w:p w14:paraId="500AF8FF"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25-A-4021-ASTMH</w:t>
      </w:r>
    </w:p>
    <w:p w14:paraId="4FFF22DB"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09E90BB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Quantifying ecological drivers of CHIKV infection in southern Thailand: findings from a longitudinal cohort study</w:t>
      </w:r>
    </w:p>
    <w:p w14:paraId="4C7260DD"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Chikungunya virus (CHIKV), an alphavirus transmitted to humans by </w:t>
      </w:r>
      <w:r w:rsidRPr="00AF28B8">
        <w:rPr>
          <w:rFonts w:ascii="Calibri" w:hAnsi="Calibri" w:cs="Calibri"/>
          <w:i/>
          <w:iCs/>
          <w:color w:val="000000"/>
          <w:sz w:val="22"/>
          <w:szCs w:val="22"/>
        </w:rPr>
        <w:t>Aedes</w:t>
      </w:r>
      <w:r w:rsidRPr="00AF28B8">
        <w:rPr>
          <w:rFonts w:ascii="Calibri" w:hAnsi="Calibri" w:cs="Calibri"/>
          <w:color w:val="000000"/>
          <w:sz w:val="22"/>
          <w:szCs w:val="22"/>
        </w:rPr>
        <w:t> mosquitoes, can cause significant and long-term morbidity. CHIKV typically appears in explosive outbreaks then vanishes for decades, but evidence from longitudinal studies suggests that CHIKV may persist in some populations through low levels of subclinical infection. These epidemiologic dynamics complicate prediction of CHIKV outbreaks and intervention trial planning. Songkhla province in southern Thailand is a promising location for vaccine trials due to its history of CHIKV outbreaks (2008 and 2018) and emerging data suggesting low levels of interepidemic transmission. However, evolving CHIKV strains and mosquito vectors have reshaped transmission in this region in recent decades. Here, we describe findings from a longitudinal cohort study (2022-2024, n = 5000) of CHIKV transmission in Songkhla. Blood collected from annual surveys was tested for CHIKV antibodies using IgG ELISA. Baseline seroprevalence was 34.6%. Subdistrict-level seroprevalence ranged from 6.7% in rural areas to 31.1% in the urban center. This pattern varied by age; seroprevalence among participants &lt;12 (born after the 2008 outbreak, n = 1542) was highest in urban subdistricts, while seroprevalence among those ≥12 (n = 3459) was highest in rural subdistricts. Models of CHIKV infection corroborate this finding, showing that the timing and number of outbreaks have varied significantly at the subdistrict scale and smaller. These findings suggest that CHIKV infection is highly spatially variable, with risk prediction complicated by historical differences in strain and vector. Understanding the ecological drivers of this variation has important implications for identifying regions of highest risk for a future CHIKV outbreak.</w:t>
      </w:r>
    </w:p>
    <w:p w14:paraId="5AFAD6C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25-A-4023-ASTMH</w:t>
      </w:r>
    </w:p>
    <w:p w14:paraId="640E579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15446BF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Proteomic deconvolution of the plasma antibody response to secondary dengue virus infection</w:t>
      </w:r>
    </w:p>
    <w:p w14:paraId="7CEED09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Dengue virus (DENV1-4) infects ~400 million people annually, with severe disease often linked to antibody-dependent enhancement (ADE) during secondary infection. While primary DENV infection elicits serotype-specific (TS) neutralizing antibodies that protect against homotypic reinfection, cross-reactive (CR) non-neutralizing antibodies may enhance secondary heterotypic infection. A critical barrier to vaccine design lies in disentangling protective antibodies from those driving ADE—a challenge compounded by the complexity of polyclonal plasma antibody response. In particular, the identities and epitopes of envelope (E) protein type-specific and CR plasma antibodies following a secondary heterotypic DENV infection and their contributions to broad protection remain poorly understood. Here we apply high-resolution proteomic analysis of DENV E dimer-specific circulating immunoglobulin (IgG) at late convalescence (4-10 months post-secondary infection) to quantitatively profile the plasma antibody repertoire with monoclonal resolution in a Nicaraguan pediatric cohort (N=4 DENV2, N=4 DENV3). Recombinant expression and functional characterization of abundant plasma lineages revealed dominant CR antibodies, often across all four DENV serotypes. Across two initial donors, we analyzed 6 </w:t>
      </w:r>
      <w:r w:rsidRPr="00AF28B8">
        <w:rPr>
          <w:rFonts w:ascii="Calibri" w:hAnsi="Calibri" w:cs="Calibri"/>
          <w:color w:val="000000"/>
          <w:sz w:val="22"/>
          <w:szCs w:val="22"/>
        </w:rPr>
        <w:lastRenderedPageBreak/>
        <w:t>and 13 antibody lineages, respectively, which accounted for 52% and 24% of the plasma IgG repertoire and discovered all 18 lineages were CR to at least two DENV serotypes. These results suggest that TS IgG responses may not be an abundant feature of post-secondary DENV plasma repertoires, consistent with previous findings that antibody immunity broadens following secondary DENV infection. Epitope mapping using engineered E dimers with fusion loop mutations and competition ELISAs further delineated binding footprints. Our findings define the molecular landscape of persisting DENV CR plasma antibodies and describe key features of the plasma antibody repertoire following secondary DENV infection. These insights have implications for the development of improved vaccines targeting this significant global health challenge.</w:t>
      </w:r>
    </w:p>
    <w:p w14:paraId="70C47C2E"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25-A-4024-ASTMH</w:t>
      </w:r>
    </w:p>
    <w:p w14:paraId="3CDCD66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Parasite Transmission Biology</w:t>
      </w:r>
    </w:p>
    <w:p w14:paraId="7F19808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Malaria parasite development in the urban malaria vector </w:t>
      </w:r>
      <w:r w:rsidRPr="00AF28B8">
        <w:rPr>
          <w:rFonts w:ascii="Calibri" w:hAnsi="Calibri" w:cs="Calibri"/>
          <w:i/>
          <w:iCs/>
          <w:color w:val="000000"/>
          <w:sz w:val="22"/>
          <w:szCs w:val="22"/>
        </w:rPr>
        <w:t>Anopheles stephensi</w:t>
      </w:r>
      <w:r w:rsidRPr="00AF28B8">
        <w:rPr>
          <w:rFonts w:ascii="Calibri" w:hAnsi="Calibri" w:cs="Calibri"/>
          <w:color w:val="000000"/>
          <w:sz w:val="22"/>
          <w:szCs w:val="22"/>
        </w:rPr>
        <w:t> under variable humidity and temperature</w:t>
      </w:r>
    </w:p>
    <w:p w14:paraId="1064E92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the recent gains in reducing the overall global burden of malaria, elimination efforts are now being threatened by the invasive South Asian urban malaria vector </w:t>
      </w:r>
      <w:r w:rsidRPr="00AF28B8">
        <w:rPr>
          <w:rFonts w:ascii="Calibri" w:hAnsi="Calibri" w:cs="Calibri"/>
          <w:i/>
          <w:iCs/>
          <w:color w:val="000000"/>
          <w:sz w:val="22"/>
          <w:szCs w:val="22"/>
        </w:rPr>
        <w:t>Anopheles stephensi</w:t>
      </w:r>
      <w:r w:rsidRPr="00AF28B8">
        <w:rPr>
          <w:rFonts w:ascii="Calibri" w:hAnsi="Calibri" w:cs="Calibri"/>
          <w:color w:val="000000"/>
          <w:sz w:val="22"/>
          <w:szCs w:val="22"/>
        </w:rPr>
        <w:t>. Predicting the effects of environmental variation on malaria transmission dynamics will be critical for projecting potential zones of disease emergence and spread. Temperature and water availability are two of the most important abiotic factors influencing the distribution and abundances of ectothermic organisms, including mosquitoes. While research has been done investigating the effects of temperature on disease transmission, the influence of humidity on mosquito and pathogen parameters affecting disease dynamics is less understood. To investigate the impact of both temperature and humidity on parasite development in this mosquito, we infected </w:t>
      </w:r>
      <w:r w:rsidRPr="00AF28B8">
        <w:rPr>
          <w:rFonts w:ascii="Calibri" w:hAnsi="Calibri" w:cs="Calibri"/>
          <w:i/>
          <w:iCs/>
          <w:color w:val="000000"/>
          <w:sz w:val="22"/>
          <w:szCs w:val="22"/>
        </w:rPr>
        <w:t>An. stephensi</w:t>
      </w:r>
      <w:r w:rsidRPr="00AF28B8">
        <w:rPr>
          <w:rFonts w:ascii="Calibri" w:hAnsi="Calibri" w:cs="Calibri"/>
          <w:color w:val="000000"/>
          <w:sz w:val="22"/>
          <w:szCs w:val="22"/>
        </w:rPr>
        <w:t> with </w:t>
      </w:r>
      <w:r w:rsidRPr="00AF28B8">
        <w:rPr>
          <w:rFonts w:ascii="Calibri" w:hAnsi="Calibri" w:cs="Calibri"/>
          <w:i/>
          <w:iCs/>
          <w:color w:val="000000"/>
          <w:sz w:val="22"/>
          <w:szCs w:val="22"/>
        </w:rPr>
        <w:t>Plasmodium falciparum </w:t>
      </w:r>
      <w:r w:rsidRPr="00AF28B8">
        <w:rPr>
          <w:rFonts w:ascii="Calibri" w:hAnsi="Calibri" w:cs="Calibri"/>
          <w:color w:val="000000"/>
          <w:sz w:val="22"/>
          <w:szCs w:val="22"/>
        </w:rPr>
        <w:t>NF54 and placed infected mosquitoes under variable temperature (16, 20, 24, 28, 32, 36°C) and relative humidity (30, 45, 60, 75, 90%) conditions. Midguts and salivary glands of infected mosquitoes were dissected every 3 days post-infection for 24 days to quantify the developmental timing of oocysts and sporozoites. The diameter of developing oocysts was measured over the course of the infections and sporozoite load was quantified using qPCR. We hypothesize that temperature and humidity have compounding effects on parasite development in the mosquito, which is a balance between mosquito immune response to infection and mechanisms of parasite proliferation. We will discuss parasite developmental outcomes under these range of temperatures and previously uninvestigated variation in relative humidity. Understanding the dynamics of malaria infection in </w:t>
      </w:r>
      <w:r w:rsidRPr="00AF28B8">
        <w:rPr>
          <w:rFonts w:ascii="Calibri" w:hAnsi="Calibri" w:cs="Calibri"/>
          <w:i/>
          <w:iCs/>
          <w:color w:val="000000"/>
          <w:sz w:val="22"/>
          <w:szCs w:val="22"/>
        </w:rPr>
        <w:t>An. stephensi </w:t>
      </w:r>
      <w:r w:rsidRPr="00AF28B8">
        <w:rPr>
          <w:rFonts w:ascii="Calibri" w:hAnsi="Calibri" w:cs="Calibri"/>
          <w:color w:val="000000"/>
          <w:sz w:val="22"/>
          <w:szCs w:val="22"/>
        </w:rPr>
        <w:t>will help us to better predict and model the environmental suitability for this invasive urban vector.</w:t>
      </w:r>
    </w:p>
    <w:p w14:paraId="0A524249"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25-A-4025-ASTMH</w:t>
      </w:r>
    </w:p>
    <w:p w14:paraId="10C5A352"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0917282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Sample collection and processing introduce significant variation in measurements of nasal and saliva antibodies against SARS-CoV-2</w:t>
      </w:r>
    </w:p>
    <w:p w14:paraId="586B3B53"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Mucosal antibody responses are key components of the immune response to respiratory viruses such as SARS-CoV-2. Minimizing measurement error is essential in order to adequately capture the variation in mucosal antibody responses between individuals, and any association of antibody responses with infection and disease risk. We sought to evaluate how much variation in SARS-CoV-2 antibody response measurements in saliva and nasal secretions is attributable to sample collection and processing. We recruited 6 healthcare workers from an academic medical center in the United States who self-administered an anterior nasal swab and collected 1ml of saliva by passive drooling. Each participant collected up to 3 sets of samples, at least 20 minutes apart. Samples were kept on ice for transport to the laboratory. The first set of samples was divided into three aliquots, one of which was frozen immediately, while the other two were kept at 4°C for 24 and 72 hours before freezing. After thawing, pseudoneutralization responses against 8 SARS-CoV-2 variants were quantified using a commercially available multiplexed electrochemiluminescence assay (MesoScale Discovery V-Plex). All measurements </w:t>
      </w:r>
      <w:r w:rsidRPr="00AF28B8">
        <w:rPr>
          <w:rFonts w:ascii="Calibri" w:hAnsi="Calibri" w:cs="Calibri"/>
          <w:color w:val="000000"/>
          <w:sz w:val="22"/>
          <w:szCs w:val="22"/>
        </w:rPr>
        <w:lastRenderedPageBreak/>
        <w:t>were performed on the same day by a single operator to minimize extraneous variability. We used a multivariable regression model with random effects to quantify the relative contributions to total variance. We collected 17 saliva samples and 17 nasal swabs. Pseudoneutralization was statistically significantly lower in saliva samples kept at 4°C for 24 hours (-7.6%, 95% confidence interval [CI] -6.7% to 8.5%) or 72 hours (-7.0%, 95% CI -6.1% to 7.9%) compared to those frozen immediately. In contrast, there was no statistically significant effect of delay to freezing in nasal swabs. Time of collection accounted for 9.8% of total variance in saliva and 22.7% of total variance in nasal swabs. We identified significant variation in mucosal antibody response measurements attributable to sampling. Standardized sampling devices such as absorptive sponges and strict processing protocols may limit these sources of variation in studies of mucosal antibody responses.</w:t>
      </w:r>
    </w:p>
    <w:p w14:paraId="24CFC7F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25-A-4026-ASTMH</w:t>
      </w:r>
    </w:p>
    <w:p w14:paraId="5237A01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Prevention</w:t>
      </w:r>
    </w:p>
    <w:p w14:paraId="3B050C7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Inter-Cluster Contamination: A Semivariance Analysis of Community Effect Ranges of Malaria Vector Control Interventions in a Four-Armed Malaria Trial in Muleba, Tanzania</w:t>
      </w:r>
    </w:p>
    <w:p w14:paraId="4BBAF11D"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presence of a community effect in cluster randomised trials of malaria vector control interventions has led to the implementation of “buffer zones” around clusters to limit contamination between interventions. No consensus has been reached on how large these buffers need to be to encapsulate the effect. Nested within a phase-III cluster randomised malaria vector control trial in Northwest Tanzania, this study aims to determine the presence and spatial range of community effects from long-lasting insecticidal net (LLIN) and Indoor Residual Spraying (IRS) interventions on malaria infection in trial clusters four months post-intervention. Effective spatial range estimates of intervention community effects were compared to the buffer distance implemented to limit intervention spillover between clusters in the trial. Geographically-weighted models of malaria infection in children aged 0.5-14 years were determined four months post intervention with a randomised allocation comprising one of two LLIN products with or without IRS. Robust semivariances were calculated for each of 48 intervention clusters and fit to semivariogram models by Weighted Least Squares. 6440 children from 2785 households were included in the Geographically-weighted logistic regression. Prevalence of Plasmodium falciparum infection was 45.9% in the study population. Twenty (20) clusters had significant residual effect ranges, 13 of which were fit to Sine Hole Effect models, indicating periodicity in the study area. Effective range estimates for the study area had a median value of 1210 meters (IQR: 958-1691). Clusters with IRS had a higher median range value: 1535m (IQR: 976-3398) than those without IRS: 1168m (IQR: 829-1504). Significant semivariogram model range estimates extended beyond trial buffer size by a median 868m in LLIN clusters and 1235m for IRS clusters. This presents a spillover potential for all trialed intervention types that may reduce the statistical power to detect difference between trial arms. Future studies should consider the ranges of intervention effects and spillover between trial arms when designing buffer areas.</w:t>
      </w:r>
    </w:p>
    <w:p w14:paraId="5DC0C9D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25-A-4027-ASTMH</w:t>
      </w:r>
    </w:p>
    <w:p w14:paraId="480D057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369697F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Improving Health Facilities’ Reporting Rate and Timeliness through one-on-one mentoring in resource-constrained settings: A case study in Ikenne LGA in Ogun State, South Western Nigeria</w:t>
      </w:r>
    </w:p>
    <w:p w14:paraId="4A4FD4DD"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Timely and consistent reporting is essential for strong health systems and high-quality data. In Ogun State, one key performance indicator tracked by Management Sciences for Health (MSH) is timeliness of data reporting. Although the state has made gradual improvements, some LGAs continue to underperform. Ikenne Local Government Area (LGA), despite having the fewest health facilities in the state, consistently had the lowest reporting rates and timeliness between 2018 and 2022. Contributing factors included limited capacity of monitoring and evaluation (M&amp;E) officers, lack of commitment, and challenging terrain. Due to budget constraints, formal training for M&amp;E officers was not feasible. Instead, a targeted intervention was designed for Ikenne LGA in 2023. This involved five days of one-on-</w:t>
      </w:r>
      <w:r w:rsidRPr="00AF28B8">
        <w:rPr>
          <w:rFonts w:ascii="Calibri" w:hAnsi="Calibri" w:cs="Calibri"/>
          <w:color w:val="000000"/>
          <w:sz w:val="22"/>
          <w:szCs w:val="22"/>
        </w:rPr>
        <w:lastRenderedPageBreak/>
        <w:t>one mentoring from state-level officers, development of workplans and entry schedules, and Continuous follow-up throughout each reporting period, daily feedback on reporting rates was provided. An assistant was also trained to support the M&amp;E officer. Results showed clear progress: (1) Reporting rates (RR) rose from 61.3% in February 2023 to 64.5% in March 2024, peaking at 71% by December 2024; (2) Reporting consistency was maintained from June 2023 to December 2024; (3) A temporary dip in June 2024 was linked to national DHIS downtime. . This approach demonstrates the effectiveness of targeted mentoring and follow-up in improving LGA-level performance. Continued capacity building, system clean-up, and regular performance reviews are recommended. Although successful in Ikenne, further research is needed to isolate the most impactful interventions and assess scalability across other LGAs</w:t>
      </w:r>
    </w:p>
    <w:p w14:paraId="73A5F3B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25-A-4028-ASTMH</w:t>
      </w:r>
    </w:p>
    <w:p w14:paraId="408437C8"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(Other)</w:t>
      </w:r>
    </w:p>
    <w:p w14:paraId="2B5CCE65"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impact of four rounds of mass drug administration using a three-drug regimen on lymphatic filariasis in American Samoa</w:t>
      </w:r>
    </w:p>
    <w:p w14:paraId="2266D14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During 2018–2024, the American Samoa Department of Health (ASDOH) conducted four mass drug administration (MDA) campaigns for lymphatic filariasis (LF) using a triple-drug treatment regimen of ivermectin, diethylcarbamazine, and albendazole (IDA). Coverage exceeded the </w:t>
      </w:r>
      <w:r w:rsidRPr="00AF28B8">
        <w:rPr>
          <w:rFonts w:ascii="Calibri" w:hAnsi="Calibri" w:cs="Calibri"/>
          <w:color w:val="000000"/>
          <w:sz w:val="22"/>
          <w:szCs w:val="22"/>
          <w:u w:val="single"/>
        </w:rPr>
        <w:t>World Health Organization (WHO) recommended threshold, and i</w:t>
      </w:r>
      <w:r w:rsidRPr="00AF28B8">
        <w:rPr>
          <w:rFonts w:ascii="Calibri" w:hAnsi="Calibri" w:cs="Calibri"/>
          <w:color w:val="000000"/>
          <w:sz w:val="22"/>
          <w:szCs w:val="22"/>
        </w:rPr>
        <w:t>ntermittent impact assessments showed decline in circulating filarial antigen (CFA) and microfilariae (Mf) prevalence. We sought to evaluate whether territory-wide Mf prevalence declined below the WHO threshold of 0.5% to stop annual MDA campaigns.</w:t>
      </w:r>
      <w:r w:rsidRPr="00AF28B8">
        <w:rPr>
          <w:rFonts w:ascii="Calibri" w:hAnsi="Calibri" w:cs="Calibri"/>
          <w:b/>
          <w:bCs/>
          <w:color w:val="000000"/>
          <w:sz w:val="22"/>
          <w:szCs w:val="22"/>
        </w:rPr>
        <w:t> </w:t>
      </w:r>
      <w:r w:rsidRPr="00AF28B8">
        <w:rPr>
          <w:rFonts w:ascii="Calibri" w:hAnsi="Calibri" w:cs="Calibri"/>
          <w:color w:val="000000"/>
          <w:sz w:val="22"/>
          <w:szCs w:val="22"/>
        </w:rPr>
        <w:t>ASDOH used WHO guidelines to enroll at least 2820 adults from randomly selected households across American Samoa. During September–December 2024, investigators surveyed consenting adults on prior MDA participation and LF exposure. CFA was screened on-site by fingerstick blood sample using the STANDARD Q Filariasis Test. CFA positive participants had blood collected on-site for Mf testing in the laboratory and were offered IDA. Investigators calculated CFA and Mf prevalence.</w:t>
      </w:r>
      <w:r w:rsidRPr="00AF28B8">
        <w:rPr>
          <w:rFonts w:ascii="Calibri" w:hAnsi="Calibri" w:cs="Calibri"/>
          <w:b/>
          <w:bCs/>
          <w:color w:val="000000"/>
          <w:sz w:val="22"/>
          <w:szCs w:val="22"/>
        </w:rPr>
        <w:t> </w:t>
      </w:r>
      <w:r w:rsidRPr="00AF28B8">
        <w:rPr>
          <w:rFonts w:ascii="Calibri" w:hAnsi="Calibri" w:cs="Calibri"/>
          <w:color w:val="000000"/>
          <w:sz w:val="22"/>
          <w:szCs w:val="22"/>
        </w:rPr>
        <w:t>Among 2871 participants from 1007 households, mean age was 45; 52% were male; 9% had never taken MDA. Nineteen participants were CFA positive (0.66%, 95% CI 0.42%–1.03%). Of these, seven were Mf positive, and one was lost to follow-up (considered Mf positive per protocol) (0.28%, 95% CI 0.14%–0.55%). Both measures were lower than 2019 survey findings of 4.3% (95% CI 2.8%–6.8%) CFA and 1.3% (95% CI 0.6%–2.6%) Mf positivity. Among the eight Mf positive participants in 2024, all were male; mean age was 47, five (62.5%) took MDA at least once, and only one (12.5%) traveled to another LF-endemic country in the past year. Mf prevalence exceeded the 95% confidence interval of the stopping threshold. In accordance with WHO technical guidance, American Samoa should consider targeted MDA campaigns in villages with two or more CFA positive participants or any Mf positive participants, with focus on adult males.</w:t>
      </w:r>
    </w:p>
    <w:p w14:paraId="5D769F4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25-A-4029-ASTMH</w:t>
      </w:r>
    </w:p>
    <w:p w14:paraId="2AC9398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w:t>
      </w:r>
    </w:p>
    <w:p w14:paraId="04B044D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Pneumococcal Serotype Replacement in the Post-PCV Era: Implications for Vaccine Policy in Bangladesh</w:t>
      </w:r>
    </w:p>
    <w:p w14:paraId="794C9A7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Bangladesh introduced the 10-valent pneumococcal conjugate vaccine (PCV-10) in 2015 to prevent pneumococcal diseases, a leading cause of under-five mortality. Since then, children receive PCV-10 at 6, 10, and 18 weeks of age. The vaccine was estimated to cover 43% of the serotypes causing invasive pneumococcal disease prior to its introduction. We assessed prevalent and emerging pneumococcal serotypes circulating in children post-PCV-10 introduction. From May 2023 - March 2025, we enrolled children aged &lt;5 years hospitalized at four Bangladeshi hospitals who met the World Health Organization case definition for pneumonia, meningitis, or sepsis. We collected nasopharyngeal (NP) swabs, blood, and urine from all; pleural fluid and cerebrospinal fluid were collected if clinically indicated. All specimens, except urine, were tested for Streptococcus pneumoniae through culture and </w:t>
      </w:r>
      <w:r w:rsidRPr="00AF28B8">
        <w:rPr>
          <w:rFonts w:ascii="Calibri" w:hAnsi="Calibri" w:cs="Calibri"/>
          <w:color w:val="000000"/>
          <w:sz w:val="22"/>
          <w:szCs w:val="22"/>
        </w:rPr>
        <w:lastRenderedPageBreak/>
        <w:t>lytA real-time PCR (RT-PCR). Positive samples were serotyped using multiplex PCR. Among 2,129 enrolled children, 83.7% (n=1,783) had pneumonia, 10.8% (n=230) had meningitis, and 2.7% (n=58) had sepsis. Most children (78.4%) completed the recommended 3-dose PCV series, and vaccination card confirmation was available for 77% of the total enrolled participants. Culture results yielded no S. pneumoniae isolates from blood, CSF, or pleural fluid, but 146 (7.2%) from NP swabs; RT-PCR detected S. pneumoniae in 45 (2.5%) blood samples and 947 (56.2%) NP swabs. Among 1,089 (51%) serotyped specimens (including blood and NP swab), we identified 30 different serotypes. Prevalent serotypes included 19A (9.3%), 15B/C (9.1%), 11A/D/E (6.6%), 35B (6.2%), and 15A/F (5.2%). Only 2% of all detected serotypes were covered by PCV-10, while 16% were covered by PCV-13 and 32% by PCV-20. Our findings show persistently low detection of PCV-10 serotypes even a decade after its introduction, while non-PCV-10 serotypes—particularly those covered by PCV-13 and PCV-20—continue to circulate widely in Bangladesh. This underscores the evolving pneumococcal serotype landscape and highlights the need for continuous surveillance to inform future vaccination strategies.</w:t>
      </w:r>
    </w:p>
    <w:p w14:paraId="0ACE4B8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25-A-4030-ASTMH</w:t>
      </w:r>
    </w:p>
    <w:p w14:paraId="273354FA"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774FCEBD"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Molecular Surveillance and Spatial Heterogeneity of Asymptomatic and Submicroscopic Plasmodium falciparum Reservoirs at the Household Level at Different Epidemiological Settings in Ghana</w:t>
      </w:r>
    </w:p>
    <w:p w14:paraId="4BBB134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Asymptomatic and submicroscopic Plasmodium falciparum infections are responsible for sustaining transmission of malaria and are significant hurdles to malaria elimination. Such reservoirs are often below the threshold of detection by conventional diagnostics. This study leveraged molecular diagnostics and geospatial mapping to investigate the prevalence, geographic distribution, and household-level predictors of P. falciparum infection in two ecological communities.A total of 1,339 asymptomatic participants were enrolled during both wet and dry seasons. Blood samples were screened for P. falciparum using microscopy, RDT, and varATS qPCR. Detailed demographic and household characteristics were collected. Spatial patterning was analysed using Incremental Spatial Autocorrelation, Ripley’s K function, and Getis-Ord Gi\ hotspot analysis. Significant differences were observed between the two communities in terms of demographics, household structure, and malaria preventive measures. The prevalence of malaria varied markedly by diagnostic method, season, and community. The varATS qPCR consistently detected a higher prevalence of P. falciparum in the forest zone compared to the coastal zones. These variations were strongly associated with malaria infection status.The spatial analysis revealed statistically significant clustering of qPCR-positive malaria cases. Incremental Spatial Autocorrelation indicated the maximum z-score of 4.24 at a distance of 133.5 meters, and Ripley's K function confirmed the existence of spatial dependence at a distance of 140 meters. Hotspot analysis identified areas of increased malaria intensity in the central section of the study area, showing persistent foci of infection even after the institution of control interventions. The recognized hotspots coincided with several environmental risk indicators, such as stagnant water presence, high vegetation density, and poor application of protective measures.The research uncovers that submicroscopic and asymptomatic malaria infections exhibit spatial heterogeneity, which could be targeted for malaria elimination.</w:t>
      </w:r>
    </w:p>
    <w:p w14:paraId="62DF9D47"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25-A-4031-ASTMH</w:t>
      </w:r>
    </w:p>
    <w:p w14:paraId="37A18AC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(Clinical)</w:t>
      </w:r>
    </w:p>
    <w:p w14:paraId="4B54DF6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Intersecting Epidemics: The Co-occurrence of Diabetes and Lymphatic Filariasis in South India</w:t>
      </w:r>
    </w:p>
    <w:p w14:paraId="120B9C0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Lymphatic filariasis (LF), commonly known as elephantiasis, is a mosquito-borne neglected tropical disease characterized by chronic limb swelling, pain, disability, and recurrent acute adenolymphangitis (ADL) episodes. Diabetes mellitus, highly prevalent and rapidly increasing in India, impairs immune function and was hypothesized to exacerbate ADL severity by increasing susceptibility to infections. This case-control study investigated whether coexisting diabetes affects the frequency or duration of ADL episodes among LF patients attending a public filariasis clinic in Pondicherry, India. Data was collected </w:t>
      </w:r>
      <w:r w:rsidRPr="00AF28B8">
        <w:rPr>
          <w:rFonts w:ascii="Calibri" w:hAnsi="Calibri" w:cs="Calibri"/>
          <w:color w:val="000000"/>
          <w:sz w:val="22"/>
          <w:szCs w:val="22"/>
        </w:rPr>
        <w:lastRenderedPageBreak/>
        <w:t>from 166 patients (79 diabetic, 87 non-diabetic), including demographics, diabetes status, ADL episodes, morbidity management adherence (including limb hygiene, elevation, massage, and skincare), healthcare access, and lymphedema severity. Diabetic patients experienced significantly fewer ADL attacks compared to non-diabetic patients (46.8% vs. 62.1%, p=0.049), yet diabetic individuals experienced significantly longer-lasting episodes (≥7 days; 58.2% vs. 41.4%, p=0.030). Advanced lymphedema stage, presence of intertrigo, and lower socioeconomic status significantly predicted increased ADL frequency, indicating that social determinants strongly influence morbidity outcomes. Morbidity management adherence was comparable across groups, suggesting that differences in structured diabetes care such as clinical follow-up, wound management, and regular patient counseling, rather than differences in basic hygiene practices, may have influenced outcomes. These findings support the integration of LF patients into routine diabetes care programs to leverage structured clinical management strategies. Such integrated care models could effectively reduce ADL morbidity, prevent long-term disability, and improve quality of life in endemic regions confronting overlapping communicable and non-communicable disease burdens.</w:t>
      </w:r>
    </w:p>
    <w:p w14:paraId="626EA7E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25-A-4032-ASTMH</w:t>
      </w:r>
    </w:p>
    <w:p w14:paraId="4A2CAC40"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2ED8F0D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Efficacy and Determinants Affecting Immunological Diagnostic Testing for Tuberculosis in the Homeless Population Followed by Wetmore Clinic</w:t>
      </w:r>
    </w:p>
    <w:p w14:paraId="539C168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Tuberculosis [TB] is a deadly mycobacterial disease that affects 10.6 million people annually worldwide. TB disproportionately affects immune-compromised people who live in impoverished and extreme conditions. A large community affected by TB is the homeless population, with about 8.3% of patients </w:t>
      </w:r>
      <w:r w:rsidRPr="00AF28B8">
        <w:rPr>
          <w:rFonts w:ascii="Calibri" w:hAnsi="Calibri" w:cs="Calibri"/>
          <w:i/>
          <w:iCs/>
          <w:color w:val="000000"/>
          <w:sz w:val="22"/>
          <w:szCs w:val="22"/>
        </w:rPr>
        <w:t>reported</w:t>
      </w:r>
      <w:r w:rsidRPr="00AF28B8">
        <w:rPr>
          <w:rFonts w:ascii="Calibri" w:hAnsi="Calibri" w:cs="Calibri"/>
          <w:color w:val="000000"/>
          <w:sz w:val="22"/>
          <w:szCs w:val="22"/>
        </w:rPr>
        <w:t> to have experienced homelessness during their lifetime.</w:t>
      </w:r>
      <w:r w:rsidRPr="00AF28B8">
        <w:rPr>
          <w:rFonts w:ascii="Calibri" w:hAnsi="Calibri" w:cs="Calibri"/>
          <w:color w:val="000000"/>
          <w:sz w:val="22"/>
          <w:szCs w:val="22"/>
        </w:rPr>
        <w:br/>
        <w:t>The Louisiana Wetmore Tuberculosis Clinic is a state TB surveillance institution that plays a crucial role in diagnosing and treating TB patients. The clinic gets referrals from homeless shelters and data was used to compare the two most common immunological tests; purified-protein-derivative [PPD] and T-SPOT tests. A PPD is a skin test while T-SPOTs are blood tests. A positive-predictive-value [PPV] for each shelter was created to test the effectiveness of the PPD test. The PPV explains the likelihood that a PPD test will correctly diagnose a patient with TB; patient symptoms and a T-SPOT were used as confirmation. The PPV formula is (true positives) over (true and false positives).</w:t>
      </w:r>
      <w:r w:rsidRPr="00AF28B8">
        <w:rPr>
          <w:rFonts w:ascii="Calibri" w:hAnsi="Calibri" w:cs="Calibri"/>
          <w:color w:val="000000"/>
          <w:sz w:val="22"/>
          <w:szCs w:val="22"/>
        </w:rPr>
        <w:br/>
        <w:t>This study's objective is to evaluate the efficiency of PPD tests in homeless populations and investigate determinates that may reduce the effectiveness of the test. Moreover, the research aims to encourage discourse, exploration into underlying factors contributing to inconsistent diagnoses for immunocompromised patients, and discuss the cost effectiveness between the two testing methods.</w:t>
      </w:r>
      <w:r w:rsidRPr="00AF28B8">
        <w:rPr>
          <w:rFonts w:ascii="Calibri" w:hAnsi="Calibri" w:cs="Calibri"/>
          <w:color w:val="000000"/>
          <w:sz w:val="22"/>
          <w:szCs w:val="22"/>
        </w:rPr>
        <w:br/>
        <w:t>Results show that most shelters had sub-par values with variability between them. On average, 36% of homeless shelter patients are likely to be correctly diagnosed with TB using PPD tests. The highest PPV was 56.76% and the lowest was 16.67%. PPD Patients that were tested outside homeless facilities were 11.8% more likely to be diagnosed than their counterparts; suggesting facility care is a determinant.</w:t>
      </w:r>
      <w:r w:rsidRPr="00AF28B8">
        <w:rPr>
          <w:rFonts w:ascii="Calibri" w:hAnsi="Calibri" w:cs="Calibri"/>
          <w:color w:val="000000"/>
          <w:sz w:val="22"/>
          <w:szCs w:val="22"/>
        </w:rPr>
        <w:br/>
        <w:t>PPD tests have limitations that influence outcomes such as personnel expertise, patient nutritional and BCG status, hypersensitivity, and more. In conclusion, results suggest PPDs are likely not a viable option for homeless and immuno-compromised populations, and T-SPOTs should be considered over PPD tests.</w:t>
      </w:r>
    </w:p>
    <w:p w14:paraId="261A5D78"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25-A-4033-ASTMH</w:t>
      </w:r>
    </w:p>
    <w:p w14:paraId="5C807F30"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489C2FED" w14:textId="2E0DF646"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Elucidating the drivers of cyclic dengue epidemics: a case study</w:t>
      </w:r>
    </w:p>
    <w:p w14:paraId="2AE7689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Dengue fever is one of the most important arthropod-borne viral diseases in the world in terms of both morbidity and</w:t>
      </w:r>
      <w:r w:rsidRPr="00AF28B8">
        <w:rPr>
          <w:rFonts w:ascii="Calibri" w:hAnsi="Calibri" w:cs="Calibri"/>
          <w:color w:val="000000"/>
          <w:sz w:val="22"/>
          <w:szCs w:val="22"/>
        </w:rPr>
        <w:t> </w:t>
      </w:r>
      <w:r w:rsidRPr="00AF28B8">
        <w:rPr>
          <w:rFonts w:ascii="Calibri" w:hAnsi="Calibri" w:cs="Calibri"/>
          <w:i/>
          <w:iCs/>
          <w:color w:val="000000"/>
          <w:sz w:val="22"/>
          <w:szCs w:val="22"/>
        </w:rPr>
        <w:t>mortality. The disease is endemic in more than 100 countries globally. The WHO estimates between 50-300 million dengue</w:t>
      </w:r>
      <w:r w:rsidRPr="00AF28B8">
        <w:rPr>
          <w:rFonts w:ascii="Calibri" w:hAnsi="Calibri" w:cs="Calibri"/>
          <w:color w:val="000000"/>
          <w:sz w:val="22"/>
          <w:szCs w:val="22"/>
        </w:rPr>
        <w:t> </w:t>
      </w:r>
      <w:r w:rsidRPr="00AF28B8">
        <w:rPr>
          <w:rFonts w:ascii="Calibri" w:hAnsi="Calibri" w:cs="Calibri"/>
          <w:i/>
          <w:iCs/>
          <w:color w:val="000000"/>
          <w:sz w:val="22"/>
          <w:szCs w:val="22"/>
        </w:rPr>
        <w:t>infections per year.</w:t>
      </w:r>
      <w:r w:rsidRPr="00AF28B8">
        <w:rPr>
          <w:rFonts w:ascii="Calibri" w:hAnsi="Calibri" w:cs="Calibri"/>
          <w:color w:val="000000"/>
          <w:sz w:val="22"/>
          <w:szCs w:val="22"/>
        </w:rPr>
        <w:t> </w:t>
      </w:r>
      <w:r w:rsidRPr="00AF28B8">
        <w:rPr>
          <w:rFonts w:ascii="Calibri" w:hAnsi="Calibri" w:cs="Calibri"/>
          <w:i/>
          <w:iCs/>
          <w:color w:val="000000"/>
          <w:sz w:val="22"/>
          <w:szCs w:val="22"/>
        </w:rPr>
        <w:t>In 2017, many countries in the South East Asia region, were overwhelmed by the epidemic. Despite the fact that there are</w:t>
      </w:r>
      <w:r w:rsidRPr="00AF28B8">
        <w:rPr>
          <w:rFonts w:ascii="Calibri" w:hAnsi="Calibri" w:cs="Calibri"/>
          <w:color w:val="000000"/>
          <w:sz w:val="22"/>
          <w:szCs w:val="22"/>
        </w:rPr>
        <w:t> </w:t>
      </w:r>
      <w:r w:rsidRPr="00AF28B8">
        <w:rPr>
          <w:rFonts w:ascii="Calibri" w:hAnsi="Calibri" w:cs="Calibri"/>
          <w:i/>
          <w:iCs/>
          <w:color w:val="000000"/>
          <w:sz w:val="22"/>
          <w:szCs w:val="22"/>
        </w:rPr>
        <w:t>control measures in place, Sri Lanka still struggles with these cyclic dengue epidemics which arise due to a number of</w:t>
      </w:r>
      <w:r w:rsidRPr="00AF28B8">
        <w:rPr>
          <w:rFonts w:ascii="Calibri" w:hAnsi="Calibri" w:cs="Calibri"/>
          <w:color w:val="000000"/>
          <w:sz w:val="22"/>
          <w:szCs w:val="22"/>
        </w:rPr>
        <w:t> </w:t>
      </w:r>
      <w:r w:rsidRPr="00AF28B8">
        <w:rPr>
          <w:rFonts w:ascii="Calibri" w:hAnsi="Calibri" w:cs="Calibri"/>
          <w:i/>
          <w:iCs/>
          <w:color w:val="000000"/>
          <w:sz w:val="22"/>
          <w:szCs w:val="22"/>
        </w:rPr>
        <w:t xml:space="preserve">interplaying </w:t>
      </w:r>
      <w:r w:rsidRPr="00AF28B8">
        <w:rPr>
          <w:rFonts w:ascii="Calibri" w:hAnsi="Calibri" w:cs="Calibri"/>
          <w:i/>
          <w:iCs/>
          <w:color w:val="000000"/>
          <w:sz w:val="22"/>
          <w:szCs w:val="22"/>
        </w:rPr>
        <w:lastRenderedPageBreak/>
        <w:t>factors (virus, vector, host, and environment) that form a complex ecological system of dengue transmission.</w:t>
      </w:r>
      <w:r w:rsidRPr="00AF28B8">
        <w:rPr>
          <w:rFonts w:ascii="Calibri" w:hAnsi="Calibri" w:cs="Calibri"/>
          <w:color w:val="000000"/>
          <w:sz w:val="22"/>
          <w:szCs w:val="22"/>
        </w:rPr>
        <w:t> </w:t>
      </w:r>
      <w:r w:rsidRPr="00AF28B8">
        <w:rPr>
          <w:rFonts w:ascii="Calibri" w:hAnsi="Calibri" w:cs="Calibri"/>
          <w:i/>
          <w:iCs/>
          <w:color w:val="000000"/>
          <w:sz w:val="22"/>
          <w:szCs w:val="22"/>
        </w:rPr>
        <w:t>There was a surge in dengue cases in 2017 and 2009 in Sri Lanka. We saw a larger a number of cases than we had experienced</w:t>
      </w:r>
      <w:r w:rsidRPr="00AF28B8">
        <w:rPr>
          <w:rFonts w:ascii="Calibri" w:hAnsi="Calibri" w:cs="Calibri"/>
          <w:color w:val="000000"/>
          <w:sz w:val="22"/>
          <w:szCs w:val="22"/>
        </w:rPr>
        <w:t> </w:t>
      </w:r>
      <w:r w:rsidRPr="00AF28B8">
        <w:rPr>
          <w:rFonts w:ascii="Calibri" w:hAnsi="Calibri" w:cs="Calibri"/>
          <w:i/>
          <w:iCs/>
          <w:color w:val="000000"/>
          <w:sz w:val="22"/>
          <w:szCs w:val="22"/>
        </w:rPr>
        <w:t>previously and an increase in hospitalisations, especially more severe cases, and deaths. Hospitals were overwhelmed. This</w:t>
      </w:r>
      <w:r w:rsidRPr="00AF28B8">
        <w:rPr>
          <w:rFonts w:ascii="Calibri" w:hAnsi="Calibri" w:cs="Calibri"/>
          <w:color w:val="000000"/>
          <w:sz w:val="22"/>
          <w:szCs w:val="22"/>
        </w:rPr>
        <w:t> </w:t>
      </w:r>
      <w:r w:rsidRPr="00AF28B8">
        <w:rPr>
          <w:rFonts w:ascii="Calibri" w:hAnsi="Calibri" w:cs="Calibri"/>
          <w:i/>
          <w:iCs/>
          <w:color w:val="000000"/>
          <w:sz w:val="22"/>
          <w:szCs w:val="22"/>
        </w:rPr>
        <w:t>wave dynamics of surge of cases occur every 2-3 years as in other countries. What are the possible drivers of this rapid and</w:t>
      </w:r>
      <w:r w:rsidRPr="00AF28B8">
        <w:rPr>
          <w:rFonts w:ascii="Calibri" w:hAnsi="Calibri" w:cs="Calibri"/>
          <w:color w:val="000000"/>
          <w:sz w:val="22"/>
          <w:szCs w:val="22"/>
        </w:rPr>
        <w:t> </w:t>
      </w:r>
      <w:r w:rsidRPr="00AF28B8">
        <w:rPr>
          <w:rFonts w:ascii="Calibri" w:hAnsi="Calibri" w:cs="Calibri"/>
          <w:i/>
          <w:iCs/>
          <w:color w:val="000000"/>
          <w:sz w:val="22"/>
          <w:szCs w:val="22"/>
        </w:rPr>
        <w:t>proportional increase in cases (above normal seasonal fluctuation) and the increase in severe cases?</w:t>
      </w:r>
      <w:r w:rsidRPr="00AF28B8">
        <w:rPr>
          <w:rFonts w:ascii="Calibri" w:hAnsi="Calibri" w:cs="Calibri"/>
          <w:color w:val="000000"/>
          <w:sz w:val="22"/>
          <w:szCs w:val="22"/>
        </w:rPr>
        <w:t> </w:t>
      </w:r>
      <w:r w:rsidRPr="00AF28B8">
        <w:rPr>
          <w:rFonts w:ascii="Calibri" w:hAnsi="Calibri" w:cs="Calibri"/>
          <w:i/>
          <w:iCs/>
          <w:color w:val="000000"/>
          <w:sz w:val="22"/>
          <w:szCs w:val="22"/>
        </w:rPr>
        <w:t>Through a scoping review of epidemics in the SSEA region and examination of case and publicly available sequence data we</w:t>
      </w:r>
      <w:r w:rsidRPr="00AF28B8">
        <w:rPr>
          <w:rFonts w:ascii="Calibri" w:hAnsi="Calibri" w:cs="Calibri"/>
          <w:color w:val="000000"/>
          <w:sz w:val="22"/>
          <w:szCs w:val="22"/>
        </w:rPr>
        <w:t> </w:t>
      </w:r>
      <w:r w:rsidRPr="00AF28B8">
        <w:rPr>
          <w:rFonts w:ascii="Calibri" w:hAnsi="Calibri" w:cs="Calibri"/>
          <w:i/>
          <w:iCs/>
          <w:color w:val="000000"/>
          <w:sz w:val="22"/>
          <w:szCs w:val="22"/>
        </w:rPr>
        <w:t>explore the possible explanations for these surges. We compare genomic data and case data to derive the reasons for these</w:t>
      </w:r>
      <w:r w:rsidRPr="00AF28B8">
        <w:rPr>
          <w:rFonts w:ascii="Calibri" w:hAnsi="Calibri" w:cs="Calibri"/>
          <w:color w:val="000000"/>
          <w:sz w:val="22"/>
          <w:szCs w:val="22"/>
        </w:rPr>
        <w:t> </w:t>
      </w:r>
      <w:r w:rsidRPr="00AF28B8">
        <w:rPr>
          <w:rFonts w:ascii="Calibri" w:hAnsi="Calibri" w:cs="Calibri"/>
          <w:i/>
          <w:iCs/>
          <w:color w:val="000000"/>
          <w:sz w:val="22"/>
          <w:szCs w:val="22"/>
        </w:rPr>
        <w:t>cyclic epidemics and examine the hypotheses that have been provided thus far, namely a change in the virus serotype or El</w:t>
      </w:r>
      <w:r w:rsidRPr="00AF28B8">
        <w:rPr>
          <w:rFonts w:ascii="Calibri" w:hAnsi="Calibri" w:cs="Calibri"/>
          <w:color w:val="000000"/>
          <w:sz w:val="22"/>
          <w:szCs w:val="22"/>
        </w:rPr>
        <w:t> </w:t>
      </w:r>
      <w:r w:rsidRPr="00AF28B8">
        <w:rPr>
          <w:rFonts w:ascii="Calibri" w:hAnsi="Calibri" w:cs="Calibri"/>
          <w:i/>
          <w:iCs/>
          <w:color w:val="000000"/>
          <w:sz w:val="22"/>
          <w:szCs w:val="22"/>
        </w:rPr>
        <w:t>Nino dynamics. Using Sri Lanka As a case study, we compare to countries in the region that have reported these surges to</w:t>
      </w:r>
      <w:r w:rsidRPr="00AF28B8">
        <w:rPr>
          <w:rFonts w:ascii="Calibri" w:hAnsi="Calibri" w:cs="Calibri"/>
          <w:color w:val="000000"/>
          <w:sz w:val="22"/>
          <w:szCs w:val="22"/>
        </w:rPr>
        <w:t> </w:t>
      </w:r>
      <w:r w:rsidRPr="00AF28B8">
        <w:rPr>
          <w:rFonts w:ascii="Calibri" w:hAnsi="Calibri" w:cs="Calibri"/>
          <w:i/>
          <w:iCs/>
          <w:color w:val="000000"/>
          <w:sz w:val="22"/>
          <w:szCs w:val="22"/>
        </w:rPr>
        <w:t>explore current hypotheses.</w:t>
      </w:r>
    </w:p>
    <w:p w14:paraId="0AA56738"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25-A-4034-ASTMH</w:t>
      </w:r>
    </w:p>
    <w:p w14:paraId="06757F7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Pathogenesis</w:t>
      </w:r>
    </w:p>
    <w:p w14:paraId="64A729C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Role of iPSC-Derived Brain Organoids in Understanding Human Cerebral Malaria Pathogenesis during Early Brain Development</w:t>
      </w:r>
    </w:p>
    <w:p w14:paraId="7BFAB0A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Human cerebral malaria (HCM) remains a significant global health challenge, particularly affecting young children during critical phases of early brain development. This severe encephalopathy, caused by </w:t>
      </w:r>
      <w:r w:rsidRPr="00AF28B8">
        <w:rPr>
          <w:rFonts w:ascii="Calibri" w:hAnsi="Calibri" w:cs="Calibri"/>
          <w:i/>
          <w:iCs/>
          <w:color w:val="000000"/>
          <w:sz w:val="22"/>
          <w:szCs w:val="22"/>
        </w:rPr>
        <w:t>Plasmodium falciparum infection</w:t>
      </w:r>
      <w:r w:rsidRPr="00AF28B8">
        <w:rPr>
          <w:rFonts w:ascii="Calibri" w:hAnsi="Calibri" w:cs="Calibri"/>
          <w:color w:val="000000"/>
          <w:sz w:val="22"/>
          <w:szCs w:val="22"/>
        </w:rPr>
        <w:t>, has a 20-30% mortality rate and leads to long-term neurological complications and brain damage in some survivors. Ethical and practical limitations in human subject’s research hinders our understanding of HCM pathophysiology, emphasizing the need for alternative ex-vivo models, such as cortical brain organoids capable of simulating human brain development and function under controlled disease conditions. Evidence shows elevated systemic levels of free heme and HRP2, hallmarks of HCM, leads to blood-brain barrier and neuronal damage and contributes to cognitive impairment. We previously modeled a three-dimensional cortical organoid system derived from induced pluripotent stem cells (iPSCs) to investigate heme-induced neuronal injury, which revealed cell damage and structural changes in exposed organoids and was associated with differential expression of HCM biomarkers. Further investigation using specific 2D cell populations shows heme and HRP2 significantly impact cell viability of neural progenitor cells (NPCs), which are precursors to neurons, astrocytes and oligodendrocytes, and microglia cells that provide immune surveillance and neuroprotection in the developing and adult brain. Neuroprotective agents NRG-1 and Atorvastatin were seen to protect against heme and HRP2 exposure in microglia but showed limited effect in NPCs. Additionally, heme and HRP2 altered expression of biomarkers associated with heme-induced brain damage (IL-6, CXCL10) and blood-brain barrier disruption (VEGF, VCAM-1, ICAM-1). This research highlights the transformative potential of iPSC-derived ex-vivo models in overcoming barriers to HCM research, offering new insights into disease mechanisms and paving the way for therapeutic innovation to protect the developing human brain.</w:t>
      </w:r>
    </w:p>
    <w:p w14:paraId="5B58C093"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25-A-4035-ASTMH</w:t>
      </w:r>
    </w:p>
    <w:p w14:paraId="76E0BE9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26FD668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BIUXX</w:t>
      </w:r>
    </w:p>
    <w:p w14:paraId="625211D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West Nile virus (WVN) was first detected in human populations of Clark County, Southern Nevada, in 2004. In response to this public health threat, the Southern Nevada Health District (SNHD) developed a mosquito disease surveillance program to survey mosquito populations for arboviral diseases such as WNV, Saint Louis Encephalitis Virus (SLEV), and Western Equine Encephalitis (WEE). In 2019, there was a WNV outbreak with 43 human cases and 268 WNV-positive pools in 43 zip codes. In 2024, Southern Nevada experienced a WNV outbreak with 26 human cases, which included 14 neuroinvasive cases and 388 WNV-positive pools of 12,033 mosquitoes from 48 zip codes. With a growing population, shifting land use patterns and ongoing climate changes in Clark County, it is important for the SNHD to develop a strategy to mitigate future arbovirus epidemics in Clark County, including mosquito abatement. This </w:t>
      </w:r>
      <w:r w:rsidRPr="00AF28B8">
        <w:rPr>
          <w:rFonts w:ascii="Calibri" w:hAnsi="Calibri" w:cs="Calibri"/>
          <w:color w:val="000000"/>
          <w:sz w:val="22"/>
          <w:szCs w:val="22"/>
        </w:rPr>
        <w:lastRenderedPageBreak/>
        <w:t>study determined the susceptibility status of </w:t>
      </w:r>
      <w:r w:rsidRPr="00AF28B8">
        <w:rPr>
          <w:rFonts w:ascii="Calibri" w:hAnsi="Calibri" w:cs="Calibri"/>
          <w:i/>
          <w:iCs/>
          <w:color w:val="000000"/>
          <w:sz w:val="22"/>
          <w:szCs w:val="22"/>
        </w:rPr>
        <w:t>Culex pipiens sensu lato (s.l.)</w:t>
      </w:r>
      <w:r w:rsidRPr="00AF28B8">
        <w:rPr>
          <w:rFonts w:ascii="Calibri" w:hAnsi="Calibri" w:cs="Calibri"/>
          <w:color w:val="000000"/>
          <w:sz w:val="22"/>
          <w:szCs w:val="22"/>
        </w:rPr>
        <w:t> collected from 4 jurisdictions in Clark County to public health adulticides (deltamethrin, malathion, and permethrin) and larvicides (</w:t>
      </w:r>
      <w:r w:rsidRPr="00AF28B8">
        <w:rPr>
          <w:rFonts w:ascii="Calibri" w:hAnsi="Calibri" w:cs="Calibri"/>
          <w:i/>
          <w:iCs/>
          <w:color w:val="000000"/>
          <w:sz w:val="22"/>
          <w:szCs w:val="22"/>
        </w:rPr>
        <w:t>Bacillus thuringiensis subspecies israelensis; Bti, Lysinibacillus</w:t>
      </w:r>
      <w:r w:rsidRPr="00AF28B8">
        <w:rPr>
          <w:rFonts w:ascii="Calibri" w:hAnsi="Calibri" w:cs="Calibri"/>
          <w:color w:val="000000"/>
          <w:sz w:val="22"/>
          <w:szCs w:val="22"/>
        </w:rPr>
        <w:t> </w:t>
      </w:r>
      <w:r w:rsidRPr="00AF28B8">
        <w:rPr>
          <w:rFonts w:ascii="Calibri" w:hAnsi="Calibri" w:cs="Calibri"/>
          <w:i/>
          <w:iCs/>
          <w:color w:val="000000"/>
          <w:sz w:val="22"/>
          <w:szCs w:val="22"/>
        </w:rPr>
        <w:t>sphaericus; LS</w:t>
      </w:r>
      <w:r w:rsidRPr="00AF28B8">
        <w:rPr>
          <w:rFonts w:ascii="Calibri" w:hAnsi="Calibri" w:cs="Calibri"/>
          <w:color w:val="000000"/>
          <w:sz w:val="22"/>
          <w:szCs w:val="22"/>
        </w:rPr>
        <w:t>, temephos, and spinosad), using standardized CDC resistance intensity bioassays and WHO larval bioassays, respectively; the susceptible strain </w:t>
      </w:r>
      <w:r w:rsidRPr="00AF28B8">
        <w:rPr>
          <w:rFonts w:ascii="Calibri" w:hAnsi="Calibri" w:cs="Calibri"/>
          <w:i/>
          <w:iCs/>
          <w:color w:val="000000"/>
          <w:sz w:val="22"/>
          <w:szCs w:val="22"/>
        </w:rPr>
        <w:t>Culex quinquefasciatus</w:t>
      </w:r>
      <w:r w:rsidRPr="00AF28B8">
        <w:rPr>
          <w:rFonts w:ascii="Calibri" w:hAnsi="Calibri" w:cs="Calibri"/>
          <w:color w:val="000000"/>
          <w:sz w:val="22"/>
          <w:szCs w:val="22"/>
        </w:rPr>
        <w:t> JHB was assayed in parallel. In Clark County, highly intense pyrethroid resistance was evident, with surviving </w:t>
      </w:r>
      <w:r w:rsidRPr="00AF28B8">
        <w:rPr>
          <w:rFonts w:ascii="Calibri" w:hAnsi="Calibri" w:cs="Calibri"/>
          <w:i/>
          <w:iCs/>
          <w:color w:val="000000"/>
          <w:sz w:val="22"/>
          <w:szCs w:val="22"/>
        </w:rPr>
        <w:t>Cx. pipiens s.l.</w:t>
      </w:r>
      <w:r w:rsidRPr="00AF28B8">
        <w:rPr>
          <w:rFonts w:ascii="Calibri" w:hAnsi="Calibri" w:cs="Calibri"/>
          <w:color w:val="000000"/>
          <w:sz w:val="22"/>
          <w:szCs w:val="22"/>
        </w:rPr>
        <w:t> following 24 hours of continued exposure to 100X diagnostic dose of deltamethrin and permethrin; resistance was observed to the diagnostic dose of malathion with a mortality rate of 90%. The resistance ratio (RR 50) was 1.68 [95% CI: 1.39, 2.03] for spinosad, and the resistance ratio (RR 50) was 1.99 [95% CI: 1.57, 2.53] temephos, respectively. Complete mortality of </w:t>
      </w:r>
      <w:r w:rsidRPr="00AF28B8">
        <w:rPr>
          <w:rFonts w:ascii="Calibri" w:hAnsi="Calibri" w:cs="Calibri"/>
          <w:i/>
          <w:iCs/>
          <w:color w:val="000000"/>
          <w:sz w:val="22"/>
          <w:szCs w:val="22"/>
        </w:rPr>
        <w:t>Cx. pipiens s.l.</w:t>
      </w:r>
      <w:r w:rsidRPr="00AF28B8">
        <w:rPr>
          <w:rFonts w:ascii="Calibri" w:hAnsi="Calibri" w:cs="Calibri"/>
          <w:color w:val="000000"/>
          <w:sz w:val="22"/>
          <w:szCs w:val="22"/>
        </w:rPr>
        <w:t> was achieved using 150mg/L or 69.28 μg/ml of Bti or LS, respectively. This study provides valuable information by providing the initial baseline resistance status of the </w:t>
      </w:r>
      <w:r w:rsidRPr="00AF28B8">
        <w:rPr>
          <w:rFonts w:ascii="Calibri" w:hAnsi="Calibri" w:cs="Calibri"/>
          <w:i/>
          <w:iCs/>
          <w:color w:val="000000"/>
          <w:sz w:val="22"/>
          <w:szCs w:val="22"/>
        </w:rPr>
        <w:t>Culex pipiens sensu lato (s.l.) </w:t>
      </w:r>
      <w:r w:rsidRPr="00AF28B8">
        <w:rPr>
          <w:rFonts w:ascii="Calibri" w:hAnsi="Calibri" w:cs="Calibri"/>
          <w:color w:val="000000"/>
          <w:sz w:val="22"/>
          <w:szCs w:val="22"/>
        </w:rPr>
        <w:t>mosquitoes in Clark County, which could be used for future control activities.</w:t>
      </w:r>
    </w:p>
    <w:p w14:paraId="0183610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25-A-4036-ASTMH</w:t>
      </w:r>
    </w:p>
    <w:p w14:paraId="282E80B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1B0DD72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Antibody response to SARS-CoV-2 infection and vaccination is detectable in saliva and nasal secretions</w:t>
      </w:r>
    </w:p>
    <w:p w14:paraId="7D031E15"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Mucosal antibody responses to respiratory viruses such as SARS-CoV-2 contribute to protection from infection and severe disease. However, it remains unclear how robust and durable mucosal responses are compared to serum responses. We aimed to measure longitudinal antibody responses in serum, nasal secretions, and saliva in a cohort with high exposure to SARS-CoV-2 infection and vaccination.</w:t>
      </w:r>
      <w:r w:rsidRPr="00AF28B8">
        <w:rPr>
          <w:rFonts w:ascii="Calibri" w:hAnsi="Calibri" w:cs="Calibri"/>
          <w:color w:val="000000"/>
          <w:sz w:val="22"/>
          <w:szCs w:val="22"/>
        </w:rPr>
        <w:br/>
        <w:t>We followed 64 participants in a community-based cohort in an urban informal settlement of Salvador Brazil, over the course of a baseline survey (July to October 2021) and a follow-up survey (March to August 2022). During this period, the predominant circulating variant of SARS-CoV-2 was Omicron BA.1, with an attack rate exceeding 50%, and 54/64 (84.4%) participants received at least one vaccine dose. We collected longitudinal serum, saliva, and nasal swabs a median 8.5 (interquartile range [IQR] 7.9-9.0) months apart and measured Omicron BA.1-specific antibody responses using a commercially available electrochemiluminescence assay (MesoScale Discovery V-Plex).</w:t>
      </w:r>
      <w:r w:rsidRPr="00AF28B8">
        <w:rPr>
          <w:rFonts w:ascii="Calibri" w:hAnsi="Calibri" w:cs="Calibri"/>
          <w:color w:val="000000"/>
          <w:sz w:val="22"/>
          <w:szCs w:val="22"/>
        </w:rPr>
        <w:br/>
        <w:t>Levels and SARS-CoV-2 IgG in serum increased from a median 0.47 [IQR 0.14-0.88] arbitrary units [AU]/ml to 4.77 [IQR 2.68-9.65] AU/ml between the baseline and follow-up surveys. IgG levels increased from 0.01 [IQR 0.00-0.03] AU/ml to 0.10 [IQR 0.03-0.19] AU/ml in saliva; and from 0.00 [IQR 0.00-0.00] to 0.00 [IQR 0.00-0.01] in nasal secretions. The correlation with serum IgG was higher in saliva (r = 0.65) than in nasal secretions (r = 0.28). While median IgA levels increased in nasal secretions from 0.00 [IQR 0.00-0.01] to 0.01 [IQR 0.00-0.03] AU/ml, there was no statistically significant difference in saliva (0.03 [IQR 0.02-0.08] to 0.07 [IQR 0.04-0.16] AU/ml).</w:t>
      </w:r>
      <w:r w:rsidRPr="00AF28B8">
        <w:rPr>
          <w:rFonts w:ascii="Calibri" w:hAnsi="Calibri" w:cs="Calibri"/>
          <w:color w:val="000000"/>
          <w:sz w:val="22"/>
          <w:szCs w:val="22"/>
        </w:rPr>
        <w:br/>
        <w:t>Our findings indicate discordance of antibody responses in serum, saliva, and nasal secretions, highlighting the importance of multi-compartmental assessment of immune responses. While IgG responses detected in the mucosa may partly reflect transudation from serum, IgA more likely reflects local responses. Moreover, saliva and nasal secretions may provide a less invasive means of evaluating immune responses.</w:t>
      </w:r>
    </w:p>
    <w:p w14:paraId="7BA6154E"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25-A-4037-ASTMH</w:t>
      </w:r>
    </w:p>
    <w:p w14:paraId="2D8C5BBB"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7CA7DB4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Environmental and infectious health risks are associated with intimate partner violence in Kenya: Results from the Demographic Health Surveys, 2022</w:t>
      </w:r>
    </w:p>
    <w:p w14:paraId="4E94953A"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Risks to health from infectious pathogens associated with poor water quality and/or vector breeding sites are well known. However, associations of conditions that contribute to increased risk for enteric and vector borne pathogens with social outcomes are less well understood. This research tests the hypothesis that a lack of access to clean water and/or proximity to possible vector breeding sites is associated with past incidence of intimate partner violence (IPV). This ecological study uses data from </w:t>
      </w:r>
      <w:r w:rsidRPr="00AF28B8">
        <w:rPr>
          <w:rFonts w:ascii="Calibri" w:hAnsi="Calibri" w:cs="Calibri"/>
          <w:color w:val="000000"/>
          <w:sz w:val="22"/>
          <w:szCs w:val="22"/>
        </w:rPr>
        <w:lastRenderedPageBreak/>
        <w:t>the 2022 Kenya Demographic and Health Survey, including questions from a domestic violence module and reported access to drinking water. Latitude longitude locations of survey clusters are used to merge DHS data with environmental data including elevation and distance to nearest possible mosquito breeding sites. Generalized additive logistic regression models are used to test for associations of household water access and spatial patterns of environmental factors with ever having experienced intimate partner violence. The dataset comprised 32,156 women, 15,142 in domestic partnerships. Among these, 4,412 women reported experiencing some kind of violence. Women from the poorest households had a significantly higher odds of experiencing IPV compared to women from the most affluent households (OR 1.99 [95% CI: 1.77, 2.23)). Models suggest significant, though nonlinear, negative associations of proximity to rivers and ponds, traditional malaria breeding sites, with elevated risks for IPV. Our research suggests that conditions associated with tropical infectious diseases might also be associated with intimate partner and gender-based violence. This suggests a need for public health professionals to target these areas for violence and injury prevention-based interventions.</w:t>
      </w:r>
    </w:p>
    <w:p w14:paraId="352DA8E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25-A-4038-ASTMH</w:t>
      </w:r>
    </w:p>
    <w:p w14:paraId="33B5E07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Drug Development and Clinical Trials</w:t>
      </w:r>
    </w:p>
    <w:p w14:paraId="6372003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Metal complexes as antimalarial candidates: evaluating Co II and Cu II complexes as candidates to Malaria Treatment</w:t>
      </w:r>
    </w:p>
    <w:p w14:paraId="277E170B"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life-threatening disease transmitted by </w:t>
      </w:r>
      <w:r w:rsidRPr="00AF28B8">
        <w:rPr>
          <w:rFonts w:ascii="Calibri" w:hAnsi="Calibri" w:cs="Calibri"/>
          <w:i/>
          <w:iCs/>
          <w:color w:val="000000"/>
          <w:sz w:val="22"/>
          <w:szCs w:val="22"/>
        </w:rPr>
        <w:t>Anopheles</w:t>
      </w:r>
      <w:r w:rsidRPr="00AF28B8">
        <w:rPr>
          <w:rFonts w:ascii="Calibri" w:hAnsi="Calibri" w:cs="Calibri"/>
          <w:color w:val="000000"/>
          <w:sz w:val="22"/>
          <w:szCs w:val="22"/>
        </w:rPr>
        <w:t> mosquitoes, predominantly affecting tropical and subtropical regions.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is the most lethal parasite, while </w:t>
      </w:r>
      <w:r w:rsidRPr="00AF28B8">
        <w:rPr>
          <w:rFonts w:ascii="Calibri" w:hAnsi="Calibri" w:cs="Calibri"/>
          <w:i/>
          <w:iCs/>
          <w:color w:val="000000"/>
          <w:sz w:val="22"/>
          <w:szCs w:val="22"/>
        </w:rPr>
        <w:t>Plasmodium vivax</w:t>
      </w:r>
      <w:r w:rsidRPr="00AF28B8">
        <w:rPr>
          <w:rFonts w:ascii="Calibri" w:hAnsi="Calibri" w:cs="Calibri"/>
          <w:color w:val="000000"/>
          <w:sz w:val="22"/>
          <w:szCs w:val="22"/>
        </w:rPr>
        <w:t> is the most widely distributed and increasingly associated with severe disease. Early diagnosis and treatment are essential to reduce morbidity, prevent mortality, and limit transmission. However, multidrug-resistant </w:t>
      </w:r>
      <w:r w:rsidRPr="00AF28B8">
        <w:rPr>
          <w:rFonts w:ascii="Calibri" w:hAnsi="Calibri" w:cs="Calibri"/>
          <w:i/>
          <w:iCs/>
          <w:color w:val="000000"/>
          <w:sz w:val="22"/>
          <w:szCs w:val="22"/>
        </w:rPr>
        <w:t>P. falciparum</w:t>
      </w:r>
      <w:r w:rsidRPr="00AF28B8">
        <w:rPr>
          <w:rFonts w:ascii="Calibri" w:hAnsi="Calibri" w:cs="Calibri"/>
          <w:color w:val="000000"/>
          <w:sz w:val="22"/>
          <w:szCs w:val="22"/>
        </w:rPr>
        <w:t> strains, including partial resistance to artemisinin, and emerging chloroquine-resistant </w:t>
      </w:r>
      <w:r w:rsidRPr="00AF28B8">
        <w:rPr>
          <w:rFonts w:ascii="Calibri" w:hAnsi="Calibri" w:cs="Calibri"/>
          <w:i/>
          <w:iCs/>
          <w:color w:val="000000"/>
          <w:sz w:val="22"/>
          <w:szCs w:val="22"/>
        </w:rPr>
        <w:t>P. vivax</w:t>
      </w:r>
      <w:r w:rsidRPr="00AF28B8">
        <w:rPr>
          <w:rFonts w:ascii="Calibri" w:hAnsi="Calibri" w:cs="Calibri"/>
          <w:color w:val="000000"/>
          <w:sz w:val="22"/>
          <w:szCs w:val="22"/>
        </w:rPr>
        <w:t> isolates underscore the urgent need for novel therapies. This study evaluated the antimalarial activity of four Co II and Cu II coordination complexes with azole-based ligands against </w:t>
      </w:r>
      <w:r w:rsidRPr="00AF28B8">
        <w:rPr>
          <w:rFonts w:ascii="Calibri" w:hAnsi="Calibri" w:cs="Calibri"/>
          <w:i/>
          <w:iCs/>
          <w:color w:val="000000"/>
          <w:sz w:val="22"/>
          <w:szCs w:val="22"/>
        </w:rPr>
        <w:t>P. falciparum strain</w:t>
      </w:r>
      <w:r w:rsidRPr="00AF28B8">
        <w:rPr>
          <w:rFonts w:ascii="Calibri" w:hAnsi="Calibri" w:cs="Calibri"/>
          <w:color w:val="000000"/>
          <w:sz w:val="22"/>
          <w:szCs w:val="22"/>
        </w:rPr>
        <w:t> 3D7 and </w:t>
      </w:r>
      <w:r w:rsidRPr="00AF28B8">
        <w:rPr>
          <w:rFonts w:ascii="Calibri" w:hAnsi="Calibri" w:cs="Calibri"/>
          <w:i/>
          <w:iCs/>
          <w:color w:val="000000"/>
          <w:sz w:val="22"/>
          <w:szCs w:val="22"/>
        </w:rPr>
        <w:t>P. vivax</w:t>
      </w:r>
      <w:r w:rsidRPr="00AF28B8">
        <w:rPr>
          <w:rFonts w:ascii="Calibri" w:hAnsi="Calibri" w:cs="Calibri"/>
          <w:color w:val="000000"/>
          <w:sz w:val="22"/>
          <w:szCs w:val="22"/>
        </w:rPr>
        <w:t> clinical isolates. Hemolytic toxicity of the four complexes (M1-M4) and the free ligand (L1) was assessed by flow cytometry. For blood stages antiplasmodial assays, synchronized </w:t>
      </w:r>
      <w:r w:rsidRPr="00AF28B8">
        <w:rPr>
          <w:rFonts w:ascii="Calibri" w:hAnsi="Calibri" w:cs="Calibri"/>
          <w:i/>
          <w:iCs/>
          <w:color w:val="000000"/>
          <w:sz w:val="22"/>
          <w:szCs w:val="22"/>
        </w:rPr>
        <w:t>P. falciparum</w:t>
      </w:r>
      <w:r w:rsidRPr="00AF28B8">
        <w:rPr>
          <w:rFonts w:ascii="Calibri" w:hAnsi="Calibri" w:cs="Calibri"/>
          <w:color w:val="000000"/>
          <w:sz w:val="22"/>
          <w:szCs w:val="22"/>
        </w:rPr>
        <w:t> 3D7 cultures were incubated with the compounds for 96 hours, stained with SYBR Green I, and analyzed by fluorescence. Same activity against </w:t>
      </w:r>
      <w:r w:rsidRPr="00AF28B8">
        <w:rPr>
          <w:rFonts w:ascii="Calibri" w:hAnsi="Calibri" w:cs="Calibri"/>
          <w:i/>
          <w:iCs/>
          <w:color w:val="000000"/>
          <w:sz w:val="22"/>
          <w:szCs w:val="22"/>
        </w:rPr>
        <w:t>P. vivax</w:t>
      </w:r>
      <w:r w:rsidRPr="00AF28B8">
        <w:rPr>
          <w:rFonts w:ascii="Calibri" w:hAnsi="Calibri" w:cs="Calibri"/>
          <w:color w:val="000000"/>
          <w:sz w:val="22"/>
          <w:szCs w:val="22"/>
        </w:rPr>
        <w:t> was evaluated using the WHO-recommended schizont maturation assay and flow cytometry. The complexes were successfully synthesized, fully characterized by analytical and spectroscopic techniques, and obtained in high yields, exhibiting thermal and air stability. Hemolytic toxicity was low, (below 500 µg/mL). All complexes showed blood stages antiplasmodial activity; notably, M1 and M4 displayed IC₅₀ values lower than chloroquine in </w:t>
      </w:r>
      <w:r w:rsidRPr="00AF28B8">
        <w:rPr>
          <w:rFonts w:ascii="Calibri" w:hAnsi="Calibri" w:cs="Calibri"/>
          <w:i/>
          <w:iCs/>
          <w:color w:val="000000"/>
          <w:sz w:val="22"/>
          <w:szCs w:val="22"/>
        </w:rPr>
        <w:t>P. falciparum</w:t>
      </w:r>
      <w:r w:rsidRPr="00AF28B8">
        <w:rPr>
          <w:rFonts w:ascii="Calibri" w:hAnsi="Calibri" w:cs="Calibri"/>
          <w:color w:val="000000"/>
          <w:sz w:val="22"/>
          <w:szCs w:val="22"/>
        </w:rPr>
        <w:t>, while M1, M2, and M3 demonstrated potent activity against </w:t>
      </w:r>
      <w:r w:rsidRPr="00AF28B8">
        <w:rPr>
          <w:rFonts w:ascii="Calibri" w:hAnsi="Calibri" w:cs="Calibri"/>
          <w:i/>
          <w:iCs/>
          <w:color w:val="000000"/>
          <w:sz w:val="22"/>
          <w:szCs w:val="22"/>
        </w:rPr>
        <w:t>P. vivax</w:t>
      </w:r>
      <w:r w:rsidRPr="00AF28B8">
        <w:rPr>
          <w:rFonts w:ascii="Calibri" w:hAnsi="Calibri" w:cs="Calibri"/>
          <w:color w:val="000000"/>
          <w:sz w:val="22"/>
          <w:szCs w:val="22"/>
        </w:rPr>
        <w:t>, with IC₅₀ values under 1 nM. The azole ligand showed not significant activity, indicating metal-ligand coordination is essential for efficacy. These findings position these molecules as promising leads for novel antimalarial drug development.</w:t>
      </w:r>
    </w:p>
    <w:p w14:paraId="2B46C02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25-A-4039-ASTMH</w:t>
      </w:r>
    </w:p>
    <w:p w14:paraId="5446C37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39C51BD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Educational Attainment and Socioeconomic Determinants of Leprosy-Associated Disability in Addis Ababa, Ethiopia: A Cross-sectional Analysis</w:t>
      </w:r>
    </w:p>
    <w:p w14:paraId="59C9299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Leprosy, one of the neglected tropical diseases, remains a significant public health issue in Ethiopia (LMIC), often leading to long-term physical disability and social stigma. While the several biomedical determinants of leprosy related disability are identified and documented, there is limited data on the socioeconomic determinants of disability among those affected. In this cross-sectional study, we examined the association between leprosy-related disability and educational level, income, and other socioeconomic factors in Addis Ababa, Ethiopia. Adults diagnosed with leprosy within the last year were recruited from the outpatient department (OPD) of the All-Africa Leprosy Rehabilitation and Training Center (ALERT). Disability status was assessed using the WHO disability grading system. A structured </w:t>
      </w:r>
      <w:r w:rsidRPr="00AF28B8">
        <w:rPr>
          <w:rFonts w:ascii="Calibri" w:hAnsi="Calibri" w:cs="Calibri"/>
          <w:color w:val="000000"/>
          <w:sz w:val="22"/>
          <w:szCs w:val="22"/>
        </w:rPr>
        <w:lastRenderedPageBreak/>
        <w:t>questionnaire captured demographic and socioeconomic information, including educational attainment, occupational status, household assets, and housing characteristics. There were 61 individuals with leprosy, 22 (36.1%) female, with a mean age of 29 years (range 18-85). Leprosy-associated disability was common: 28 (47%) with Grade 1 disability (G1D), 18 (30%) with Grade 2 disability (G2D). G2D, the most severe form, was highly associated with not having a source of income (OR 4.86, 95% CI 1.42, 16.63) as well as attainment of 6</w:t>
      </w:r>
      <w:r w:rsidRPr="00AF28B8">
        <w:rPr>
          <w:rFonts w:ascii="Calibri" w:hAnsi="Calibri" w:cs="Calibri"/>
          <w:color w:val="000000"/>
          <w:sz w:val="22"/>
          <w:szCs w:val="22"/>
          <w:vertAlign w:val="superscript"/>
        </w:rPr>
        <w:t>th</w:t>
      </w:r>
      <w:r w:rsidRPr="00AF28B8">
        <w:rPr>
          <w:rFonts w:ascii="Calibri" w:hAnsi="Calibri" w:cs="Calibri"/>
          <w:color w:val="000000"/>
          <w:sz w:val="22"/>
          <w:szCs w:val="22"/>
        </w:rPr>
        <w:t> grade or lower, including no schooling (OR 6.05, 95% 1.52, 24.07). These associations may reflect both delayed health-seeking behavior as well as differential access to care. The findings show the need to integrate socioeconomic interventions—particularly education and employment support—into leprosy control strategies. Addressing the broader social determinants of health is essential not only for preventing transmission but also for reducing the disabling consequences of this neglected disease.</w:t>
      </w:r>
    </w:p>
    <w:p w14:paraId="154D920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25-A-4040-ASTMH</w:t>
      </w:r>
    </w:p>
    <w:p w14:paraId="5BE8AA6D"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07DF102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Geostatistical Prediction of Schistosomiasis Hotspots in the Senegal River Basin Implications for Targeted Intervention Strategies</w:t>
      </w:r>
    </w:p>
    <w:p w14:paraId="137BB25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Schistosomiasis remains a public health burden in sub-Saharan Africa, with transmission dynamics heavily influenced by environmental and socioeconomic factors. This study aimed to predict high-risk areas for schistosomiasis in the Senegal River Basin (SRB) using Bayesian geostatistical modeling to optimize intervention strategies. We analyzed site-level survey data (2013–2022) from 31,620 school-aged children across Senegal, Mali, and Mauritania, integrating environmental, climatic, and WASH covariates. A spatial model employing Integrated Nested Laplace Approximation (INLA) and Stochastic Partial Differential Equations (SPDE) was developed to predict prevalence at unsampled locations. Results revealed an overall observed prevalence of 22.9%, with S. haematobium dominant (30.8%). The model identified significant spatial clustering (range: 780 m) and highlighted elevated risk near river tributaries in southeastern Senegal and Mali, where 42 implementation units exceeded the 10% treatment threshold. Key predictors included NDVI (mean: 0.99, 95% CI: 0.53–1.45) and precipitation in the driest quarter (mean: −1.65, 95% CI: −2.47 to −0.83). Discrepancies between predicted prevalence and current treatment coverage underscored gaps in national NTD programs, particularly in Mauritania. Our findings demonstrate the utility of geostatistical models in identifying persistent hotspots and informing precision public health strategies. The study advocates for integrated interventions, including enhanced WASH and biannual MDA in high-transmission areas, to align with WHO 2030 elimination goals.</w:t>
      </w:r>
    </w:p>
    <w:p w14:paraId="0B7564F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25-A-4041-ASTMH</w:t>
      </w:r>
    </w:p>
    <w:p w14:paraId="31AFE5E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Protozoa - Treatment, Drug Delivery, Drug Repurposing and Drug Discovery (Including Leishmania and Trypanosomes)</w:t>
      </w:r>
    </w:p>
    <w:p w14:paraId="4414686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PROTAC targeted protein degraders for trypanosomal infection: proof of concept studies</w:t>
      </w:r>
    </w:p>
    <w:p w14:paraId="5DF6E155"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u w:val="single"/>
        </w:rPr>
        <w:t>Introduction.</w:t>
      </w:r>
      <w:r w:rsidRPr="00AF28B8">
        <w:rPr>
          <w:rFonts w:ascii="Calibri" w:hAnsi="Calibri" w:cs="Calibri"/>
          <w:color w:val="000000"/>
          <w:sz w:val="22"/>
          <w:szCs w:val="22"/>
        </w:rPr>
        <w:t> Targeted protein degradation (TPD) is a burgeoning field for developing cancer therapeutics but has yet to be exploited in antiparasitic drug discovery. TPD can be mediated by proteolysis-targeting chimeras (PROTACs) which are heterobifunctional small molecules consisting of two ligands joined by a linker. One ligand interacts with a protein of interest (POI) while the other recruits an E3 ubiquitin ligase. When the PROTAC simultaneously binds the POI and the E3 ligase, it induces ubiquitylation of the POI, leading to its degradation by the ubiquitin-proteasome system. The catalytic-type mechanism allows the PROTAC to be recycled to target other copies of the POI. </w:t>
      </w:r>
      <w:r w:rsidRPr="00AF28B8">
        <w:rPr>
          <w:rFonts w:ascii="Calibri" w:hAnsi="Calibri" w:cs="Calibri"/>
          <w:color w:val="000000"/>
          <w:sz w:val="22"/>
          <w:szCs w:val="22"/>
          <w:u w:val="single"/>
        </w:rPr>
        <w:t>Methods: </w:t>
      </w:r>
      <w:r w:rsidRPr="00AF28B8">
        <w:rPr>
          <w:rFonts w:ascii="Calibri" w:hAnsi="Calibri" w:cs="Calibri"/>
          <w:color w:val="000000"/>
          <w:sz w:val="22"/>
          <w:szCs w:val="22"/>
        </w:rPr>
        <w:t>We synthesized and tested PROTACs that target two distinct POIs in </w:t>
      </w:r>
      <w:r w:rsidRPr="00AF28B8">
        <w:rPr>
          <w:rFonts w:ascii="Calibri" w:hAnsi="Calibri" w:cs="Calibri"/>
          <w:i/>
          <w:iCs/>
          <w:color w:val="000000"/>
          <w:sz w:val="22"/>
          <w:szCs w:val="22"/>
        </w:rPr>
        <w:t>Trypanosoma cruzi</w:t>
      </w:r>
      <w:r w:rsidRPr="00AF28B8">
        <w:rPr>
          <w:rFonts w:ascii="Calibri" w:hAnsi="Calibri" w:cs="Calibri"/>
          <w:color w:val="000000"/>
          <w:sz w:val="22"/>
          <w:szCs w:val="22"/>
        </w:rPr>
        <w:t>: the methionyl-tRNA synthetase (MetRS) and the methionine aminopeptidase 2 (MAP2). Ligands to these proteins were conjugated to pomalidomide which engages the broadly distributed E3-ligase cereblon. The unlinked ligands alone, pomalidomide alone, or the derived PROTACs were evaluated for their ability to inhibit the growth of </w:t>
      </w:r>
      <w:r w:rsidRPr="00AF28B8">
        <w:rPr>
          <w:rFonts w:ascii="Calibri" w:hAnsi="Calibri" w:cs="Calibri"/>
          <w:i/>
          <w:iCs/>
          <w:color w:val="000000"/>
          <w:sz w:val="22"/>
          <w:szCs w:val="22"/>
        </w:rPr>
        <w:t>T. cruzi </w:t>
      </w:r>
      <w:r w:rsidRPr="00AF28B8">
        <w:rPr>
          <w:rFonts w:ascii="Calibri" w:hAnsi="Calibri" w:cs="Calibri"/>
          <w:color w:val="000000"/>
          <w:sz w:val="22"/>
          <w:szCs w:val="22"/>
        </w:rPr>
        <w:t>cultures, specifically mammalian-stage </w:t>
      </w:r>
      <w:r w:rsidRPr="00AF28B8">
        <w:rPr>
          <w:rFonts w:ascii="Calibri" w:hAnsi="Calibri" w:cs="Calibri"/>
          <w:i/>
          <w:iCs/>
          <w:color w:val="000000"/>
          <w:sz w:val="22"/>
          <w:szCs w:val="22"/>
        </w:rPr>
        <w:t>T. cruzi</w:t>
      </w:r>
      <w:r w:rsidRPr="00AF28B8">
        <w:rPr>
          <w:rFonts w:ascii="Calibri" w:hAnsi="Calibri" w:cs="Calibri"/>
          <w:color w:val="000000"/>
          <w:sz w:val="22"/>
          <w:szCs w:val="22"/>
        </w:rPr>
        <w:t xml:space="preserve"> grown in </w:t>
      </w:r>
      <w:r w:rsidRPr="00AF28B8">
        <w:rPr>
          <w:rFonts w:ascii="Calibri" w:hAnsi="Calibri" w:cs="Calibri"/>
          <w:color w:val="000000"/>
          <w:sz w:val="22"/>
          <w:szCs w:val="22"/>
        </w:rPr>
        <w:lastRenderedPageBreak/>
        <w:t>mammalian host cells. The reported EC50 values indicate the concentration causing 50% growth inhibition of </w:t>
      </w:r>
      <w:r w:rsidRPr="00AF28B8">
        <w:rPr>
          <w:rFonts w:ascii="Calibri" w:hAnsi="Calibri" w:cs="Calibri"/>
          <w:i/>
          <w:iCs/>
          <w:color w:val="000000"/>
          <w:sz w:val="22"/>
          <w:szCs w:val="22"/>
        </w:rPr>
        <w:t>T cruzi. </w:t>
      </w:r>
      <w:r w:rsidRPr="00AF28B8">
        <w:rPr>
          <w:rFonts w:ascii="Calibri" w:hAnsi="Calibri" w:cs="Calibri"/>
          <w:color w:val="000000"/>
          <w:sz w:val="22"/>
          <w:szCs w:val="22"/>
          <w:u w:val="single"/>
        </w:rPr>
        <w:t>Results</w:t>
      </w:r>
      <w:r w:rsidRPr="00AF28B8">
        <w:rPr>
          <w:rFonts w:ascii="Calibri" w:hAnsi="Calibri" w:cs="Calibri"/>
          <w:color w:val="000000"/>
          <w:sz w:val="22"/>
          <w:szCs w:val="22"/>
        </w:rPr>
        <w:t>: </w:t>
      </w:r>
      <w:r w:rsidRPr="00AF28B8">
        <w:rPr>
          <w:rFonts w:ascii="Calibri" w:hAnsi="Calibri" w:cs="Calibri"/>
          <w:i/>
          <w:iCs/>
          <w:color w:val="000000"/>
          <w:sz w:val="22"/>
          <w:szCs w:val="22"/>
        </w:rPr>
        <w:t>T. cruzi</w:t>
      </w:r>
      <w:r w:rsidRPr="00AF28B8">
        <w:rPr>
          <w:rFonts w:ascii="Calibri" w:hAnsi="Calibri" w:cs="Calibri"/>
          <w:color w:val="000000"/>
          <w:sz w:val="22"/>
          <w:szCs w:val="22"/>
        </w:rPr>
        <w:t> EC50 values in the presence of the following compounds. Pomalidomide alone: &gt;40 uM. Unlinked ligand of MRS alone (MRS2718): 2.0 uM. PROTAC linking pomalidomide and MRS2718: 0.35 uM. Unlinked ligand of MAP2 alone (2MAP001): 17.6 uM. PROTAC linking pomalidomide and 2MAP001: 1.58 uM. </w:t>
      </w:r>
      <w:r w:rsidRPr="00AF28B8">
        <w:rPr>
          <w:rFonts w:ascii="Calibri" w:hAnsi="Calibri" w:cs="Calibri"/>
          <w:color w:val="000000"/>
          <w:sz w:val="22"/>
          <w:szCs w:val="22"/>
          <w:u w:val="single"/>
        </w:rPr>
        <w:t>Discussion</w:t>
      </w:r>
      <w:r w:rsidRPr="00AF28B8">
        <w:rPr>
          <w:rFonts w:ascii="Calibri" w:hAnsi="Calibri" w:cs="Calibri"/>
          <w:color w:val="000000"/>
          <w:sz w:val="22"/>
          <w:szCs w:val="22"/>
        </w:rPr>
        <w:t>: In these two examples, the PROTACs are substantially more potent than the unlinked target binders or pomalidomide alone. These data suggest that the PROTACs are exerting antiparasitic activity through a distinct mechanism (likely via targeted protein degradation). Follow-up experiments are underway to establish if the POIs are, in fact, being selectively degraded and to confirm the identity of the E3-ligase recruited by pomalidomide. These studies provide preliminary proof of concept for the potential to develop PROTACs for antiparasitic drug discovery.</w:t>
      </w:r>
    </w:p>
    <w:p w14:paraId="632F5B82"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25-A-4042-ASTMH</w:t>
      </w:r>
    </w:p>
    <w:p w14:paraId="2AD67E1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Antimalarial Resistance and Chemotherapy</w:t>
      </w:r>
    </w:p>
    <w:p w14:paraId="01AF24F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Distinguishing reinfection from treatment failure in a Ugandan cohort to estimate the real-world effectiveness of artemether-lumefantrine</w:t>
      </w:r>
    </w:p>
    <w:p w14:paraId="372A334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 a longitudinal cohort study from of 667 individuals from 2021-2023 in Tororo and Busia Districts, there were 2196 episodes of malaria treated with artemether-lumefantrine (AL) and 22.0% experienced recurrent falciparum malaria within 42 days. To assess whether these recurrences were attributable to the persistence of one or more parasite clones following treatment or represented new infections, we sequenced both samples at a highly variable region of apical-membrane antigen-1 (AMA-1). If sample pairs had matching AMA-1 genotypes, we further characterized both samples at 165 diverse microhaplotypes and 38 drug resistance polymorphisms with the Mad4Hatter assay and used ASTER (Adaptable Statistical framework for Therapeutic Efficacy and Recrudescence) to determine whether at least 1 strain was persistent between the two timepoints. Of the 478 recurrent malaria episodes in the uncorrected analysis, 115 (24.1%) shared at least one AMA-1 clone; of these, 58 (50.4%) were classified as reinfections and 57 (50.6%) were classified as persistent infections by ASTER. Repeated Cox survival analysis using the preliminary genotype-corrected results revealed a cumulative probability of treatment failure of 2.8%. Younger age, increasing parasite density, and location of household were significantly associated with increased hazard for treatment failure, with those furthest from Busia at highest risk. Among the 115 deeply genotyped samples, the presence of any K13 mutation was not significantly associated with treatment failure (hazard ratio = 1.14, 95% CI 0.74-1.8). The importance of high-quality genotyping correction to adjudicate treatment outcomes is clear in this high transmission setting, which improved effectiveness of AL from 78.0% to 97.2%. While therapeutic efficacy studies remain the gold standard for evaluating antimalarial drug efficacy, assessing clinical outcomes in real-world settings with imperfect adherence is critical, as this may be where subtle shifts in parasite drug susceptibility most strongly influence treatment outcomes.  Further characterization of persistent infections is ongoing.</w:t>
      </w:r>
    </w:p>
    <w:p w14:paraId="68FE2E4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25-A-4043-ASTMH</w:t>
      </w:r>
    </w:p>
    <w:p w14:paraId="7A42DB9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Opportunistic and Anaerobic Protozoa - Immunology (Including Leishmania and Trypanosomes)</w:t>
      </w:r>
    </w:p>
    <w:p w14:paraId="71F03D9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Inflammatory monocytes contribute to treatment failure in patients with cutaneous leishmaniasis</w:t>
      </w:r>
    </w:p>
    <w:p w14:paraId="28770FF0"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Infection with </w:t>
      </w:r>
      <w:r w:rsidRPr="00AF28B8">
        <w:rPr>
          <w:rFonts w:ascii="Calibri" w:hAnsi="Calibri" w:cs="Calibri"/>
          <w:i/>
          <w:iCs/>
          <w:color w:val="000000"/>
          <w:sz w:val="22"/>
          <w:szCs w:val="22"/>
        </w:rPr>
        <w:t>Leishmania braziliensis</w:t>
      </w:r>
      <w:r w:rsidRPr="00AF28B8">
        <w:rPr>
          <w:rFonts w:ascii="Calibri" w:hAnsi="Calibri" w:cs="Calibri"/>
          <w:color w:val="000000"/>
          <w:sz w:val="22"/>
          <w:szCs w:val="22"/>
        </w:rPr>
        <w:t> leads to strong activation of monocytes and macrophages, which play a critical role in parasite control but also contribute to inflammation and tissue damage in patients with cutaneous leishmaniasis (CL). In Brazil, the first-line treatment for CL is pentavalent antimony; however, treatment failure occurs in up to 50% of cases. In this prospective cohort study, we investigated whether specific monocyte subsets could predict treatment failure with pentavalent antimony. The study was conducted in Corte de Pedra, a region in Brazil endemic for CL with high </w:t>
      </w:r>
      <w:r w:rsidRPr="00AF28B8">
        <w:rPr>
          <w:rFonts w:ascii="Calibri" w:hAnsi="Calibri" w:cs="Calibri"/>
          <w:i/>
          <w:iCs/>
          <w:color w:val="000000"/>
          <w:sz w:val="22"/>
          <w:szCs w:val="22"/>
        </w:rPr>
        <w:t>L. braziliensis</w:t>
      </w:r>
      <w:r w:rsidRPr="00AF28B8">
        <w:rPr>
          <w:rFonts w:ascii="Calibri" w:hAnsi="Calibri" w:cs="Calibri"/>
          <w:color w:val="000000"/>
          <w:sz w:val="22"/>
          <w:szCs w:val="22"/>
        </w:rPr>
        <w:t xml:space="preserve"> transmission. We enrolled 32 patients presenting with classical ulcerative CL. Our findings reveal that patients who failed treatment exhibited an increased frequency of intermediate monocytes </w:t>
      </w:r>
      <w:r w:rsidRPr="00AF28B8">
        <w:rPr>
          <w:rFonts w:ascii="Calibri" w:hAnsi="Calibri" w:cs="Calibri"/>
          <w:color w:val="000000"/>
          <w:sz w:val="22"/>
          <w:szCs w:val="22"/>
        </w:rPr>
        <w:lastRenderedPageBreak/>
        <w:t>(CD14⁺CD16⁺) in peripheral blood. Furthermore, the presence of TNF-expressing intermediate monocytes was associated with poor therapeutic outcomes. Monocytes (CD14⁺) isolated from patients who failed treatment displayed a diminished capacity to kill </w:t>
      </w:r>
      <w:r w:rsidRPr="00AF28B8">
        <w:rPr>
          <w:rFonts w:ascii="Calibri" w:hAnsi="Calibri" w:cs="Calibri"/>
          <w:i/>
          <w:iCs/>
          <w:color w:val="000000"/>
          <w:sz w:val="22"/>
          <w:szCs w:val="22"/>
        </w:rPr>
        <w:t>L. braziliensis</w:t>
      </w:r>
      <w:r w:rsidRPr="00AF28B8">
        <w:rPr>
          <w:rFonts w:ascii="Calibri" w:hAnsi="Calibri" w:cs="Calibri"/>
          <w:color w:val="000000"/>
          <w:sz w:val="22"/>
          <w:szCs w:val="22"/>
        </w:rPr>
        <w:t>, while producing elevated levels of pro-inflammatory cytokines (TNF and IL-1β) and reduced levels of the chemokine CXCL10. Additionally, higher concentrations of the monocyte-attracting chemokine CCL2 were detected in lesion supernatants from patients with treatment failure. These findings contribute to the identification of immunological markers associated with treatment outcomes in CL, facilitating early recognition of patients at high risk of therapeutic failure and promoting improved clinical management.</w:t>
      </w:r>
    </w:p>
    <w:p w14:paraId="7AAB3470"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25-A-4044-ASTMH</w:t>
      </w:r>
    </w:p>
    <w:p w14:paraId="1507AD1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6289184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ApiAP2-L Modulates the Stress Response in Malaria Parasites</w:t>
      </w:r>
    </w:p>
    <w:p w14:paraId="40749D4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is characterized by a cyclical fever, peaking every 24-48 hours. The malaria parasite must survive febrile episodes to establish an infection, generate transmissible forms and be taken up by a mosquito to find new hosts. The canonical triggers of the eukaryotic heat shock response are not present in malaria parasites, leaving us with a limited understanding of the molecular mechanisms which drive the response to fever. Hypothesizing that experimental evolution would result in mutations associated with heat resistance which could be subsequently characterized, we performed long-term culture of malaria parasites at febrile temperatures and captured emergent mutations using single-cell genomic sequencing. We recovered mutations in multiple genes including two ApiAP2 transcription factors with known (ApiAP2-HS) and novel (ApiAP2-L) roles in modulating thermotolerance. Reanalysis of ApiAP2-L ChIP-seq data identified its target genes and binding motif, and suggests a native role in regulation of the expression of merozoite dense granule genes. Single-cell RNA-seq of WT and mutant lines under normal and stressed conditions confirmed that ApiAP2-HS mutations result in downregulation of canonical heat shock coordinators Hsp70 and Hsp90, while ApiAP2-L mutation resulted in downregulation of PArt, a gene associated with artemisinin resistance and an identified ApiAP2-L target. ApiAP2-HS and ApiAP2-L mutant parasite lines showed competitive growth advantages over wild-type parasites under elevated temperatures and under exposure to artemisinin.</w:t>
      </w:r>
    </w:p>
    <w:p w14:paraId="54C3807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25-A-4045-ASTMH</w:t>
      </w:r>
    </w:p>
    <w:p w14:paraId="6B23575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45DAEB8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 simulation framework for benchmarking amplicon sequencing allele-calling and analysis pipelines</w:t>
      </w:r>
    </w:p>
    <w:p w14:paraId="7A8AF0D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 xml:space="preserve">The rapid expansion of Plasmodium targeted sequencing data has led to the development of several allele calling pipelines and analysis tools to estimate metrics such as complexity of infection (COI), within- and between-sample relatedness, and single- and multilocus-frequencies for drug resistance analysis. The benchmarking of these tools has primarily relied upon limited data sets generated via mixtures of lab strains from different continents of origin that are more divergent than parasites in study populations. To enable robust benchmarking of these tools, we created a simulation framework consisting of two parts: 1) simulating populations and 2) simulating sequencing/PCR errors. For population simulations, we developed the R package recombuddy to simulate new populations of samples from an ancestral population. The distribution of COI, between sample relatedness, and serial meiosis events are tunable input parameters. For each simulated sample, the coordinates of segments from the original ancestral genotypes are output, enabling reconstruction of full genotypes. To benchmark the ability of amplicon calling pipelines to correct for PCR/sequencing error, we developed a PCR simulator that takes parameters for the amount of starting template, PCR Taq error rate, degree of chimerization, and PCR rounds. Raw FASTQs are then simulated based on empirically-derived sequencing error profiles, including per-base quality scores, with profiles generated for Illumina and Nanopore. Utilizing this framework, we simulated populations from real field monoclonal samples sourced from over 20,000 publicly available P. falciparum genomes. We simulated populations of 100 samples based on two ancestral populations (Ghana and Cambodia) over a range of parameter </w:t>
      </w:r>
      <w:r w:rsidRPr="00AF28B8">
        <w:rPr>
          <w:rFonts w:ascii="Calibri" w:hAnsi="Calibri" w:cs="Calibri"/>
          <w:b/>
          <w:bCs/>
          <w:color w:val="000000"/>
          <w:sz w:val="22"/>
          <w:szCs w:val="22"/>
        </w:rPr>
        <w:lastRenderedPageBreak/>
        <w:t>combinations chosen to emulate real populations. Each combination was replicated 10 times to create a total of 240 sample sets. These simulated datasets and the pipeline for generating novel populations are publicly available, providing a valuable resource to the community for benchmarking, panel design, and other simulation-based analysis.</w:t>
      </w:r>
    </w:p>
    <w:p w14:paraId="3F471F0F"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25-A-4046-ASTMH</w:t>
      </w:r>
    </w:p>
    <w:p w14:paraId="267F551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7DF060F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CRISPR-Cas9 Knock-out of </w:t>
      </w:r>
      <w:r w:rsidRPr="00AF28B8">
        <w:rPr>
          <w:rFonts w:ascii="Calibri" w:hAnsi="Calibri" w:cs="Calibri"/>
          <w:i/>
          <w:iCs/>
          <w:color w:val="000000"/>
          <w:sz w:val="22"/>
          <w:szCs w:val="22"/>
        </w:rPr>
        <w:t>Cactus</w:t>
      </w:r>
      <w:r w:rsidRPr="00AF28B8">
        <w:rPr>
          <w:rFonts w:ascii="Calibri" w:hAnsi="Calibri" w:cs="Calibri"/>
          <w:color w:val="000000"/>
          <w:sz w:val="22"/>
          <w:szCs w:val="22"/>
        </w:rPr>
        <w:t> Immunity Gene in </w:t>
      </w:r>
      <w:r w:rsidRPr="00AF28B8">
        <w:rPr>
          <w:rFonts w:ascii="Calibri" w:hAnsi="Calibri" w:cs="Calibri"/>
          <w:i/>
          <w:iCs/>
          <w:color w:val="000000"/>
          <w:sz w:val="22"/>
          <w:szCs w:val="22"/>
        </w:rPr>
        <w:t>Aedes albopictus</w:t>
      </w:r>
      <w:r w:rsidRPr="00AF28B8">
        <w:rPr>
          <w:rFonts w:ascii="Calibri" w:hAnsi="Calibri" w:cs="Calibri"/>
          <w:color w:val="000000"/>
          <w:sz w:val="22"/>
          <w:szCs w:val="22"/>
        </w:rPr>
        <w:t> Mosquito Cells</w:t>
      </w:r>
    </w:p>
    <w:p w14:paraId="09C4EF7A"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Aedes albopictus mosquitoes are significant vectors for multiple pathogens causing neglected tropical diseases (NTDs). Editing genes responsible for mosquitoes immunity potentially prevent the spread of these diseases by increasing immune activation in mosquitoes against the pathogens, which allows mosquitoes to clear infection themselves before transmitting to the next person. The Toll pathway plays an important role in mosquitoes innate immune defense against infections. Degradation of Cactus, a negative regulator located in the Toll pathway, upregulates gene expression for several antimicrobial peptides, such as defensin (DEF) and cecropin (CEC). Here, we presented the CRISPR-Cas9 knock-out of Cactus gene in C6/36 Aedes albopictus mosquito cell line using pAC-sgRNA-Cas9 plasmid and puromycin resistance gene donor. 3 single cell clones were identified with random deletions within the second exon of Cactus gene. Expression of downstream immune genes in Cactus knock-out cells is assessed by RT-qPCR. Relative expression level (2^-ΔΔCT) is analyzed using one-way ANOVA. Our current data indicate statistically significant upregulation of immune genes DEF and CEC in one of the knock-out clones.</w:t>
      </w:r>
    </w:p>
    <w:p w14:paraId="6323C5A7"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25-A-4047-ASTMH</w:t>
      </w:r>
    </w:p>
    <w:p w14:paraId="6E62898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5544106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Impact of Mentoring and Supervisory Visit on Malaria Data Quality in Ogun State Nigeria</w:t>
      </w:r>
    </w:p>
    <w:p w14:paraId="2F356CE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Supportive supervision helps health workers improve performance through respectful, non-authoritarian mentoring. It emphasizes monitoring progress toward goals, data-driven decision-making, and consistent follow-up. Quality health data is critical for evidence-based planning. However, Ogun State faced persistent data quality issues—from data generation at health facilities to collation and entry into DHIS2—negatively impacting overall performance. Since 2019, no formal malaria data training has been received by service providers. In response, Management Sciences for Health (MSH) implemented several strategies to strengthen data quality. Targeted Strategies included: (1) Conduct onsite visits for tailored capacity building to identified LGAs/Health facilities with recurring data quality issues; (2) Leveraging on Data Review Meetings (DRMs) and Integrated Monitoring and Supervisory Visits (IMSV) for hands-on training; (3) Deploying automated data quality checklists for feedback and continuous follow-up on identified issues; (4) Assigning state-level actors to specific LGAs for accountability and (recognizing LGAs with no data issues to motivate performance. Data Quality Assessment (DQA) results from Q1 2023 to Q2 2024 show consistent improvement. Overall state performance rose from 88% in Q1 2023 to 95% in Q2 2024—surpassing the 90% baseline. The quarterly upward trend indicates the effectiveness of supportive supervision and continuous mentoring. Improvements were noted across key data dimensions: availability, consistency, and validity. These findings highlight the value of structured, strategic supervision in improving data quality. Continued implementation, feedback loops, and mentorship are vital for sustaining gains. Further analysis is needed to pinpoint the most impactful interventions and assess their long-term sustainability at scale</w:t>
      </w:r>
    </w:p>
    <w:p w14:paraId="2FA07419"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25-A-4048-ASTMH</w:t>
      </w:r>
    </w:p>
    <w:p w14:paraId="3992BF2B"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4DBCB78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Brincidofovir in the Era of Mpox</w:t>
      </w:r>
    </w:p>
    <w:p w14:paraId="5BD986E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lastRenderedPageBreak/>
        <w:t>Introduction: </w:t>
      </w:r>
      <w:r w:rsidRPr="00AF28B8">
        <w:rPr>
          <w:rFonts w:ascii="Calibri" w:hAnsi="Calibri" w:cs="Calibri"/>
          <w:color w:val="000000"/>
          <w:sz w:val="22"/>
          <w:szCs w:val="22"/>
        </w:rPr>
        <w:t>Mpox is a systemic infection caused by the monkeypox virus (MPXV) and has continued to be listed as a Public Health Emergency of International Concern by the World Health Organization (WHO). To date, no antiviral monotherapy treatments have demonstrated improvement over placebo for the treatment of Mpox in humans. Brincidofovir (BCV) is a lipid-modified acyclic nucleotide with in vitro and in vivo activity against clades I and II MPXV. BCV moves intracellularly and is phosphorylated to cidofovir-diphosphate (CDV-PP), which then inhibits viral DNA polymerase activity. BCV is licensed in the U.S. and Canada for the treatment of variola virus (smallpox), and since 2022, BCV has been available for single-patient use under an emergency investigational new drug (eIND) in the U.S. for patients with Mpox. </w:t>
      </w:r>
      <w:r w:rsidRPr="00AF28B8">
        <w:rPr>
          <w:rFonts w:ascii="Calibri" w:hAnsi="Calibri" w:cs="Calibri"/>
          <w:b/>
          <w:bCs/>
          <w:color w:val="000000"/>
          <w:sz w:val="22"/>
          <w:szCs w:val="22"/>
        </w:rPr>
        <w:t>Methods: </w:t>
      </w:r>
      <w:r w:rsidRPr="00AF28B8">
        <w:rPr>
          <w:rFonts w:ascii="Calibri" w:hAnsi="Calibri" w:cs="Calibri"/>
          <w:color w:val="000000"/>
          <w:sz w:val="22"/>
          <w:szCs w:val="22"/>
        </w:rPr>
        <w:t>We reviewed the available data on antiviral activity, clinical development, pharmacokinetics, safety and efficacy of BCV. </w:t>
      </w:r>
      <w:r w:rsidRPr="00AF28B8">
        <w:rPr>
          <w:rFonts w:ascii="Calibri" w:hAnsi="Calibri" w:cs="Calibri"/>
          <w:b/>
          <w:bCs/>
          <w:color w:val="000000"/>
          <w:sz w:val="22"/>
          <w:szCs w:val="22"/>
        </w:rPr>
        <w:t>Results and Conclusion: </w:t>
      </w:r>
      <w:r w:rsidRPr="00AF28B8">
        <w:rPr>
          <w:rFonts w:ascii="Calibri" w:hAnsi="Calibri" w:cs="Calibri"/>
          <w:color w:val="000000"/>
          <w:sz w:val="22"/>
          <w:szCs w:val="22"/>
        </w:rPr>
        <w:t>As reported</w:t>
      </w:r>
      <w:r w:rsidRPr="00AF28B8">
        <w:rPr>
          <w:rFonts w:ascii="Calibri" w:hAnsi="Calibri" w:cs="Calibri"/>
          <w:b/>
          <w:bCs/>
          <w:color w:val="000000"/>
          <w:sz w:val="22"/>
          <w:szCs w:val="22"/>
        </w:rPr>
        <w:t> </w:t>
      </w:r>
      <w:r w:rsidRPr="00AF28B8">
        <w:rPr>
          <w:rFonts w:ascii="Calibri" w:hAnsi="Calibri" w:cs="Calibri"/>
          <w:color w:val="000000"/>
          <w:sz w:val="22"/>
          <w:szCs w:val="22"/>
        </w:rPr>
        <w:t>from published cases, the use of</w:t>
      </w:r>
      <w:r w:rsidRPr="00AF28B8">
        <w:rPr>
          <w:rFonts w:ascii="Calibri" w:hAnsi="Calibri" w:cs="Calibri"/>
          <w:b/>
          <w:bCs/>
          <w:color w:val="000000"/>
          <w:sz w:val="22"/>
          <w:szCs w:val="22"/>
        </w:rPr>
        <w:t> </w:t>
      </w:r>
      <w:r w:rsidRPr="00AF28B8">
        <w:rPr>
          <w:rFonts w:ascii="Calibri" w:hAnsi="Calibri" w:cs="Calibri"/>
          <w:color w:val="000000"/>
          <w:sz w:val="22"/>
          <w:szCs w:val="22"/>
        </w:rPr>
        <w:t>BCV in 5 patients as a first-line treatment of clade II infections showed improved survival outcomes. Based on the mechanism of action of the drug, development of MPXV resistance to the viral DNA polymerase inhibitory activity of BCV is less likely to occur than with tecovirimat (TCV), which targets a viral surface protein. BCV has been demonstrated to be synergistic with TCV in vitro and in vivo in orthopoxviral infections. Combination therapy could be evaluated in future clinical studies. The safety and efficacy of BCV for the treatment of mpox in humans has not been established, and its safety profile, favorable kinetics, and in vitro/in vivo activity warrant further evaluation and study. Currently, two-week dosing with oral BCV in adults and pediatrics is being evaluated in a randomized, double-blind, placebo-controlled trial in the Democratic Republic of Congo (DRC) under the Mpox Study in Africa (MOSA) protocol (PACTR202405860723287). Additional studies are being planned to evaluate the safety and efficacy of BCV for the treatment of Mpox, as well as the management of any treatment complications or comorbidities related to Mpox.</w:t>
      </w:r>
    </w:p>
    <w:p w14:paraId="4318B24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25-A-4049-ASTMH</w:t>
      </w:r>
    </w:p>
    <w:p w14:paraId="257CBC7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3D5602AF"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Surveillance for praziquantel resistance in African schistosome populations</w:t>
      </w:r>
    </w:p>
    <w:p w14:paraId="27B1BFE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We now know that a transient receptor potential ion channels of the melastatin family (</w:t>
      </w:r>
      <w:r w:rsidRPr="00AF28B8">
        <w:rPr>
          <w:rFonts w:ascii="Calibri" w:hAnsi="Calibri" w:cs="Calibri"/>
          <w:i/>
          <w:iCs/>
          <w:color w:val="000000"/>
          <w:sz w:val="22"/>
          <w:szCs w:val="22"/>
        </w:rPr>
        <w:t>TRPM</w:t>
      </w:r>
      <w:r w:rsidRPr="00AF28B8">
        <w:rPr>
          <w:rFonts w:ascii="Calibri" w:hAnsi="Calibri" w:cs="Calibri"/>
          <w:i/>
          <w:iCs/>
          <w:color w:val="000000"/>
          <w:sz w:val="22"/>
          <w:szCs w:val="22"/>
          <w:vertAlign w:val="subscript"/>
        </w:rPr>
        <w:t>PZQ</w:t>
      </w:r>
      <w:r w:rsidRPr="00AF28B8">
        <w:rPr>
          <w:rFonts w:ascii="Calibri" w:hAnsi="Calibri" w:cs="Calibri"/>
          <w:color w:val="000000"/>
          <w:sz w:val="22"/>
          <w:szCs w:val="22"/>
        </w:rPr>
        <w:t>)</w:t>
      </w:r>
      <w:r w:rsidRPr="00AF28B8">
        <w:rPr>
          <w:rFonts w:ascii="Calibri" w:hAnsi="Calibri" w:cs="Calibri"/>
          <w:i/>
          <w:iCs/>
          <w:color w:val="000000"/>
          <w:sz w:val="22"/>
          <w:szCs w:val="22"/>
          <w:vertAlign w:val="subscript"/>
        </w:rPr>
        <w:t> </w:t>
      </w:r>
      <w:r w:rsidRPr="00AF28B8">
        <w:rPr>
          <w:rFonts w:ascii="Calibri" w:hAnsi="Calibri" w:cs="Calibri"/>
          <w:color w:val="000000"/>
          <w:sz w:val="22"/>
          <w:szCs w:val="22"/>
        </w:rPr>
        <w:t>is the target of praziquantel (PZQ), the only drug used to treat schistosomiasis. This breakthrough opens up the possibility of field surveillance of praziquantel resistance alleles in schistosome populations. The presence of PZQ resistance alleles is one possible explanation for schistosomiasis hotspots, which are frequently observed in the field. We are sequencing </w:t>
      </w:r>
      <w:r w:rsidRPr="00AF28B8">
        <w:rPr>
          <w:rFonts w:ascii="Calibri" w:hAnsi="Calibri" w:cs="Calibri"/>
          <w:i/>
          <w:iCs/>
          <w:color w:val="000000"/>
          <w:sz w:val="22"/>
          <w:szCs w:val="22"/>
        </w:rPr>
        <w:t>TRPM</w:t>
      </w:r>
      <w:r w:rsidRPr="00AF28B8">
        <w:rPr>
          <w:rFonts w:ascii="Calibri" w:hAnsi="Calibri" w:cs="Calibri"/>
          <w:i/>
          <w:iCs/>
          <w:color w:val="000000"/>
          <w:sz w:val="22"/>
          <w:szCs w:val="22"/>
          <w:vertAlign w:val="subscript"/>
        </w:rPr>
        <w:t>PZQ</w:t>
      </w:r>
      <w:r w:rsidRPr="00AF28B8">
        <w:rPr>
          <w:rFonts w:ascii="Calibri" w:hAnsi="Calibri" w:cs="Calibri"/>
          <w:color w:val="000000"/>
          <w:sz w:val="22"/>
          <w:szCs w:val="22"/>
        </w:rPr>
        <w:t> to identify putative resistance alleles in pools of hundreds of miracidia collected from patients infected with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or </w:t>
      </w:r>
      <w:r w:rsidRPr="00AF28B8">
        <w:rPr>
          <w:rFonts w:ascii="Calibri" w:hAnsi="Calibri" w:cs="Calibri"/>
          <w:i/>
          <w:iCs/>
          <w:color w:val="000000"/>
          <w:sz w:val="22"/>
          <w:szCs w:val="22"/>
        </w:rPr>
        <w:t>S. haematobium</w:t>
      </w:r>
      <w:r w:rsidRPr="00AF28B8">
        <w:rPr>
          <w:rFonts w:ascii="Calibri" w:hAnsi="Calibri" w:cs="Calibri"/>
          <w:color w:val="000000"/>
          <w:sz w:val="22"/>
          <w:szCs w:val="22"/>
        </w:rPr>
        <w:t> from several East and West African countries. To accurately measure allele frequencies within miracidia pools we use a single array designed to capture all 37-exons of the </w:t>
      </w:r>
      <w:r w:rsidRPr="00AF28B8">
        <w:rPr>
          <w:rFonts w:ascii="Calibri" w:hAnsi="Calibri" w:cs="Calibri"/>
          <w:i/>
          <w:iCs/>
          <w:color w:val="000000"/>
          <w:sz w:val="22"/>
          <w:szCs w:val="22"/>
        </w:rPr>
        <w:t>TRPM</w:t>
      </w:r>
      <w:r w:rsidRPr="00AF28B8">
        <w:rPr>
          <w:rFonts w:ascii="Calibri" w:hAnsi="Calibri" w:cs="Calibri"/>
          <w:i/>
          <w:iCs/>
          <w:color w:val="000000"/>
          <w:sz w:val="22"/>
          <w:szCs w:val="22"/>
          <w:vertAlign w:val="subscript"/>
        </w:rPr>
        <w:t>PZQ</w:t>
      </w:r>
      <w:r w:rsidRPr="00AF28B8">
        <w:rPr>
          <w:rFonts w:ascii="Calibri" w:hAnsi="Calibri" w:cs="Calibri"/>
          <w:color w:val="000000"/>
          <w:sz w:val="22"/>
          <w:szCs w:val="22"/>
        </w:rPr>
        <w:t> gene from both </w:t>
      </w:r>
      <w:r w:rsidRPr="00AF28B8">
        <w:rPr>
          <w:rFonts w:ascii="Calibri" w:hAnsi="Calibri" w:cs="Calibri"/>
          <w:i/>
          <w:iCs/>
          <w:color w:val="000000"/>
          <w:sz w:val="22"/>
          <w:szCs w:val="22"/>
        </w:rPr>
        <w:t>S. mansoni</w:t>
      </w:r>
      <w:r w:rsidRPr="00AF28B8">
        <w:rPr>
          <w:rFonts w:ascii="Calibri" w:hAnsi="Calibri" w:cs="Calibri"/>
          <w:color w:val="000000"/>
          <w:sz w:val="22"/>
          <w:szCs w:val="22"/>
        </w:rPr>
        <w:t> and </w:t>
      </w:r>
      <w:r w:rsidRPr="00AF28B8">
        <w:rPr>
          <w:rFonts w:ascii="Calibri" w:hAnsi="Calibri" w:cs="Calibri"/>
          <w:i/>
          <w:iCs/>
          <w:color w:val="000000"/>
          <w:sz w:val="22"/>
          <w:szCs w:val="22"/>
        </w:rPr>
        <w:t>S. haematobium</w:t>
      </w:r>
      <w:r w:rsidRPr="00AF28B8">
        <w:rPr>
          <w:rFonts w:ascii="Calibri" w:hAnsi="Calibri" w:cs="Calibri"/>
          <w:color w:val="000000"/>
          <w:sz w:val="22"/>
          <w:szCs w:val="22"/>
        </w:rPr>
        <w:t>, and sequence to high read depth. As an alternative approach, we have developed phenotypic screens for examining resistance in single adult worms. We are using this approach to identify PZQ resistant parasites among adult worms reared from </w:t>
      </w:r>
      <w:r w:rsidRPr="00AF28B8">
        <w:rPr>
          <w:rFonts w:ascii="Calibri" w:hAnsi="Calibri" w:cs="Calibri"/>
          <w:i/>
          <w:iCs/>
          <w:color w:val="000000"/>
          <w:sz w:val="22"/>
          <w:szCs w:val="22"/>
        </w:rPr>
        <w:t>S. mansoni</w:t>
      </w:r>
      <w:r w:rsidRPr="00AF28B8">
        <w:rPr>
          <w:rFonts w:ascii="Calibri" w:hAnsi="Calibri" w:cs="Calibri"/>
          <w:color w:val="000000"/>
          <w:sz w:val="22"/>
          <w:szCs w:val="22"/>
        </w:rPr>
        <w:t> eggs collected from Kenyan patients. These two complementary approaches allow evaluation of both genomic and phenotypic evidence for PZQ-resistance in African schistosome populations.</w:t>
      </w:r>
    </w:p>
    <w:p w14:paraId="691CC475"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25-A-4050-ASTMH</w:t>
      </w:r>
    </w:p>
    <w:p w14:paraId="0FA9A2C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Diversity, Inclusion, Decolonization and Human Rights</w:t>
      </w:r>
    </w:p>
    <w:p w14:paraId="79D6AA2B"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Closing the Results Notification Gap for Blood Donors in the Peruvian Amazon: A Participatory Mixed-Methods Implementation Study</w:t>
      </w:r>
    </w:p>
    <w:p w14:paraId="3B4B39D1"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Peru and other low- and middle-income countries, the majority of blood donations are non-voluntary. The prevalence of reactive screening tests is high among replacement blood donors. People with reactive tests may be living with HIV, HTLV-1/2, syphilis, hepatitis B/C or Chagas, and therefore require further testing. We aimed to design an innovation that addresses blood donors healthcare gaps, based on main contextual determinants in Madre de Dios, Peruvian Amazon region with the highest proportion of reactive screening tests. First, we applied mixed methods to holistically understand the </w:t>
      </w:r>
      <w:r w:rsidRPr="00AF28B8">
        <w:rPr>
          <w:rFonts w:ascii="Calibri" w:hAnsi="Calibri" w:cs="Calibri"/>
          <w:color w:val="000000"/>
          <w:sz w:val="22"/>
          <w:szCs w:val="22"/>
        </w:rPr>
        <w:lastRenderedPageBreak/>
        <w:t>care continuum of blood donors and inner settings of the blood bank and infectious diseases services. We executed semi-structured in-depth interviews with 13 healthcare workers and 20 blood donors, non-participant observations of main processes, and secondary data analysis of previous blood donors with reactive tests. Results notification is the main bottleneck in the care continuum: blood bank informs the list of people with reactive tests to the infectious diseases service, to finally notify them by phone call. Blood donors respond rarely. In 2022, among 111 blood donors who had at least one reactive screening test, only 16 (14%) received further testing in the following 12 months. After identifying this challenge, we established a research team with healthcare workers and stakeholders (local institutional review board members, institutional decision-makers, and regional direction of health representatives). We held weekly meetings to iteratively ideate and design an acceptable, appropriate and feasible innovation to close the results notification gap, considering blood donors preferences as well as unique structural and resource limitations within inner settings. The innovation will notify results by short message service (SMS) to blood donors who give consent, using the current digital data management system. The innovation will reduce infection-related complications and ongoing transmission. This participative approach increases the implementation success potential and can be adapted in other regions or countries.</w:t>
      </w:r>
    </w:p>
    <w:p w14:paraId="4FF5ED0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25-A-4051-ASTMH</w:t>
      </w:r>
    </w:p>
    <w:p w14:paraId="2893FBAB"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Water, Sanitation, Hygiene and Environmental Health</w:t>
      </w:r>
    </w:p>
    <w:p w14:paraId="502A90D5"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Assessing the relative importance of household-level versus community transmission of </w:t>
      </w:r>
      <w:r w:rsidRPr="00AF28B8">
        <w:rPr>
          <w:rFonts w:ascii="Calibri" w:hAnsi="Calibri" w:cs="Calibri"/>
          <w:i/>
          <w:iCs/>
          <w:color w:val="000000"/>
          <w:sz w:val="22"/>
          <w:szCs w:val="22"/>
        </w:rPr>
        <w:t>Shigella</w:t>
      </w:r>
      <w:r w:rsidRPr="00AF28B8">
        <w:rPr>
          <w:rFonts w:ascii="Calibri" w:hAnsi="Calibri" w:cs="Calibri"/>
          <w:color w:val="000000"/>
          <w:sz w:val="22"/>
          <w:szCs w:val="22"/>
        </w:rPr>
        <w:t> and </w:t>
      </w:r>
      <w:r w:rsidRPr="00AF28B8">
        <w:rPr>
          <w:rFonts w:ascii="Calibri" w:hAnsi="Calibri" w:cs="Calibri"/>
          <w:i/>
          <w:iCs/>
          <w:color w:val="000000"/>
          <w:sz w:val="22"/>
          <w:szCs w:val="22"/>
        </w:rPr>
        <w:t>Campylobacter</w:t>
      </w:r>
      <w:r w:rsidRPr="00AF28B8">
        <w:rPr>
          <w:rFonts w:ascii="Calibri" w:hAnsi="Calibri" w:cs="Calibri"/>
          <w:color w:val="000000"/>
          <w:sz w:val="22"/>
          <w:szCs w:val="22"/>
        </w:rPr>
        <w:t> using data from a longitudinal cohort study in Dhaka, Bangladesh</w:t>
      </w:r>
    </w:p>
    <w:p w14:paraId="0C0320A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While the potential transmission pathways of enteric pathogens are known, differences in pathogen-specific transmission routes are poorly understood. It has been hypothesized that of the enteric pathogens, </w:t>
      </w:r>
      <w:r w:rsidRPr="00AF28B8">
        <w:rPr>
          <w:rFonts w:ascii="Calibri" w:hAnsi="Calibri" w:cs="Calibri"/>
          <w:i/>
          <w:iCs/>
          <w:color w:val="000000"/>
          <w:sz w:val="22"/>
          <w:szCs w:val="22"/>
        </w:rPr>
        <w:t>Shigella</w:t>
      </w:r>
      <w:r w:rsidRPr="00AF28B8">
        <w:rPr>
          <w:rFonts w:ascii="Calibri" w:hAnsi="Calibri" w:cs="Calibri"/>
          <w:color w:val="000000"/>
          <w:sz w:val="22"/>
          <w:szCs w:val="22"/>
        </w:rPr>
        <w:t> is transmitted largely person-to-person and </w:t>
      </w:r>
      <w:r w:rsidRPr="00AF28B8">
        <w:rPr>
          <w:rFonts w:ascii="Calibri" w:hAnsi="Calibri" w:cs="Calibri"/>
          <w:i/>
          <w:iCs/>
          <w:color w:val="000000"/>
          <w:sz w:val="22"/>
          <w:szCs w:val="22"/>
        </w:rPr>
        <w:t>Campylobacter</w:t>
      </w:r>
      <w:r w:rsidRPr="00AF28B8">
        <w:rPr>
          <w:rFonts w:ascii="Calibri" w:hAnsi="Calibri" w:cs="Calibri"/>
          <w:color w:val="000000"/>
          <w:sz w:val="22"/>
          <w:szCs w:val="22"/>
        </w:rPr>
        <w:t> has a larger environmental transmission component. Household-level transmission models can quantify the degree of transmission that occurs within the household, a key venue for person-to-person transmission. To address this question, we conducted a longitudinal cohort study in Dhaka, Bangladesh and analyzed the data using a household-level transmission model to understand the relative importance of household-level versus community transmission of </w:t>
      </w:r>
      <w:r w:rsidRPr="00AF28B8">
        <w:rPr>
          <w:rFonts w:ascii="Calibri" w:hAnsi="Calibri" w:cs="Calibri"/>
          <w:i/>
          <w:iCs/>
          <w:color w:val="000000"/>
          <w:sz w:val="22"/>
          <w:szCs w:val="22"/>
        </w:rPr>
        <w:t>Shigella</w:t>
      </w:r>
      <w:r w:rsidRPr="00AF28B8">
        <w:rPr>
          <w:rFonts w:ascii="Calibri" w:hAnsi="Calibri" w:cs="Calibri"/>
          <w:color w:val="000000"/>
          <w:sz w:val="22"/>
          <w:szCs w:val="22"/>
        </w:rPr>
        <w:t> and </w:t>
      </w:r>
      <w:r w:rsidRPr="00AF28B8">
        <w:rPr>
          <w:rFonts w:ascii="Calibri" w:hAnsi="Calibri" w:cs="Calibri"/>
          <w:i/>
          <w:iCs/>
          <w:color w:val="000000"/>
          <w:sz w:val="22"/>
          <w:szCs w:val="22"/>
        </w:rPr>
        <w:t>Campylobacter</w:t>
      </w:r>
      <w:r w:rsidRPr="00AF28B8">
        <w:rPr>
          <w:rFonts w:ascii="Calibri" w:hAnsi="Calibri" w:cs="Calibri"/>
          <w:color w:val="000000"/>
          <w:sz w:val="22"/>
          <w:szCs w:val="22"/>
        </w:rPr>
        <w:t>. We enrolled 100 households that had a child under the age of one and collected monthly stool samples from all participants (n=428) in the enrolled households for one year. If diarrhea was reported, we increased the collection frequency to twice weekly for four weeks. Stool samples were tested for</w:t>
      </w:r>
      <w:r w:rsidRPr="00AF28B8">
        <w:rPr>
          <w:rFonts w:ascii="Calibri" w:hAnsi="Calibri" w:cs="Calibri"/>
          <w:i/>
          <w:iCs/>
          <w:color w:val="000000"/>
          <w:sz w:val="22"/>
          <w:szCs w:val="22"/>
        </w:rPr>
        <w:t> C. jejuni </w:t>
      </w:r>
      <w:r w:rsidRPr="00AF28B8">
        <w:rPr>
          <w:rFonts w:ascii="Calibri" w:hAnsi="Calibri" w:cs="Calibri"/>
          <w:color w:val="000000"/>
          <w:sz w:val="22"/>
          <w:szCs w:val="22"/>
        </w:rPr>
        <w:t>and </w:t>
      </w:r>
      <w:r w:rsidRPr="00AF28B8">
        <w:rPr>
          <w:rFonts w:ascii="Calibri" w:hAnsi="Calibri" w:cs="Calibri"/>
          <w:i/>
          <w:iCs/>
          <w:color w:val="000000"/>
          <w:sz w:val="22"/>
          <w:szCs w:val="22"/>
        </w:rPr>
        <w:t>Shigella</w:t>
      </w:r>
      <w:r w:rsidRPr="00AF28B8">
        <w:rPr>
          <w:rFonts w:ascii="Calibri" w:hAnsi="Calibri" w:cs="Calibri"/>
          <w:color w:val="000000"/>
          <w:sz w:val="22"/>
          <w:szCs w:val="22"/>
        </w:rPr>
        <w:t> using qPCR and assumed to be positive for one of the two bacteria we tracked if the respective PCR test had a cycle threshold ≤30. To run the household-level transmission model, first, we imputed the data from the collected stool samples to estimate the daily infectiousness of each study participant for each bacterium. Next, we used the augmented data as input in the household-level transmission model to estimate the community and household-level transmission rates. From the data augmentation, we found that children had a higher incidence of </w:t>
      </w:r>
      <w:r w:rsidRPr="00AF28B8">
        <w:rPr>
          <w:rFonts w:ascii="Calibri" w:hAnsi="Calibri" w:cs="Calibri"/>
          <w:i/>
          <w:iCs/>
          <w:color w:val="000000"/>
          <w:sz w:val="22"/>
          <w:szCs w:val="22"/>
        </w:rPr>
        <w:t>C. jejuni</w:t>
      </w:r>
      <w:r w:rsidRPr="00AF28B8">
        <w:rPr>
          <w:rFonts w:ascii="Calibri" w:hAnsi="Calibri" w:cs="Calibri"/>
          <w:color w:val="000000"/>
          <w:sz w:val="22"/>
          <w:szCs w:val="22"/>
        </w:rPr>
        <w:t> than </w:t>
      </w:r>
      <w:r w:rsidRPr="00AF28B8">
        <w:rPr>
          <w:rFonts w:ascii="Calibri" w:hAnsi="Calibri" w:cs="Calibri"/>
          <w:i/>
          <w:iCs/>
          <w:color w:val="000000"/>
          <w:sz w:val="22"/>
          <w:szCs w:val="22"/>
        </w:rPr>
        <w:t>Shigella </w:t>
      </w:r>
      <w:r w:rsidRPr="00AF28B8">
        <w:rPr>
          <w:rFonts w:ascii="Calibri" w:hAnsi="Calibri" w:cs="Calibri"/>
          <w:color w:val="000000"/>
          <w:sz w:val="22"/>
          <w:szCs w:val="22"/>
        </w:rPr>
        <w:t>(2.16 versus 1.54 infections per child-year, respectively), but that adults had a higher incidence of </w:t>
      </w:r>
      <w:r w:rsidRPr="00AF28B8">
        <w:rPr>
          <w:rFonts w:ascii="Calibri" w:hAnsi="Calibri" w:cs="Calibri"/>
          <w:i/>
          <w:iCs/>
          <w:color w:val="000000"/>
          <w:sz w:val="22"/>
          <w:szCs w:val="22"/>
        </w:rPr>
        <w:t>Shigella</w:t>
      </w:r>
      <w:r w:rsidRPr="00AF28B8">
        <w:rPr>
          <w:rFonts w:ascii="Calibri" w:hAnsi="Calibri" w:cs="Calibri"/>
          <w:color w:val="000000"/>
          <w:sz w:val="22"/>
          <w:szCs w:val="22"/>
        </w:rPr>
        <w:t> (1.58 infections per person-year versus 1.07 for </w:t>
      </w:r>
      <w:r w:rsidRPr="00AF28B8">
        <w:rPr>
          <w:rFonts w:ascii="Calibri" w:hAnsi="Calibri" w:cs="Calibri"/>
          <w:i/>
          <w:iCs/>
          <w:color w:val="000000"/>
          <w:sz w:val="22"/>
          <w:szCs w:val="22"/>
        </w:rPr>
        <w:t>C. jejuni</w:t>
      </w:r>
      <w:r w:rsidRPr="00AF28B8">
        <w:rPr>
          <w:rFonts w:ascii="Calibri" w:hAnsi="Calibri" w:cs="Calibri"/>
          <w:color w:val="000000"/>
          <w:sz w:val="22"/>
          <w:szCs w:val="22"/>
        </w:rPr>
        <w:t>). From the household-level model, we found that the percent of the total force of infection attributed to household-level transmission was higher for </w:t>
      </w:r>
      <w:r w:rsidRPr="00AF28B8">
        <w:rPr>
          <w:rFonts w:ascii="Calibri" w:hAnsi="Calibri" w:cs="Calibri"/>
          <w:i/>
          <w:iCs/>
          <w:color w:val="000000"/>
          <w:sz w:val="22"/>
          <w:szCs w:val="22"/>
        </w:rPr>
        <w:t>Shigella</w:t>
      </w:r>
      <w:r w:rsidRPr="00AF28B8">
        <w:rPr>
          <w:rFonts w:ascii="Calibri" w:hAnsi="Calibri" w:cs="Calibri"/>
          <w:color w:val="000000"/>
          <w:sz w:val="22"/>
          <w:szCs w:val="22"/>
        </w:rPr>
        <w:t> (25%) than </w:t>
      </w:r>
      <w:r w:rsidRPr="00AF28B8">
        <w:rPr>
          <w:rFonts w:ascii="Calibri" w:hAnsi="Calibri" w:cs="Calibri"/>
          <w:i/>
          <w:iCs/>
          <w:color w:val="000000"/>
          <w:sz w:val="22"/>
          <w:szCs w:val="22"/>
        </w:rPr>
        <w:t>Campylobacter</w:t>
      </w:r>
      <w:r w:rsidRPr="00AF28B8">
        <w:rPr>
          <w:rFonts w:ascii="Calibri" w:hAnsi="Calibri" w:cs="Calibri"/>
          <w:color w:val="000000"/>
          <w:sz w:val="22"/>
          <w:szCs w:val="22"/>
        </w:rPr>
        <w:t> (21%). Quantifying the relative importance of each transmission pathway along with the age-specific incidence rates can inform effective intervention design.</w:t>
      </w:r>
    </w:p>
    <w:p w14:paraId="6F09A33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25-A-4052-ASTMH</w:t>
      </w:r>
    </w:p>
    <w:p w14:paraId="5FC7D71D"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Babesiosis and Lyme Disease</w:t>
      </w:r>
    </w:p>
    <w:p w14:paraId="109454DF"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Preliminary Findings: A case-control study in two Canadian regions on the knowledge, attitude, and practices (KAP) related to Lyme disease</w:t>
      </w:r>
    </w:p>
    <w:p w14:paraId="2588A09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The rapid rise in global incidence of Lyme disease (LD), infections indicates that more public health action is needed to target high-risk populations. In absence of effective population-wide prevention </w:t>
      </w:r>
      <w:r w:rsidRPr="00AF28B8">
        <w:rPr>
          <w:rFonts w:ascii="Calibri" w:hAnsi="Calibri" w:cs="Calibri"/>
          <w:color w:val="000000"/>
          <w:sz w:val="22"/>
          <w:szCs w:val="22"/>
        </w:rPr>
        <w:lastRenderedPageBreak/>
        <w:t>methods like vaccines, prevention of LD infections remains the most effective means to reduce the incidence of LD. Therefore, assessing the knowledge, attitudes, and practices (KAP) of exposed populations is crucial. Comparative epidemiological studies like case-control studies help identify risk factors and underlying demographic patterns responsible for differences in exposures. We conducted a case-control study to identify how KAP influences the risk of LD infection in two Canadian LD hotspots: Kingston, Ontario and Lunenburg, Nova Scotia.The study’s aim is to identify significant determinants of LD risk and assess differences in KAP related to LD.219 study participants were recruited to participate in this study, with data collection from 2019 to 2024. Frequency matching was used based on age group, biological sex, and site. Cases were defined as individuals who have been diagnosed with early-stage LD while controls were defined as individuals who did not have a previous diagnosis of LD. At each study site, a questionnaire was administered to both cases and controls and collected information on sociodemographic, KAP, and other risk factors for LD. We will conduct a multivariable logistic regression using a composite KAP (Knowledge, Attitudes, Practices) score generated through Principal Component Analysis (PCA). PCA will be used to reduce dimensionality of KAP-related variables into principal components, capturing the maximum variability from the original dataset to include as predictors in the regression model.Preliminary results are expected for June/July 2025.This study will offer valuable insights into knowledge, attitudes, and practices related to LD in hotspot regions in Canada. The findings can be used to inform and guide the development of targeted LD prevention strategies including education campaigns, to help reduce the risk of infections within the Canadian population.</w:t>
      </w:r>
    </w:p>
    <w:p w14:paraId="05868A52"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25-A-4053-ASTMH</w:t>
      </w:r>
    </w:p>
    <w:p w14:paraId="157512C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and Genetics of Insecticide Resistance</w:t>
      </w:r>
    </w:p>
    <w:p w14:paraId="475D3AF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Insecticide resistance status and underlying mechanism in Aedes mosquitoes in the western Democratic Republic of the Congo</w:t>
      </w:r>
    </w:p>
    <w:p w14:paraId="5EAC3986"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Abstract</w:t>
      </w:r>
      <w:r w:rsidRPr="00AF28B8">
        <w:rPr>
          <w:rFonts w:ascii="Calibri" w:hAnsi="Calibri" w:cs="Calibri"/>
          <w:color w:val="000000"/>
          <w:sz w:val="22"/>
          <w:szCs w:val="22"/>
        </w:rPr>
        <w:t>The western region of the Democratic Republic of the Congo (DRC) has experienced a notable increase in chikungunya and dengue outbreaks over the past three decades. To assess the risk and support vector control strategies, we investigated insecticide resistance status and underlying mechanisms in </w:t>
      </w:r>
      <w:r w:rsidRPr="00AF28B8">
        <w:rPr>
          <w:rFonts w:ascii="Calibri" w:hAnsi="Calibri" w:cs="Calibri"/>
          <w:i/>
          <w:iCs/>
          <w:color w:val="000000"/>
          <w:sz w:val="22"/>
          <w:szCs w:val="22"/>
        </w:rPr>
        <w:t>Aedes aegypti</w:t>
      </w:r>
      <w:r w:rsidRPr="00AF28B8">
        <w:rPr>
          <w:rFonts w:ascii="Calibri" w:hAnsi="Calibri" w:cs="Calibri"/>
          <w:color w:val="000000"/>
          <w:sz w:val="22"/>
          <w:szCs w:val="22"/>
        </w:rPr>
        <w:t> and </w:t>
      </w:r>
      <w:r w:rsidRPr="00AF28B8">
        <w:rPr>
          <w:rFonts w:ascii="Calibri" w:hAnsi="Calibri" w:cs="Calibri"/>
          <w:i/>
          <w:iCs/>
          <w:color w:val="000000"/>
          <w:sz w:val="22"/>
          <w:szCs w:val="22"/>
        </w:rPr>
        <w:t>Aedes albopictus</w:t>
      </w:r>
      <w:r w:rsidRPr="00AF28B8">
        <w:rPr>
          <w:rFonts w:ascii="Calibri" w:hAnsi="Calibri" w:cs="Calibri"/>
          <w:color w:val="000000"/>
          <w:sz w:val="22"/>
          <w:szCs w:val="22"/>
        </w:rPr>
        <w:t> populations in western DRC. Larvae were collected from used tires, discarded containers, and water storage containers at 33 sites across Kinshasa and Kongo Central provinces in May 2022 and May 2023. A simplified larval bioassay was performed using d-allethrin to assess susceptibility to pyrethroids. WHO tube bioassays were conducted on three </w:t>
      </w:r>
      <w:r w:rsidRPr="00AF28B8">
        <w:rPr>
          <w:rFonts w:ascii="Calibri" w:hAnsi="Calibri" w:cs="Calibri"/>
          <w:i/>
          <w:iCs/>
          <w:color w:val="000000"/>
          <w:sz w:val="22"/>
          <w:szCs w:val="22"/>
        </w:rPr>
        <w:t>Ae. aegypti</w:t>
      </w:r>
      <w:r w:rsidRPr="00AF28B8">
        <w:rPr>
          <w:rFonts w:ascii="Calibri" w:hAnsi="Calibri" w:cs="Calibri"/>
          <w:color w:val="000000"/>
          <w:sz w:val="22"/>
          <w:szCs w:val="22"/>
        </w:rPr>
        <w:t> and two </w:t>
      </w:r>
      <w:r w:rsidRPr="00AF28B8">
        <w:rPr>
          <w:rFonts w:ascii="Calibri" w:hAnsi="Calibri" w:cs="Calibri"/>
          <w:i/>
          <w:iCs/>
          <w:color w:val="000000"/>
          <w:sz w:val="22"/>
          <w:szCs w:val="22"/>
        </w:rPr>
        <w:t>Ae. albopictus </w:t>
      </w:r>
      <w:r w:rsidRPr="00AF28B8">
        <w:rPr>
          <w:rFonts w:ascii="Calibri" w:hAnsi="Calibri" w:cs="Calibri"/>
          <w:color w:val="000000"/>
          <w:sz w:val="22"/>
          <w:szCs w:val="22"/>
        </w:rPr>
        <w:t>populations that exhibited high resistance to d-allethrin, using 4% DDT, 0.4% permethrin, 0.5% etofenprox, 0.1% propoxur, 1% fenitrothion, and synergists (DMC, PBO, DEF, DEM). We sequenced domains I, II, and III of the VGSC gene in both species, and the Ace-1 gene in </w:t>
      </w:r>
      <w:r w:rsidRPr="00AF28B8">
        <w:rPr>
          <w:rFonts w:ascii="Calibri" w:hAnsi="Calibri" w:cs="Calibri"/>
          <w:i/>
          <w:iCs/>
          <w:color w:val="000000"/>
          <w:sz w:val="22"/>
          <w:szCs w:val="22"/>
        </w:rPr>
        <w:t>Ae. aegypti</w:t>
      </w:r>
      <w:r w:rsidRPr="00AF28B8">
        <w:rPr>
          <w:rFonts w:ascii="Calibri" w:hAnsi="Calibri" w:cs="Calibri"/>
          <w:color w:val="000000"/>
          <w:sz w:val="22"/>
          <w:szCs w:val="22"/>
        </w:rPr>
        <w:t>. </w:t>
      </w:r>
      <w:r w:rsidRPr="00AF28B8">
        <w:rPr>
          <w:rFonts w:ascii="Calibri" w:hAnsi="Calibri" w:cs="Calibri"/>
          <w:i/>
          <w:iCs/>
          <w:color w:val="000000"/>
          <w:sz w:val="22"/>
          <w:szCs w:val="22"/>
        </w:rPr>
        <w:t>Ae. aegypti</w:t>
      </w:r>
      <w:r w:rsidRPr="00AF28B8">
        <w:rPr>
          <w:rFonts w:ascii="Calibri" w:hAnsi="Calibri" w:cs="Calibri"/>
          <w:color w:val="000000"/>
          <w:sz w:val="22"/>
          <w:szCs w:val="22"/>
        </w:rPr>
        <w:t> populations exhibited high resistance to DDT, permethrin, etofenprox, and propoxur, but full susceptibility to fenitrothion. </w:t>
      </w:r>
      <w:r w:rsidRPr="00AF28B8">
        <w:rPr>
          <w:rFonts w:ascii="Calibri" w:hAnsi="Calibri" w:cs="Calibri"/>
          <w:i/>
          <w:iCs/>
          <w:color w:val="000000"/>
          <w:sz w:val="22"/>
          <w:szCs w:val="22"/>
        </w:rPr>
        <w:t>Ae. albopictus</w:t>
      </w:r>
      <w:r w:rsidRPr="00AF28B8">
        <w:rPr>
          <w:rFonts w:ascii="Calibri" w:hAnsi="Calibri" w:cs="Calibri"/>
          <w:color w:val="000000"/>
          <w:sz w:val="22"/>
          <w:szCs w:val="22"/>
        </w:rPr>
        <w:t> populations were resistant to DDT and propoxur, variably susceptible to permethrin, and fully susceptible to fenitrothion. Synergists generally had minimal impact on resistance phenotypes. In </w:t>
      </w:r>
      <w:r w:rsidRPr="00AF28B8">
        <w:rPr>
          <w:rFonts w:ascii="Calibri" w:hAnsi="Calibri" w:cs="Calibri"/>
          <w:i/>
          <w:iCs/>
          <w:color w:val="000000"/>
          <w:sz w:val="22"/>
          <w:szCs w:val="22"/>
        </w:rPr>
        <w:t>Ae. aegypti</w:t>
      </w:r>
      <w:r w:rsidRPr="00AF28B8">
        <w:rPr>
          <w:rFonts w:ascii="Calibri" w:hAnsi="Calibri" w:cs="Calibri"/>
          <w:color w:val="000000"/>
          <w:sz w:val="22"/>
          <w:szCs w:val="22"/>
        </w:rPr>
        <w:t>, we detected high frequency </w:t>
      </w:r>
      <w:r w:rsidRPr="00AF28B8">
        <w:rPr>
          <w:rFonts w:ascii="Calibri" w:hAnsi="Calibri" w:cs="Calibri"/>
          <w:i/>
          <w:iCs/>
          <w:color w:val="000000"/>
          <w:sz w:val="22"/>
          <w:szCs w:val="22"/>
        </w:rPr>
        <w:t>kdr</w:t>
      </w:r>
      <w:r w:rsidRPr="00AF28B8">
        <w:rPr>
          <w:rFonts w:ascii="Calibri" w:hAnsi="Calibri" w:cs="Calibri"/>
          <w:color w:val="000000"/>
          <w:sz w:val="22"/>
          <w:szCs w:val="22"/>
        </w:rPr>
        <w:t> mutations V410L, V1016I, and F1543C across all sites. In </w:t>
      </w:r>
      <w:r w:rsidRPr="00AF28B8">
        <w:rPr>
          <w:rFonts w:ascii="Calibri" w:hAnsi="Calibri" w:cs="Calibri"/>
          <w:i/>
          <w:iCs/>
          <w:color w:val="000000"/>
          <w:sz w:val="22"/>
          <w:szCs w:val="22"/>
        </w:rPr>
        <w:t>Ae. albopictus</w:t>
      </w:r>
      <w:r w:rsidRPr="00AF28B8">
        <w:rPr>
          <w:rFonts w:ascii="Calibri" w:hAnsi="Calibri" w:cs="Calibri"/>
          <w:color w:val="000000"/>
          <w:sz w:val="22"/>
          <w:szCs w:val="22"/>
        </w:rPr>
        <w:t>, V1016I, V1016G, and F1534C were detected at low frequencies in Kinshasa. The G119S mutation in Ace-1 was not detected. The triple homozygous mutant combination 1543CC/1016II/410LL was associated with permethrin resistance. Fenitrothion appears to be a promising candidate insecticide against both species in southwestern DRC. Our findings indicate that </w:t>
      </w:r>
      <w:r w:rsidRPr="00AF28B8">
        <w:rPr>
          <w:rFonts w:ascii="Calibri" w:hAnsi="Calibri" w:cs="Calibri"/>
          <w:i/>
          <w:iCs/>
          <w:color w:val="000000"/>
          <w:sz w:val="22"/>
          <w:szCs w:val="22"/>
        </w:rPr>
        <w:t>kdr</w:t>
      </w:r>
      <w:r w:rsidRPr="00AF28B8">
        <w:rPr>
          <w:rFonts w:ascii="Calibri" w:hAnsi="Calibri" w:cs="Calibri"/>
          <w:color w:val="000000"/>
          <w:sz w:val="22"/>
          <w:szCs w:val="22"/>
        </w:rPr>
        <w:t> mutations are the principal mechanisms driving insecticide resistance in </w:t>
      </w:r>
      <w:r w:rsidRPr="00AF28B8">
        <w:rPr>
          <w:rFonts w:ascii="Calibri" w:hAnsi="Calibri" w:cs="Calibri"/>
          <w:i/>
          <w:iCs/>
          <w:color w:val="000000"/>
          <w:sz w:val="22"/>
          <w:szCs w:val="22"/>
        </w:rPr>
        <w:t>Aedes</w:t>
      </w:r>
      <w:r w:rsidRPr="00AF28B8">
        <w:rPr>
          <w:rFonts w:ascii="Calibri" w:hAnsi="Calibri" w:cs="Calibri"/>
          <w:color w:val="000000"/>
          <w:sz w:val="22"/>
          <w:szCs w:val="22"/>
        </w:rPr>
        <w:t> mosquitoes in Kinshasa and Kongo Central.</w:t>
      </w:r>
    </w:p>
    <w:p w14:paraId="1027A612"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25-A-4054-ASTMH</w:t>
      </w:r>
    </w:p>
    <w:p w14:paraId="5C1AB297"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0742319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 longitudinal cohort in southeast Brazil highlights biomarkers and risk factors predictive of Hansen’s disease (leprosy)</w:t>
      </w:r>
    </w:p>
    <w:p w14:paraId="1174FC1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Longitudinal studies for Hansen’s disease (HD) are difficult but invaluable to better identify risk factors for disease development. We present our preliminary findings on the first 3 years of a cohort of high risk individuals in southeast Brazil, with a focus on co-infection and micronutrients. Community members ages 3 years and up (n=1315) were enrolled from municipalities in eastern Minas Gerais, Brazil, and screened for anti-LID1, an </w:t>
      </w:r>
      <w:r w:rsidRPr="00AF28B8">
        <w:rPr>
          <w:rFonts w:ascii="Calibri" w:hAnsi="Calibri" w:cs="Calibri"/>
          <w:i/>
          <w:iCs/>
          <w:color w:val="000000"/>
          <w:sz w:val="22"/>
          <w:szCs w:val="22"/>
        </w:rPr>
        <w:t>M. leprae</w:t>
      </w:r>
      <w:r w:rsidRPr="00AF28B8">
        <w:rPr>
          <w:rFonts w:ascii="Calibri" w:hAnsi="Calibri" w:cs="Calibri"/>
          <w:color w:val="000000"/>
          <w:sz w:val="22"/>
          <w:szCs w:val="22"/>
        </w:rPr>
        <w:t> specific antibody. Those positive without a history of HD and anti-LID1 negative controls, matched for community, were enrolled in the longitudinal study. All individuals were evaluated for HD at 6-12 month intervals for 2-3 years. Vitamin D3 and retinol tests, helminth serology, and stool helminth exams were performed. A second </w:t>
      </w:r>
      <w:r w:rsidRPr="00AF28B8">
        <w:rPr>
          <w:rFonts w:ascii="Calibri" w:hAnsi="Calibri" w:cs="Calibri"/>
          <w:i/>
          <w:iCs/>
          <w:color w:val="000000"/>
          <w:sz w:val="22"/>
          <w:szCs w:val="22"/>
        </w:rPr>
        <w:t>M. leprae</w:t>
      </w:r>
      <w:r w:rsidRPr="00AF28B8">
        <w:rPr>
          <w:rFonts w:ascii="Calibri" w:hAnsi="Calibri" w:cs="Calibri"/>
          <w:color w:val="000000"/>
          <w:sz w:val="22"/>
          <w:szCs w:val="22"/>
        </w:rPr>
        <w:t>-specific antibody test, anti-phenolic glycolipid-1 (PGL1) was also performed. Questionnaires on demographics, medical history, and exposures were done at the onset and periodically. 78 individuals without a history of HD tested positive for anti-LID1 while 43 tested positive for anti-PGL1, 16 of which were anti-LID1 negative. Sixty individuals who tested negative for both markers were included as controls. A total of 19 individuals were diagnosed with HD; 5 at time 0; 9 at the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follow-up; 2 at the 2</w:t>
      </w:r>
      <w:r w:rsidRPr="00AF28B8">
        <w:rPr>
          <w:rFonts w:ascii="Calibri" w:hAnsi="Calibri" w:cs="Calibri"/>
          <w:color w:val="000000"/>
          <w:sz w:val="22"/>
          <w:szCs w:val="22"/>
          <w:vertAlign w:val="superscript"/>
        </w:rPr>
        <w:t>nd</w:t>
      </w:r>
      <w:r w:rsidRPr="00AF28B8">
        <w:rPr>
          <w:rFonts w:ascii="Calibri" w:hAnsi="Calibri" w:cs="Calibri"/>
          <w:color w:val="000000"/>
          <w:sz w:val="22"/>
          <w:szCs w:val="22"/>
        </w:rPr>
        <w:t>; and 2 at the last. All 19 individuals were positive for at least one antibody with a combination of the two carrying the highest risk of disease (RR 2.09, 95% CI 1.23, 3.57). Age and sex were not predictive of disease but being vitamin D deficient was associated with a RR 1.36 (95% CI 1.00, 1.88) among those seropositive. Seropositivity for either </w:t>
      </w:r>
      <w:r w:rsidRPr="00AF28B8">
        <w:rPr>
          <w:rFonts w:ascii="Calibri" w:hAnsi="Calibri" w:cs="Calibri"/>
          <w:i/>
          <w:iCs/>
          <w:color w:val="000000"/>
          <w:sz w:val="22"/>
          <w:szCs w:val="22"/>
        </w:rPr>
        <w:t>S. mansoni</w:t>
      </w:r>
      <w:r w:rsidRPr="00AF28B8">
        <w:rPr>
          <w:rFonts w:ascii="Calibri" w:hAnsi="Calibri" w:cs="Calibri"/>
          <w:color w:val="000000"/>
          <w:sz w:val="22"/>
          <w:szCs w:val="22"/>
        </w:rPr>
        <w:t> or </w:t>
      </w:r>
      <w:r w:rsidRPr="00AF28B8">
        <w:rPr>
          <w:rFonts w:ascii="Calibri" w:hAnsi="Calibri" w:cs="Calibri"/>
          <w:i/>
          <w:iCs/>
          <w:color w:val="000000"/>
          <w:sz w:val="22"/>
          <w:szCs w:val="22"/>
        </w:rPr>
        <w:t>Strongyloides spp </w:t>
      </w:r>
      <w:r w:rsidRPr="00AF28B8">
        <w:rPr>
          <w:rFonts w:ascii="Calibri" w:hAnsi="Calibri" w:cs="Calibri"/>
          <w:color w:val="000000"/>
          <w:sz w:val="22"/>
          <w:szCs w:val="22"/>
        </w:rPr>
        <w:t>was associated with a lower risk of HD (RR = 0.83, 95% CI 0.69, 0.99) in </w:t>
      </w:r>
      <w:r w:rsidRPr="00AF28B8">
        <w:rPr>
          <w:rFonts w:ascii="Calibri" w:hAnsi="Calibri" w:cs="Calibri"/>
          <w:i/>
          <w:iCs/>
          <w:color w:val="000000"/>
          <w:sz w:val="22"/>
          <w:szCs w:val="22"/>
        </w:rPr>
        <w:t>M. leprae</w:t>
      </w:r>
      <w:r w:rsidRPr="00AF28B8">
        <w:rPr>
          <w:rFonts w:ascii="Calibri" w:hAnsi="Calibri" w:cs="Calibri"/>
          <w:color w:val="000000"/>
          <w:sz w:val="22"/>
          <w:szCs w:val="22"/>
        </w:rPr>
        <w:t> seropositive individuals. These findings highlighted the possibility of improving sensitivity by combining biomarkers to assess infection and risk of disease. Low vitamin D3 levels may be a pre-existing risk factor for HD but past history of helminth infection did not appear to increase risk. Continued follow-up and analyses will further uncover predictors of disease and lead to better mechanistic understanding of risk.</w:t>
      </w:r>
    </w:p>
    <w:p w14:paraId="4FF7EBD3"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25-A-4055-ASTMH</w:t>
      </w:r>
    </w:p>
    <w:p w14:paraId="751EE5F3"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3D68957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Eliminated or elusive?: Surveying the snail vectors of Schistosoma mansoni in the Caribbean region</w:t>
      </w:r>
    </w:p>
    <w:p w14:paraId="703B99C6"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Schistosoma mansoni</w:t>
      </w:r>
      <w:r w:rsidRPr="00AF28B8">
        <w:rPr>
          <w:rFonts w:ascii="Calibri" w:hAnsi="Calibri" w:cs="Calibri"/>
          <w:color w:val="000000"/>
          <w:sz w:val="22"/>
          <w:szCs w:val="22"/>
        </w:rPr>
        <w:t> may have been eliminated from parts of the Caribbean, but verification remains incomplete. Ongoing transmission is still considered a possibility, although recent evidence is lacking; it cannot be ruled out without additional human and snail surveys. Previously, we surveyed three islands, Antigua, Montserrat, and St. Lucia to determine if the </w:t>
      </w:r>
      <w:r w:rsidRPr="00AF28B8">
        <w:rPr>
          <w:rFonts w:ascii="Calibri" w:hAnsi="Calibri" w:cs="Calibri"/>
          <w:i/>
          <w:iCs/>
          <w:color w:val="000000"/>
          <w:sz w:val="22"/>
          <w:szCs w:val="22"/>
        </w:rPr>
        <w:t>Biomphalaria</w:t>
      </w:r>
      <w:r w:rsidRPr="00AF28B8">
        <w:rPr>
          <w:rFonts w:ascii="Calibri" w:hAnsi="Calibri" w:cs="Calibri"/>
          <w:color w:val="000000"/>
          <w:sz w:val="22"/>
          <w:szCs w:val="22"/>
        </w:rPr>
        <w:t> vector snails of </w:t>
      </w:r>
      <w:r w:rsidRPr="00AF28B8">
        <w:rPr>
          <w:rFonts w:ascii="Calibri" w:hAnsi="Calibri" w:cs="Calibri"/>
          <w:i/>
          <w:iCs/>
          <w:color w:val="000000"/>
          <w:sz w:val="22"/>
          <w:szCs w:val="22"/>
        </w:rPr>
        <w:t>Schistosoma mansoni</w:t>
      </w:r>
      <w:r w:rsidRPr="00AF28B8">
        <w:rPr>
          <w:rFonts w:ascii="Calibri" w:hAnsi="Calibri" w:cs="Calibri"/>
          <w:color w:val="000000"/>
          <w:sz w:val="22"/>
          <w:szCs w:val="22"/>
        </w:rPr>
        <w:t> are still present on the islands and how their range compares to historical surveys before the introduction of competitor snails, habitat change, and/or mollusciciding. We found </w:t>
      </w:r>
      <w:r w:rsidRPr="00AF28B8">
        <w:rPr>
          <w:rFonts w:ascii="Calibri" w:hAnsi="Calibri" w:cs="Calibri"/>
          <w:i/>
          <w:iCs/>
          <w:color w:val="000000"/>
          <w:sz w:val="22"/>
          <w:szCs w:val="22"/>
        </w:rPr>
        <w:t>Biomphalaria glabrata</w:t>
      </w:r>
      <w:r w:rsidRPr="00AF28B8">
        <w:rPr>
          <w:rFonts w:ascii="Calibri" w:hAnsi="Calibri" w:cs="Calibri"/>
          <w:color w:val="000000"/>
          <w:sz w:val="22"/>
          <w:szCs w:val="22"/>
        </w:rPr>
        <w:t>, the main vector for </w:t>
      </w:r>
      <w:r w:rsidRPr="00AF28B8">
        <w:rPr>
          <w:rFonts w:ascii="Calibri" w:hAnsi="Calibri" w:cs="Calibri"/>
          <w:i/>
          <w:iCs/>
          <w:color w:val="000000"/>
          <w:sz w:val="22"/>
          <w:szCs w:val="22"/>
        </w:rPr>
        <w:t>S. mansoni</w:t>
      </w:r>
      <w:r w:rsidRPr="00AF28B8">
        <w:rPr>
          <w:rFonts w:ascii="Calibri" w:hAnsi="Calibri" w:cs="Calibri"/>
          <w:color w:val="000000"/>
          <w:sz w:val="22"/>
          <w:szCs w:val="22"/>
        </w:rPr>
        <w:t> in the Caribbean region, on the islands of Antigua and St. Lucia, though only in a few localized areas with no evidence of active </w:t>
      </w:r>
      <w:r w:rsidRPr="00AF28B8">
        <w:rPr>
          <w:rFonts w:ascii="Calibri" w:hAnsi="Calibri" w:cs="Calibri"/>
          <w:i/>
          <w:iCs/>
          <w:color w:val="000000"/>
          <w:sz w:val="22"/>
          <w:szCs w:val="22"/>
        </w:rPr>
        <w:t>S. mansoni</w:t>
      </w:r>
      <w:r w:rsidRPr="00AF28B8">
        <w:rPr>
          <w:rFonts w:ascii="Calibri" w:hAnsi="Calibri" w:cs="Calibri"/>
          <w:color w:val="000000"/>
          <w:sz w:val="22"/>
          <w:szCs w:val="22"/>
        </w:rPr>
        <w:t> infections in the snails or from eDNA samples. On all three islands, </w:t>
      </w:r>
      <w:r w:rsidRPr="00AF28B8">
        <w:rPr>
          <w:rFonts w:ascii="Calibri" w:hAnsi="Calibri" w:cs="Calibri"/>
          <w:i/>
          <w:iCs/>
          <w:color w:val="000000"/>
          <w:sz w:val="22"/>
          <w:szCs w:val="22"/>
        </w:rPr>
        <w:t>Biomphalaria kuhniana </w:t>
      </w:r>
      <w:r w:rsidRPr="00AF28B8">
        <w:rPr>
          <w:rFonts w:ascii="Calibri" w:hAnsi="Calibri" w:cs="Calibri"/>
          <w:color w:val="000000"/>
          <w:sz w:val="22"/>
          <w:szCs w:val="22"/>
        </w:rPr>
        <w:t>was found, a species whose role as a host has historically been ambiguous. Following the St. Lucia survey, we exported both </w:t>
      </w:r>
      <w:r w:rsidRPr="00AF28B8">
        <w:rPr>
          <w:rFonts w:ascii="Calibri" w:hAnsi="Calibri" w:cs="Calibri"/>
          <w:i/>
          <w:iCs/>
          <w:color w:val="000000"/>
          <w:sz w:val="22"/>
          <w:szCs w:val="22"/>
        </w:rPr>
        <w:t>B. glabrata</w:t>
      </w:r>
      <w:r w:rsidRPr="00AF28B8">
        <w:rPr>
          <w:rFonts w:ascii="Calibri" w:hAnsi="Calibri" w:cs="Calibri"/>
          <w:color w:val="000000"/>
          <w:sz w:val="22"/>
          <w:szCs w:val="22"/>
        </w:rPr>
        <w:t> and </w:t>
      </w:r>
      <w:r w:rsidRPr="00AF28B8">
        <w:rPr>
          <w:rFonts w:ascii="Calibri" w:hAnsi="Calibri" w:cs="Calibri"/>
          <w:i/>
          <w:iCs/>
          <w:color w:val="000000"/>
          <w:sz w:val="22"/>
          <w:szCs w:val="22"/>
        </w:rPr>
        <w:t>B. kuhniana</w:t>
      </w:r>
      <w:r w:rsidRPr="00AF28B8">
        <w:rPr>
          <w:rFonts w:ascii="Calibri" w:hAnsi="Calibri" w:cs="Calibri"/>
          <w:color w:val="000000"/>
          <w:sz w:val="22"/>
          <w:szCs w:val="22"/>
        </w:rPr>
        <w:t> and experimentally exposed them to two different strains of </w:t>
      </w:r>
      <w:r w:rsidRPr="00AF28B8">
        <w:rPr>
          <w:rFonts w:ascii="Calibri" w:hAnsi="Calibri" w:cs="Calibri"/>
          <w:i/>
          <w:iCs/>
          <w:color w:val="000000"/>
          <w:sz w:val="22"/>
          <w:szCs w:val="22"/>
        </w:rPr>
        <w:t>S. mansoni </w:t>
      </w:r>
      <w:r w:rsidRPr="00AF28B8">
        <w:rPr>
          <w:rFonts w:ascii="Calibri" w:hAnsi="Calibri" w:cs="Calibri"/>
          <w:color w:val="000000"/>
          <w:sz w:val="22"/>
          <w:szCs w:val="22"/>
        </w:rPr>
        <w:t>(Puerto Rican, and Kenyan). </w:t>
      </w:r>
      <w:r w:rsidRPr="00AF28B8">
        <w:rPr>
          <w:rFonts w:ascii="Calibri" w:hAnsi="Calibri" w:cs="Calibri"/>
          <w:i/>
          <w:iCs/>
          <w:color w:val="000000"/>
          <w:sz w:val="22"/>
          <w:szCs w:val="22"/>
        </w:rPr>
        <w:t>B. glabrata </w:t>
      </w:r>
      <w:r w:rsidRPr="00AF28B8">
        <w:rPr>
          <w:rFonts w:ascii="Calibri" w:hAnsi="Calibri" w:cs="Calibri"/>
          <w:color w:val="000000"/>
          <w:sz w:val="22"/>
          <w:szCs w:val="22"/>
        </w:rPr>
        <w:t>was highly compatible with both strains, but </w:t>
      </w:r>
      <w:r w:rsidRPr="00AF28B8">
        <w:rPr>
          <w:rFonts w:ascii="Calibri" w:hAnsi="Calibri" w:cs="Calibri"/>
          <w:i/>
          <w:iCs/>
          <w:color w:val="000000"/>
          <w:sz w:val="22"/>
          <w:szCs w:val="22"/>
        </w:rPr>
        <w:t>B. kuhniana</w:t>
      </w:r>
      <w:r w:rsidRPr="00AF28B8">
        <w:rPr>
          <w:rFonts w:ascii="Calibri" w:hAnsi="Calibri" w:cs="Calibri"/>
          <w:color w:val="000000"/>
          <w:sz w:val="22"/>
          <w:szCs w:val="22"/>
        </w:rPr>
        <w:t> was not compatible with either strain, with hemocytes encapsulating the sporocysts within 4 days post-exposure. We concluded from this survey that transmission of </w:t>
      </w:r>
      <w:r w:rsidRPr="00AF28B8">
        <w:rPr>
          <w:rFonts w:ascii="Calibri" w:hAnsi="Calibri" w:cs="Calibri"/>
          <w:i/>
          <w:iCs/>
          <w:color w:val="000000"/>
          <w:sz w:val="22"/>
          <w:szCs w:val="22"/>
        </w:rPr>
        <w:t>S. mansoni</w:t>
      </w:r>
      <w:r w:rsidRPr="00AF28B8">
        <w:rPr>
          <w:rFonts w:ascii="Calibri" w:hAnsi="Calibri" w:cs="Calibri"/>
          <w:color w:val="000000"/>
          <w:sz w:val="22"/>
          <w:szCs w:val="22"/>
        </w:rPr>
        <w:t> was unlikely. Since these surveys, there has been evidence of African green monkeys from the island of St. Kitts positive for </w:t>
      </w:r>
      <w:r w:rsidRPr="00AF28B8">
        <w:rPr>
          <w:rFonts w:ascii="Calibri" w:hAnsi="Calibri" w:cs="Calibri"/>
          <w:i/>
          <w:iCs/>
          <w:color w:val="000000"/>
          <w:sz w:val="22"/>
          <w:szCs w:val="22"/>
        </w:rPr>
        <w:t>S. mansoni</w:t>
      </w:r>
      <w:r w:rsidRPr="00AF28B8">
        <w:rPr>
          <w:rFonts w:ascii="Calibri" w:hAnsi="Calibri" w:cs="Calibri"/>
          <w:color w:val="000000"/>
          <w:sz w:val="22"/>
          <w:szCs w:val="22"/>
        </w:rPr>
        <w:t>. St. Kitts historically had a high human prevalence of</w:t>
      </w:r>
      <w:r w:rsidRPr="00AF28B8">
        <w:rPr>
          <w:rFonts w:ascii="Calibri" w:hAnsi="Calibri" w:cs="Calibri"/>
          <w:i/>
          <w:iCs/>
          <w:color w:val="000000"/>
          <w:sz w:val="22"/>
          <w:szCs w:val="22"/>
        </w:rPr>
        <w:t> S. mansoni</w:t>
      </w:r>
      <w:r w:rsidRPr="00AF28B8">
        <w:rPr>
          <w:rFonts w:ascii="Calibri" w:hAnsi="Calibri" w:cs="Calibri"/>
          <w:color w:val="000000"/>
          <w:sz w:val="22"/>
          <w:szCs w:val="22"/>
        </w:rPr>
        <w:t> (25%) in the 1930s, before presumed elimination in the 1970s due to water supply infrastructure, competitor snails, and mollusciciding. The recent evidence of </w:t>
      </w:r>
      <w:r w:rsidRPr="00AF28B8">
        <w:rPr>
          <w:rFonts w:ascii="Calibri" w:hAnsi="Calibri" w:cs="Calibri"/>
          <w:i/>
          <w:iCs/>
          <w:color w:val="000000"/>
          <w:sz w:val="22"/>
          <w:szCs w:val="22"/>
        </w:rPr>
        <w:t>S. mansoni</w:t>
      </w:r>
      <w:r w:rsidRPr="00AF28B8">
        <w:rPr>
          <w:rFonts w:ascii="Calibri" w:hAnsi="Calibri" w:cs="Calibri"/>
          <w:color w:val="000000"/>
          <w:sz w:val="22"/>
          <w:szCs w:val="22"/>
        </w:rPr>
        <w:t> in monkeys prompted us to do a malacological survey on the islands of St. Kitts and Nevis. Additionally, a planned survey for the island of Puerto Rico is underway. Findings from these ongoing and upcoming surveys will be discussed, with a focus on the complexities of verifying the interruption and elimination of </w:t>
      </w:r>
      <w:r w:rsidRPr="00AF28B8">
        <w:rPr>
          <w:rFonts w:ascii="Calibri" w:hAnsi="Calibri" w:cs="Calibri"/>
          <w:i/>
          <w:iCs/>
          <w:color w:val="000000"/>
          <w:sz w:val="22"/>
          <w:szCs w:val="22"/>
        </w:rPr>
        <w:t>S. mansoni</w:t>
      </w:r>
      <w:r w:rsidRPr="00AF28B8">
        <w:rPr>
          <w:rFonts w:ascii="Calibri" w:hAnsi="Calibri" w:cs="Calibri"/>
          <w:color w:val="000000"/>
          <w:sz w:val="22"/>
          <w:szCs w:val="22"/>
        </w:rPr>
        <w:t> in the Caribbean region.</w:t>
      </w:r>
    </w:p>
    <w:p w14:paraId="3987381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25-A-4056-ASTMH</w:t>
      </w:r>
    </w:p>
    <w:p w14:paraId="137EB6D3"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7F387D8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Immunoreactivity of NLRP3, Caspase 1, Gasdermin D, and IL-1β in rat brain tissue with neurocysticercosis associated with pyroptotic cell death</w:t>
      </w:r>
    </w:p>
    <w:p w14:paraId="3534FC83"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&lt;META NAME="author" CONTENT="DUE�AS MENDOZA, MARIA MILAGROS"&gt;Neurocysticercosis (NCC) is a parasitic disease affecting the central nervous system (CNS), whose infectious agent is the larval form of the parasite </w:t>
      </w:r>
      <w:r w:rsidRPr="00AF28B8">
        <w:rPr>
          <w:rFonts w:ascii="Calibri" w:hAnsi="Calibri" w:cs="Calibri"/>
          <w:i/>
          <w:iCs/>
          <w:color w:val="000000"/>
          <w:sz w:val="22"/>
          <w:szCs w:val="22"/>
        </w:rPr>
        <w:t>Taenia solium</w:t>
      </w:r>
      <w:r w:rsidRPr="00AF28B8">
        <w:rPr>
          <w:rFonts w:ascii="Calibri" w:hAnsi="Calibri" w:cs="Calibri"/>
          <w:color w:val="000000"/>
          <w:sz w:val="22"/>
          <w:szCs w:val="22"/>
        </w:rPr>
        <w:t>. The pathology of the disease is not fully understood, as it is a chronic disease affecting humans. Clinical manifestations include headache, dizziness, seizures and memory loss or cognitive deficits. During treatment, the clinical manifestations are exacerbated by the death or degeneration of the parasite. The clinical picture of NCC resembles other neurodegenerative diseases such as Alzheimer's, Parkinson's and multiple sclerosis, clinical manifestations that are associated with pyroptosis processes. Pyroptosis is a type of programmed cell death that plays a protective role against infections, but excessive pyroptosis can cause neuronal damage and be detrimental to normal cells and tissues. Therefore, in this research we determined whether the larval stage of </w:t>
      </w:r>
      <w:r w:rsidRPr="00AF28B8">
        <w:rPr>
          <w:rFonts w:ascii="Calibri" w:hAnsi="Calibri" w:cs="Calibri"/>
          <w:i/>
          <w:iCs/>
          <w:color w:val="000000"/>
          <w:sz w:val="22"/>
          <w:szCs w:val="22"/>
        </w:rPr>
        <w:t>T. solium</w:t>
      </w:r>
      <w:r w:rsidRPr="00AF28B8">
        <w:rPr>
          <w:rFonts w:ascii="Calibri" w:hAnsi="Calibri" w:cs="Calibri"/>
          <w:color w:val="000000"/>
          <w:sz w:val="22"/>
          <w:szCs w:val="22"/>
        </w:rPr>
        <w:t> causes pyroptosis cell death in the central nervous system in an animal model of NCC. Brain tissues from rats with NCC, untreated and treated with antiparasitic drugs, and a control group of brain tissues from non-infected rats were used. Immunoreactivity in tissues around the cyst was determined by immunohistochemistry for markers associated with programmed cell death: NLRP3 inflammasome, Caspase-1 (Casp1), Gasdermin D (GSDMD) and IL-1β. The immunoreactivity to GSDMD was elevated in all NCC-infected tissues, being statistically significant compared to brain tissues from non-infected rats. While immuoreactivity to NLRP3, Casp1, GSDMD and IL-1β markers was elevated in 30% of infected brain tissues, being the pattern of immuoreactivity different from the control. Our data suggest that there is pyroptosis-programmed cell death due to immuoreactivity to GSDMD in rat brain tissues with NCC.</w:t>
      </w:r>
    </w:p>
    <w:p w14:paraId="4CC7FE4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25-A-4058-ASTMH</w:t>
      </w:r>
    </w:p>
    <w:p w14:paraId="2F73286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6FE22194" w14:textId="68ADA11C"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Estimating </w:t>
      </w:r>
      <w:r w:rsidRPr="00AF28B8">
        <w:rPr>
          <w:rFonts w:ascii="Calibri" w:hAnsi="Calibri" w:cs="Calibri"/>
          <w:b/>
          <w:bCs/>
          <w:i/>
          <w:iCs/>
          <w:color w:val="000000"/>
          <w:sz w:val="22"/>
          <w:szCs w:val="22"/>
        </w:rPr>
        <w:t>Anaplasma </w:t>
      </w:r>
      <w:r w:rsidRPr="00AF28B8">
        <w:rPr>
          <w:rFonts w:ascii="Calibri" w:hAnsi="Calibri" w:cs="Calibri"/>
          <w:b/>
          <w:bCs/>
          <w:color w:val="000000"/>
          <w:sz w:val="22"/>
          <w:szCs w:val="22"/>
        </w:rPr>
        <w:t>Incidence in North Carolina Counties Using Canine 4Dx Screening Data: Implications for Human Underascertainment</w:t>
      </w:r>
    </w:p>
    <w:p w14:paraId="512F1803"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Estimating </w:t>
      </w:r>
      <w:r w:rsidRPr="00AF28B8">
        <w:rPr>
          <w:rFonts w:ascii="Calibri" w:hAnsi="Calibri" w:cs="Calibri"/>
          <w:b/>
          <w:bCs/>
          <w:i/>
          <w:iCs/>
          <w:color w:val="000000"/>
          <w:sz w:val="22"/>
          <w:szCs w:val="22"/>
        </w:rPr>
        <w:t>Anaplasma </w:t>
      </w:r>
      <w:r w:rsidRPr="00AF28B8">
        <w:rPr>
          <w:rFonts w:ascii="Calibri" w:hAnsi="Calibri" w:cs="Calibri"/>
          <w:b/>
          <w:bCs/>
          <w:color w:val="000000"/>
          <w:sz w:val="22"/>
          <w:szCs w:val="22"/>
        </w:rPr>
        <w:t>Incidence in North Carolina Counties Using Canine 4Dx Screening Data: Implications for Human Underascertainment</w:t>
      </w:r>
      <w:r w:rsidRPr="00AF28B8">
        <w:rPr>
          <w:rFonts w:ascii="Calibri" w:hAnsi="Calibri" w:cs="Calibri"/>
          <w:color w:val="000000"/>
          <w:sz w:val="22"/>
          <w:szCs w:val="22"/>
        </w:rPr>
        <w:t>Brinkley Bellotti, Michael DeWittAnaplasmosis, a tick-borne disease caused primarily by</w:t>
      </w:r>
      <w:r w:rsidRPr="00AF28B8">
        <w:rPr>
          <w:rFonts w:ascii="Calibri" w:hAnsi="Calibri" w:cs="Calibri"/>
          <w:i/>
          <w:iCs/>
          <w:color w:val="000000"/>
          <w:sz w:val="22"/>
          <w:szCs w:val="22"/>
        </w:rPr>
        <w:t> Anaplasma phagocytophilum</w:t>
      </w:r>
      <w:r w:rsidRPr="00AF28B8">
        <w:rPr>
          <w:rFonts w:ascii="Calibri" w:hAnsi="Calibri" w:cs="Calibri"/>
          <w:color w:val="000000"/>
          <w:sz w:val="22"/>
          <w:szCs w:val="22"/>
        </w:rPr>
        <w:t>, has been increasingly recognized as a significant health concern for both humans and animals. Despite this, the true incidence of anaplasmosis in humans remains difficult to assess due to underreporting and limited diagnostic surveillance. This study aims to estimate the underascertainment of anaplasmosis in humans by leveraging routine 4Dx screening data from dogs in North Carolina counties. The 4Dx test, commonly used for detecting tick-borne pathogens in canine populations, offers a valuable proxy for understanding regional trends in </w:t>
      </w:r>
      <w:r w:rsidRPr="00AF28B8">
        <w:rPr>
          <w:rFonts w:ascii="Calibri" w:hAnsi="Calibri" w:cs="Calibri"/>
          <w:i/>
          <w:iCs/>
          <w:color w:val="000000"/>
          <w:sz w:val="22"/>
          <w:szCs w:val="22"/>
        </w:rPr>
        <w:t>Anaplasma</w:t>
      </w:r>
      <w:r w:rsidRPr="00AF28B8">
        <w:rPr>
          <w:rFonts w:ascii="Calibri" w:hAnsi="Calibri" w:cs="Calibri"/>
          <w:color w:val="000000"/>
          <w:sz w:val="22"/>
          <w:szCs w:val="22"/>
        </w:rPr>
        <w:t> exposure. We analyzed the prevalence of </w:t>
      </w:r>
      <w:r w:rsidRPr="00AF28B8">
        <w:rPr>
          <w:rFonts w:ascii="Calibri" w:hAnsi="Calibri" w:cs="Calibri"/>
          <w:i/>
          <w:iCs/>
          <w:color w:val="000000"/>
          <w:sz w:val="22"/>
          <w:szCs w:val="22"/>
        </w:rPr>
        <w:t>Anaplasma</w:t>
      </w:r>
      <w:r w:rsidRPr="00AF28B8">
        <w:rPr>
          <w:rFonts w:ascii="Calibri" w:hAnsi="Calibri" w:cs="Calibri"/>
          <w:color w:val="000000"/>
          <w:sz w:val="22"/>
          <w:szCs w:val="22"/>
        </w:rPr>
        <w:t> infections in dogs at the county level in North Carolina over a ten-year period. By correlating these data with regional human case reports of anaplasmosis, we aimed to identify patterns of underascertainment and refine estimates of human disease burden. Our findings suggest that the incidence of </w:t>
      </w:r>
      <w:r w:rsidRPr="00AF28B8">
        <w:rPr>
          <w:rFonts w:ascii="Calibri" w:hAnsi="Calibri" w:cs="Calibri"/>
          <w:i/>
          <w:iCs/>
          <w:color w:val="000000"/>
          <w:sz w:val="22"/>
          <w:szCs w:val="22"/>
        </w:rPr>
        <w:t>Anaplasma</w:t>
      </w:r>
      <w:r w:rsidRPr="00AF28B8">
        <w:rPr>
          <w:rFonts w:ascii="Calibri" w:hAnsi="Calibri" w:cs="Calibri"/>
          <w:color w:val="000000"/>
          <w:sz w:val="22"/>
          <w:szCs w:val="22"/>
        </w:rPr>
        <w:t> infections in dogs reflects regional trends in human cases, with notable discrepancies in reporting likely due to limited diagnostic awareness and inconsistent surveillance practices in humans. This study highlights the potential of using veterinary diagnostic data to inform public health surveillance, improve understanding of tick-borne diseases, and guide targeted interventions in both animal and human populations.</w:t>
      </w:r>
    </w:p>
    <w:p w14:paraId="16B8FEA3"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25-A-4059-ASTMH</w:t>
      </w:r>
    </w:p>
    <w:p w14:paraId="520D7AF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6A3462E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Ecological modeling of associations between conflict, environmental factors, and dengue incidence in Sudan: A retrospective observational study</w:t>
      </w:r>
    </w:p>
    <w:p w14:paraId="76C3F33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Dengue virus causes significant mortality and morbidity globally and is associated with multifactorial influences from environmental characteristics and conflict. Dengue virus is transmitted globally by female </w:t>
      </w:r>
      <w:r w:rsidRPr="00AF28B8">
        <w:rPr>
          <w:rFonts w:ascii="Calibri" w:hAnsi="Calibri" w:cs="Calibri"/>
          <w:i/>
          <w:iCs/>
          <w:color w:val="000000"/>
          <w:sz w:val="22"/>
          <w:szCs w:val="22"/>
        </w:rPr>
        <w:t>Aedes </w:t>
      </w:r>
      <w:r w:rsidRPr="00AF28B8">
        <w:rPr>
          <w:rFonts w:ascii="Calibri" w:hAnsi="Calibri" w:cs="Calibri"/>
          <w:color w:val="000000"/>
          <w:sz w:val="22"/>
          <w:szCs w:val="22"/>
        </w:rPr>
        <w:t>mosquitoes, which display high variation in relation to environmental variables and conflict intensity. We measured the associations between weekly dengue incidence, conflict events, and environmental factors between October 19, 2020 and March 24, 2025 in 128 localities across 15 states in Sudan. Weekly dengue case data were provided by the Federal Sudan Ministry of Health at the locality level. Conflict events were accessed from the Humanitarian Data Exchange Humanitarian API, and were stratified by demonstrations, civilian targeting, and political violence. Environmental variables including mean temperature, temperature range, mean humidity, humidity range, average precipitation, surface water cover, and vegetation cover, were accessed using remote sensing tools at the weekly level. This study employs time-lag generalized additive models to examine the relationships between conflict, environmental characteristics, and dengue incidence. Generalized additive models identified robust negative associations between rainfall, surface water index, and dengue incidence. The highest number of dengue cases occurred in Khartoum State (9283). The most conflict events occurred in Khartoum (187) and Al Hasahisa (57) localities, in January 2024 and February 2024, respectively. This study found significant intra-state and inter-locality variability in weekly case incidence. Variations in temperature, precipitation, humidity, vegetation cover, and surface water associated with climate change are likely to have a significant impact on future dengue transmission patterns in endemic regions. While future studies should disentangle the effects of conflict on destruction of critical healthcare infrastructure, promotion of suitable vector habitat, and human migration patterns, this study demonstrates the significant association between conflict, rainfall, and dengue incidence in Sudan.</w:t>
      </w:r>
    </w:p>
    <w:p w14:paraId="56566C0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25-A-4060-ASTMH</w:t>
      </w:r>
    </w:p>
    <w:p w14:paraId="4C7A594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Immunology</w:t>
      </w:r>
    </w:p>
    <w:p w14:paraId="0CBFB66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Single-cell multi-omic profiling of human influenza challenge uncovers dynamic peripheral innate responses modulated by disease severity</w:t>
      </w:r>
    </w:p>
    <w:p w14:paraId="31C4B34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Innate immune cells are pivotal in early antiviral defenses, mediating initial interferon (IFN) responses for pathogen clearance and potentially exhibiting trained immunity through lasting epigenomic changes. We hypothesized that disease severity and viral shedding status modulate acute and long-term innate responses. To investigate this, we conducted paired single-cell RNA and ATAC sequencing on peripheral blood samples from 12 healthy adults challenged with H1N1 influenza, assessing pre-infection, acute, and one-month post-infection timepoints. Our results revealed that individuals who developed an infection had reduced baseline proportions of NK cells compared to non-shedders. During acute infection, IFN-stimulated gene (ISG) responses in CD14+ monocytes positively correlated with viral shedding. However, ISG responses were negatively correlated with disease severity at day 3, shifting to a positive correlation by day 6. Notably, intermediate monocyte-like cells emerged by day 6 in all symptomatic subjects. One-month post-infection, CD14+ monocytes from symptomatic individuals exhibited persistent changes in innate immune activation programs, including upregulation of associated genes and increased chromatin accessibility of associated motifs compared to asymptomatic individuals. In summary, our findings highlight the critical role of coordinated early IFN responses in managing disease severity and suggest that symptomatic influenza may induce lasting epigenetic changes, providing new insights into diseases.</w:t>
      </w:r>
    </w:p>
    <w:p w14:paraId="621E974A"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25-A-4063-ASTMH</w:t>
      </w:r>
    </w:p>
    <w:p w14:paraId="4A9ECC52"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Kinetoplastida and Other Opportunistic and Anaerobic Protozoa - Immunology (Including Leishmania and Trypanosomes)</w:t>
      </w:r>
    </w:p>
    <w:p w14:paraId="491148D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Association between cytokine profile and cutaneous leishmaniasis lesions in patients from northwestern Colombia</w:t>
      </w:r>
    </w:p>
    <w:p w14:paraId="37246541"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Cutaneous leishmaniasis (CL), exhibits a wide range of symptoms that reflect both the variability of the host immune system and the specific pathogenicity of the parasite involved. This disease can present </w:t>
      </w:r>
      <w:r w:rsidRPr="00AF28B8">
        <w:rPr>
          <w:rFonts w:ascii="Calibri" w:hAnsi="Calibri" w:cs="Calibri"/>
          <w:color w:val="000000"/>
          <w:sz w:val="22"/>
          <w:szCs w:val="22"/>
        </w:rPr>
        <w:lastRenderedPageBreak/>
        <w:t>from single lesions, usually painless ulcers with raised edges, to multiple disseminated lesions that can cover large areas of the skin. The number of cutaneous lesions is an important clinical factor, as it can influence the treatment and prognosis of the disease. We studied the clinical characteristics and plasma cytokine profile in patients with CL at focal sites in the department of Córdoba, northwestern Colombia. A cross-sectional study was conducted between February and December 2023 with 23 patients diagnosed with CL and 23 healthy controls. Clinical variables such as the number and location of lesions, age, and sex were recorded. Plasma cytokines IL-1b, IL-6, TNFa, IL-10, and TGF-b1 were quantified using flow cytometry. A correlation was made between cytokine concentrations and the number of lesions presented by the patient, and cytokine concentrations and lesion size presented in patients with CL. CL was predominant in women with a mean age of 29 years. Twelve patients (52.17%) presented a single lesion and 11 patients (47.83%) had multiple lesions. 60.9% of the lesions were located on the upper extremities, 21.7% on the lower extremities and 17.4% on the face. Significantly elevated levels (given as medians in picograms per milliliter) of TNFa (45 vs 4.04; P = &lt;0.001), IL-6 (63.8 vs 3.83; P = &lt;0.001), IL-10 (28.3 vs 2.64; P = &lt;0.001) and TGF-b1 (37.9 vs 4.24; P = &lt;0.002) in plasma were found in the patient group compared with the control group. The concentration of TGF-b1 in plasma showed correlation with the size of the lesions (p=0.0432). TGF-b1 appears to be a protective factor against skin lesions caused by Leishmania spp. and may be a potential biomarker of clinical outcome in these patients.</w:t>
      </w:r>
    </w:p>
    <w:p w14:paraId="0A4D3FD7"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25-A-4064-ASTMH</w:t>
      </w:r>
    </w:p>
    <w:p w14:paraId="5096CAA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Biology, Physiology and Immunity</w:t>
      </w:r>
    </w:p>
    <w:p w14:paraId="43EA828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Understanding the impact of temperature on the life history traits of Ae. aegypti</w:t>
      </w:r>
    </w:p>
    <w:p w14:paraId="169E3E8D"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Aedes mosquitoes are responsible for transmitting diseases such as dengue, Zika, and yellow fever, and represent a significant global health threat due to their widespread impact on illness and death. To reduce their burden on global health, it is crucial to understand their life traits. Research has shown that temperature has a significant effect on different life traits of Aedes mosquitoes. Previous research has used experimental settings to derive relationships between temperature and key parameters regarding mosquito population dynamics. In this study, we investigate the consistency of these experimentally derived estimates with field data.</w:t>
      </w:r>
      <w:r w:rsidRPr="00AF28B8">
        <w:rPr>
          <w:rFonts w:ascii="Calibri" w:hAnsi="Calibri" w:cs="Calibri"/>
          <w:color w:val="000000"/>
          <w:sz w:val="22"/>
          <w:szCs w:val="22"/>
        </w:rPr>
        <w:br/>
        <w:t>We develop a simple temperature-dependent compartmental modeling framework that divides the mosquito population into two compartments: freely moving adult female Aedes mosquitoes and those captured in traps. We then use field mosquito data collected from traps across counties in Florida between 2001 and 2017 to assess the consistency of predicted trap counts using experimentally derived mosquito parameters with observed data and estimate best-fit parameters ("field-derived") using statistical inference and observed trap counts. We find that while this model captures seasonal variation in mosquito abundance qualitatively, it underestimates week-to-week variability.</w:t>
      </w:r>
      <w:r w:rsidRPr="00AF28B8">
        <w:rPr>
          <w:rFonts w:ascii="Calibri" w:hAnsi="Calibri" w:cs="Calibri"/>
          <w:color w:val="000000"/>
          <w:sz w:val="22"/>
          <w:szCs w:val="22"/>
        </w:rPr>
        <w:br/>
        <w:t>To explain high peaks in trap counts during hotter periods, the field-derived thermal response curves suggest higher egg-laying and biting rates at higher temperatures (28°C-33°C) than experimentally derived estimates. We estimated within-trap and between-trap variation. Our results are relevant to studies using trapped mosquitoes to understand overall population dynamics and the effectiveness of interventions, and demonstrate that while trap counts can capture seasonal changes in mosquito abundance, within- and between-trap variation must be accounted for in study design and analysis.</w:t>
      </w:r>
    </w:p>
    <w:p w14:paraId="4FD261F7"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25-A-4065-ASTMH</w:t>
      </w:r>
    </w:p>
    <w:p w14:paraId="55052A27"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422F09D0" w14:textId="680AAC86"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Implementing a medical education curriculum for Zambian medical student</w:t>
      </w:r>
    </w:p>
    <w:p w14:paraId="21983CC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In Zambia, the ratio of trained medical professionals to medical students is unfavorable for providing quality medical education. The imbalance has largely been driven by an increase in medical schools without an equal increase in retention of practicing physicians. This course is designed to offer supplemental, high-quality education material to students in a resource-limited setting. The resident-led didactic curriculum is a 6-week course offered 4 times per year to students rotating at the University </w:t>
      </w:r>
      <w:r w:rsidRPr="00AF28B8">
        <w:rPr>
          <w:rFonts w:ascii="Calibri" w:hAnsi="Calibri" w:cs="Calibri"/>
          <w:color w:val="000000"/>
          <w:sz w:val="22"/>
          <w:szCs w:val="22"/>
        </w:rPr>
        <w:lastRenderedPageBreak/>
        <w:t>Teaching Hospital in Lusaka, Zambia. The lecture topics focus on high-yield internal medicine pathologies with an emphasis on diagnosis and patient management. Each case begins with a one-liner patient presentation followed by a 30-minute interactive journey through subjective and objective findings and ends with a 10-minute teaching on management. Didactics are also tailored to include disease presentations and interventions that are relevant to Sub-Saharan Africa. Through these interactive didactics, participants gain skills in diagnostic reasoning and disease management. Medical residents also benefit through global health exposure and enhancing cross-cultural competencies. Thus, this curriculum may serve as a model to create interactive online didactics in other low-resourced countries while contributing to the advancement of medical education both locally and globally.</w:t>
      </w:r>
    </w:p>
    <w:p w14:paraId="685FFAA0"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25-A-4066-ASTMH</w:t>
      </w:r>
    </w:p>
    <w:p w14:paraId="451EBAA5"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Elimination</w:t>
      </w:r>
    </w:p>
    <w:p w14:paraId="46EB22B5"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ACCELERATING MALARIA ELIMINATION THROUGH THE LAMP METHOD IN LAOS</w:t>
      </w:r>
    </w:p>
    <w:p w14:paraId="459F60A1"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Morbidity and mortality of malaria decreased drastically over the last decade in Laos due to extensive efforts by the Lao government and international partners. </w:t>
      </w:r>
      <w:r w:rsidRPr="00AF28B8">
        <w:rPr>
          <w:rFonts w:ascii="Calibri" w:hAnsi="Calibri" w:cs="Calibri"/>
          <w:b/>
          <w:bCs/>
          <w:color w:val="000000"/>
          <w:sz w:val="22"/>
          <w:szCs w:val="22"/>
        </w:rPr>
        <w:t>The Lao government has adopted the ambitious goal of eliminating malaria by 2030. </w:t>
      </w:r>
      <w:r w:rsidRPr="00AF28B8">
        <w:rPr>
          <w:rFonts w:ascii="Calibri" w:hAnsi="Calibri" w:cs="Calibri"/>
          <w:color w:val="000000"/>
          <w:sz w:val="22"/>
          <w:szCs w:val="22"/>
        </w:rPr>
        <w:t>Our previous studies have demonstrated the presence of asymptomatic </w:t>
      </w:r>
      <w:r w:rsidRPr="00AF28B8">
        <w:rPr>
          <w:rFonts w:ascii="Calibri" w:hAnsi="Calibri" w:cs="Calibri"/>
          <w:i/>
          <w:iCs/>
          <w:color w:val="000000"/>
          <w:sz w:val="22"/>
          <w:szCs w:val="22"/>
        </w:rPr>
        <w:t>Plasmodium</w:t>
      </w:r>
      <w:r w:rsidRPr="00AF28B8">
        <w:rPr>
          <w:rFonts w:ascii="Calibri" w:hAnsi="Calibri" w:cs="Calibri"/>
          <w:color w:val="000000"/>
          <w:sz w:val="22"/>
          <w:szCs w:val="22"/>
        </w:rPr>
        <w:t> carriers and low-density infections in malaria-endemic areas. These infections often go undetected by standard diagnostic methods, including microscopy and rapid diagnostic tests. However, they can still serve as a potential transmission source via bites from </w:t>
      </w:r>
      <w:r w:rsidRPr="00AF28B8">
        <w:rPr>
          <w:rFonts w:ascii="Calibri" w:hAnsi="Calibri" w:cs="Calibri"/>
          <w:i/>
          <w:iCs/>
          <w:color w:val="000000"/>
          <w:sz w:val="22"/>
          <w:szCs w:val="22"/>
        </w:rPr>
        <w:t>Anopheles</w:t>
      </w:r>
      <w:r w:rsidRPr="00AF28B8">
        <w:rPr>
          <w:rFonts w:ascii="Calibri" w:hAnsi="Calibri" w:cs="Calibri"/>
          <w:color w:val="000000"/>
          <w:sz w:val="22"/>
          <w:szCs w:val="22"/>
        </w:rPr>
        <w:t> mosquitoes. To address this issue, </w:t>
      </w:r>
      <w:r w:rsidRPr="00AF28B8">
        <w:rPr>
          <w:rFonts w:ascii="Calibri" w:hAnsi="Calibri" w:cs="Calibri"/>
          <w:b/>
          <w:bCs/>
          <w:color w:val="000000"/>
          <w:sz w:val="22"/>
          <w:szCs w:val="22"/>
        </w:rPr>
        <w:t>our project aims to improve malaria diagnostics </w:t>
      </w:r>
      <w:r w:rsidRPr="00AF28B8">
        <w:rPr>
          <w:rFonts w:ascii="Calibri" w:hAnsi="Calibri" w:cs="Calibri"/>
          <w:color w:val="000000"/>
          <w:sz w:val="22"/>
          <w:szCs w:val="22"/>
        </w:rPr>
        <w:t>through </w:t>
      </w:r>
      <w:r w:rsidRPr="00AF28B8">
        <w:rPr>
          <w:rFonts w:ascii="Calibri" w:hAnsi="Calibri" w:cs="Calibri"/>
          <w:b/>
          <w:bCs/>
          <w:color w:val="000000"/>
          <w:sz w:val="22"/>
          <w:szCs w:val="22"/>
        </w:rPr>
        <w:t>the LAMP method for a point-of-care test. </w:t>
      </w:r>
      <w:r w:rsidRPr="00AF28B8">
        <w:rPr>
          <w:rFonts w:ascii="Calibri" w:hAnsi="Calibri" w:cs="Calibri"/>
          <w:color w:val="000000"/>
          <w:sz w:val="22"/>
          <w:szCs w:val="22"/>
        </w:rPr>
        <w:t>The SATREPS project will deploy 26 LAMP machines for malaria diagnostics at selected healthcare facilities. Currently, 22 machines have been installed across the targeted hospitals (n=21) and a research institute (n=1), and the malaria LAMP user training has been provided for the staff members. The remaining four machines will be installed in 2025. The target hospitals were selected based on the malaria endemicity (Annual Parasite Incidence &gt; 1) and malaria elimination settings adjacent to malaria-endemic regions in Myanmar and Vietnam. The malaria LAMP test will be utilized at hospitals to diagnose malaria routinely. All the blood samples will be collected on filter paper for quality control. The quality control will be performed at Institut Pasteur du Laos (IPL) or Japan Institute for Health Security (JIHS) with PCR. We expect this strategy to accelerate malaria elimination in Laos.</w:t>
      </w:r>
    </w:p>
    <w:p w14:paraId="0E4AE964"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25-A-4067-ASTMH</w:t>
      </w:r>
    </w:p>
    <w:p w14:paraId="6AE86031"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Cestodes (including taeniasis and cysticercosis, echinococcosis/hydatid disease, and others)</w:t>
      </w:r>
    </w:p>
    <w:p w14:paraId="6FBF20D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Inter-Cluster Transmission of Cyst Echinococcus in rural Peruvian communities. A Case-Control Study</w:t>
      </w:r>
    </w:p>
    <w:p w14:paraId="125C1826"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Human Cyst Echinococcosis (CE) is a neglected zoonotic disease with significant public health impact, especially in rural communities located in Peruvian central and southern highlands, where environmental and socio-cultural factors favor transmission dynamics. An ultrasound survey (US) was conducted across seven rural communities (four in Junin and three in Cusco). Based on US results, households were classified as either having at least one positive CE case ("case households") or none ("control households"). A matched case-control study design was then implemented, selecting neighbors adjacent to identified households, resulting in pairs of case (neighbor of a positive household) and control (neighbor of a negative household) groups. The probability of detecting infected in these adjacent households was estimated by a fixed effects model and adjusted according to household screening coverage. Prevalence ratios (PR) were calculated comparing average probabilities between case and control households, with confidence intervals derived through bootstrap analysis. In total, 574 households were assessed, resulting in 74 matched pairs. Screening coverage averaged 70% for case households and 59% for control households. The overall probability of testing positive for CE in these regions was 12.8%; however, this probability increased to 16.825% if the household was adjacent to a confirmed CE-positive household. This yielded an estimated prevalence ratio (PR) of 1.24 (95% CI: 1.11-1.39), indicating a significantly increased risk of positivity associated with residing next to a household </w:t>
      </w:r>
      <w:r w:rsidRPr="00AF28B8">
        <w:rPr>
          <w:rFonts w:ascii="Calibri" w:hAnsi="Calibri" w:cs="Calibri"/>
          <w:color w:val="000000"/>
          <w:sz w:val="22"/>
          <w:szCs w:val="22"/>
        </w:rPr>
        <w:lastRenderedPageBreak/>
        <w:t>with at least one confirmed CE case. These findings highlight the relevance of spatial clustering and household-level proximity in echinococcosis transmission dynamics within rural Andean communities. The results emphasize the necessity for targeted control interventions considering local spatial risk factors to effectively reduce disease transmission.</w:t>
      </w:r>
    </w:p>
    <w:p w14:paraId="72173242"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25-A-4068-ASTMH</w:t>
      </w:r>
    </w:p>
    <w:p w14:paraId="7EF0009D"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Other Bacterial Infections</w:t>
      </w:r>
    </w:p>
    <w:p w14:paraId="585483F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Anti-PGL-I IgM positivity in household contacts of patients with Hansen’s disease in the southeastern USA</w:t>
      </w:r>
    </w:p>
    <w:p w14:paraId="3D568699"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Hansen’s disease (HD, leprosy), caused by </w:t>
      </w:r>
      <w:r w:rsidRPr="00AF28B8">
        <w:rPr>
          <w:rFonts w:ascii="Calibri" w:hAnsi="Calibri" w:cs="Calibri"/>
          <w:i/>
          <w:iCs/>
          <w:color w:val="000000"/>
          <w:sz w:val="22"/>
          <w:szCs w:val="22"/>
        </w:rPr>
        <w:t>Mycobacterium leprae</w:t>
      </w:r>
      <w:r w:rsidRPr="00AF28B8">
        <w:rPr>
          <w:rFonts w:ascii="Calibri" w:hAnsi="Calibri" w:cs="Calibri"/>
          <w:color w:val="000000"/>
          <w:sz w:val="22"/>
          <w:szCs w:val="22"/>
        </w:rPr>
        <w:t>, remains endemic in certain areas of the southeastern United States. Household contacts rarely develop leprosy in the US, but it is unclear whether this is due to lack of exposure / infection vs lack of disease development. This study evaluates the use of two lateral flow serological tests for anti-phenolic glycolipid I (anti-PGL-1) IgM antibodies in household contacts of individuals with current or treated HD in Florida and Georgia. A cross-sectional analysis was conducted on 32 household contacts. All participants underwent serological testing using a rapid blood test designed to detect antibodies against </w:t>
      </w:r>
      <w:r w:rsidRPr="00AF28B8">
        <w:rPr>
          <w:rFonts w:ascii="Calibri" w:hAnsi="Calibri" w:cs="Calibri"/>
          <w:i/>
          <w:iCs/>
          <w:color w:val="000000"/>
          <w:sz w:val="22"/>
          <w:szCs w:val="22"/>
        </w:rPr>
        <w:t>M. leprae </w:t>
      </w:r>
      <w:r w:rsidRPr="00AF28B8">
        <w:rPr>
          <w:rFonts w:ascii="Calibri" w:hAnsi="Calibri" w:cs="Calibri"/>
          <w:color w:val="000000"/>
          <w:sz w:val="22"/>
          <w:szCs w:val="22"/>
        </w:rPr>
        <w:t>(ML-flow, Bioclin, Belo Horizonte, Brazil) and a non-commercial quantitative anti-PGL-1 test. Demographic and clinical data were collected via structured questionnaires. Test results were classified as positive, negative, or inconclusive. Overall, 3 (9.4%) household contacts tested positive for anti-PGL-1 with 100% concordance between the two platforms. Two were from Georgia and 1 from Florida. All index cases of the positive household contacts had multibacillary disease. No significant differences were observed in positivity rates by sex or age group. Rapid serological testing identified antibody presence in both patients and asymptomatic household contacts, supporting its utility for early detection and surveillance in endemic regions. Positivity in household contacts demonstrate exposure to the infection in the US despite rare development of cases. Future longitudinal studies are warranted to assess the predictive value of positive serology among contacts and its role in guiding public health interventions.</w:t>
      </w:r>
    </w:p>
    <w:p w14:paraId="3B767173"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25-A-4069-ASTMH</w:t>
      </w:r>
    </w:p>
    <w:p w14:paraId="49EB28C3"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5D878E7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Investigating the Role of Antibody F</w:t>
      </w:r>
      <w:r w:rsidRPr="00AF28B8">
        <w:rPr>
          <w:rFonts w:ascii="Calibri" w:hAnsi="Calibri" w:cs="Calibri"/>
          <w:b/>
          <w:bCs/>
          <w:color w:val="000000"/>
          <w:sz w:val="22"/>
          <w:szCs w:val="22"/>
          <w:vertAlign w:val="subscript"/>
        </w:rPr>
        <w:t>c</w:t>
      </w:r>
      <w:r w:rsidRPr="00AF28B8">
        <w:rPr>
          <w:rFonts w:ascii="Calibri" w:hAnsi="Calibri" w:cs="Calibri"/>
          <w:b/>
          <w:bCs/>
          <w:color w:val="000000"/>
          <w:sz w:val="22"/>
          <w:szCs w:val="22"/>
        </w:rPr>
        <w:t>-mediated immunity in protection against Marburg Virus Disease</w:t>
      </w:r>
    </w:p>
    <w:p w14:paraId="34714BF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Filoviruses cause severe disease in humans and different members of the family have led to outbreaks. Two vaccines have been approved to protect against Ebola virus (EBOV) infection, but there are no vaccines licensed to protect against any other filovirus and it has been well established that these vaccines provide no cross-protection. Sudan virus (SUDV) and Marburg virus (MARV) have demonstrated the capability of causing large-scale, deadly outbreaks of disease necessitating the need for additional, effective filovirus vaccines. To address this gap, our group developed adjuvanted recombinant glycoprotein subunit vaccines for EBOV, MARV, and SUDV. The current study seeks to evaluate potential antibody-derived correlates of protection against MARV following vaccination. Non-human primates (NHPs) were immunized with one, two, or three doses of a MARV subunit vaccine. Macaques showed full protection against lethal MARV infection when three doses were administered, however, survival rates dropped when animals received fewer doses of vaccine, allowing analysis of immune parameters associated with vaccine protection. While three vaccine doses generally increased anti-MARV-GP IgG concentrations, antibody avidity, and demonstrated full protection against challenge, no significant increase in MARV neutralizing antibody titers were observed in comparison to animals receiving less vaccine doses suggesting that neutralizing antibodies may play a limited role in MARV protection. To further investigate potential mechanisms of protection, we compared antibody Fc-mediated effector functions between animals that survived or succumbed to MARV challenge. Specifically, antibody-dependent complement deposition (ADCD), antibody-dependent cellular phagocytosis (ADCP), and antibody-dependent cellular cytotoxicity (ADCC) were measured. We believe that further insights into these antibody-mediated effector functions would help to improve our understanding of the underlying </w:t>
      </w:r>
      <w:r w:rsidRPr="00AF28B8">
        <w:rPr>
          <w:rFonts w:ascii="Calibri" w:hAnsi="Calibri" w:cs="Calibri"/>
          <w:color w:val="000000"/>
          <w:sz w:val="22"/>
          <w:szCs w:val="22"/>
        </w:rPr>
        <w:lastRenderedPageBreak/>
        <w:t>mechanisms of protection against Marburg Virus Disease (MVD) which may be an essential step on the path towards developing effective MARV vaccines.</w:t>
      </w:r>
    </w:p>
    <w:p w14:paraId="797C094F"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25-A-4071-ASTMH</w:t>
      </w:r>
    </w:p>
    <w:p w14:paraId="267E1FF3"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Information/Communication/Technologies Solutions in Global Health including Modeling</w:t>
      </w:r>
    </w:p>
    <w:p w14:paraId="4F9C77AE"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Cost-efficiency of modifying treatment strategy for STH disease burden: lessons from the Kenyan National School Based Deworming program</w:t>
      </w:r>
    </w:p>
    <w:p w14:paraId="40A83636"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BackgroundSince 2012 the Kenya National School-Based Deworming (NSBD) programme has been providing annual mass drug administration (MDA) to control soil-transmitted helminths (STH) among school-aged children (SAC) in Kenya. Prior to 2012, 32.3% of SAC were infected with STH. In 2021-2022, prevalence was again measured using a model based geostatistical (MBG) approach, allowing estimation by sub-county, a lower geographical unit than previously available. During this survey, national prevalence had fallen to 5.8 %, but with significant heterogeneity across sub-counties. WHO recommends modifying frequency of MDA based on prevalence, and through a collaborative process a novel treatment strategy was devised bespoke to the new STH landscape. In order to explore strategy cost-efficiency, a modeling exercise was performed.</w:t>
      </w:r>
      <w:r w:rsidRPr="00AF28B8">
        <w:rPr>
          <w:rFonts w:ascii="Calibri" w:hAnsi="Calibri" w:cs="Calibri"/>
          <w:color w:val="000000"/>
          <w:sz w:val="22"/>
          <w:szCs w:val="22"/>
        </w:rPr>
        <w:br/>
        <w:t>MethodologyUnder the assumption that less endemic areas now need less treatment to maintain the same disease reduction rate, a cost-effectiveness model was developed comparing a new diversified treatment strategy to the status quo of MDA to all SAC annually. Cost per child treated figures were estimated. Extra cost for surveillance was incorporated into the novel strategy to minimise risk of disease resurgence in sub-counties with treatment suspension.</w:t>
      </w:r>
      <w:r w:rsidRPr="00AF28B8">
        <w:rPr>
          <w:rFonts w:ascii="Calibri" w:hAnsi="Calibri" w:cs="Calibri"/>
          <w:color w:val="000000"/>
          <w:sz w:val="22"/>
          <w:szCs w:val="22"/>
        </w:rPr>
        <w:br/>
        <w:t>ResultsIf implementing the new strategy, approximately $2 million USD may be saved every two years to achieve the same level of disease control/reduction as the status quo. This is due to nine as opposed to 12 million children targeted under the new strategy.</w:t>
      </w:r>
      <w:r w:rsidRPr="00AF28B8">
        <w:rPr>
          <w:rFonts w:ascii="Calibri" w:hAnsi="Calibri" w:cs="Calibri"/>
          <w:color w:val="000000"/>
          <w:sz w:val="22"/>
          <w:szCs w:val="22"/>
        </w:rPr>
        <w:br/>
        <w:t>DiscussionAfter consistent rounds of MDA, STH prevalence will likely reduce and become more heterogeneous. There is a need to maximise efficiency of MDA under increasing resource constraints. Sub-county differentiated treatment strategies allow a more granular approach to disease control, helping targeting resources to where they are most needed, and ensuring that treatment only be provided to children who remain at risk. Strategy changes under the NSBD offer key lessons for scaling, sustaining, and refining deworming programmes in an increasingly resource scarce setting.</w:t>
      </w:r>
    </w:p>
    <w:p w14:paraId="103493F5"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25-A-4072-ASTMH</w:t>
      </w:r>
    </w:p>
    <w:p w14:paraId="4C1CC56A"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Ectoparasite-Borne Disease - Babesiosis and Lyme Disease</w:t>
      </w:r>
    </w:p>
    <w:p w14:paraId="06CE622E"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Immune profile of cattle with babesiosis in livestock farming areas from northwestern Colombia</w:t>
      </w:r>
    </w:p>
    <w:p w14:paraId="36993D0D"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Bovine babesiosis is mainly caused by </w:t>
      </w:r>
      <w:r w:rsidRPr="00AF28B8">
        <w:rPr>
          <w:rFonts w:ascii="Calibri" w:hAnsi="Calibri" w:cs="Calibri"/>
          <w:i/>
          <w:iCs/>
          <w:color w:val="000000"/>
          <w:sz w:val="22"/>
          <w:szCs w:val="22"/>
        </w:rPr>
        <w:t>Babesia bovis</w:t>
      </w:r>
      <w:r w:rsidRPr="00AF28B8">
        <w:rPr>
          <w:rFonts w:ascii="Calibri" w:hAnsi="Calibri" w:cs="Calibri"/>
          <w:color w:val="000000"/>
          <w:sz w:val="22"/>
          <w:szCs w:val="22"/>
        </w:rPr>
        <w:t> and </w:t>
      </w:r>
      <w:r w:rsidRPr="00AF28B8">
        <w:rPr>
          <w:rFonts w:ascii="Calibri" w:hAnsi="Calibri" w:cs="Calibri"/>
          <w:i/>
          <w:iCs/>
          <w:color w:val="000000"/>
          <w:sz w:val="22"/>
          <w:szCs w:val="22"/>
        </w:rPr>
        <w:t>Babesia bigemina</w:t>
      </w:r>
      <w:r w:rsidRPr="00AF28B8">
        <w:rPr>
          <w:rFonts w:ascii="Calibri" w:hAnsi="Calibri" w:cs="Calibri"/>
          <w:color w:val="000000"/>
          <w:sz w:val="22"/>
          <w:szCs w:val="22"/>
        </w:rPr>
        <w:t> and is transmitted by arthropods of the Ixodidae family. It is one of the most important emerging and re-emerging diseases in cattle production, associated with high morbidity and mortality rates and with significant zoonotic potential. The outcome of the disease depends on the coordinated innate and adaptive immune response with a balanced production of Th1, Th2, Treg cytokines. In livestock farming areas from Córdoba-Colombia, there are few studies on this disease and its effect on the immune response. We characterized the immunological profile of cytokines and antibodies in cattle with babesiosis in Córdoba, Colombia. A descriptive, analytical and cross-sectional study was carried out, which 112 blood samples were obtained for convenience in cattle from farms in Córdoba. The diagnosis of babesiosis was made by thick and thin smear, </w:t>
      </w:r>
      <w:r w:rsidRPr="00AF28B8">
        <w:rPr>
          <w:rFonts w:ascii="Calibri" w:hAnsi="Calibri" w:cs="Calibri"/>
          <w:i/>
          <w:iCs/>
          <w:color w:val="000000"/>
          <w:sz w:val="22"/>
          <w:szCs w:val="22"/>
        </w:rPr>
        <w:t>B. bovis</w:t>
      </w:r>
      <w:r w:rsidRPr="00AF28B8">
        <w:rPr>
          <w:rFonts w:ascii="Calibri" w:hAnsi="Calibri" w:cs="Calibri"/>
          <w:color w:val="000000"/>
          <w:sz w:val="22"/>
          <w:szCs w:val="22"/>
        </w:rPr>
        <w:t> and </w:t>
      </w:r>
      <w:r w:rsidRPr="00AF28B8">
        <w:rPr>
          <w:rFonts w:ascii="Calibri" w:hAnsi="Calibri" w:cs="Calibri"/>
          <w:i/>
          <w:iCs/>
          <w:color w:val="000000"/>
          <w:sz w:val="22"/>
          <w:szCs w:val="22"/>
        </w:rPr>
        <w:t>B. bigemina</w:t>
      </w:r>
      <w:r w:rsidRPr="00AF28B8">
        <w:rPr>
          <w:rFonts w:ascii="Calibri" w:hAnsi="Calibri" w:cs="Calibri"/>
          <w:color w:val="000000"/>
          <w:sz w:val="22"/>
          <w:szCs w:val="22"/>
        </w:rPr>
        <w:t> species were confirmed by nested polymerase chain reaction (PCR); cytokine determination was performed by flow cytometry; Ig G antibodies were determined by indirect immunofluorescence (IFAT). The data were processed in SPSS 25 statistical software, with a confidence interval of 95% and significance level ≤0.05. 13 cattle were positive by thin smear for </w:t>
      </w:r>
      <w:r w:rsidRPr="00AF28B8">
        <w:rPr>
          <w:rFonts w:ascii="Calibri" w:hAnsi="Calibri" w:cs="Calibri"/>
          <w:i/>
          <w:iCs/>
          <w:color w:val="000000"/>
          <w:sz w:val="22"/>
          <w:szCs w:val="22"/>
        </w:rPr>
        <w:t>Babesia</w:t>
      </w:r>
      <w:r w:rsidRPr="00AF28B8">
        <w:rPr>
          <w:rFonts w:ascii="Calibri" w:hAnsi="Calibri" w:cs="Calibri"/>
          <w:color w:val="000000"/>
          <w:sz w:val="22"/>
          <w:szCs w:val="22"/>
        </w:rPr>
        <w:t> spp. with a percentage of parasitized red blood cells between 0.01% and 0.03% and 41 were positive by PCR for </w:t>
      </w:r>
      <w:r w:rsidRPr="00AF28B8">
        <w:rPr>
          <w:rFonts w:ascii="Calibri" w:hAnsi="Calibri" w:cs="Calibri"/>
          <w:i/>
          <w:iCs/>
          <w:color w:val="000000"/>
          <w:sz w:val="22"/>
          <w:szCs w:val="22"/>
        </w:rPr>
        <w:t>B. bigemina</w:t>
      </w:r>
      <w:r w:rsidRPr="00AF28B8">
        <w:rPr>
          <w:rFonts w:ascii="Calibri" w:hAnsi="Calibri" w:cs="Calibri"/>
          <w:color w:val="000000"/>
          <w:sz w:val="22"/>
          <w:szCs w:val="22"/>
        </w:rPr>
        <w:t>. About cattle with babesiosis, 13 showed clinical signs: 9.8% with slightly pale mucosa, and 8.4% with mild jaundice. Concentrations of the cytokines IFN-g, TNFa, IL-</w:t>
      </w:r>
      <w:r w:rsidRPr="00AF28B8">
        <w:rPr>
          <w:rFonts w:ascii="Calibri" w:hAnsi="Calibri" w:cs="Calibri"/>
          <w:color w:val="000000"/>
          <w:sz w:val="22"/>
          <w:szCs w:val="22"/>
        </w:rPr>
        <w:lastRenderedPageBreak/>
        <w:t>2, IL-6, and IL-10 (pg/mL) were significantly higher in cattle with babesiosis compared to cattle without babesiosis, P≤0.05. IgG antibodies were positive against </w:t>
      </w:r>
      <w:r w:rsidRPr="00AF28B8">
        <w:rPr>
          <w:rFonts w:ascii="Calibri" w:hAnsi="Calibri" w:cs="Calibri"/>
          <w:i/>
          <w:iCs/>
          <w:color w:val="000000"/>
          <w:sz w:val="22"/>
          <w:szCs w:val="22"/>
        </w:rPr>
        <w:t>B. bigemina</w:t>
      </w:r>
      <w:r w:rsidRPr="00AF28B8">
        <w:rPr>
          <w:rFonts w:ascii="Calibri" w:hAnsi="Calibri" w:cs="Calibri"/>
          <w:color w:val="000000"/>
          <w:sz w:val="22"/>
          <w:szCs w:val="22"/>
        </w:rPr>
        <w:t> (85%) and </w:t>
      </w:r>
      <w:r w:rsidRPr="00AF28B8">
        <w:rPr>
          <w:rFonts w:ascii="Calibri" w:hAnsi="Calibri" w:cs="Calibri"/>
          <w:i/>
          <w:iCs/>
          <w:color w:val="000000"/>
          <w:sz w:val="22"/>
          <w:szCs w:val="22"/>
        </w:rPr>
        <w:t>B. bovis</w:t>
      </w:r>
      <w:r w:rsidRPr="00AF28B8">
        <w:rPr>
          <w:rFonts w:ascii="Calibri" w:hAnsi="Calibri" w:cs="Calibri"/>
          <w:color w:val="000000"/>
          <w:sz w:val="22"/>
          <w:szCs w:val="22"/>
        </w:rPr>
        <w:t> (89%) in cattle less than 9 months of age. The humoral IgG immune response suggests that the cattle have been exposed to infection by </w:t>
      </w:r>
      <w:r w:rsidRPr="00AF28B8">
        <w:rPr>
          <w:rFonts w:ascii="Calibri" w:hAnsi="Calibri" w:cs="Calibri"/>
          <w:i/>
          <w:iCs/>
          <w:color w:val="000000"/>
          <w:sz w:val="22"/>
          <w:szCs w:val="22"/>
        </w:rPr>
        <w:t>B. bigemina</w:t>
      </w:r>
      <w:r w:rsidRPr="00AF28B8">
        <w:rPr>
          <w:rFonts w:ascii="Calibri" w:hAnsi="Calibri" w:cs="Calibri"/>
          <w:color w:val="000000"/>
          <w:sz w:val="22"/>
          <w:szCs w:val="22"/>
        </w:rPr>
        <w:t> and </w:t>
      </w:r>
      <w:r w:rsidRPr="00AF28B8">
        <w:rPr>
          <w:rFonts w:ascii="Calibri" w:hAnsi="Calibri" w:cs="Calibri"/>
          <w:i/>
          <w:iCs/>
          <w:color w:val="000000"/>
          <w:sz w:val="22"/>
          <w:szCs w:val="22"/>
        </w:rPr>
        <w:t>B. bovis</w:t>
      </w:r>
      <w:r w:rsidRPr="00AF28B8">
        <w:rPr>
          <w:rFonts w:ascii="Calibri" w:hAnsi="Calibri" w:cs="Calibri"/>
          <w:color w:val="000000"/>
          <w:sz w:val="22"/>
          <w:szCs w:val="22"/>
        </w:rPr>
        <w:t>. The data of cytokines suggest that immune responses Th1, IFN-g, TNFa, IL-2, Th2, IL6, as well as Treg, IL-10 and humoral promote a positive and balanced control of infection.</w:t>
      </w:r>
    </w:p>
    <w:p w14:paraId="2FC7FA5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25-A-4074-ASTMH</w:t>
      </w:r>
    </w:p>
    <w:p w14:paraId="25DC5EB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122A23F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Knowledge, attitude and practice of HIV and sexual transmitted diseases among LGBTQ+ at a large university hospital in Bangkok, Thailand</w:t>
      </w:r>
    </w:p>
    <w:p w14:paraId="75B19463"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 LGBTQ+ individuals are at a higher risk of HIV and Sexual transmitted infections (STIs) compared to non-LGBTQ+ individuals. Access to gender-diverse health services can improve STIs screening rates among LGBTQ+ populations. This study aimed to assess LGBTQ+ individuals’ knowledge, attitudes, and practices (KAP) regarding HIV and STI prevention and to develop tailored educational materials using VR technology.</w:t>
      </w:r>
      <w:r w:rsidRPr="00AF28B8">
        <w:rPr>
          <w:rFonts w:ascii="Calibri" w:hAnsi="Calibri" w:cs="Calibri"/>
          <w:color w:val="000000"/>
          <w:sz w:val="22"/>
          <w:szCs w:val="22"/>
        </w:rPr>
        <w:br/>
        <w:t>Method: The study targeted LGBTQ+ individuals aged 18 and above who sought care at Ramathibodi Hospital between August 2023 and June 2024. Participants completed a pre-test assessing KAP regarding HIV and STIs. They were then exposed to 360-degree VR educational content, followed by a post-test conducted three months later to measure knowledge retention. Multilevel mixed-effects linear regression and descriptive statistics to evaluate satisfaction with the VR materials were used.</w:t>
      </w:r>
      <w:r w:rsidRPr="00AF28B8">
        <w:rPr>
          <w:rFonts w:ascii="Calibri" w:hAnsi="Calibri" w:cs="Calibri"/>
          <w:color w:val="000000"/>
          <w:sz w:val="22"/>
          <w:szCs w:val="22"/>
        </w:rPr>
        <w:br/>
        <w:t>Results: Among 61 participants, the average pre-test knowledge score was 60.98%, with transgender men scoring highest (67.27%) and lesbians scoring lowest (46%). In attitudes and practices, the gay group scored the highest (83.33%) and transgender women the lowest (65.67%). Post-VR intervention, average KAP scores rose significantly from 6.10 to 8.03 (P value &lt; 0.01), with improvements sustained three months later, though slightly declining. 43/61 participants rated the VR materials as highly satisfactory.</w:t>
      </w:r>
      <w:r w:rsidRPr="00AF28B8">
        <w:rPr>
          <w:rFonts w:ascii="Calibri" w:hAnsi="Calibri" w:cs="Calibri"/>
          <w:color w:val="000000"/>
          <w:sz w:val="22"/>
          <w:szCs w:val="22"/>
        </w:rPr>
        <w:br/>
        <w:t>Conclusion: This study highlights the heightened risk of HIV and STD infections among LGBTQ+ individuals and the importance of inclusive health services to improve screening rates. VR educational tools significantly enhanced participants' KAP regarding prevention, with notable improvements sustained three months post-intervention. Over 70% of participants rated the VR material as highly satisfactory, emphasizing its effectiveness. VR technology has potential to address gaps in health education for LGBTQ+ individuals and foster better health outcomes.</w:t>
      </w:r>
    </w:p>
    <w:p w14:paraId="389690E0"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25-A-4075-ASTMH</w:t>
      </w:r>
    </w:p>
    <w:p w14:paraId="0340C56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Planetary Health including Climate Change</w:t>
      </w:r>
    </w:p>
    <w:p w14:paraId="66E1ED1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Historical Healthcare Burdens Associated with Extreme Weather Events at the Belau National Hospital in the Republic of Palau, 2011-2021</w:t>
      </w:r>
    </w:p>
    <w:p w14:paraId="0450673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Climate change is associated with increasing frequency of extreme weather events (EWE) and higher demands on global health systems. The Pacific Island nation of the Republic of Palau is vulnerable to the health and social impacts of typhoons, prolonged rainfall, and extreme heat. However, the impacts of these EWEs on healthcare utilization rates have not been studied. We seek to describe emergency and critical care demands during the 30-day period following EWE by investigating the relationship between typhoons, heavy rainfall periods, and extreme heat periods and Emergency Department (ED) visits and intensive care unit (ICU) admissions at the Belau National Hospital from 2011 to 2021. Secondarily, we aim to describe differences in lengths of stay (LOS) and all-cause mortality by EWE type. EWE were identified using climatological databases to record monthly average precipitation levels, ambient temperature, and typhoon events from the World Bank Climate Change Knowledge Portal, International Civil Aviation Organization, and Coral Reef Foundation. Extreme heat periods had the highest median ED visitation rates (928, IQR: 782-990.5) as compared to typhoons (853, IQR: 846-873) or extreme rainfall </w:t>
      </w:r>
      <w:r w:rsidRPr="00AF28B8">
        <w:rPr>
          <w:rFonts w:ascii="Calibri" w:hAnsi="Calibri" w:cs="Calibri"/>
          <w:color w:val="000000"/>
          <w:sz w:val="22"/>
          <w:szCs w:val="22"/>
        </w:rPr>
        <w:lastRenderedPageBreak/>
        <w:t>periods (741, IQR: 710-806). Median ICU admissions were highest during rainfall EWE (197, IQR: 107-145) as compared to heat events (169, IQR: 159.5-169.5) or typhoons (157, IQR: 133.5-157). Of our secondary outcomes, median mortality was highest during typhoon events (16, IQR: 12.5-19.5) as compared to heat (14, IQR: 12.5-15) or rainfall periods (11, IQR: 9.5-11.5). All EWE types had a median LOS of 4 days. Further study quantifying the associations between EWE type and our outcomes will be estimated using a lag distribution Poisson model with overdispersion controlling for potential confounders. The 30-day post-EWE periods will be matched with a preceding 30-day control period to address short-term seasonal variability. Our initial results describe health resource utilization patterns following EWE types in Palau and contribute to a growing body of literature quantifying the human and system impacts of climate change in vulnerable areas.</w:t>
      </w:r>
    </w:p>
    <w:p w14:paraId="1B938E42"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25-A-4076-ASTMH</w:t>
      </w:r>
    </w:p>
    <w:p w14:paraId="06C52A1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4EC32A2"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Molecular Xenomonitoring in Lymphatic Filariasis Elimination: From Mapping Hidden Hotspots to Post-MDA Surveillance</w:t>
      </w:r>
    </w:p>
    <w:p w14:paraId="045F43E0"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India’s LF elimination program aims to reach over 670 million individuals across 345 endemic districts, focusing on </w:t>
      </w:r>
      <w:r w:rsidRPr="00AF28B8">
        <w:rPr>
          <w:rFonts w:ascii="Calibri" w:hAnsi="Calibri" w:cs="Calibri"/>
          <w:i/>
          <w:iCs/>
          <w:color w:val="000000"/>
          <w:sz w:val="22"/>
          <w:szCs w:val="22"/>
        </w:rPr>
        <w:t>Wuchereria bancrofti</w:t>
      </w:r>
      <w:r w:rsidRPr="00AF28B8">
        <w:rPr>
          <w:rFonts w:ascii="Calibri" w:hAnsi="Calibri" w:cs="Calibri"/>
          <w:color w:val="000000"/>
          <w:sz w:val="22"/>
          <w:szCs w:val="22"/>
        </w:rPr>
        <w:t> and </w:t>
      </w:r>
      <w:r w:rsidRPr="00AF28B8">
        <w:rPr>
          <w:rFonts w:ascii="Calibri" w:hAnsi="Calibri" w:cs="Calibri"/>
          <w:i/>
          <w:iCs/>
          <w:color w:val="000000"/>
          <w:sz w:val="22"/>
          <w:szCs w:val="22"/>
        </w:rPr>
        <w:t>Brugia malayi</w:t>
      </w:r>
      <w:r w:rsidRPr="00AF28B8">
        <w:rPr>
          <w:rFonts w:ascii="Calibri" w:hAnsi="Calibri" w:cs="Calibri"/>
          <w:color w:val="000000"/>
          <w:sz w:val="22"/>
          <w:szCs w:val="22"/>
        </w:rPr>
        <w:t> as the main pathogens, while </w:t>
      </w:r>
      <w:r w:rsidRPr="00AF28B8">
        <w:rPr>
          <w:rFonts w:ascii="Calibri" w:hAnsi="Calibri" w:cs="Calibri"/>
          <w:i/>
          <w:iCs/>
          <w:color w:val="000000"/>
          <w:sz w:val="22"/>
          <w:szCs w:val="22"/>
        </w:rPr>
        <w:t>Culex quinquefasciatus</w:t>
      </w:r>
      <w:r w:rsidRPr="00AF28B8">
        <w:rPr>
          <w:rFonts w:ascii="Calibri" w:hAnsi="Calibri" w:cs="Calibri"/>
          <w:color w:val="000000"/>
          <w:sz w:val="22"/>
          <w:szCs w:val="22"/>
        </w:rPr>
        <w:t> and </w:t>
      </w:r>
      <w:r w:rsidRPr="00AF28B8">
        <w:rPr>
          <w:rFonts w:ascii="Calibri" w:hAnsi="Calibri" w:cs="Calibri"/>
          <w:i/>
          <w:iCs/>
          <w:color w:val="000000"/>
          <w:sz w:val="22"/>
          <w:szCs w:val="22"/>
        </w:rPr>
        <w:t>Mansonia annulifera</w:t>
      </w:r>
      <w:r w:rsidRPr="00AF28B8">
        <w:rPr>
          <w:rFonts w:ascii="Calibri" w:hAnsi="Calibri" w:cs="Calibri"/>
          <w:color w:val="000000"/>
          <w:sz w:val="22"/>
          <w:szCs w:val="22"/>
        </w:rPr>
        <w:t> serve as principal vectors. The transition from mass drug administration to post-MDA surveillance reveals ongoing challenges, including residual transmission, hidden hotspots, and sub-microscopic infections. Traditional methods like microfilaremia (Mf) and antigen detection exhibit reduced sensitivity in settings with low prevalence. Molecular xenomonitoring (MX) is an advanced PCR-based technique that identifies parasite DNA/RNA in mosquito vectors, providing a sensitive, non-invasive, and scalable approach for surveillance. MX has demonstrated effectiveness in post-MDA scenarios and exhibits promise across various applications—detecting previously unreported endemic regions, pre-MDA mapping, pre-TAS, TAS I–III, and post-MDA monitoring. This could potentially act as the sole viable monitoring instrument for initiatives such as DEC-fortified salt distribution. The implementation of MX can take place in three endemic blocks, each representing distinct epidemiological scenarios, and it can be carried out in conjunction with Mf and serological (Ag/Ab) surveys. Correlative analysis will establish thresholds for MDA cessation and enhance surveillance strategies. Through the meticulous mapping of residual transmission, MX is set to improve early detection, inform targeted interventions, and strengthen India's efforts toward the sustainable elimination of LF.</w:t>
      </w:r>
    </w:p>
    <w:p w14:paraId="55BBA5BE"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25-A-4077-ASTMH</w:t>
      </w:r>
    </w:p>
    <w:p w14:paraId="1AD23AC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0E26769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Antibiotic use in children less than five years of age in a Peri-urban community of Lima, Peru before and during the COVID-19 pandemic</w:t>
      </w:r>
    </w:p>
    <w:p w14:paraId="74A0F19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Background:Overuse of antibiotics is the major cause of antimicrobial resistance (AMR). Due in part to their high susceptibility to airway and gastrointestinal infections, children are often exposed to antibiotics. However, a large fraction of antibiotics used for childhood infections is considered to be inappropriate. During the first months of COVID-19 pandemic, reductions in the use of antibiotics in hospital settings were reported, however there are few data about antibiotic consumption in the community. Methods: Within two cohort studies, we followed 145 and 45 children less than five years of age during the pre-pandemic and pandemic period, respectively. Antibiotic use data were captured through weekly household visits from October 2019 to February 2020, in the pre-pandemic cohort, and through twice per week household visits from December 2020 to March 2021, in the pandemic cohort. We used Poisson regression with robust standard errors adjusting for age and gender to compare antibiotic use between the two cohorts. Results: 88 courses of antibiotics were captured in the pre-pandemic cohort, 18 courses in the pandemic cohort. 65 of the 145 children (44.8%) and 14 of the 45 children (31.1%) used antibiotics in the pre-pandemic and pandemic period, respectively. There was no </w:t>
      </w:r>
      <w:r w:rsidRPr="00AF28B8">
        <w:rPr>
          <w:rFonts w:ascii="Calibri" w:hAnsi="Calibri" w:cs="Calibri"/>
          <w:color w:val="000000"/>
          <w:sz w:val="22"/>
          <w:szCs w:val="22"/>
        </w:rPr>
        <w:lastRenderedPageBreak/>
        <w:t>difference in the incidence of antibiotic use between the two cohorts adjusting for age and gender. (IRR: 0.835; CI: 0.54-1.30; p = 0.422). Each additional year of age was associated with a 12.5% decrease in the incidence rate of antibiotic use (IRR: 0.87; CI: 0.77-0.99; p = 0.040). Amoxicillin was the most commonly used antibiotic in both periods (31.8% pre-pandemic, 33.3% pandemic period), followed by azithromycin (26.1%) in the pre-pandemic period and trimethoprim/sulfamethoxazole (16.7%) in the pandemic period. Higher use without prescription was found in the pandemic period (55.6%), while higher medical prescription was found in the pre-pandemic period (80.7%) (p&lt; 0.001). Conclusion: Antibiotic use in children in the community was consistently high in the pre-pandemic and pandemic period. More antibiotics were used without prescription in the pandemic period.</w:t>
      </w:r>
    </w:p>
    <w:p w14:paraId="5D624E6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25-A-4078-ASTMH</w:t>
      </w:r>
    </w:p>
    <w:p w14:paraId="1F65D58D"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Diagnostics and Treatment</w:t>
      </w:r>
    </w:p>
    <w:p w14:paraId="20BE54C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Hederacoside C protects against schistosomiasis </w:t>
      </w:r>
      <w:r w:rsidRPr="00AF28B8">
        <w:rPr>
          <w:rFonts w:ascii="Calibri" w:hAnsi="Calibri" w:cs="Calibri"/>
          <w:i/>
          <w:iCs/>
          <w:color w:val="000000"/>
          <w:sz w:val="22"/>
          <w:szCs w:val="22"/>
        </w:rPr>
        <w:t>japonica</w:t>
      </w:r>
      <w:r w:rsidRPr="00AF28B8">
        <w:rPr>
          <w:rFonts w:ascii="Calibri" w:hAnsi="Calibri" w:cs="Calibri"/>
          <w:color w:val="000000"/>
          <w:sz w:val="22"/>
          <w:szCs w:val="22"/>
        </w:rPr>
        <w:t> in mice</w:t>
      </w:r>
    </w:p>
    <w:p w14:paraId="40C7D00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Background:</w:t>
      </w:r>
      <w:r w:rsidRPr="00AF28B8">
        <w:rPr>
          <w:rFonts w:ascii="Calibri" w:hAnsi="Calibri" w:cs="Calibri"/>
          <w:color w:val="000000"/>
          <w:sz w:val="22"/>
          <w:szCs w:val="22"/>
        </w:rPr>
        <w:t> Evidences indicate hederacoside C has a potential to act as a novel modulator of inflammation, but its role in schistosomiasis </w:t>
      </w:r>
      <w:r w:rsidRPr="00AF28B8">
        <w:rPr>
          <w:rFonts w:ascii="Calibri" w:hAnsi="Calibri" w:cs="Calibri"/>
          <w:i/>
          <w:iCs/>
          <w:color w:val="000000"/>
          <w:sz w:val="22"/>
          <w:szCs w:val="22"/>
        </w:rPr>
        <w:t>japonica</w:t>
      </w:r>
      <w:r w:rsidRPr="00AF28B8">
        <w:rPr>
          <w:rFonts w:ascii="Calibri" w:hAnsi="Calibri" w:cs="Calibri"/>
          <w:color w:val="000000"/>
          <w:sz w:val="22"/>
          <w:szCs w:val="22"/>
        </w:rPr>
        <w:t> remains elusive. This study aims to evaluate the anti-schistosomiasis </w:t>
      </w:r>
      <w:r w:rsidRPr="00AF28B8">
        <w:rPr>
          <w:rFonts w:ascii="Calibri" w:hAnsi="Calibri" w:cs="Calibri"/>
          <w:i/>
          <w:iCs/>
          <w:color w:val="000000"/>
          <w:sz w:val="22"/>
          <w:szCs w:val="22"/>
        </w:rPr>
        <w:t>japonica</w:t>
      </w:r>
      <w:r w:rsidRPr="00AF28B8">
        <w:rPr>
          <w:rFonts w:ascii="Calibri" w:hAnsi="Calibri" w:cs="Calibri"/>
          <w:color w:val="000000"/>
          <w:sz w:val="22"/>
          <w:szCs w:val="22"/>
        </w:rPr>
        <w:t> activity of hederacoside C. </w:t>
      </w:r>
      <w:r w:rsidRPr="00AF28B8">
        <w:rPr>
          <w:rFonts w:ascii="Calibri" w:hAnsi="Calibri" w:cs="Calibri"/>
          <w:b/>
          <w:bCs/>
          <w:color w:val="000000"/>
          <w:sz w:val="22"/>
          <w:szCs w:val="22"/>
        </w:rPr>
        <w:t>Methods</w:t>
      </w:r>
      <w:r w:rsidRPr="00AF28B8">
        <w:rPr>
          <w:rFonts w:ascii="Calibri" w:hAnsi="Calibri" w:cs="Calibri"/>
          <w:color w:val="000000"/>
          <w:sz w:val="22"/>
          <w:szCs w:val="22"/>
        </w:rPr>
        <w:t>: We evaluated liver inflammation and fibrosis in mice by histological examination, including hematoxylin and eosin staining and Sirius red staining. RT-PCR, ELISA and flow cytometry were used to analyze the immunological mechanisms underlying the treatment of hederacoside C. </w:t>
      </w:r>
      <w:r w:rsidRPr="00AF28B8">
        <w:rPr>
          <w:rFonts w:ascii="Calibri" w:hAnsi="Calibri" w:cs="Calibri"/>
          <w:b/>
          <w:bCs/>
          <w:color w:val="000000"/>
          <w:sz w:val="22"/>
          <w:szCs w:val="22"/>
        </w:rPr>
        <w:t>Results</w:t>
      </w:r>
      <w:r w:rsidRPr="00AF28B8">
        <w:rPr>
          <w:rFonts w:ascii="Calibri" w:hAnsi="Calibri" w:cs="Calibri"/>
          <w:color w:val="000000"/>
          <w:sz w:val="22"/>
          <w:szCs w:val="22"/>
        </w:rPr>
        <w:t>: Hederacoside C treatment significantly reduced S. japonicum adult worms and egg burden, Hederacoside C treatment led to smaller granuloma size in liver and less collagen area, with lowering levels of glutamic pyruvic and glutamic oxaloacetic transaminase in serum. In addition, hederacoside C markedly decreased the percentage of neutrophil in the liver. Immunological analysis indicated that hederacoside C treatment obviously reduced the ratio of M1/M2 and Th1/Th2. </w:t>
      </w:r>
      <w:r w:rsidRPr="00AF28B8">
        <w:rPr>
          <w:rFonts w:ascii="Calibri" w:hAnsi="Calibri" w:cs="Calibri"/>
          <w:b/>
          <w:bCs/>
          <w:color w:val="000000"/>
          <w:sz w:val="22"/>
          <w:szCs w:val="22"/>
        </w:rPr>
        <w:t>Conclusion: </w:t>
      </w:r>
      <w:r w:rsidRPr="00AF28B8">
        <w:rPr>
          <w:rFonts w:ascii="Calibri" w:hAnsi="Calibri" w:cs="Calibri"/>
          <w:color w:val="000000"/>
          <w:sz w:val="22"/>
          <w:szCs w:val="22"/>
        </w:rPr>
        <w:t>Hederacoside C seems to be a promising therapeutic candidate for schistosomiasis </w:t>
      </w:r>
      <w:r w:rsidRPr="00AF28B8">
        <w:rPr>
          <w:rFonts w:ascii="Calibri" w:hAnsi="Calibri" w:cs="Calibri"/>
          <w:i/>
          <w:iCs/>
          <w:color w:val="000000"/>
          <w:sz w:val="22"/>
          <w:szCs w:val="22"/>
        </w:rPr>
        <w:t>japonica.</w:t>
      </w:r>
    </w:p>
    <w:p w14:paraId="4C84860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25-A-4079-ASTMH</w:t>
      </w:r>
    </w:p>
    <w:p w14:paraId="1317243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79D64CF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characterization of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transmission networks across Angola's diverse malaria endemic zones</w:t>
      </w:r>
    </w:p>
    <w:p w14:paraId="2D5395E5"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Malaria remains a major public health concern in Angola, which in 2024 ranked second in Africa for malaria-related deaths, primarily due to </w:t>
      </w:r>
      <w:r w:rsidRPr="00AF28B8">
        <w:rPr>
          <w:rFonts w:ascii="Calibri" w:hAnsi="Calibri" w:cs="Calibri"/>
          <w:i/>
          <w:iCs/>
          <w:color w:val="000000"/>
          <w:sz w:val="22"/>
          <w:szCs w:val="22"/>
        </w:rPr>
        <w:t>Plasmodium falciparum</w:t>
      </w:r>
      <w:r w:rsidRPr="00AF28B8">
        <w:rPr>
          <w:rFonts w:ascii="Calibri" w:hAnsi="Calibri" w:cs="Calibri"/>
          <w:color w:val="000000"/>
          <w:sz w:val="22"/>
          <w:szCs w:val="22"/>
        </w:rPr>
        <w:t> (Pf) infection. Despite this burden, it remains unclear if the country’s heterogeneous transmission settings are associated with significant population structure and the factors driving parasite transmission dynamics remain poorly understood, preventing the rational deployment of control strategies. Leveraging provinces with varying malaria endemicity levels, including hyperendemic (Cabinda, Uíge), mesoendemic-stable (Luanda, Cuanza Sul), and mesoendemic-unstable (Cunene, Namibe), this study aimed to determine if the Pf population in Angola is structured and identify factors that contribute to Pf dispersal. Parasite DNA was extracted from 134 DBS samples collected in 2022, followed by sWGA and Illumina NovaSeq 6000 sequencing, and SNPs were called. Infection complexity was assessed using F</w:t>
      </w:r>
      <w:r w:rsidRPr="00AF28B8">
        <w:rPr>
          <w:rFonts w:ascii="Calibri" w:hAnsi="Calibri" w:cs="Calibri"/>
          <w:color w:val="000000"/>
          <w:sz w:val="22"/>
          <w:szCs w:val="22"/>
          <w:vertAlign w:val="subscript"/>
        </w:rPr>
        <w:t>WS</w:t>
      </w:r>
      <w:r w:rsidRPr="00AF28B8">
        <w:rPr>
          <w:rFonts w:ascii="Calibri" w:hAnsi="Calibri" w:cs="Calibri"/>
          <w:color w:val="000000"/>
          <w:sz w:val="22"/>
          <w:szCs w:val="22"/>
        </w:rPr>
        <w:t>, and DEploid was used to estimate the number of clones per infection. Population structure was evaluated using </w:t>
      </w:r>
      <w:r w:rsidRPr="00AF28B8">
        <w:rPr>
          <w:rFonts w:ascii="Calibri" w:hAnsi="Calibri" w:cs="Calibri"/>
          <w:i/>
          <w:iCs/>
          <w:color w:val="000000"/>
          <w:sz w:val="22"/>
          <w:szCs w:val="22"/>
        </w:rPr>
        <w:t>F</w:t>
      </w:r>
      <w:r w:rsidRPr="00AF28B8">
        <w:rPr>
          <w:rFonts w:ascii="Calibri" w:hAnsi="Calibri" w:cs="Calibri"/>
          <w:color w:val="000000"/>
          <w:sz w:val="22"/>
          <w:szCs w:val="22"/>
          <w:vertAlign w:val="subscript"/>
        </w:rPr>
        <w:t>ST</w:t>
      </w:r>
      <w:r w:rsidRPr="00AF28B8">
        <w:rPr>
          <w:rFonts w:ascii="Calibri" w:hAnsi="Calibri" w:cs="Calibri"/>
          <w:color w:val="000000"/>
          <w:sz w:val="22"/>
          <w:szCs w:val="22"/>
        </w:rPr>
        <w:t>, while a Mantel test assessed the correlation between genetic differentiation and geographic distances. Identity-by-descent (IBD) analysis detected shared chromosomal segments between samples. Provinces with stable mesoendemic transmission showed the highest proportion of polyclonal infections, particularly Luanda (2-4 strains), suggesting more complex dynamics than in hyperendemic or unstable areas. </w:t>
      </w:r>
      <w:r w:rsidRPr="00AF28B8">
        <w:rPr>
          <w:rFonts w:ascii="Calibri" w:hAnsi="Calibri" w:cs="Calibri"/>
          <w:i/>
          <w:iCs/>
          <w:color w:val="000000"/>
          <w:sz w:val="22"/>
          <w:szCs w:val="22"/>
        </w:rPr>
        <w:t>F</w:t>
      </w:r>
      <w:r w:rsidRPr="00AF28B8">
        <w:rPr>
          <w:rFonts w:ascii="Calibri" w:hAnsi="Calibri" w:cs="Calibri"/>
          <w:color w:val="000000"/>
          <w:sz w:val="22"/>
          <w:szCs w:val="22"/>
          <w:vertAlign w:val="subscript"/>
        </w:rPr>
        <w:t>ST</w:t>
      </w:r>
      <w:r w:rsidRPr="00AF28B8">
        <w:rPr>
          <w:rFonts w:ascii="Calibri" w:hAnsi="Calibri" w:cs="Calibri"/>
          <w:color w:val="000000"/>
          <w:sz w:val="22"/>
          <w:szCs w:val="22"/>
        </w:rPr>
        <w:t> revealed low but significant genetic differentiation, especially between Cunene and Namibe. The Mantel test indicated a positive correlation between genetic differentiation and geographic distances (</w:t>
      </w:r>
      <w:r w:rsidRPr="00AF28B8">
        <w:rPr>
          <w:rFonts w:ascii="Calibri" w:hAnsi="Calibri" w:cs="Calibri"/>
          <w:i/>
          <w:iCs/>
          <w:color w:val="000000"/>
          <w:sz w:val="22"/>
          <w:szCs w:val="22"/>
        </w:rPr>
        <w:t>r</w:t>
      </w:r>
      <w:r w:rsidRPr="00AF28B8">
        <w:rPr>
          <w:rFonts w:ascii="Calibri" w:hAnsi="Calibri" w:cs="Calibri"/>
          <w:color w:val="000000"/>
          <w:sz w:val="22"/>
          <w:szCs w:val="22"/>
        </w:rPr>
        <w:t>=0.47) though not statistically significant (</w:t>
      </w:r>
      <w:r w:rsidRPr="00AF28B8">
        <w:rPr>
          <w:rFonts w:ascii="Calibri" w:hAnsi="Calibri" w:cs="Calibri"/>
          <w:i/>
          <w:iCs/>
          <w:color w:val="000000"/>
          <w:sz w:val="22"/>
          <w:szCs w:val="22"/>
        </w:rPr>
        <w:t>p</w:t>
      </w:r>
      <w:r w:rsidRPr="00AF28B8">
        <w:rPr>
          <w:rFonts w:ascii="Calibri" w:hAnsi="Calibri" w:cs="Calibri"/>
          <w:color w:val="000000"/>
          <w:sz w:val="22"/>
          <w:szCs w:val="22"/>
        </w:rPr>
        <w:t xml:space="preserve">=0.0597), suggesting the presence of processes that prevent isolation by distance. IBD analysis identified recent co-ancestry between Cabinda and samples from Luanda and Cuanza Sul. Our results reveal the presence of a slightly structured Pf population in Angola </w:t>
      </w:r>
      <w:r w:rsidRPr="00AF28B8">
        <w:rPr>
          <w:rFonts w:ascii="Calibri" w:hAnsi="Calibri" w:cs="Calibri"/>
          <w:color w:val="000000"/>
          <w:sz w:val="22"/>
          <w:szCs w:val="22"/>
        </w:rPr>
        <w:lastRenderedPageBreak/>
        <w:t>with dispersal between major transportation and commercial hubs (Cabinda, Luanda and Cunene) driven by human-mediated movement.</w:t>
      </w:r>
    </w:p>
    <w:p w14:paraId="7AAA36E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25-A-4080-ASTMH</w:t>
      </w:r>
    </w:p>
    <w:p w14:paraId="6F09050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Bacteriology - Antimicrobial Resistance</w:t>
      </w:r>
    </w:p>
    <w:p w14:paraId="481381FD" w14:textId="7C898C75"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Burden and Antibiotic Resistance of </w:t>
      </w:r>
      <w:r w:rsidRPr="00AF28B8">
        <w:rPr>
          <w:rFonts w:ascii="Calibri" w:hAnsi="Calibri" w:cs="Calibri"/>
          <w:b/>
          <w:bCs/>
          <w:i/>
          <w:iCs/>
          <w:color w:val="000000"/>
          <w:sz w:val="22"/>
          <w:szCs w:val="22"/>
        </w:rPr>
        <w:t>Klebsiella pneumoniae</w:t>
      </w:r>
      <w:r w:rsidRPr="00AF28B8">
        <w:rPr>
          <w:rFonts w:ascii="Calibri" w:hAnsi="Calibri" w:cs="Calibri"/>
          <w:b/>
          <w:bCs/>
          <w:color w:val="000000"/>
          <w:sz w:val="22"/>
          <w:szCs w:val="22"/>
        </w:rPr>
        <w:t> in Invasive and Fatal Pediatric Infections in Mozambique</w:t>
      </w:r>
    </w:p>
    <w:p w14:paraId="2F6E9EA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i/>
          <w:iCs/>
          <w:color w:val="000000"/>
          <w:sz w:val="22"/>
          <w:szCs w:val="22"/>
        </w:rPr>
        <w:t>Klebsiella</w:t>
      </w:r>
      <w:r w:rsidRPr="00AF28B8">
        <w:rPr>
          <w:rFonts w:ascii="Calibri" w:hAnsi="Calibri" w:cs="Calibri"/>
          <w:color w:val="000000"/>
          <w:sz w:val="22"/>
          <w:szCs w:val="22"/>
        </w:rPr>
        <w:t> </w:t>
      </w:r>
      <w:r w:rsidRPr="00AF28B8">
        <w:rPr>
          <w:rFonts w:ascii="Calibri" w:hAnsi="Calibri" w:cs="Calibri"/>
          <w:i/>
          <w:iCs/>
          <w:color w:val="000000"/>
          <w:sz w:val="22"/>
          <w:szCs w:val="22"/>
        </w:rPr>
        <w:t>pneumoniae</w:t>
      </w:r>
      <w:r w:rsidRPr="00AF28B8">
        <w:rPr>
          <w:rFonts w:ascii="Calibri" w:hAnsi="Calibri" w:cs="Calibri"/>
          <w:color w:val="000000"/>
          <w:sz w:val="22"/>
          <w:szCs w:val="22"/>
        </w:rPr>
        <w:t> (Kp) is a leading cause of Gram-negative bacteremia and is associated with high morbidity and mortality, primarily due to its multidrug-resistant (MDR) profile. This study aims to describe the burden and the antibiotic susceptibility profile of Kp isolated from blood samples of admitted and postmortem children at Quelimane Central Hospital (QCH), Central Mozambique. Blood samples were collected through minimally invasive autopsies of stillbirths and deceased children aged&lt;5 recruited within the Child Health and Mortality Prevention Surveillance (CHAMPS) study at the QCH, between March 2019 and March 2024. In 2021, guided by CHAMPS findings, we established the Invasive Bacterial Disease (IBD) surveillance study, involving prospective collection of blood samples from children aged &lt;5 presenting with fever or severe disease illness admitted to the QCH. Blood samples from both CHAMPS and IBD were processed for bacterial isolation, including Kp, and tested for antibiotic susceptibility by disc diffusion. More than two-thirds (71%, 576/808) postmortem samples tested positive for at least one pathogen, compared to 25% (42/1,217) from admitted children. Kp was the most frequently Gram-negative bacterium in both groups (19%; 153/808 in postportem </w:t>
      </w:r>
      <w:r w:rsidRPr="00AF28B8">
        <w:rPr>
          <w:rFonts w:ascii="Calibri" w:hAnsi="Calibri" w:cs="Calibri"/>
          <w:i/>
          <w:iCs/>
          <w:color w:val="000000"/>
          <w:sz w:val="22"/>
          <w:szCs w:val="22"/>
        </w:rPr>
        <w:t>vs. </w:t>
      </w:r>
      <w:r w:rsidRPr="00AF28B8">
        <w:rPr>
          <w:rFonts w:ascii="Calibri" w:hAnsi="Calibri" w:cs="Calibri"/>
          <w:color w:val="000000"/>
          <w:sz w:val="22"/>
          <w:szCs w:val="22"/>
        </w:rPr>
        <w:t>3%, 42/1,217 in admitted children), followed by </w:t>
      </w:r>
      <w:r w:rsidRPr="00AF28B8">
        <w:rPr>
          <w:rFonts w:ascii="Calibri" w:hAnsi="Calibri" w:cs="Calibri"/>
          <w:i/>
          <w:iCs/>
          <w:color w:val="000000"/>
          <w:sz w:val="22"/>
          <w:szCs w:val="22"/>
        </w:rPr>
        <w:t>Escherichia coli</w:t>
      </w:r>
      <w:r w:rsidRPr="00AF28B8">
        <w:rPr>
          <w:rFonts w:ascii="Calibri" w:hAnsi="Calibri" w:cs="Calibri"/>
          <w:color w:val="000000"/>
          <w:sz w:val="22"/>
          <w:szCs w:val="22"/>
        </w:rPr>
        <w:t> (10% [80/808] </w:t>
      </w:r>
      <w:r w:rsidRPr="00AF28B8">
        <w:rPr>
          <w:rFonts w:ascii="Calibri" w:hAnsi="Calibri" w:cs="Calibri"/>
          <w:i/>
          <w:iCs/>
          <w:color w:val="000000"/>
          <w:sz w:val="22"/>
          <w:szCs w:val="22"/>
        </w:rPr>
        <w:t>vs. </w:t>
      </w:r>
      <w:r w:rsidRPr="00AF28B8">
        <w:rPr>
          <w:rFonts w:ascii="Calibri" w:hAnsi="Calibri" w:cs="Calibri"/>
          <w:color w:val="000000"/>
          <w:sz w:val="22"/>
          <w:szCs w:val="22"/>
        </w:rPr>
        <w:t>2% [21/1,217]) and </w:t>
      </w:r>
      <w:r w:rsidRPr="00AF28B8">
        <w:rPr>
          <w:rFonts w:ascii="Calibri" w:hAnsi="Calibri" w:cs="Calibri"/>
          <w:i/>
          <w:iCs/>
          <w:color w:val="000000"/>
          <w:sz w:val="22"/>
          <w:szCs w:val="22"/>
        </w:rPr>
        <w:t>Enterobacter cloacae </w:t>
      </w:r>
      <w:r w:rsidRPr="00AF28B8">
        <w:rPr>
          <w:rFonts w:ascii="Calibri" w:hAnsi="Calibri" w:cs="Calibri"/>
          <w:color w:val="000000"/>
          <w:sz w:val="22"/>
          <w:szCs w:val="22"/>
        </w:rPr>
        <w:t>(5% [38/808] </w:t>
      </w:r>
      <w:r w:rsidRPr="00AF28B8">
        <w:rPr>
          <w:rFonts w:ascii="Calibri" w:hAnsi="Calibri" w:cs="Calibri"/>
          <w:i/>
          <w:iCs/>
          <w:color w:val="000000"/>
          <w:sz w:val="22"/>
          <w:szCs w:val="22"/>
        </w:rPr>
        <w:t>vs.</w:t>
      </w:r>
      <w:r w:rsidRPr="00AF28B8">
        <w:rPr>
          <w:rFonts w:ascii="Calibri" w:hAnsi="Calibri" w:cs="Calibri"/>
          <w:color w:val="000000"/>
          <w:sz w:val="22"/>
          <w:szCs w:val="22"/>
        </w:rPr>
        <w:t> 1% [17/1,217]); respectively. The prevalence of MDR Kp was high and similar in both groups: 87% (133/153) in postmortem and 85% (36/42]) in admitted children (</w:t>
      </w:r>
      <w:r w:rsidRPr="00AF28B8">
        <w:rPr>
          <w:rFonts w:ascii="Calibri" w:hAnsi="Calibri" w:cs="Calibri"/>
          <w:i/>
          <w:iCs/>
          <w:color w:val="000000"/>
          <w:sz w:val="22"/>
          <w:szCs w:val="22"/>
        </w:rPr>
        <w:t>p=</w:t>
      </w:r>
      <w:r w:rsidRPr="00AF28B8">
        <w:rPr>
          <w:rFonts w:ascii="Calibri" w:hAnsi="Calibri" w:cs="Calibri"/>
          <w:color w:val="000000"/>
          <w:sz w:val="22"/>
          <w:szCs w:val="22"/>
        </w:rPr>
        <w:t>0.802). Extended-spectrum beta-lactamase-ESBL was also comparable (67% </w:t>
      </w:r>
      <w:r w:rsidRPr="00AF28B8">
        <w:rPr>
          <w:rFonts w:ascii="Calibri" w:hAnsi="Calibri" w:cs="Calibri"/>
          <w:i/>
          <w:iCs/>
          <w:color w:val="000000"/>
          <w:sz w:val="22"/>
          <w:szCs w:val="22"/>
        </w:rPr>
        <w:t>vs.</w:t>
      </w:r>
      <w:r w:rsidRPr="00AF28B8">
        <w:rPr>
          <w:rFonts w:ascii="Calibri" w:hAnsi="Calibri" w:cs="Calibri"/>
          <w:color w:val="000000"/>
          <w:sz w:val="22"/>
          <w:szCs w:val="22"/>
        </w:rPr>
        <w:t> 64%, </w:t>
      </w:r>
      <w:r w:rsidRPr="00AF28B8">
        <w:rPr>
          <w:rFonts w:ascii="Calibri" w:hAnsi="Calibri" w:cs="Calibri"/>
          <w:i/>
          <w:iCs/>
          <w:color w:val="000000"/>
          <w:sz w:val="22"/>
          <w:szCs w:val="22"/>
        </w:rPr>
        <w:t>p=</w:t>
      </w:r>
      <w:r w:rsidRPr="00AF28B8">
        <w:rPr>
          <w:rFonts w:ascii="Calibri" w:hAnsi="Calibri" w:cs="Calibri"/>
          <w:color w:val="000000"/>
          <w:sz w:val="22"/>
          <w:szCs w:val="22"/>
        </w:rPr>
        <w:t>0.715). Resistance rates to ceftriaxone (80% </w:t>
      </w:r>
      <w:r w:rsidRPr="00AF28B8">
        <w:rPr>
          <w:rFonts w:ascii="Calibri" w:hAnsi="Calibri" w:cs="Calibri"/>
          <w:i/>
          <w:iCs/>
          <w:color w:val="000000"/>
          <w:sz w:val="22"/>
          <w:szCs w:val="22"/>
        </w:rPr>
        <w:t>vs.</w:t>
      </w:r>
      <w:r w:rsidRPr="00AF28B8">
        <w:rPr>
          <w:rFonts w:ascii="Calibri" w:hAnsi="Calibri" w:cs="Calibri"/>
          <w:color w:val="000000"/>
          <w:sz w:val="22"/>
          <w:szCs w:val="22"/>
        </w:rPr>
        <w:t> 90%), gentamicin (74% </w:t>
      </w:r>
      <w:r w:rsidRPr="00AF28B8">
        <w:rPr>
          <w:rFonts w:ascii="Calibri" w:hAnsi="Calibri" w:cs="Calibri"/>
          <w:i/>
          <w:iCs/>
          <w:color w:val="000000"/>
          <w:sz w:val="22"/>
          <w:szCs w:val="22"/>
        </w:rPr>
        <w:t>vs.</w:t>
      </w:r>
      <w:r w:rsidRPr="00AF28B8">
        <w:rPr>
          <w:rFonts w:ascii="Calibri" w:hAnsi="Calibri" w:cs="Calibri"/>
          <w:color w:val="000000"/>
          <w:sz w:val="22"/>
          <w:szCs w:val="22"/>
        </w:rPr>
        <w:t> 75%), and ciprofloxacin (65% </w:t>
      </w:r>
      <w:r w:rsidRPr="00AF28B8">
        <w:rPr>
          <w:rFonts w:ascii="Calibri" w:hAnsi="Calibri" w:cs="Calibri"/>
          <w:i/>
          <w:iCs/>
          <w:color w:val="000000"/>
          <w:sz w:val="22"/>
          <w:szCs w:val="22"/>
        </w:rPr>
        <w:t>vs.</w:t>
      </w:r>
      <w:r w:rsidRPr="00AF28B8">
        <w:rPr>
          <w:rFonts w:ascii="Calibri" w:hAnsi="Calibri" w:cs="Calibri"/>
          <w:color w:val="000000"/>
          <w:sz w:val="22"/>
          <w:szCs w:val="22"/>
        </w:rPr>
        <w:t> 50%) were high in both groups; while meropenem showed consistent antimicrobial activity. Our findings highlight a significant burden of MDR and ESBL-producing Kp in both deceased in admitted children, with high resistance to commonly used empiric antibiotics in Mozambique. These results emphasize the urgent need to revise current antibiotic treatment guideline in our setting.</w:t>
      </w:r>
    </w:p>
    <w:p w14:paraId="41C93B0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25-A-4081-ASTMH</w:t>
      </w:r>
    </w:p>
    <w:p w14:paraId="5FEAEEA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2D399AC"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Next Gen Surveillance: Multiplexed Real Time PCR for Molecular Xenomonitoring of Vector Borne Diseases</w:t>
      </w:r>
    </w:p>
    <w:p w14:paraId="1ABB3D1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Molecular xenomonitoring (MX), a PCR-based method for detecting pathogen DNA/RNA in vector populations, offers a non-invasive, high-sensitivity tool for the surveillance of vector-borne diseases (VBDs). As India transitions from control to elimination of parasitic infections such as malaria, lymphatic filariasis (LF), and visceral leishmaniasis (VL), MX is increasingly essential to detect sub-microscopic infections and prevent resurgence. Simultaneously, arboviral infections like dengue, chikungunya, and Zika continue to trigger outbreaks across the country, underscoring the need for integrated and scalable surveillance systems. We have developed two multiplexed real-time PCR assays specifically designed for MX: (1) parasitic infections and (2) arboviral infections. These assays can simultaneously detect multiple pathogens—Leishmania, Wuchereria bancrofti, Plasmodium spp., ZIKV, DENV, CHIKV, and JEV—from pooled vectors, including mosquitoes and sandflies. </w:t>
      </w:r>
      <w:r w:rsidRPr="00AF28B8">
        <w:rPr>
          <w:rFonts w:ascii="Calibri" w:hAnsi="Calibri" w:cs="Calibri"/>
          <w:i/>
          <w:iCs/>
          <w:color w:val="000000"/>
          <w:sz w:val="22"/>
          <w:szCs w:val="22"/>
        </w:rPr>
        <w:t>In silico</w:t>
      </w:r>
      <w:r w:rsidRPr="00AF28B8">
        <w:rPr>
          <w:rFonts w:ascii="Calibri" w:hAnsi="Calibri" w:cs="Calibri"/>
          <w:color w:val="000000"/>
          <w:sz w:val="22"/>
          <w:szCs w:val="22"/>
        </w:rPr>
        <w:t xml:space="preserve"> analysis guided the design using target sequences across species, ensuring compatibility with multiplexing. Internal controls specific to vector species were included for validation. These assays, standardized for simultaneous detection in a single reaction, represent a cost-effective, high-throughput solution for integrated MX. Field validation in endemic areas could support early outbreak detection, real-time surveillance, and improved decision-making. When combined with advanced sequencing tools like Nanopore NGS, this system can also </w:t>
      </w:r>
      <w:r w:rsidRPr="00AF28B8">
        <w:rPr>
          <w:rFonts w:ascii="Calibri" w:hAnsi="Calibri" w:cs="Calibri"/>
          <w:color w:val="000000"/>
          <w:sz w:val="22"/>
          <w:szCs w:val="22"/>
        </w:rPr>
        <w:lastRenderedPageBreak/>
        <w:t>monitor harmful traits, drug resistance, and new viral types—making MX a more advanced surveillance tool.</w:t>
      </w:r>
    </w:p>
    <w:p w14:paraId="1C247560"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25-A-4082-ASTMH</w:t>
      </w:r>
    </w:p>
    <w:p w14:paraId="3DB7B6A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Bionomics, Behavior and Surveillance</w:t>
      </w:r>
    </w:p>
    <w:p w14:paraId="4BE7B34F"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Development of a novel DNA-loaded nanoporous protein crystal as a tool for mosquito mark-release-recapture studies: lessons in lab-to-field translation</w:t>
      </w:r>
    </w:p>
    <w:p w14:paraId="12D6BAD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Mosquito mark-release-recapture (MRR) studies provide essential information on dispersal patterns and population dynamics of mosquito vectors in the field. Current mosquito marking strategies face limitations due to intensive labor and material costs, impact on mosquito survival, marker durability, and the small number of unique markers available. We developed a porous crystal derived from a </w:t>
      </w:r>
      <w:r w:rsidRPr="00AF28B8">
        <w:rPr>
          <w:rFonts w:ascii="Calibri" w:hAnsi="Calibri" w:cs="Calibri"/>
          <w:i/>
          <w:iCs/>
          <w:color w:val="000000"/>
          <w:sz w:val="22"/>
          <w:szCs w:val="22"/>
        </w:rPr>
        <w:t>Campylobacter jejuni</w:t>
      </w:r>
      <w:r w:rsidRPr="00AF28B8">
        <w:rPr>
          <w:rFonts w:ascii="Calibri" w:hAnsi="Calibri" w:cs="Calibri"/>
          <w:color w:val="000000"/>
          <w:sz w:val="22"/>
          <w:szCs w:val="22"/>
        </w:rPr>
        <w:t> protein to mark larval mosquitoes with a unique guest DNA barcode. Crystal-protected guest DNA has been shown to persist in the midgut to the adult stage, and daily doses do not impact adult mosquito survivorship. In 2022, we began several field trials of this technology in Fort Collins, CO, targeting the West Nile virus (WNV) vector </w:t>
      </w:r>
      <w:r w:rsidRPr="00AF28B8">
        <w:rPr>
          <w:rFonts w:ascii="Calibri" w:hAnsi="Calibri" w:cs="Calibri"/>
          <w:i/>
          <w:iCs/>
          <w:color w:val="000000"/>
          <w:sz w:val="22"/>
          <w:szCs w:val="22"/>
        </w:rPr>
        <w:t>Culex tarsalis</w:t>
      </w:r>
      <w:r w:rsidRPr="00AF28B8">
        <w:rPr>
          <w:rFonts w:ascii="Calibri" w:hAnsi="Calibri" w:cs="Calibri"/>
          <w:color w:val="000000"/>
          <w:sz w:val="22"/>
          <w:szCs w:val="22"/>
        </w:rPr>
        <w:t>. Bins of pond water were installed near known </w:t>
      </w:r>
      <w:r w:rsidRPr="00AF28B8">
        <w:rPr>
          <w:rFonts w:ascii="Calibri" w:hAnsi="Calibri" w:cs="Calibri"/>
          <w:i/>
          <w:iCs/>
          <w:color w:val="000000"/>
          <w:sz w:val="22"/>
          <w:szCs w:val="22"/>
        </w:rPr>
        <w:t>C. tarsalis</w:t>
      </w:r>
      <w:r w:rsidRPr="00AF28B8">
        <w:rPr>
          <w:rFonts w:ascii="Calibri" w:hAnsi="Calibri" w:cs="Calibri"/>
          <w:color w:val="000000"/>
          <w:sz w:val="22"/>
          <w:szCs w:val="22"/>
        </w:rPr>
        <w:t> larval breeding sites and dosed weekly with microcrystals loaded with a unique DNA barcode to collect both spatial and temporal data. Our field approach harnessed an existing WNV surveillance system maintained by the City of Fort Collins to drastically reduce labor costs through collaborative sample sharing. Mosquito pools were screened for DNA barcodes via PCR, and amplicons from positive samples were sequenced using NGS to decode deployment location and time. Supplemental laboratory trials assessed the impact of higher crystal doses on environmental marker persistence, mosquito mark-success, adult survivorship, pupation success, and vectorial capacity. Crystal-protected DNA was detectable in field conditions for 8 weeks, outlasting unprotected raw DNA controls. High levels of crystal exposure (2500ng/L) was found to moderately impact pupation success. In field trials, we successfully recovered DNA barcodes from several mosquito pools provided by the city WNV surveillance system. Challenges remain, including the implementation of batch control for bioengineered crystals to ensure consistent mark-success and trapping strategies to supplement city-sponsored mosquito collection. Despite these obstacles, DNA-loaded microcrystals remain a promising strategy for higher resolution MRR studies on mosquito vectors.</w:t>
      </w:r>
    </w:p>
    <w:p w14:paraId="52CA751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25-A-4083-ASTMH</w:t>
      </w:r>
    </w:p>
    <w:p w14:paraId="3BFBBD6A"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Emerging Viral Diseases</w:t>
      </w:r>
    </w:p>
    <w:p w14:paraId="439E6A3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Surveillance of Arboviral Infections in Salvador, Brazil: Emergence of Oropouche Virus in a Previously Non-Endemic Area</w:t>
      </w:r>
    </w:p>
    <w:p w14:paraId="2F5DB099"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Arboviruses such as Dengue (DENV), Zika (ZIKV), and Chikungunya (CHIKV) have long been endemic in Brazil, posing significant challenges to public health. More recently, other arboviruses such as Oropouche virus (OROV) have emerged as potential threats in regions previously considered non-endemic. This study aimed to implement arboviral surveillance to better understand their emergence and geographic spread.We conducted a cross-sectional study at two emergency care units in Salvador, Brazil. Patients presenting with fever or rash and associated symptoms within the past seven days were enrolled. Data were collected using REDCap, and blood samples were tested for ZIKV, DENV, and CHIKV using multiplex RT-qPCR and IgM ELISA serology, along with Dengue NS1 antigen testing. An in-house RT-qPCR assay was used to detect OROV.Between April 2023 and 2025, 463 participants were recruited, with 433 providing valid samples. Of these, 287 (62.3%) were female and 174 (37.7%) male. Most participants self-identified as mixed race (200; 43.7%), with a median age of 29 years. The most frequently reported symptoms were fever (449; 97.2%), headache (436; 94.6%), myalgia (471; 90.5%), arthralgia (375; 81.3%), and retro-orbital pain (328; 71.5%).Multiplex RT-qPCR identified 26 (6.1%) cases of DENV1, 2 (0.5%) of DENV2, and 12 (2.8%) of CHIKV. Serological testing revealed 67 (16.6%) positive for Dengue NS1, 53 (12.5%) for Dengue IgM, 34 (8.4%) for Chikungunya IgM, and 8 (2.5%) for Zika IgM. OROV was detected in 14 (3.3%) samples via RT-qPCR. The first OROV case was identified in May 2023. </w:t>
      </w:r>
      <w:r w:rsidRPr="00AF28B8">
        <w:rPr>
          <w:rFonts w:ascii="Calibri" w:hAnsi="Calibri" w:cs="Calibri"/>
          <w:color w:val="000000"/>
          <w:sz w:val="22"/>
          <w:szCs w:val="22"/>
        </w:rPr>
        <w:lastRenderedPageBreak/>
        <w:t>Among OROV-positive participants, 12 (85.7%) reported fever, 13 (93%) headache, 9 (64.3%) retro-orbital pain, 10 (71.4%) arthralgia, and 12 (85.7%) myalgia.This study provides an overview of circulating arboviruses in Salvador, Brazil. Notably, OROV was detected in a non-endemic area prior to its official notification by local health authorities. These findings underscore the critical importance of continuous arboviral surveillance to strengthen public health preparedness and enable timely intervention.</w:t>
      </w:r>
    </w:p>
    <w:p w14:paraId="384CB7A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25-A-4085-ASTMH</w:t>
      </w:r>
    </w:p>
    <w:p w14:paraId="722E1B8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6DE28A57"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Integrated Vector Surveillance-Strengthening Control, Elimination and Outbreak Detection through Molecular Xenomonitoring</w:t>
      </w:r>
    </w:p>
    <w:p w14:paraId="26E2215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Monitoring vector-borne diseases (VBDs) is essential for understanding disease impact, forecasting potential outbreaks, and evaluating the effectiveness of control and elimination initiatives. Molecular xenomonitoring (MX) is a method that employs PCR to detect pathogen DNA or RNA in insect vectors, and it has become a vital tool for identifying human infections. This serves as an additional or alternative monitoring instrument within vector-borne disease surveillance systems. The development of Integrated Vector Surveillance (IVS) has notably enhanced vector management strategies on a global scale, informed by the ecological and behavioural dynamics of parasite-vector interactions. IVS serves as a crucial element of the Integrated Vector Management (IVM) framework and has seen successful implementation in areas including Europe and China. Recent field studies highlight the significance of tailored vector sampling techniques to improve the accuracy of surveillance efforts. A range of trapping tools—such as light traps, tent traps, aspirators, spray collections, and species-specific devices—have been utilized successfully in various ecological contexts. Advanced xenosurveillance methods, which involve studying the bodies and waste of vectors, help identify different pathogens at the same time, giving a complete understanding of how diseases spread. Given the complex situation of lymphatic filariasis, visceral leishmaniasis, and malaria in India, it is essential to change and create IVS strategies across the country. An IVS framework tailored to specific contexts would facilitate prompt interventions, enhance resource distribution, and reinforce preparedness for outbreaks. As India moves closer to elimination targets spread by vectors, using MX within the IVS is a pragmatic, timely, and game-changing approach for effective control of these vectors and improving disease monitoring.</w:t>
      </w:r>
    </w:p>
    <w:p w14:paraId="4C25080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25-A-4086-ASTMH</w:t>
      </w:r>
    </w:p>
    <w:p w14:paraId="43B2BC9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Schistosomiasis and Other Trematodes – Epidemiology and Control</w:t>
      </w:r>
    </w:p>
    <w:p w14:paraId="3AF95C2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From Burden to Control; Assessing the outcomes of MDA programme for schistosomiasis and soil transmitted Heliminthiasis in Abuja, Nigeria</w:t>
      </w:r>
    </w:p>
    <w:p w14:paraId="0B50E43E"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Authors</w:t>
      </w:r>
      <w:r w:rsidRPr="00AF28B8">
        <w:rPr>
          <w:rFonts w:ascii="Calibri" w:hAnsi="Calibri" w:cs="Calibri"/>
          <w:color w:val="000000"/>
          <w:sz w:val="22"/>
          <w:szCs w:val="22"/>
        </w:rPr>
        <w:t>:Joseph Kumbur,Bosede Ogundipe,Imaobong Umah,Faizah Okunade,Donald Ashikeni,Rinpan Ishaya,William Adamani,Moses Aderogba,Louise Makau-Barasa,Juliana Amanyi-Enegela.</w:t>
      </w:r>
      <w:r w:rsidRPr="00AF28B8">
        <w:rPr>
          <w:rFonts w:ascii="Calibri" w:hAnsi="Calibri" w:cs="Calibri"/>
          <w:b/>
          <w:bCs/>
          <w:color w:val="000000"/>
          <w:sz w:val="22"/>
          <w:szCs w:val="22"/>
        </w:rPr>
        <w:t>Background:</w:t>
      </w:r>
      <w:r w:rsidRPr="00AF28B8">
        <w:rPr>
          <w:rFonts w:ascii="Calibri" w:hAnsi="Calibri" w:cs="Calibri"/>
          <w:color w:val="000000"/>
          <w:sz w:val="22"/>
          <w:szCs w:val="22"/>
        </w:rPr>
        <w:t> Schistosomiasis (SCH) and soil-transmitted helminthiasis (STH) remain public health concerns in Nigeria’s Federal Capital Territory (FCT), Abuja. Baseline mapping (2010-2014) showed high prevalence of both infections. Consequently, mass drug administration (MDA) with praziquantel and mebendazole began in 2015, targeting school-age children (SAC, 5-14 years). The programme also includes water, sanitation, and hygiene (WASH) and health education components in line with WHO guidance.</w:t>
      </w:r>
      <w:r w:rsidRPr="00AF28B8">
        <w:rPr>
          <w:rFonts w:ascii="Calibri" w:hAnsi="Calibri" w:cs="Calibri"/>
          <w:b/>
          <w:bCs/>
          <w:color w:val="000000"/>
          <w:sz w:val="22"/>
          <w:szCs w:val="22"/>
        </w:rPr>
        <w:t>Methods</w:t>
      </w:r>
      <w:r w:rsidRPr="00AF28B8">
        <w:rPr>
          <w:rFonts w:ascii="Calibri" w:hAnsi="Calibri" w:cs="Calibri"/>
          <w:color w:val="000000"/>
          <w:sz w:val="22"/>
          <w:szCs w:val="22"/>
        </w:rPr>
        <w:t>: A cross-sectional impact assessment was conducted in late 2023 to early 2024 after 5 years of consistent high MDA coverage. Urine and stool samples were collected from 1,558 randomly selected SAC across 30 sentinel schools in all six FCT area councils (≈50-55 pupils per school). Schistosoma haematobium, S. mansoni, and common STH species were detected using urine filtration, dipstick testing, and the Kato Katz technique. Prevalence and 95% confidence intervals (CI) were compared with baseline values.</w:t>
      </w:r>
      <w:r w:rsidRPr="00AF28B8">
        <w:rPr>
          <w:rFonts w:ascii="Calibri" w:hAnsi="Calibri" w:cs="Calibri"/>
          <w:b/>
          <w:bCs/>
          <w:color w:val="000000"/>
          <w:sz w:val="22"/>
          <w:szCs w:val="22"/>
        </w:rPr>
        <w:t>Results</w:t>
      </w:r>
      <w:r w:rsidRPr="00AF28B8">
        <w:rPr>
          <w:rFonts w:ascii="Calibri" w:hAnsi="Calibri" w:cs="Calibri"/>
          <w:color w:val="000000"/>
          <w:sz w:val="22"/>
          <w:szCs w:val="22"/>
        </w:rPr>
        <w:t xml:space="preserve">: STH prevalence dropped sharply from 18.05% (95% CI 12.25-23.84) at baseline to 5.28% (95% CI 2.95-7.61) in 2021. All six area councils saw significant declines (range at impact: 2.2-8.8% vs. 9.4-25.5% at baseline). By contrast, SCH prevalence showed little change: 25.65% (95% CI 10.28-41.01) at baseline vs. 26.63% (95% CI 16.41-36.80) at impact. Two </w:t>
      </w:r>
      <w:r w:rsidRPr="00AF28B8">
        <w:rPr>
          <w:rFonts w:ascii="Calibri" w:hAnsi="Calibri" w:cs="Calibri"/>
          <w:color w:val="000000"/>
          <w:sz w:val="22"/>
          <w:szCs w:val="22"/>
        </w:rPr>
        <w:lastRenderedPageBreak/>
        <w:t>councils had reductions (25.1 → 19.2% and 51.9 → 38.9%), but four saw increases (to 31.1%, 12.1%, 28.8%, and 32.7%), indicating geographical heterogeneity.</w:t>
      </w:r>
      <w:r w:rsidRPr="00AF28B8">
        <w:rPr>
          <w:rFonts w:ascii="Calibri" w:hAnsi="Calibri" w:cs="Calibri"/>
          <w:b/>
          <w:bCs/>
          <w:color w:val="000000"/>
          <w:sz w:val="22"/>
          <w:szCs w:val="22"/>
        </w:rPr>
        <w:t>Conclusions</w:t>
      </w:r>
      <w:r w:rsidRPr="00AF28B8">
        <w:rPr>
          <w:rFonts w:ascii="Calibri" w:hAnsi="Calibri" w:cs="Calibri"/>
          <w:color w:val="000000"/>
          <w:sz w:val="22"/>
          <w:szCs w:val="22"/>
        </w:rPr>
        <w:t>:Five years of integrated MDA have nearly eliminated STH as a public health problem among SAC in the FCT, but SCH transmission persists. To eliminate SCH, the programme should: intensify praziquantel coverage, particularly in persistent hotspots, strengthen WASH infrastructure, and expand behaviour change education. Continuous surveillance will be crucial for tracking trends and guiding adaptive strategies.</w:t>
      </w:r>
    </w:p>
    <w:p w14:paraId="3950C81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25-A-4088-ASTMH</w:t>
      </w:r>
    </w:p>
    <w:p w14:paraId="6B19ACB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304D54E"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Applying Statistical Precision in Molecular Xenomonitoring-Optimizing Surveillance for Eliminating VBDs in India—Lymphatic Filariasis, Visceral Leishmaniasis, and Malaria</w:t>
      </w:r>
    </w:p>
    <w:p w14:paraId="7B77FAE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Molecular xenomonitoring (MX), that detects the pathogen in vectors has been proven to be a powerful and sensitive surveillance tool to assess transmission interruption particularly among the VBDs namely lymphatic filariasis(LF) and visceral leishmaniasis(VL), that are slated for elimination by 2027. MX allows large number of vectors to be tested simultaneously in pools using molecular methods to detect DNA of the pathogen of interest and thereby the pathogen prevalence in vectors. However, lack of a standardized sampling protocol in collection of the vectors and a robust elimination threshold in terms of pathogen prevalence is a major limitation. Most MX surveys in the past used a hierarchical sampling design (pools with trap locations, trap locations with sites, sites with evaluation unit (EU)) with varying sample size based on a provisional threshold (for LF) to estimate the pathogen prevalence in vectors in endemic areas. Recent reviews on MX have highlighted the need for accounting for clustering arising due to the hierarchical sampling design while analysing the data but more ideally recommend using the intra cluster correlation (ICC) (at site or trap location or pool level) for calculating sufficiently powered sample sizes for arriving at robust estimates of pathogen prevalence in vectors., particularly when used for surveillance. Here we propose to use the recently developed software tool specifically for pool testing and show (i) how the accuracy of the prevalence estimates are impacted when the analysis does not account for the hierarchical sampling structure and (ii) how a sampling design with adequately powered sample size (estimated after accounting for ICC) is able arrive at more accurate and robust estimates of prevalence and or is able to capture the signal of on-going transmission particularly during the post treatment/validation phase.</w:t>
      </w:r>
    </w:p>
    <w:p w14:paraId="44E193D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25-A-4089-ASTMH</w:t>
      </w:r>
    </w:p>
    <w:p w14:paraId="1CF2493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Security/Emerging Infection Preparedness, Surveillance and Response(s)</w:t>
      </w:r>
    </w:p>
    <w:p w14:paraId="15F0C61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Economic evaluation of Interferon-Gamma Release Assays as a valid test for latent tuberculosis infection screening in healthcare workers in a university hospital in Bangkok, Thailand a cross-sectional study</w:t>
      </w:r>
    </w:p>
    <w:p w14:paraId="50EB14ED"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 Latent tuberculosis infection (LTBI) poses a significant risk to healthcare workers (HCWs) due to their frequent exposure to patients with active tuberculosis (TB). The primary objective of this study is to evaluate cost-efficacy and cost- effectiveness of implementing Interferon-Gamma Release Assays (IGRAs) as a screening tool for LTBI among HCWs at Ramathibodi Hospital, Mahidol University, Bangkok, Thailand. The secondary objective is to use LTBI active case finding to control TB in HCWs.</w:t>
      </w:r>
      <w:r w:rsidRPr="00AF28B8">
        <w:rPr>
          <w:rFonts w:ascii="Calibri" w:hAnsi="Calibri" w:cs="Calibri"/>
          <w:color w:val="000000"/>
          <w:sz w:val="22"/>
          <w:szCs w:val="22"/>
        </w:rPr>
        <w:br/>
        <w:t>Methods This cross-sectional study conducted at Ramathibodi hospital from November 2023 to January 2025. Healthcare workers (HCWs) at risk of TB exposure were eligible for inclusion in the study. HCWs aged 18-60 years with a history of prior TB exposure were screened using questionnaires and Interferon-Gamma Release Assay (IGRA) testing. Individuals with a history of active TB infection or a prior diagnosis of LTBI were excluded. This analysis compares the costs (direct, indirect costs), health outcomes, and increment cost-effectiveness ratio of IGRAs to a strategy of not screening for LTBI in societal perspective.</w:t>
      </w:r>
      <w:r w:rsidRPr="00AF28B8">
        <w:rPr>
          <w:rFonts w:ascii="Calibri" w:hAnsi="Calibri" w:cs="Calibri"/>
          <w:color w:val="000000"/>
          <w:sz w:val="22"/>
          <w:szCs w:val="22"/>
        </w:rPr>
        <w:br/>
        <w:t xml:space="preserve">Results There were 144 patients in this study. Mean age was 34.4 years old (SD 8.63). The prevalence of LTBI among HCWs was 8.3%. The incremental cost-effectiveness ratio (ICER) was calculated at 7,906,952 </w:t>
      </w:r>
      <w:r w:rsidRPr="00AF28B8">
        <w:rPr>
          <w:rFonts w:ascii="Calibri" w:hAnsi="Calibri" w:cs="Calibri"/>
          <w:color w:val="000000"/>
          <w:sz w:val="22"/>
          <w:szCs w:val="22"/>
        </w:rPr>
        <w:lastRenderedPageBreak/>
        <w:t>baht per quality-adjusted life year (QALY). The willingness-to-pay (WTP) threshold for QALY gain in Thailand, as defined by the Subcommittee for Developing the National List of Essential Medicines (NLED), is 160,000 baht. The cost-effectiveness analysis indicated that the cost of IGRA testing and LTBI treatment (when using 3 months of daily Isoniazid plus rifampicin; 3HR regimen is used) was 1,570.6 baht per case, with a QALY gain of 0.002 per LTBI treatment. When the LTBI prevalence increased to 27.5%, IGRA testing became cost-effective as a screening tool.</w:t>
      </w:r>
      <w:r w:rsidRPr="00AF28B8">
        <w:rPr>
          <w:rFonts w:ascii="Calibri" w:hAnsi="Calibri" w:cs="Calibri"/>
          <w:color w:val="000000"/>
          <w:sz w:val="22"/>
          <w:szCs w:val="22"/>
        </w:rPr>
        <w:br/>
        <w:t>Conclusion In the context of Ramathibodi Hospital, the use of IGRA testing and subsequent LTBI treatment for HCWs appears unlikely to be cost- effective if the prevalence of latent TB is low.</w:t>
      </w:r>
    </w:p>
    <w:p w14:paraId="658E9C04"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25-A-4090-ASTMH</w:t>
      </w:r>
    </w:p>
    <w:p w14:paraId="2B04301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AB534F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Enhancing Molecular Xenomonitoring for Accelerated Lymphatic Filariasis Elimination: A Paradigm Shift in Surveillance and Policy Decision Making</w:t>
      </w:r>
    </w:p>
    <w:p w14:paraId="74BD254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Molecular Xenomonitoring (MX), the detection of pathogen DNA in vector populations, offers a non-invasive, highly sensitive tool for monitoring the transmission of lymphatic filariasis (LF). As India nears its LF elimination goals, MX provides a transformative approach to post-MDA surveillance and hotspot detection. This paradigm shift from human-centric diagnostics to vector-based surveillance enables real-time, community-wide insights into transmission dynamics, even in low-prevalence settings. We present evidence from recent MX studies in India demonstrating its operational feasibility, integration with entomological surveillance, and predictive value in identifying residual transmission foci. Furthermore, MX has proven instrumental in guiding targeted interventions, optimizing resource allocation, and informing decision-making for transmission assessment surveys (TAS). We argue for the institutionalization of MX within the national LF elimination framework, supported by standardized protocols, capacity-building, and cross-sectoral collaboration. As the country progresses toward validation of LF elimination, MX stands as a cornerstone for sustained surveillance and programmatic vigilance. This presentation outlines the scientific underpinnings, field implementation experiences, and policy implications of mainstreaming MX, marking a pivotal advancement in vector-borne disease (VBD) elimination strategies in India.</w:t>
      </w:r>
    </w:p>
    <w:p w14:paraId="174B9D7D"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25-A-4091-ASTMH</w:t>
      </w:r>
    </w:p>
    <w:p w14:paraId="4AE57A95"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609C8C7B"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Leveraging Molecular Xenomonitoring to Detect SubPatent and Rare Malaria Parasite Transmission: A Critical Tool for Malaria Elimination</w:t>
      </w:r>
    </w:p>
    <w:p w14:paraId="70C6292A"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Achieving malaria elimination requires highly sensitive surveillance systems capable of identifying residual and cryptic transmission, particularly in settings with declining case incidence. Molecular Xenomonitoring (MX), which entails the detection of Plasmodium nucleic acids in vector populations, has emerged as a critical entomological surveillance strategy to identify sub-patent and asymptomatic infections that evade conventional diagnostic tools. This presentation will elucidate the utility of MX for detecting rare and low-density Plasmodium infections in Anopheles vectors, emphasizing its application in areas approaching elimination thresholds. Drawing on recent field investigations from malaria-endemic districts in India, we demonstrate how vector-based molecular surveillance can reveal hidden reservoirs of transmission that are undetectable through passive case detection or cross-sectional surveys. Furthermore, integration of MX with geospatial analytics and entomological indices enhances the resolution of transmission mapping and facilitates the delineation of transmission foci for targeted intervention. We will also discuss the methodological considerations for implementing MX at scale, including vector sampling strategies, molecular assay sensitivity, and interpretation of infection rates in the context of transmission intensity. Importantly, we address the role of MX in verifying interruption of transmission and in providing early warning signals for potential resurgence. As India advances toward malaria elimination by 2030, incorporation of MX into national surveillance frameworks will be </w:t>
      </w:r>
      <w:r w:rsidRPr="00AF28B8">
        <w:rPr>
          <w:rFonts w:ascii="Calibri" w:hAnsi="Calibri" w:cs="Calibri"/>
          <w:color w:val="000000"/>
          <w:sz w:val="22"/>
          <w:szCs w:val="22"/>
        </w:rPr>
        <w:lastRenderedPageBreak/>
        <w:t>indispensable for detecting residual transmission, guiding focal responses, and sustaining gains in low-transmission settings.</w:t>
      </w:r>
    </w:p>
    <w:p w14:paraId="7D263254"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25-A-4092-ASTMH</w:t>
      </w:r>
    </w:p>
    <w:p w14:paraId="3D65CD4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05820EDE"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Harnessing Molecular Xenomonitoring of </w:t>
      </w:r>
      <w:r w:rsidRPr="00AF28B8">
        <w:rPr>
          <w:rFonts w:ascii="Calibri" w:hAnsi="Calibri" w:cs="Calibri"/>
          <w:i/>
          <w:iCs/>
          <w:color w:val="000000"/>
          <w:sz w:val="22"/>
          <w:szCs w:val="22"/>
        </w:rPr>
        <w:t>Aedes</w:t>
      </w:r>
      <w:r w:rsidRPr="00AF28B8">
        <w:rPr>
          <w:rFonts w:ascii="Calibri" w:hAnsi="Calibri" w:cs="Calibri"/>
          <w:color w:val="000000"/>
          <w:sz w:val="22"/>
          <w:szCs w:val="22"/>
        </w:rPr>
        <w:t> Vectors for Early Warning and Surveillance of Emerging Arboviral Threats</w:t>
      </w:r>
    </w:p>
    <w:p w14:paraId="698112D8"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escalating incidence and geographic expansion of arboviral infections - such as dengue, chikungunya, and Zika - pose an enduring threat to public health systems, particularly across the Indian subcontinent. Traditional syndromic surveillance frequently fails to capture the subclinical or pre-epidemic viral circulation, underscoring the need for proactive entomological approaches. Molecular xenomonitoring (MX), which entails the detection of arboviral RNA in field-caught vectors, particularly </w:t>
      </w:r>
      <w:r w:rsidRPr="00AF28B8">
        <w:rPr>
          <w:rFonts w:ascii="Calibri" w:hAnsi="Calibri" w:cs="Calibri"/>
          <w:i/>
          <w:iCs/>
          <w:color w:val="000000"/>
          <w:sz w:val="22"/>
          <w:szCs w:val="22"/>
        </w:rPr>
        <w:t>Aedes aegypti</w:t>
      </w:r>
      <w:r w:rsidRPr="00AF28B8">
        <w:rPr>
          <w:rFonts w:ascii="Calibri" w:hAnsi="Calibri" w:cs="Calibri"/>
          <w:color w:val="000000"/>
          <w:sz w:val="22"/>
          <w:szCs w:val="22"/>
        </w:rPr>
        <w:t> and </w:t>
      </w:r>
      <w:r w:rsidRPr="00AF28B8">
        <w:rPr>
          <w:rFonts w:ascii="Calibri" w:hAnsi="Calibri" w:cs="Calibri"/>
          <w:i/>
          <w:iCs/>
          <w:color w:val="000000"/>
          <w:sz w:val="22"/>
          <w:szCs w:val="22"/>
        </w:rPr>
        <w:t>Aedes albopictus</w:t>
      </w:r>
      <w:r w:rsidRPr="00AF28B8">
        <w:rPr>
          <w:rFonts w:ascii="Calibri" w:hAnsi="Calibri" w:cs="Calibri"/>
          <w:color w:val="000000"/>
          <w:sz w:val="22"/>
          <w:szCs w:val="22"/>
        </w:rPr>
        <w:t>, offers a sentinel framework for the early identification of circulating pathogens before clinical cases manifest. This presentation elucidates the operationalization of MX platforms in endemic zones across India, integrating high-throughput RT-qPCR and multiplexed metagenomic sequencing for the simultaneous detection of co-circulating flaviviruses and alphaviruses. We present spatiotemporal data correlating vector infection rates with climatic and anthropogenic variables, highlighting transmission foci with predictive modelling outputs. Furthermore, we delineate how MX can synergize with digital entomological surveillance and GIS-enabled vector mapping to refine focal intervention strategies. Our findings underscore MX’s potential as a real-time arboviral intelligence tool - enabling pre-emptive vector control, prioritization of resource allocation, and mitigation of outbreak amplification. The integration of MX within national vector-borne disease control frameworks could recalibrate India’s preparedness paradigm, transforming reactive response into anticipatory action. The session will also explore regulatory and logistical imperatives for scaling MX in low-resource settings, ensuring its sustainability as a cornerstone of integrated vector surveillance.</w:t>
      </w:r>
    </w:p>
    <w:p w14:paraId="17BCCB27"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25-A-4093-ASTMH</w:t>
      </w:r>
    </w:p>
    <w:p w14:paraId="40CA531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2CE33F0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Prevalence of HIV screening among LGBTQ+ at a university hospital in Bangkok, Thailand</w:t>
      </w:r>
    </w:p>
    <w:p w14:paraId="24F4B71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Background LGBTQ+ individuals face significant barriers in accessing healthcare services, particularly in relation to HIV screening. This study investigates the prevalence of HIV testing among LGBTQ+ individuals and explores factors influencing healthcare-seeking behaviors at Ramathibodi Hospital in Bangkok, Thailand.Methods A cross-sectional survey was conducted among 300 self-identified LGBTQ+ individuals aged 18 and older who recently utilized outpatient services at gender variety clinic at Ramathibodi Hospital. Data were collected via an online questionnaire assessing demographic characteristics, sexual behaviors, and attitudes toward public health services. Univariate and multivariate logistic regression analyses were performed to identify factors associated with HIV testing.Results HIV testing prevalence among participants was 45%, with significant associations found between HIV testing and gender identity, age, and engagement in sexual activity. Gay participants (OR = 21.73, 95% CI: 4.73-99.90, p &lt; 0.001) and transgender females (OR = 7.51, 95% CI: 2.08-27.34, p = 0.002) were more likely to undergo HIV testing compared to other groups. Those aged 30 years or older (OR = 2.50, 95% CI: 1.43- 4.34, p = 0.001) and those engaging in sexual activity (OR = 4.58, 95% CI: 2.52-8.33, p &lt; 0.001) were also more likely to be tested. Participants reported mixed experiences regarding the inclusivity of healthcare environments, with a desire for improved LGBTQ+ cultural competence among healthcare workers.Conclusion While HIV testing rates are relatively high among certain LGBTQ+ subgroups, significant gaps remain, particularly for transgender males</w:t>
      </w:r>
    </w:p>
    <w:p w14:paraId="5B1FFFB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25-A-4100-ASTMH</w:t>
      </w:r>
    </w:p>
    <w:p w14:paraId="75A2B31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7DBDC42F"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lastRenderedPageBreak/>
        <w:t>Etiological profiling of pediatric febrile illness using metagenomic next-generation sequencing and conventional laboratory investigations amid declining malaria transmission in Bagamoyo, Tanzania</w:t>
      </w:r>
    </w:p>
    <w:p w14:paraId="741C33E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As malaria transmission declines, non-malarial illness increases proportionally. A better understanding of the clinical epidemiology of febrile illness in these settings can inform their management. We studied a cohort of 600 children aged 6 months to 10 years at two low malaria transmission sites in Tanzania (parasite prevalence &lt;10%) and conducted detailed evaluations including clinical laboratory tests, malaria PCR, and metagenomic next generation sequencing (mNGS) of naso-oropharyngeal (NP) swabs and plasma for sick visits over 7 months from 2023-24. The incidence of all-cause sick visits was 0.94 per person year, of which 67.5% (n=158) were fever episodes. 47.5% (n=75) of fever episodes tested positive for malaria by rapid diagnostic test (RDT) (Malaria Ag P.f/Pan). Among RDT negatives and positives, 7/83 (9.3%) and 67/75 (89.3%) were</w:t>
      </w:r>
      <w:r w:rsidRPr="00AF28B8">
        <w:rPr>
          <w:rFonts w:ascii="Calibri" w:hAnsi="Calibri" w:cs="Calibri"/>
          <w:i/>
          <w:iCs/>
          <w:color w:val="000000"/>
          <w:sz w:val="22"/>
          <w:szCs w:val="22"/>
        </w:rPr>
        <w:t> P. falciparum </w:t>
      </w:r>
      <w:r w:rsidRPr="00AF28B8">
        <w:rPr>
          <w:rFonts w:ascii="Calibri" w:hAnsi="Calibri" w:cs="Calibri"/>
          <w:color w:val="000000"/>
          <w:sz w:val="22"/>
          <w:szCs w:val="22"/>
        </w:rPr>
        <w:t>PCR positive, respectively. Factors associated with malaria RDT positivity were older age (6-10 years vs &lt; 6 years, OR 5, 95% CI 2.6-10.0), residence in Kiwangwa vs Fukayosi (OR 5.1, 95% CI 2.5-11), headache (OR 3.3, 95% CI 1.8-6.5), lack of respiratory symptoms (OR 0.03, 95% CI 0.01-0.07), lack of leukocytosis (OR 0.81, 95% CI 0.73-0.89), thrombocytopenia (OR 11.4, 95% CI 2.0-215.5), high procalcitonin (OR 12.9, 95% CI 5.6-34.2), and high CRP (OR 4.3, 95% CI 2.2-8.6). Findings were similar with analyses restricted to true positives and negatives, using PCR as the gold standard. The leading non-malarial diagnoses determined at the time of the visit were upper respiratory infection (URI) (44.8%) and pneumonia (17.2%). Among RDT negatives, 75.9% received antibiotics, most commonly for URI. However, retrospective NP mNGS identified a potential viral etiology in 66.3% (55/83) of RDT negatives and 21.3% (16/75) of RDT positives. Viruses identified were mostly known respiratory pathogens, with influenza A being the most common (37.3%). Plasma mNGS is in process and results will be shared. Use of malaria PCR, mNGS, and clinical testing as part of fever surveillance can guide regional fever case management and strategies to address challenges of emerging pathogens and antimicrobial resistance.</w:t>
      </w:r>
    </w:p>
    <w:p w14:paraId="78FF6C32"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25-A-4106-ASTMH</w:t>
      </w:r>
    </w:p>
    <w:p w14:paraId="79E6A72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Helminths – Nematodes – Filariasis (Cellular and Molecular Biology)</w:t>
      </w:r>
    </w:p>
    <w:p w14:paraId="20A89B01"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Improving the Specificity of the OvND5 qPCR Assay for the Detection of </w:t>
      </w:r>
      <w:r w:rsidRPr="00AF28B8">
        <w:rPr>
          <w:rFonts w:ascii="Calibri" w:hAnsi="Calibri" w:cs="Calibri"/>
          <w:i/>
          <w:iCs/>
          <w:color w:val="000000"/>
          <w:sz w:val="22"/>
          <w:szCs w:val="22"/>
        </w:rPr>
        <w:t>O. volvulus</w:t>
      </w:r>
      <w:r w:rsidRPr="00AF28B8">
        <w:rPr>
          <w:rFonts w:ascii="Calibri" w:hAnsi="Calibri" w:cs="Calibri"/>
          <w:color w:val="000000"/>
          <w:sz w:val="22"/>
          <w:szCs w:val="22"/>
        </w:rPr>
        <w:t> in Blackfly Vectors</w:t>
      </w:r>
    </w:p>
    <w:p w14:paraId="7F4F429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Onchocerciasis longitudinal studies to stop mass drug administration (MDA) require the testing of pools of </w:t>
      </w:r>
      <w:r w:rsidRPr="00AF28B8">
        <w:rPr>
          <w:rFonts w:ascii="Calibri" w:hAnsi="Calibri" w:cs="Calibri"/>
          <w:i/>
          <w:iCs/>
          <w:color w:val="000000"/>
          <w:sz w:val="22"/>
          <w:szCs w:val="22"/>
        </w:rPr>
        <w:t>Simulium damnosum</w:t>
      </w:r>
      <w:r w:rsidRPr="00AF28B8">
        <w:rPr>
          <w:rFonts w:ascii="Calibri" w:hAnsi="Calibri" w:cs="Calibri"/>
          <w:color w:val="000000"/>
          <w:sz w:val="22"/>
          <w:szCs w:val="22"/>
        </w:rPr>
        <w:t> blackfly heads for the presence/absence of the parasite </w:t>
      </w:r>
      <w:r w:rsidRPr="00AF28B8">
        <w:rPr>
          <w:rFonts w:ascii="Calibri" w:hAnsi="Calibri" w:cs="Calibri"/>
          <w:i/>
          <w:iCs/>
          <w:color w:val="000000"/>
          <w:sz w:val="22"/>
          <w:szCs w:val="22"/>
        </w:rPr>
        <w:t>Onchocerca volvulus</w:t>
      </w:r>
      <w:r w:rsidRPr="00AF28B8">
        <w:rPr>
          <w:rFonts w:ascii="Calibri" w:hAnsi="Calibri" w:cs="Calibri"/>
          <w:color w:val="000000"/>
          <w:sz w:val="22"/>
          <w:szCs w:val="22"/>
        </w:rPr>
        <w:t>. A newly developed real-time PCR (qPCR) method has been designed to detect the OvND5 mitochondrial DNA sequence and was compared to an older qPCR assay designed to detect the O150 nuclear genome sequence. The assay, when tested on samples and biological controls collected from the western part of Africa, demonstrated excellent species-specificity and sensitivity. When applied to samples collected in the Eastern part of Africa (Burundi, Tanzania, and Ethiopia), the assay demonstrated various patterns of reactivity, which when sequenced, revealed DNA sequence variability not previously represented in the public databases. For this study, we analyzed DNA sequence data from blackflies, skin snips, and human nodules collected from various locations across the African continent to: 1. ascertain the sequence variation of </w:t>
      </w:r>
      <w:r w:rsidRPr="00AF28B8">
        <w:rPr>
          <w:rFonts w:ascii="Calibri" w:hAnsi="Calibri" w:cs="Calibri"/>
          <w:i/>
          <w:iCs/>
          <w:color w:val="000000"/>
          <w:sz w:val="22"/>
          <w:szCs w:val="22"/>
        </w:rPr>
        <w:t>O. volvulus</w:t>
      </w:r>
      <w:r w:rsidRPr="00AF28B8">
        <w:rPr>
          <w:rFonts w:ascii="Calibri" w:hAnsi="Calibri" w:cs="Calibri"/>
          <w:color w:val="000000"/>
          <w:sz w:val="22"/>
          <w:szCs w:val="22"/>
        </w:rPr>
        <w:t> related species in </w:t>
      </w:r>
      <w:r w:rsidRPr="00AF28B8">
        <w:rPr>
          <w:rFonts w:ascii="Calibri" w:hAnsi="Calibri" w:cs="Calibri"/>
          <w:i/>
          <w:iCs/>
          <w:color w:val="000000"/>
          <w:sz w:val="22"/>
          <w:szCs w:val="22"/>
        </w:rPr>
        <w:t>S. damnosum</w:t>
      </w:r>
      <w:r w:rsidRPr="00AF28B8">
        <w:rPr>
          <w:rFonts w:ascii="Calibri" w:hAnsi="Calibri" w:cs="Calibri"/>
          <w:color w:val="000000"/>
          <w:sz w:val="22"/>
          <w:szCs w:val="22"/>
        </w:rPr>
        <w:t> flies sampled from regions across the continent of Africa, particularly in Eastern African countries, 2. determine the genetic variation of infectious </w:t>
      </w:r>
      <w:r w:rsidRPr="00AF28B8">
        <w:rPr>
          <w:rFonts w:ascii="Calibri" w:hAnsi="Calibri" w:cs="Calibri"/>
          <w:i/>
          <w:iCs/>
          <w:color w:val="000000"/>
          <w:sz w:val="22"/>
          <w:szCs w:val="22"/>
        </w:rPr>
        <w:t>O. volvulus</w:t>
      </w:r>
      <w:r w:rsidRPr="00AF28B8">
        <w:rPr>
          <w:rFonts w:ascii="Calibri" w:hAnsi="Calibri" w:cs="Calibri"/>
          <w:color w:val="000000"/>
          <w:sz w:val="22"/>
          <w:szCs w:val="22"/>
        </w:rPr>
        <w:t> found in samples collected from human subjects, and 3. optimize and redesign the OvND5 qPCR assay to exclude the sequence variants that don’t infect humans, and 4. demonstrated the enhanced specificity and sensitivity in a qPCR-based assay over the previous “gold standard” O150 ELISA assay.</w:t>
      </w:r>
    </w:p>
    <w:p w14:paraId="1EBB654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25-A-4107-ASTMH</w:t>
      </w:r>
    </w:p>
    <w:p w14:paraId="1629A33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5667854B"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Multiplex serosurveillance reveals cross-pathogen vulnerabilities in Sudan</w:t>
      </w:r>
    </w:p>
    <w:p w14:paraId="5C7161F1"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Serological surveillance is useful to monitor past pathogen exposure through antibody quantification. Multiplex serological assays simultaneously measure exposure to multiple pathogens, indicating co-</w:t>
      </w:r>
      <w:r w:rsidRPr="00AF28B8">
        <w:rPr>
          <w:rFonts w:ascii="Calibri" w:hAnsi="Calibri" w:cs="Calibri"/>
          <w:color w:val="000000"/>
          <w:sz w:val="22"/>
          <w:szCs w:val="22"/>
        </w:rPr>
        <w:lastRenderedPageBreak/>
        <w:t>occurring pathogen exposures in individuals and populations. Using IgG serological responses from dried blood spots to 18 antigens from neglected tropical diseases (NTDs), malaria, and vaccine-preventable diseases from population-based trachoma surveys across 3 contiguous localities (95 clusters; N=8,300 individuals) in North Darfur, Sudan (2019), we examined cross-pathogen vulnerabilities in individuals and across space.</w:t>
      </w:r>
      <w:r w:rsidRPr="00AF28B8">
        <w:rPr>
          <w:rFonts w:ascii="Calibri" w:hAnsi="Calibri" w:cs="Calibri"/>
          <w:color w:val="000000"/>
          <w:sz w:val="22"/>
          <w:szCs w:val="22"/>
        </w:rPr>
        <w:br/>
        <w:t>In individuals and clusters, we examined associations between seroprevalence of different antigen-specific antibodies using generalized linear and mixed effect models. To holistically assess vulnerability to infectious diseases, we calculated cluster-based vulnerability scores by averaging the relative cluster-level seroprevalence of each marker using a Bayesian approach. We then correlated cluster-level seroprevalence of specific markers with overall vulnerability.</w:t>
      </w:r>
      <w:r w:rsidRPr="00AF28B8">
        <w:rPr>
          <w:rFonts w:ascii="Calibri" w:hAnsi="Calibri" w:cs="Calibri"/>
          <w:color w:val="000000"/>
          <w:sz w:val="22"/>
          <w:szCs w:val="22"/>
        </w:rPr>
        <w:br/>
        <w:t>Within individuals, several significant positive associations between seropositivity to malaria and NTDs, like dengue and lymphatic filariasis (OR range: 1.25-3.37, p&lt;0.05), point to the co-occurrence of vector-borne diseases. Vulnerability scores exhibited spatial heterogeneity, with neighboring clusters showing high and low vulnerability. Lower vulnerability was associated with use of unprotected (1.76, p&lt;0.0001) and improved water sources (2.27-4.40, all p&lt;0.0001) compared to surface water, adult defecation in latrines (0.345, p&lt;0.0001), and household primary (1.49, p&lt;0.0001) and secondary/college education (2.54, p&lt;0.0001). Finally, 8 sentinel antigens had cluster-based seroprevalence significantly correlated with vulnerability.</w:t>
      </w:r>
      <w:r w:rsidRPr="00AF28B8">
        <w:rPr>
          <w:rFonts w:ascii="Calibri" w:hAnsi="Calibri" w:cs="Calibri"/>
          <w:color w:val="000000"/>
          <w:sz w:val="22"/>
          <w:szCs w:val="22"/>
        </w:rPr>
        <w:br/>
        <w:t>Combined, these data outline the potential of vertically aligned interventions (ie improved sanitation and vector management) at fine spatial scales to impact multiple pathogens. Sentinel biomarkers may identify areas highly vulnerable to infectious diseases.</w:t>
      </w:r>
    </w:p>
    <w:p w14:paraId="04C73046"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25-A-4108-ASTMH</w:t>
      </w:r>
    </w:p>
    <w:p w14:paraId="6893991C"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Arthropods/Entomology - Other</w:t>
      </w:r>
    </w:p>
    <w:p w14:paraId="0165C368"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The control of Musca sorbens, putative vector of trachoma, with ivermectin</w:t>
      </w:r>
    </w:p>
    <w:p w14:paraId="38062667"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bazaar fly</w:t>
      </w:r>
      <w:r w:rsidRPr="00AF28B8">
        <w:rPr>
          <w:rFonts w:ascii="Calibri" w:hAnsi="Calibri" w:cs="Calibri"/>
          <w:i/>
          <w:iCs/>
          <w:color w:val="000000"/>
          <w:sz w:val="22"/>
          <w:szCs w:val="22"/>
        </w:rPr>
        <w:t> Musca sorbens </w:t>
      </w:r>
      <w:r w:rsidRPr="00AF28B8">
        <w:rPr>
          <w:rFonts w:ascii="Calibri" w:hAnsi="Calibri" w:cs="Calibri"/>
          <w:color w:val="000000"/>
          <w:sz w:val="22"/>
          <w:szCs w:val="22"/>
        </w:rPr>
        <w:t>is a putative mechanical vector of </w:t>
      </w:r>
      <w:r w:rsidRPr="00AF28B8">
        <w:rPr>
          <w:rFonts w:ascii="Calibri" w:hAnsi="Calibri" w:cs="Calibri"/>
          <w:i/>
          <w:iCs/>
          <w:color w:val="000000"/>
          <w:sz w:val="22"/>
          <w:szCs w:val="22"/>
        </w:rPr>
        <w:t>Chlamydia trachomatis</w:t>
      </w:r>
      <w:r w:rsidRPr="00AF28B8">
        <w:rPr>
          <w:rFonts w:ascii="Calibri" w:hAnsi="Calibri" w:cs="Calibri"/>
          <w:color w:val="000000"/>
          <w:sz w:val="22"/>
          <w:szCs w:val="22"/>
        </w:rPr>
        <w:t>, the causative agent of trachoma—the leading infectious cause of blindness worldwide. These flies lay eggs in human feces and are attracted to ocular and nasal discharges, particularly targeting young children who often serve as reservoirs for infection. Although the World Health Organization’s SAFE strategy has significantly reduced the global burden of trachoma, transmission persists in some endemic areas, especially in parts of Sub-Saharan Africa. Fly control has received comparatively little attention within trachoma elimination programs, despite evidence linking </w:t>
      </w:r>
      <w:r w:rsidRPr="00AF28B8">
        <w:rPr>
          <w:rFonts w:ascii="Calibri" w:hAnsi="Calibri" w:cs="Calibri"/>
          <w:i/>
          <w:iCs/>
          <w:color w:val="000000"/>
          <w:sz w:val="22"/>
          <w:szCs w:val="22"/>
        </w:rPr>
        <w:t>M. sorbens</w:t>
      </w:r>
      <w:r w:rsidRPr="00AF28B8">
        <w:rPr>
          <w:rFonts w:ascii="Calibri" w:hAnsi="Calibri" w:cs="Calibri"/>
          <w:color w:val="000000"/>
          <w:sz w:val="22"/>
          <w:szCs w:val="22"/>
        </w:rPr>
        <w:t> contact with active trachoma. Ivermectin, a widely used antiparasitic drug, has insecticidal properties that may reduce </w:t>
      </w:r>
      <w:r w:rsidRPr="00AF28B8">
        <w:rPr>
          <w:rFonts w:ascii="Calibri" w:hAnsi="Calibri" w:cs="Calibri"/>
          <w:i/>
          <w:iCs/>
          <w:color w:val="000000"/>
          <w:sz w:val="22"/>
          <w:szCs w:val="22"/>
        </w:rPr>
        <w:t>M. sorbens</w:t>
      </w:r>
      <w:r w:rsidRPr="00AF28B8">
        <w:rPr>
          <w:rFonts w:ascii="Calibri" w:hAnsi="Calibri" w:cs="Calibri"/>
          <w:color w:val="000000"/>
          <w:sz w:val="22"/>
          <w:szCs w:val="22"/>
        </w:rPr>
        <w:t> populations when excreted in human or animal feces, or through direct effects on adult flies feeding on treated hosts. In this study, we investigate the susceptibility of adult </w:t>
      </w:r>
      <w:r w:rsidRPr="00AF28B8">
        <w:rPr>
          <w:rFonts w:ascii="Calibri" w:hAnsi="Calibri" w:cs="Calibri"/>
          <w:i/>
          <w:iCs/>
          <w:color w:val="000000"/>
          <w:sz w:val="22"/>
          <w:szCs w:val="22"/>
        </w:rPr>
        <w:t>M. sorbens</w:t>
      </w:r>
      <w:r w:rsidRPr="00AF28B8">
        <w:rPr>
          <w:rFonts w:ascii="Calibri" w:hAnsi="Calibri" w:cs="Calibri"/>
          <w:color w:val="000000"/>
          <w:sz w:val="22"/>
          <w:szCs w:val="22"/>
        </w:rPr>
        <w:t> to ivermectin using laboratory assays, providing foundational evidence for the potential use of ivermectin as a complementary vector control tool in trachoma-endemic settings.</w:t>
      </w:r>
    </w:p>
    <w:p w14:paraId="5EFC0B0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25-A-4109-ASTMH</w:t>
      </w:r>
    </w:p>
    <w:p w14:paraId="06409132"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Epidemiology</w:t>
      </w:r>
    </w:p>
    <w:p w14:paraId="760EE9BA"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National burden and optimal vaccine policy for Japanese encephalitis virus in Bangladesh</w:t>
      </w:r>
    </w:p>
    <w:p w14:paraId="3529781C"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Bangladesh first reported Japanese encephalitis virus (JEV) in 1977 and has seen regular cases since. JEV vaccines have been available for decades and are highly effective, providing long-lasting immunity. The World Health Organization recommends JEV vaccination in endemic countries where it is a public health priority. A major barrier to vaccine use in Bangladesh has been a limited understanding of where JEV circulates, and thus the best strategy for vaccine rollout.We conducted a nationally representative serological community study in 70 communities across Bangladesh between October 2015 and January 2016. Samples were tested for JEV IgG antibodies using a bead-based multiplex serological assay. To estimate the underlying force of infection nationwide, we developed a spatially explicit serocatalytic model in a hierarchical Bayesian framework to fit individual serostatus data. We estimated annual JE </w:t>
      </w:r>
      <w:r w:rsidRPr="00AF28B8">
        <w:rPr>
          <w:rFonts w:ascii="Calibri" w:hAnsi="Calibri" w:cs="Calibri"/>
          <w:color w:val="000000"/>
          <w:sz w:val="22"/>
          <w:szCs w:val="22"/>
        </w:rPr>
        <w:lastRenderedPageBreak/>
        <w:t>disease burden by projecting infections, hospitalised cases, DALYs, and deaths under a no-vaccination scenario and alternative vaccination strategies.Overall JEV seroprevalence was 3.4% (95% CI: 2.8-4.1) (range 0-28%), with a force of infection of 0.005 (95% CI: 0.003-0.009), showing spatial heterogeneity—higher near the Indian border, minimal in central regions. We derived spatial probabilities of JEV transmission, applying a threshold mimicking minimal conditions. A targeted strategy in the 10 most affected districts using a 1-15-year multi-age cohort (MAC) campaign would require 5 million doses over 5 years and avert 2 cases per 100,000 doses. By contrast, the current plan targeting Rangpur, Rajshahi, and Chittagong with the same MAC would require over 46 million doses and avert 1 case per 100,000 doses.Our findings suggest JE surveillance should expand and will be key for monitoring vaccine impact. These health impact estimates can inform vaccine deployment amid other public health priorities. Targeted subnational vaccination in high-incidence hotspots offers an efficient way to reduce JE burden in Bangladesh.</w:t>
      </w:r>
    </w:p>
    <w:p w14:paraId="12F1A79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25-A-4114-ASTMH</w:t>
      </w:r>
    </w:p>
    <w:p w14:paraId="5BB7D28D"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361564FB"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Genomic Ecology: Exploring the Ecological and Biological Fitness of West Nile virus during the 2023 Outbreak</w:t>
      </w:r>
    </w:p>
    <w:p w14:paraId="6DCFD16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Despite its semi-arid environment, the High Plains region of the United States has emerged as a hotspot for West Nile virus (WNV). The 2023 season was one of the worst on record, with Colorado reporting 631 cases—triple the prior year’s total. Leveraging Larimer County’s robust WNV surveillance system, we combined modeling and experimental approaches to investigate viral and ecological drivers of the outbreak. Using Bayesian phylogenetic analysis of WNV sequences from mosquito pools (2013-2023) and national databases, we reconstructed viral spread, identified overwintering lineages, and assessed selection pressures. These genetic covariates, alongside ecological covariates (land type, temperature and precipitation), were integrated into a hierarchical model to evaluate the genomic ecology of West Nile virus in the context of human cases and viral persistence. Complementing this, experimental studies compared replication kinetics of long-persisting strains with and without positively selected mutations under varying conditions. This interdisciplinary approach explores the relationship between environmental and biological fitness to uncover mechanisms behind WNV outbreaks. Findings will inform targeted interventions and enhance predictive models for WNV in semi-arid regions.</w:t>
      </w:r>
    </w:p>
    <w:p w14:paraId="58A0CBD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25-A-4116-ASTMH</w:t>
      </w:r>
    </w:p>
    <w:p w14:paraId="2BB98B5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Clinical Tropical Medicine</w:t>
      </w:r>
    </w:p>
    <w:p w14:paraId="082463D4"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Outcomes of adult severe dengue admitted at BIRDEM General Hospital, Dhaka, Bangladesh</w:t>
      </w:r>
    </w:p>
    <w:p w14:paraId="771664D9"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b/>
          <w:bCs/>
          <w:color w:val="000000"/>
          <w:sz w:val="22"/>
          <w:szCs w:val="22"/>
        </w:rPr>
        <w:t>OUTCOMES OF ADULT SEVERE DENGUE ADMITTED AT BIRDEM GENERAL HOSPITAL, DHAKA, BANGLADESH</w:t>
      </w:r>
      <w:r w:rsidRPr="00AF28B8">
        <w:rPr>
          <w:rFonts w:ascii="Calibri" w:hAnsi="Calibri" w:cs="Calibri"/>
          <w:b/>
          <w:bCs/>
          <w:color w:val="000000"/>
          <w:sz w:val="22"/>
          <w:szCs w:val="22"/>
        </w:rPr>
        <w:br/>
        <w:t>BACKGROUND:</w:t>
      </w:r>
      <w:r w:rsidRPr="00AF28B8">
        <w:rPr>
          <w:rFonts w:ascii="Calibri" w:hAnsi="Calibri" w:cs="Calibri"/>
          <w:color w:val="000000"/>
          <w:sz w:val="22"/>
          <w:szCs w:val="22"/>
        </w:rPr>
        <w:t>Dengue fever, a mosquito-borne viral disease, presents a major public health challenge in Bangladesh, with seasonal outbreaks causing significant morbidity, mortality, and strain on the healthcare system. Bangladesh witnessed the highest dengue mortality among the high-burden countries over the last few consecutive years, thereby leading to a challenge to the nationwide healthcare system. Understanding the factors influencing disease severity and outcomes is crucial for improving clinical management and reducing the disease burden. </w:t>
      </w:r>
      <w:r w:rsidRPr="00AF28B8">
        <w:rPr>
          <w:rFonts w:ascii="Calibri" w:hAnsi="Calibri" w:cs="Calibri"/>
          <w:b/>
          <w:bCs/>
          <w:color w:val="000000"/>
          <w:sz w:val="22"/>
          <w:szCs w:val="22"/>
        </w:rPr>
        <w:t>OBJECTIVE:</w:t>
      </w:r>
      <w:r w:rsidRPr="00AF28B8">
        <w:rPr>
          <w:rFonts w:ascii="Calibri" w:hAnsi="Calibri" w:cs="Calibri"/>
          <w:color w:val="000000"/>
          <w:sz w:val="22"/>
          <w:szCs w:val="22"/>
        </w:rPr>
        <w:t>This retrospective observational study aims to identify clinical patterns, risk factors, and predictors of disease severity and mortality among adult severe dengue patients admitted to BIRDEM General Hospital, Dhaka, Bangladesh.</w:t>
      </w:r>
      <w:r w:rsidRPr="00AF28B8">
        <w:rPr>
          <w:rFonts w:ascii="Calibri" w:hAnsi="Calibri" w:cs="Calibri"/>
          <w:b/>
          <w:bCs/>
          <w:color w:val="000000"/>
          <w:sz w:val="22"/>
          <w:szCs w:val="22"/>
        </w:rPr>
        <w:t>METHODOLOGY: Study design and duration:</w:t>
      </w:r>
      <w:r w:rsidRPr="00AF28B8">
        <w:rPr>
          <w:rFonts w:ascii="Calibri" w:hAnsi="Calibri" w:cs="Calibri"/>
          <w:color w:val="000000"/>
          <w:sz w:val="22"/>
          <w:szCs w:val="22"/>
        </w:rPr>
        <w:t>This is a retrospective observational study from hospital records from 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January 2023-31</w:t>
      </w:r>
      <w:r w:rsidRPr="00AF28B8">
        <w:rPr>
          <w:rFonts w:ascii="Calibri" w:hAnsi="Calibri" w:cs="Calibri"/>
          <w:color w:val="000000"/>
          <w:sz w:val="22"/>
          <w:szCs w:val="22"/>
          <w:vertAlign w:val="superscript"/>
        </w:rPr>
        <w:t>st</w:t>
      </w:r>
      <w:r w:rsidRPr="00AF28B8">
        <w:rPr>
          <w:rFonts w:ascii="Calibri" w:hAnsi="Calibri" w:cs="Calibri"/>
          <w:color w:val="000000"/>
          <w:sz w:val="22"/>
          <w:szCs w:val="22"/>
        </w:rPr>
        <w:t> December 2024.</w:t>
      </w:r>
      <w:r w:rsidRPr="00AF28B8">
        <w:rPr>
          <w:rFonts w:ascii="Calibri" w:hAnsi="Calibri" w:cs="Calibri"/>
          <w:b/>
          <w:bCs/>
          <w:color w:val="000000"/>
          <w:sz w:val="22"/>
          <w:szCs w:val="22"/>
        </w:rPr>
        <w:t>Study population:</w:t>
      </w:r>
      <w:r w:rsidRPr="00AF28B8">
        <w:rPr>
          <w:rFonts w:ascii="Calibri" w:hAnsi="Calibri" w:cs="Calibri"/>
          <w:color w:val="000000"/>
          <w:sz w:val="22"/>
          <w:szCs w:val="22"/>
        </w:rPr>
        <w:t>The target population will include all adult Dengue fever patients admitted at the research site, over the study duration.</w:t>
      </w:r>
      <w:r w:rsidRPr="00AF28B8">
        <w:rPr>
          <w:rFonts w:ascii="Calibri" w:hAnsi="Calibri" w:cs="Calibri"/>
          <w:color w:val="000000"/>
          <w:sz w:val="22"/>
          <w:szCs w:val="22"/>
        </w:rPr>
        <w:br/>
      </w:r>
      <w:r w:rsidRPr="00AF28B8">
        <w:rPr>
          <w:rFonts w:ascii="Calibri" w:hAnsi="Calibri" w:cs="Calibri"/>
          <w:b/>
          <w:bCs/>
          <w:color w:val="000000"/>
          <w:sz w:val="22"/>
          <w:szCs w:val="22"/>
        </w:rPr>
        <w:t>Data collection and statistical analysis:</w:t>
      </w:r>
      <w:r w:rsidRPr="00AF28B8">
        <w:rPr>
          <w:rFonts w:ascii="Calibri" w:hAnsi="Calibri" w:cs="Calibri"/>
          <w:color w:val="000000"/>
          <w:sz w:val="22"/>
          <w:szCs w:val="22"/>
        </w:rPr>
        <w:t xml:space="preserve">Hospital records will be analyzed to explore potential risk factors contributing to the severity of dengue outcomes and to examine the common clinical presentations of </w:t>
      </w:r>
      <w:r w:rsidRPr="00AF28B8">
        <w:rPr>
          <w:rFonts w:ascii="Calibri" w:hAnsi="Calibri" w:cs="Calibri"/>
          <w:color w:val="000000"/>
          <w:sz w:val="22"/>
          <w:szCs w:val="22"/>
        </w:rPr>
        <w:lastRenderedPageBreak/>
        <w:t>dengue fever. Key parameters includes patient demographics, underlying comorbidities, clinical manifestations, laboratory findings, and treatment outcomes. After receiving ethical clearance, the data were collected using a structured case record form. The data entry process is currently ongoing. Data analysis is expected to be completed and the results are anticipated to be obtained tentatively by July 2025. </w:t>
      </w:r>
      <w:r w:rsidRPr="00AF28B8">
        <w:rPr>
          <w:rFonts w:ascii="Calibri" w:hAnsi="Calibri" w:cs="Calibri"/>
          <w:b/>
          <w:bCs/>
          <w:color w:val="000000"/>
          <w:sz w:val="22"/>
          <w:szCs w:val="22"/>
        </w:rPr>
        <w:t>SIGNIFICANCE:</w:t>
      </w:r>
      <w:r w:rsidRPr="00AF28B8">
        <w:rPr>
          <w:rFonts w:ascii="Calibri" w:hAnsi="Calibri" w:cs="Calibri"/>
          <w:color w:val="000000"/>
          <w:sz w:val="22"/>
          <w:szCs w:val="22"/>
        </w:rPr>
        <w:t>The study's findings will give evidence-based insights in identifying high-risk populations and predictors of severe outcomes, thereby enhance patient care, reduce dengue-related mortality, and strengthen public health interventions in Bangladesh.</w:t>
      </w:r>
    </w:p>
    <w:p w14:paraId="3127D8D0"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25-A-4118-ASTMH</w:t>
      </w:r>
    </w:p>
    <w:p w14:paraId="60B56054"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Global Health - Other</w:t>
      </w:r>
    </w:p>
    <w:p w14:paraId="293D5C45"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Supplemental skills are needed to succeed in medical training and practice in Madagascar</w:t>
      </w:r>
    </w:p>
    <w:p w14:paraId="3209902B"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The Medical School in Antananarivo was established in 1974. The last curriculum reform took place in 2014, adopting the LMD system, but not considering the non-clinical skills, which have become essential in modern medical practice. The association Cercle Chrétien de la Santé (CCS) was initially created to provide social and psychological support to medical students from remote Regions. This scope has expanded to cover students from all over the country and to provide additional pedagogic support and specific training on leadership, communication, medical office management, bioethics, and health events organization. In a continuous process, these training sessions are facilitated by higher-graded or experienced members and put into practice during the CCS social life. CCS has also organized humanitarian activities to keep students close to the social reality of the country. The objective of this study is to demonstrate that the non-medical training provided to CCS members has positively impacted their medical study and professional practice. The number of members benefiting from this program progressively increased every year by an average of 23.9, from 12 in 2013 to 263 total participants in 2023. In this study, 37 have been included in this descriptive and analytic study, using a non-probabilistic convenience sampling method. Success rates for the annual examination (2nd to 6th grade) vary from 95% to 100%, while 64.7% of those who applied for specialization contests have succeeded. Out of 31 responders in professional positions, 77.4% perceived that the skills developed by CCS helped them to get jobs, and 60.7% had jobs within 6 months of graduation, while 37.9% have managerial positions. Communication, teamwork, and humanitarian are the most developed skills. Additional non-clinical skills are needed to help students succeed in their university path and their professional career. Our findings illustrate that this CCS program has provided significant assistance to reforming the Medical Schools in Madagascar curriculum, improved student success and contributed to the professional development of practicing physicians</w:t>
      </w:r>
    </w:p>
    <w:p w14:paraId="33EC97F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25-A-4119-ASTMH</w:t>
      </w:r>
    </w:p>
    <w:p w14:paraId="168DB59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Surveillance and Data Utilization</w:t>
      </w:r>
    </w:p>
    <w:p w14:paraId="557D49A9"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Evaluating the Completeness of Routine Malaria Surveillance Data in Greater Accra Ghana</w:t>
      </w:r>
    </w:p>
    <w:p w14:paraId="427FBB60"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Malaria remains a major public health threat in Ghana, particularly affecting children under five and pregnant women. As part of its strategic elimination agenda, the Ghana Health Service has designated 21 low-burden districts in the Greater Accra Region for malaria elimination by 2028. Accurate and complete surveillance data are critical for monitoring progress toward this goal. The District Health Information Management System 2 (DHIMS2) serves as the national platform for routine health data reporting. However, the extent of compliance with this reporting requirement remains unclear. A retrospective, descriptive analysis was used to assess health facility compliance with routine malaria morbidity reporting in DHIMS2 from 2018 to 2024 in the Greater Accra Region. Outpatient department (OPD) malaria data were extracted from DHIMS2 and analyzed using Microsoft Excel 2021. We calculated annual reporting compliance rates by dividing the number of facilities that submitted monthly OPD malaria data by the total number of registered health facilities mandated to report. Facilities not configured to report OPD morbidity or those with no submissions throughout the study period were excluded from the analysis. The number of health facilities mandated to report OPD malaria morbidity in </w:t>
      </w:r>
      <w:r w:rsidRPr="00AF28B8">
        <w:rPr>
          <w:rFonts w:ascii="Calibri" w:hAnsi="Calibri" w:cs="Calibri"/>
          <w:color w:val="000000"/>
          <w:sz w:val="22"/>
          <w:szCs w:val="22"/>
        </w:rPr>
        <w:lastRenderedPageBreak/>
        <w:t>DHIMS2 increased from 523 in 2018 to 863 in 2024. Reporting compliance improved modestly, rising from 65.8% (344/523) in 2018 to 75.1% (648/863) in 2024. Year-to-year variations in reporting were observed, with overall progress indicating persistent gaps in routine data completeness, particularly among private sector facilities. The observed underreporting has significant implications for the validity of routine data used to inform elimination strategies. As Ghana advances toward malaria elimination, strengthening routine data systems—particularly in ensuring full reporting compliance—is essential. Enhanced governance, digital tools, and targeted engagement of underperforming facilities should be prioritized to improve data completeness and support data-driven decision-making.</w:t>
      </w:r>
    </w:p>
    <w:p w14:paraId="394429B1"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25-A-4120-ASTMH</w:t>
      </w:r>
    </w:p>
    <w:p w14:paraId="070040A6"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2FBCCF8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Detection of Trace Dengue Virus in New York State through Wastewater Surveillance</w:t>
      </w:r>
    </w:p>
    <w:p w14:paraId="797198B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Dengue virus (DENV) is a vector-borne RNA virus, primarily transmitted by the mosquito species Aedes egypti and Aedes albopictus. Most individuals infected by DENV are asymptomatic but others can experience severe illness upon infection. DENV is mostly found in tropical or sub-tropical locations, however it can be transported to regions outside the normal range of its vector. For example, in 2024 in NY state (NYS), there were 333 documented cases of DENV infections. These were typically considered “traveler” cases, contracted by individuals travelling to regions in which the virus is endemic. However, since these known cases only represent a subset of total individuals who experienced DENV infection, this is likely an underestimate of true prevalence in NYS. Moreover, with recent trends of increased temperatures and rain accumulation in the northeast US, the range of Aedes albopictus now includes southern NY. Thus, at least one competent vector is capable of supporting in-state transmission. Surveilling for infectious diseases such as DENV only through clinical sampling is highly challenging. During the SARS-CoV-2 pandemic, this limitation was met through innovations in environmental pathogen sampling via wastewater. In NYS, a network was established to monitor wastewater samples from across the state. Samples have been collected on a weekly or twice-weekly basis, and the network now includes 206 sewersheds, encompassing all 62 counties. To screen for DENV, we utilized remnant RNA from 394 wastewater samples in our first analysis and detected potential virus in 17 samples, of which 12 were verified by digital PCR. We also plan to perform whole genome sequencing of the DENV to delineate potential origins of the virus relative to other regions of the world where travelers may have contracted it.</w:t>
      </w:r>
    </w:p>
    <w:p w14:paraId="15FBE924"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25-A-4121-ASTMH</w:t>
      </w:r>
    </w:p>
    <w:p w14:paraId="7C2BC2F2"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HIV and Tropical Co-Infections</w:t>
      </w:r>
    </w:p>
    <w:p w14:paraId="35E2B8F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Applying Hickam’s Dictum in an Immunosuppressed Patient: A Case Report of Strongyloidiasis, Giardiasis, in a Newly Diagnosed Patient with HIV/AIDS in Rural Kenya</w:t>
      </w:r>
    </w:p>
    <w:p w14:paraId="55DDFFA5"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 32-year-old female patient in rural Kenya presented to the hospital with acute-onset diarrhea (several episodes per day, watery, occasional blood), associated with cramping abdominal pain and non-bilious, non-bloody vomiting for 4 days; she also had productive cough with white sputum and chest pain, chills, and malaise for 2 months. She has had 2 prior admissions, for similar complaints. On exam, vitals demonstrated T 37 ºC, BP 94/53 mmHg, HR 87 bpm</w:t>
      </w:r>
      <w:r w:rsidRPr="00AF28B8">
        <w:rPr>
          <w:rFonts w:ascii="Calibri" w:hAnsi="Calibri" w:cs="Calibri"/>
          <w:b/>
          <w:bCs/>
          <w:color w:val="000000"/>
          <w:sz w:val="22"/>
          <w:szCs w:val="22"/>
        </w:rPr>
        <w:t>, </w:t>
      </w:r>
      <w:r w:rsidRPr="00AF28B8">
        <w:rPr>
          <w:rFonts w:ascii="Calibri" w:hAnsi="Calibri" w:cs="Calibri"/>
          <w:color w:val="000000"/>
          <w:sz w:val="22"/>
          <w:szCs w:val="22"/>
        </w:rPr>
        <w:t>RR 20 bpm, O2 94% on room air. She was generally ill-appearing and cachectic. She had oral thrush and dry mucous membranes. Cardiovascular exam was normal. Pulmonary exam demonstrated bilateral fine crackles. She had generalized, mild diffuse abdominal tenderness to palpation with hyperactive bowel sounds. Her neurologic exam demonstrated she was AAOx4 and conversant, with a soft neck, moving all extremities, with sensation intact to light touch in all extremities. Laboratory data demonstrated WBC 2,400 cells/µL, Hb 10 g/dL, PLT 145,000 cells/µL. Alanine aminotransferase was elevated to 120 U/L. Glucose was low at 63 mg/dL. Malaria testing and sputum GeneXpert testing for tuberculosis were negative. Stool ova &amp; parasite testing revealed 3+ larvae of </w:t>
      </w:r>
      <w:r w:rsidRPr="00AF28B8">
        <w:rPr>
          <w:rFonts w:ascii="Calibri" w:hAnsi="Calibri" w:cs="Calibri"/>
          <w:i/>
          <w:iCs/>
          <w:color w:val="000000"/>
          <w:sz w:val="22"/>
          <w:szCs w:val="22"/>
        </w:rPr>
        <w:t>Strongyloides stercoralis</w:t>
      </w:r>
      <w:r w:rsidRPr="00AF28B8">
        <w:rPr>
          <w:rFonts w:ascii="Calibri" w:hAnsi="Calibri" w:cs="Calibri"/>
          <w:color w:val="000000"/>
          <w:sz w:val="22"/>
          <w:szCs w:val="22"/>
        </w:rPr>
        <w:t>, 3+ trophozoites of </w:t>
      </w:r>
      <w:r w:rsidRPr="00AF28B8">
        <w:rPr>
          <w:rFonts w:ascii="Calibri" w:hAnsi="Calibri" w:cs="Calibri"/>
          <w:i/>
          <w:iCs/>
          <w:color w:val="000000"/>
          <w:sz w:val="22"/>
          <w:szCs w:val="22"/>
        </w:rPr>
        <w:t>Giardia intestinalis</w:t>
      </w:r>
      <w:r w:rsidRPr="00AF28B8">
        <w:rPr>
          <w:rFonts w:ascii="Calibri" w:hAnsi="Calibri" w:cs="Calibri"/>
          <w:color w:val="000000"/>
          <w:sz w:val="22"/>
          <w:szCs w:val="22"/>
        </w:rPr>
        <w:t xml:space="preserve">, with 3+ pus cells. An abdominal ultrasound did not demonstrate intestinal obstruction. Thus, she was diagnosed </w:t>
      </w:r>
      <w:r w:rsidRPr="00AF28B8">
        <w:rPr>
          <w:rFonts w:ascii="Calibri" w:hAnsi="Calibri" w:cs="Calibri"/>
          <w:color w:val="000000"/>
          <w:sz w:val="22"/>
          <w:szCs w:val="22"/>
        </w:rPr>
        <w:lastRenderedPageBreak/>
        <w:t>with </w:t>
      </w:r>
      <w:r w:rsidRPr="00AF28B8">
        <w:rPr>
          <w:rFonts w:ascii="Calibri" w:hAnsi="Calibri" w:cs="Calibri"/>
          <w:i/>
          <w:iCs/>
          <w:color w:val="000000"/>
          <w:sz w:val="22"/>
          <w:szCs w:val="22"/>
        </w:rPr>
        <w:t>Strongyloides stercoralis</w:t>
      </w:r>
      <w:r w:rsidRPr="00AF28B8">
        <w:rPr>
          <w:rFonts w:ascii="Calibri" w:hAnsi="Calibri" w:cs="Calibri"/>
          <w:color w:val="000000"/>
          <w:sz w:val="22"/>
          <w:szCs w:val="22"/>
        </w:rPr>
        <w:t> and </w:t>
      </w:r>
      <w:r w:rsidRPr="00AF28B8">
        <w:rPr>
          <w:rFonts w:ascii="Calibri" w:hAnsi="Calibri" w:cs="Calibri"/>
          <w:i/>
          <w:iCs/>
          <w:color w:val="000000"/>
          <w:sz w:val="22"/>
          <w:szCs w:val="22"/>
        </w:rPr>
        <w:t>Giardia intestinalis</w:t>
      </w:r>
      <w:r w:rsidRPr="00AF28B8">
        <w:rPr>
          <w:rFonts w:ascii="Calibri" w:hAnsi="Calibri" w:cs="Calibri"/>
          <w:color w:val="000000"/>
          <w:sz w:val="22"/>
          <w:szCs w:val="22"/>
        </w:rPr>
        <w:t> co-infection. However, the workup did not cease there. Given, the frequent association with </w:t>
      </w:r>
      <w:r w:rsidRPr="00AF28B8">
        <w:rPr>
          <w:rFonts w:ascii="Calibri" w:hAnsi="Calibri" w:cs="Calibri"/>
          <w:i/>
          <w:iCs/>
          <w:color w:val="000000"/>
          <w:sz w:val="22"/>
          <w:szCs w:val="22"/>
        </w:rPr>
        <w:t>Strongyloides </w:t>
      </w:r>
      <w:r w:rsidRPr="00AF28B8">
        <w:rPr>
          <w:rFonts w:ascii="Calibri" w:hAnsi="Calibri" w:cs="Calibri"/>
          <w:color w:val="000000"/>
          <w:sz w:val="22"/>
          <w:szCs w:val="22"/>
        </w:rPr>
        <w:t>infection and often times an underlying immunocompromising condition, the patient was tested for HIV, which turned out to be positive. In this newly diagnosed patient with HIV/AIDS, she was started on antiretroviral treatment of tenofovir disoproxil fumarate/lamivudine/dolutegravir 1 tablet orally daily. This case highlights the importance of applying Hickam’s Dictum diagnostically in an immunosuppressed host—and, how concluding with one diagnosis to explain the clinical syndrome would be insufficient.</w:t>
      </w:r>
    </w:p>
    <w:p w14:paraId="40A52DB7"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25-A-4125-ASTMH</w:t>
      </w:r>
    </w:p>
    <w:p w14:paraId="1BD797FB"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Therapeutics and Antiviral Drugs</w:t>
      </w:r>
    </w:p>
    <w:p w14:paraId="38EE2B2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An Unprecedented Mode-of-action and a Cmax-driven Efficacy of a Yellow Fever Antiviral Drug Candidate</w:t>
      </w:r>
    </w:p>
    <w:p w14:paraId="23F9A4F9"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A small molecule drug candidate (BSBI-67003) is under preclinical development for yellow fever. The compound specifically and directly targets yellow fever virus (YFV) nonstructural protein 4B (NS4B), as evidenced by resistant mutation selection as well as pull-down studies with photoaffinity analogs. Our studies also revealed an unprecedented mode-of-action (MOA) of the compound. BSBI-67003 directly binds NS4B and disrupts the integrity of viral replication organelles (ROs) in YFV infected cells leading to viral replication intermediates leaking from RO, as evidence by detection of double-stranded RNA in the cytoplasm. Such action promptly inhibits nascent YFV RNA synthesis within 30 minutes of treatment. </w:t>
      </w:r>
      <w:r w:rsidRPr="00AF28B8">
        <w:rPr>
          <w:rFonts w:ascii="Calibri" w:hAnsi="Calibri" w:cs="Calibri"/>
          <w:i/>
          <w:iCs/>
          <w:color w:val="000000"/>
          <w:sz w:val="22"/>
          <w:szCs w:val="22"/>
        </w:rPr>
        <w:t>In vivo</w:t>
      </w:r>
      <w:r w:rsidRPr="00AF28B8">
        <w:rPr>
          <w:rFonts w:ascii="Calibri" w:hAnsi="Calibri" w:cs="Calibri"/>
          <w:color w:val="000000"/>
          <w:sz w:val="22"/>
          <w:szCs w:val="22"/>
        </w:rPr>
        <w:t> efficacy in hamster model determined the minimum efficacy dose to be 1 mg/kg BID. Treatment initiated as late as 4 days post infection (peak of viremia) led to 100% protection of lethal infection and significant improvement in several disease markers. Although BSBI-67003 has a favorable pharmacokinetic profile with &gt;90% oral availability, in hamsters treated with a 10 mg/kg dose, the plasma and liver concentration are maintained at above 3X serum-adjusted EC</w:t>
      </w:r>
      <w:r w:rsidRPr="00AF28B8">
        <w:rPr>
          <w:rFonts w:ascii="Calibri" w:hAnsi="Calibri" w:cs="Calibri"/>
          <w:color w:val="000000"/>
          <w:sz w:val="22"/>
          <w:szCs w:val="22"/>
          <w:vertAlign w:val="subscript"/>
        </w:rPr>
        <w:t>90</w:t>
      </w:r>
      <w:r w:rsidRPr="00AF28B8">
        <w:rPr>
          <w:rFonts w:ascii="Calibri" w:hAnsi="Calibri" w:cs="Calibri"/>
          <w:color w:val="000000"/>
          <w:sz w:val="22"/>
          <w:szCs w:val="22"/>
        </w:rPr>
        <w:t> level only for ~6 hours. We propose that the in vivo efficacy could be, at least in part, driven by Cmax, which explains the </w:t>
      </w:r>
      <w:r w:rsidRPr="00AF28B8">
        <w:rPr>
          <w:rFonts w:ascii="Calibri" w:hAnsi="Calibri" w:cs="Calibri"/>
          <w:i/>
          <w:iCs/>
          <w:color w:val="000000"/>
          <w:sz w:val="22"/>
          <w:szCs w:val="22"/>
        </w:rPr>
        <w:t>in vivo</w:t>
      </w:r>
      <w:r w:rsidRPr="00AF28B8">
        <w:rPr>
          <w:rFonts w:ascii="Calibri" w:hAnsi="Calibri" w:cs="Calibri"/>
          <w:color w:val="000000"/>
          <w:sz w:val="22"/>
          <w:szCs w:val="22"/>
        </w:rPr>
        <w:t> efficacy observed at even lower doses. Such a hypothesis is consistent with the MOA determined in cell culture since the disruption of ROs and leaking of replication intermediates could be an irreversible event triggered by a transient high concentration of the compound. Indeed, in a washout experiment, we observed that treatment of YFV infected cells for as short as 2 hours resulted in viral inhibition similar to that of a 24 hour-treatment. Similarly, in an </w:t>
      </w:r>
      <w:r w:rsidRPr="00AF28B8">
        <w:rPr>
          <w:rFonts w:ascii="Calibri" w:hAnsi="Calibri" w:cs="Calibri"/>
          <w:i/>
          <w:iCs/>
          <w:color w:val="000000"/>
          <w:sz w:val="22"/>
          <w:szCs w:val="22"/>
        </w:rPr>
        <w:t>in vivo</w:t>
      </w:r>
      <w:r w:rsidRPr="00AF28B8">
        <w:rPr>
          <w:rFonts w:ascii="Calibri" w:hAnsi="Calibri" w:cs="Calibri"/>
          <w:color w:val="000000"/>
          <w:sz w:val="22"/>
          <w:szCs w:val="22"/>
        </w:rPr>
        <w:t> study, a 2.7 logs reduction in viremia was observed after a single dose of 30 mg/kg treatment for 6 hours, which also supports a rapid acting and potentially Cmax-driven mechanism. We are currently continuing preclinical pharmacology/toxicology studies to gain more knowledge about the compound’s PK/PD correlation to predict human dose and prepare for IND and Phase I clinical trials.</w:t>
      </w:r>
    </w:p>
    <w:p w14:paraId="3B3AB455"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25-A-4126-ASTMH</w:t>
      </w:r>
    </w:p>
    <w:p w14:paraId="5624EC7B"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Measures for Control and Elimination of Neglected Tropical Diseases (NTDs)</w:t>
      </w:r>
    </w:p>
    <w:p w14:paraId="61910F16"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Community-Based Surveillance of Neglected Tropical Diseases Through Village Saving and Loan Association</w:t>
      </w:r>
    </w:p>
    <w:p w14:paraId="14FCA81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Neglected Tropical Diseases (NTDs) remains a significant public health burden in many low-income countries, where access to healthcare and disease surveillance is often limited. Village Savings and Loan Associations (VSLAs) have emerged as powerful community structures for economic and social empowerment. This study examines the potential of VSLAs in the VSLA for NTD project to enhance community-based surveillance of NTDs in ten selected communities in the Sekyere East district (SE) of Ghana. The study adopted a mixed-methods approach, employing both qualitative and quantitative methods. Qualitative data collection approach used included focus group discussions (FGDs), key informant interviews (KIIs), and observations. Quantitative data collected used structured questionnaires. The sample size was 250. An average of 15 VSLA members per community. In the SE district, the initial level of community awareness about NTDs among VSLA members was relatively low (5.9%), with no NTD cases detected or referred to health facilities through VSLAs. By the end of the </w:t>
      </w:r>
      <w:r w:rsidRPr="00AF28B8">
        <w:rPr>
          <w:rFonts w:ascii="Calibri" w:hAnsi="Calibri" w:cs="Calibri"/>
          <w:color w:val="000000"/>
          <w:sz w:val="22"/>
          <w:szCs w:val="22"/>
        </w:rPr>
        <w:lastRenderedPageBreak/>
        <w:t>project, the VSLA groups had detected 23 cases of Buruli ulcer (BU), 33 cases of lymphatic filariasis (LF), 22 cases of yaws, 12 cases of leprosy, 7 cases of scabies, 1 case of worms, and 1 case of ringworm. The groups reached 9,632 people with information on NTDs through awareness campaigns in churches, house-to-house visits, and community information centers. Awareness of NTDs among VSLA members increased from 5.9% at baseline to 75% at the project's evaluation. A VSLA leader from Bouya Community noted, "</w:t>
      </w:r>
      <w:r w:rsidRPr="00AF28B8">
        <w:rPr>
          <w:rFonts w:ascii="Calibri" w:hAnsi="Calibri" w:cs="Calibri"/>
          <w:i/>
          <w:iCs/>
          <w:color w:val="000000"/>
          <w:sz w:val="22"/>
          <w:szCs w:val="22"/>
        </w:rPr>
        <w:t>Previously, we did not know what causes leprosy; we thought they were caused by curses or witchcraft. After the various lessons, we learned that an infected person with leprosy, when they cough or sneeze on you, you can also be infected</w:t>
      </w:r>
      <w:r w:rsidRPr="00AF28B8">
        <w:rPr>
          <w:rFonts w:ascii="Calibri" w:hAnsi="Calibri" w:cs="Calibri"/>
          <w:color w:val="000000"/>
          <w:sz w:val="22"/>
          <w:szCs w:val="22"/>
        </w:rPr>
        <w:t>." VSLAs reported 122 suspected cases, of which 65 were confirmed by the Health Directorate. Referrals of NTD cases to health centers increased from a baseline of 15.10% to 99.30%. The integration of NTD surveillance and referral processes within VSLAs significantly improved community awareness, detection, and referral of NTD cases in the Sekyere East district.</w:t>
      </w:r>
    </w:p>
    <w:p w14:paraId="3BCA5AA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25-A-4127-ASTMH</w:t>
      </w:r>
    </w:p>
    <w:p w14:paraId="5D052ECE"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Viruses - Evolution and Genomic Epidemiology</w:t>
      </w:r>
    </w:p>
    <w:p w14:paraId="2AE18920"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color w:val="000000"/>
          <w:sz w:val="22"/>
          <w:szCs w:val="22"/>
        </w:rPr>
        <w:t>Epidemiological and Genomic Insights into the Emergence and Spread of Clade Ib Mpox Virus in Eastern Democratic Republic of the Congo, Rwanda and Beyond​</w:t>
      </w:r>
    </w:p>
    <w:p w14:paraId="295666DF"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Since late 2023, a novel Clade I sub-lineage of monkeypox virus (MPXV), designated Clade Ib, has caused a significant outbreak in South Kivu province, DRC, with over 12,000 suspected cases, and a 4.6% case fatality rate. Limited genomic and diagnostic data have hindered effective surveillance, raising concerns about cross-border transmission to neighbouring countries like Rwanda.​​ Between September 2023 and June 2024, we investigated 670 confirmed mpox cases at Kamituga General Hospital in South Kivu, DRC, focusing on high-risk exposures, particularly in bars and households. Genomic sequencing identified three distinct Clade Ib clusters, indicating sustained human-to-human transmission, with 83.4% of cases linked to sexual contact and 52.4% occurring in females. Notably, healthcare-associated infections and significant fetal loss among infected pregnant women were observed. Serological surveys revealed MPXV exposure in 18% of professional sex workers and in 50% of households, underscoring their role in transmission.​ We discovered a deletion in the C3L gene compromising the existing Clade I PCR assays, prompting the development of a Clade Ib-specific real-time PCR assay with high sensitivity and specificity. Additionally, novel IgM and IgG ELISA assays were validated to enhance detection capabilities. To strengthen surveillance, the developed qPCR assay was adapted and deployed in Rwanda, facilitating early detection and response to potential cross-border transmission. These integrated molecular and immunodiagnostic tools have significantly improved detection and informed targeted public health interventions in the DRC, Rwanda, and neighbouring regions.​​ The Clade Ib mpox outbreak in the region, characterised by high transmission rates and significant fatalities, necessitates regional collaboration, enhanced diagnostics, targeted education, and vaccination for high-risk populations. Deploying novel molecular and immunodiagnostic tools, including Clade Ib-specific PCR in the region, has improved detection and informed public health interventions. More innovations are vital to prevent further spread.</w:t>
      </w:r>
    </w:p>
    <w:p w14:paraId="72B52F1B"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25-A-4128-ASTMH</w:t>
      </w:r>
    </w:p>
    <w:p w14:paraId="2BDD248F"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Mosquitoes - Epidemiology and Vector Control</w:t>
      </w:r>
    </w:p>
    <w:p w14:paraId="5DD03E44"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Microbial larvicides for malaria vector control in different epidemiological settings in North-eastern Tanzania: study protocol for a community-based trial</w:t>
      </w:r>
    </w:p>
    <w:p w14:paraId="18F19903"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Following its strategy to</w:t>
      </w:r>
      <w:r w:rsidRPr="00AF28B8">
        <w:rPr>
          <w:rFonts w:ascii="Calibri" w:hAnsi="Calibri" w:cs="Calibri"/>
          <w:b/>
          <w:bCs/>
          <w:color w:val="000000"/>
          <w:sz w:val="22"/>
          <w:szCs w:val="22"/>
        </w:rPr>
        <w:t> </w:t>
      </w:r>
      <w:r w:rsidRPr="00AF28B8">
        <w:rPr>
          <w:rFonts w:ascii="Calibri" w:hAnsi="Calibri" w:cs="Calibri"/>
          <w:color w:val="000000"/>
          <w:sz w:val="22"/>
          <w:szCs w:val="22"/>
        </w:rPr>
        <w:t xml:space="preserve">eliminate malaria by 2030, the Government of Tanzania implemented nationwide biolarviciding in urban and rural areas in 2017 to supplement the core vector control interventions. The need for biolarviciding in Tanzania stems from its potential to enhance integrated vector management strategies, mitigate the effects of insecticide resistance, and provide a more sustainable, eco-friendly approach to controlling mosquito populations and reducing malaria transmission. However, poor implementation of biolarviciding has been documented in several District </w:t>
      </w:r>
      <w:r w:rsidRPr="00AF28B8">
        <w:rPr>
          <w:rFonts w:ascii="Calibri" w:hAnsi="Calibri" w:cs="Calibri"/>
          <w:color w:val="000000"/>
          <w:sz w:val="22"/>
          <w:szCs w:val="22"/>
        </w:rPr>
        <w:lastRenderedPageBreak/>
        <w:t>councils, most likely due to a lack of an implementation guide, financial and skilled human capital constraints. Therefore, this protocol aims to contribute to the national larviciding efforts by providing guidance to overcome some of these challenges and achieve the best outcome. It emphasizes community involvement, capacity building, and environmental management for mosquito control. The present biolarviciding protocol has been developed to be piloted in Tanga Region</w:t>
      </w:r>
      <w:r w:rsidRPr="00AF28B8">
        <w:rPr>
          <w:rFonts w:ascii="Calibri" w:hAnsi="Calibri" w:cs="Calibri"/>
          <w:b/>
          <w:bCs/>
          <w:color w:val="000000"/>
          <w:sz w:val="22"/>
          <w:szCs w:val="22"/>
        </w:rPr>
        <w:t>. </w:t>
      </w:r>
      <w:r w:rsidRPr="00AF28B8">
        <w:rPr>
          <w:rFonts w:ascii="Calibri" w:hAnsi="Calibri" w:cs="Calibri"/>
          <w:color w:val="000000"/>
          <w:sz w:val="22"/>
          <w:szCs w:val="22"/>
        </w:rPr>
        <w:t>It describes steps for site selection, identification and characterization of breeding sites, preparation for and application of biolarvicides, mode of implementation, monitoring outcome on larvae, and disease incidence. Biolarviciding is one amongst the prioritized interventions in Tanzania to be implemented countrywide(NMCP, 2021). It is expected that after being piloted, this protocol will be used in other regions in Tanzania when the biolarviciding intervention will be scaled-up.</w:t>
      </w:r>
      <w:r w:rsidRPr="00AF28B8">
        <w:rPr>
          <w:rFonts w:ascii="Calibri" w:hAnsi="Calibri" w:cs="Calibri"/>
          <w:color w:val="000000"/>
          <w:sz w:val="22"/>
          <w:szCs w:val="22"/>
        </w:rPr>
        <w:br/>
        <w:t>1</w:t>
      </w:r>
    </w:p>
    <w:p w14:paraId="0787C78F"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25-A-4132-ASTMH</w:t>
      </w:r>
    </w:p>
    <w:p w14:paraId="7EFF66A7"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One Health: The Interface of Humans, Ecosystems, and Animal Health</w:t>
      </w:r>
    </w:p>
    <w:p w14:paraId="27120D3B" w14:textId="43DE676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Wastewater-based Biosurveillance of Pathogens Causing Illness in US Military Training Centers</w:t>
      </w:r>
    </w:p>
    <w:p w14:paraId="7A924DF2"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Respiratory infections represent a significant portion of hospitalizations for infectious diseases within the military, underscoring the need for effective surveillance strategies. Wastewater-based biosurveillance (WWBB) provides a valuable One Health approach to monitoring the transmission of contagious diseases in high-density settings, such as basic training facilities. This method analyzes sewage samples for viral RNA and microbial DNA shed by infected individuals, including asymptomatic individuals. This enables an anonymous, population-level assessment of infections. A pilot WWBB study was conducted at Fort Jackson, South Carolina, to demonstrate the feasibility of detecting vaccine-derived adenoviruses and other viruses in wastewater from a recruit training site, which can inform Force Health Protection strategies. Wastewater samples were collected weekly and analyzed using quantitative PCR (qPCR) assays and pan-viral hybridization next-generation sequencing (NGS) targeting 89 respiratory viral pathogens (QIAGEN QIAseq xHYB Respiratory Viral Panel). Since all recruits received oral vaccines for adenovirus (HAdV) types 4 and 7 before training, this served as an essential marker for evaluating the effectiveness of WWBB. The study's results demonstrated the sensitivity and specificity of qPCR assays and NGS in detecting and quantifying target viruses, including vaccine-derived HAdV, SARS-CoV-2, influenza, and emerging pathogens. This pilot study successfully confirmed the feasibility of WWBB for infectious disease surveillance in a military training environment. The ongoing effort and long-term goal is to establish WWBB programs across multiple military bases to monitor pathogens that cause illness in military populations.</w:t>
      </w:r>
    </w:p>
    <w:p w14:paraId="59C541FC" w14:textId="77777777" w:rsidR="0029652B" w:rsidRPr="00AF28B8" w:rsidRDefault="0029652B" w:rsidP="0029652B">
      <w:pPr>
        <w:pStyle w:val="controlnumber"/>
        <w:spacing w:line="200" w:lineRule="atLeast"/>
        <w:rPr>
          <w:rFonts w:ascii="Calibri" w:hAnsi="Calibri" w:cs="Calibri"/>
          <w:color w:val="000000"/>
          <w:sz w:val="22"/>
          <w:szCs w:val="22"/>
        </w:rPr>
      </w:pPr>
      <w:r w:rsidRPr="00AF28B8">
        <w:rPr>
          <w:rFonts w:ascii="Calibri" w:hAnsi="Calibri" w:cs="Calibri"/>
          <w:color w:val="000000"/>
          <w:sz w:val="22"/>
          <w:szCs w:val="22"/>
        </w:rPr>
        <w:t>25-A-4133-ASTMH</w:t>
      </w:r>
    </w:p>
    <w:p w14:paraId="7F815129" w14:textId="77777777" w:rsidR="0029652B" w:rsidRPr="00AF28B8" w:rsidRDefault="0029652B" w:rsidP="0029652B">
      <w:pPr>
        <w:pStyle w:val="topic1"/>
        <w:spacing w:line="200" w:lineRule="atLeast"/>
        <w:rPr>
          <w:rFonts w:ascii="Calibri" w:hAnsi="Calibri" w:cs="Calibri"/>
          <w:color w:val="000000"/>
          <w:sz w:val="22"/>
          <w:szCs w:val="22"/>
        </w:rPr>
      </w:pPr>
      <w:r w:rsidRPr="00AF28B8">
        <w:rPr>
          <w:rFonts w:ascii="Calibri" w:hAnsi="Calibri" w:cs="Calibri"/>
          <w:color w:val="000000"/>
          <w:sz w:val="22"/>
          <w:szCs w:val="22"/>
        </w:rPr>
        <w:t>Malaria - Genetics, Genomics and Evolution</w:t>
      </w:r>
    </w:p>
    <w:p w14:paraId="1F139253" w14:textId="77777777" w:rsidR="0029652B" w:rsidRPr="00AF28B8" w:rsidRDefault="0029652B" w:rsidP="0029652B">
      <w:pPr>
        <w:pStyle w:val="publishingtitle"/>
        <w:spacing w:line="200" w:lineRule="atLeast"/>
        <w:rPr>
          <w:rFonts w:ascii="Calibri" w:hAnsi="Calibri" w:cs="Calibri"/>
          <w:color w:val="000000"/>
          <w:sz w:val="22"/>
          <w:szCs w:val="22"/>
        </w:rPr>
      </w:pPr>
      <w:r w:rsidRPr="00AF28B8">
        <w:rPr>
          <w:rFonts w:ascii="Calibri" w:hAnsi="Calibri" w:cs="Calibri"/>
          <w:b/>
          <w:bCs/>
          <w:color w:val="000000"/>
          <w:sz w:val="22"/>
          <w:szCs w:val="22"/>
        </w:rPr>
        <w:t>Transcriptional control of Plasmodium knowlesi in response to Chloroquine treatment in vitro</w:t>
      </w:r>
    </w:p>
    <w:p w14:paraId="4CE13A84" w14:textId="77777777" w:rsidR="0029652B" w:rsidRPr="00AF28B8" w:rsidRDefault="0029652B" w:rsidP="0029652B">
      <w:pPr>
        <w:pStyle w:val="abody"/>
        <w:spacing w:line="200" w:lineRule="atLeast"/>
        <w:rPr>
          <w:rFonts w:ascii="Calibri" w:hAnsi="Calibri" w:cs="Calibri"/>
          <w:color w:val="000000"/>
          <w:sz w:val="22"/>
          <w:szCs w:val="22"/>
        </w:rPr>
      </w:pPr>
      <w:r w:rsidRPr="00AF28B8">
        <w:rPr>
          <w:rFonts w:ascii="Calibri" w:hAnsi="Calibri" w:cs="Calibri"/>
          <w:color w:val="000000"/>
          <w:sz w:val="22"/>
          <w:szCs w:val="22"/>
        </w:rPr>
        <w:t xml:space="preserve">This study explores the transcriptional mechanisms in Plasmodium species, with a particular focus on Plasmodium knowlesi and its response to chloroquine (CQ) treatment. While P. falciparum is classified in the subgenus Laverania, genetically distant from other Plasmodium species, P. knowlesi, P. vivax, P. malariae, and P. ovale belong to the primate malaria subgenus. Recent findings suggest that P. knowlesi is a more suitable in vitro model for studying primate malaria parasites compared to P. falciparum, as its regulatory sequences (e.g., pvcrt and pvcam) are recognized by P. knowlesi but not by P. falciparum. Previous research has linked the overexpression of the pvcrt gene to CQ resistance in P. vivax. In this study, we evaluated transcriptional control in P. knowlesi following CQ treatment in vitro. Our results showed an increase in the transcription rates of the pkcrt and pkhsp70 genes and a change in IC50 values, suggesting a potential transcriptional mechanism for CQ resistance. We also investigated the role of hsp70 in transcriptional regulation by searching for conserved motifs in the promoter regions of this gene across P. knowlesi, P. falciparum, and P. vivax. In silico analysis identified three conserved motifs (GCAAAG, GCATAA, and GCATAT). Through plasmid transfection, we observed that the absence of the </w:t>
      </w:r>
      <w:r w:rsidRPr="00AF28B8">
        <w:rPr>
          <w:rFonts w:ascii="Calibri" w:hAnsi="Calibri" w:cs="Calibri"/>
          <w:color w:val="000000"/>
          <w:sz w:val="22"/>
          <w:szCs w:val="22"/>
        </w:rPr>
        <w:lastRenderedPageBreak/>
        <w:t>GCAAAG motif reduced the recognition of the pvhsp70 gene by the transcription machinery in both P. knowlesi and P. falciparum. This suggests that hsp70 may play a role in transcriptional regulation under stress conditions, including CQ exposure. Our findings highlight the importance of transcriptional control in drug resistance and suggest that the increased expression of hsp70 may be an initial step in the parasite’s response to CQ stress. However, further research is needed to clarify the precise mechanisms by which hsp70 contributes to transcriptional regulation and resistance.</w:t>
      </w:r>
    </w:p>
    <w:p w14:paraId="06824F45"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25-A-4134-ASTMH</w:t>
      </w:r>
    </w:p>
    <w:p w14:paraId="5027B526"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Mosquitoes - Biology, Physiology and Immunity</w:t>
      </w:r>
    </w:p>
    <w:p w14:paraId="1E5D5DA8"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b/>
          <w:bCs/>
          <w:color w:val="000000"/>
          <w:kern w:val="0"/>
          <w:sz w:val="22"/>
          <w:szCs w:val="22"/>
          <w14:ligatures w14:val="none"/>
        </w:rPr>
        <w:t>Culturable gut microbiota of a vector versus a non vector species from an endemic region of Colombia</w:t>
      </w:r>
    </w:p>
    <w:p w14:paraId="7EDEAA41"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Malaria control is threatened by the increase of mosquito resistance to insecticides; therefore, it is necessary to propose new vector control strategies, for example those based on the use of microorganisms. The gut microbiota composition of Colombian main malaria vectors has been characterized; however, there is a lack of knowledge of the microbiota of the non-vectors. Differences in gut microbiota composition between species that differ in vectorial competence status may reveal insights on </w:t>
      </w:r>
      <w:r w:rsidRPr="00356016">
        <w:rPr>
          <w:rFonts w:ascii="Calibri" w:eastAsia="Times New Roman" w:hAnsi="Calibri" w:cs="Calibri"/>
          <w:i/>
          <w:iCs/>
          <w:color w:val="000000"/>
          <w:kern w:val="0"/>
          <w:sz w:val="22"/>
          <w:szCs w:val="22"/>
          <w14:ligatures w14:val="none"/>
        </w:rPr>
        <w:t>Plasmodium</w:t>
      </w:r>
      <w:r w:rsidRPr="00356016">
        <w:rPr>
          <w:rFonts w:ascii="Calibri" w:eastAsia="Times New Roman" w:hAnsi="Calibri" w:cs="Calibri"/>
          <w:color w:val="000000"/>
          <w:kern w:val="0"/>
          <w:sz w:val="22"/>
          <w:szCs w:val="22"/>
          <w14:ligatures w14:val="none"/>
        </w:rPr>
        <w:t> transmission. Therefore, this study aimed to compare the gut microbiota of a Colombian main malaria vector,</w:t>
      </w:r>
      <w:r w:rsidRPr="00356016">
        <w:rPr>
          <w:rFonts w:ascii="Calibri" w:eastAsia="Times New Roman" w:hAnsi="Calibri" w:cs="Calibri"/>
          <w:i/>
          <w:iCs/>
          <w:color w:val="000000"/>
          <w:kern w:val="0"/>
          <w:sz w:val="22"/>
          <w:szCs w:val="22"/>
          <w14:ligatures w14:val="none"/>
        </w:rPr>
        <w:t> Anopheles nuneztovari</w:t>
      </w:r>
      <w:r w:rsidRPr="00356016">
        <w:rPr>
          <w:rFonts w:ascii="Calibri" w:eastAsia="Times New Roman" w:hAnsi="Calibri" w:cs="Calibri"/>
          <w:color w:val="000000"/>
          <w:kern w:val="0"/>
          <w:sz w:val="22"/>
          <w:szCs w:val="22"/>
          <w14:ligatures w14:val="none"/>
        </w:rPr>
        <w:t>,</w:t>
      </w:r>
      <w:r w:rsidRPr="00356016">
        <w:rPr>
          <w:rFonts w:ascii="Calibri" w:eastAsia="Times New Roman" w:hAnsi="Calibri" w:cs="Calibri"/>
          <w:i/>
          <w:iCs/>
          <w:color w:val="000000"/>
          <w:kern w:val="0"/>
          <w:sz w:val="22"/>
          <w:szCs w:val="22"/>
          <w14:ligatures w14:val="none"/>
        </w:rPr>
        <w:t> </w:t>
      </w:r>
      <w:r w:rsidRPr="00356016">
        <w:rPr>
          <w:rFonts w:ascii="Calibri" w:eastAsia="Times New Roman" w:hAnsi="Calibri" w:cs="Calibri"/>
          <w:color w:val="000000"/>
          <w:kern w:val="0"/>
          <w:sz w:val="22"/>
          <w:szCs w:val="22"/>
          <w14:ligatures w14:val="none"/>
        </w:rPr>
        <w:t>and the non-vector and zoophilic species, </w:t>
      </w:r>
      <w:r w:rsidRPr="00356016">
        <w:rPr>
          <w:rFonts w:ascii="Calibri" w:eastAsia="Times New Roman" w:hAnsi="Calibri" w:cs="Calibri"/>
          <w:i/>
          <w:iCs/>
          <w:color w:val="000000"/>
          <w:kern w:val="0"/>
          <w:sz w:val="22"/>
          <w:szCs w:val="22"/>
          <w14:ligatures w14:val="none"/>
        </w:rPr>
        <w:t>Anopheles triannulatus</w:t>
      </w:r>
      <w:r w:rsidRPr="00356016">
        <w:rPr>
          <w:rFonts w:ascii="Calibri" w:eastAsia="Times New Roman" w:hAnsi="Calibri" w:cs="Calibri"/>
          <w:color w:val="000000"/>
          <w:kern w:val="0"/>
          <w:sz w:val="22"/>
          <w:szCs w:val="22"/>
          <w14:ligatures w14:val="none"/>
        </w:rPr>
        <w:t>. Female </w:t>
      </w:r>
      <w:r w:rsidRPr="00356016">
        <w:rPr>
          <w:rFonts w:ascii="Calibri" w:eastAsia="Times New Roman" w:hAnsi="Calibri" w:cs="Calibri"/>
          <w:i/>
          <w:iCs/>
          <w:color w:val="000000"/>
          <w:kern w:val="0"/>
          <w:sz w:val="22"/>
          <w:szCs w:val="22"/>
          <w14:ligatures w14:val="none"/>
        </w:rPr>
        <w:t>Anopheles</w:t>
      </w:r>
      <w:r w:rsidRPr="00356016">
        <w:rPr>
          <w:rFonts w:ascii="Calibri" w:eastAsia="Times New Roman" w:hAnsi="Calibri" w:cs="Calibri"/>
          <w:color w:val="000000"/>
          <w:kern w:val="0"/>
          <w:sz w:val="22"/>
          <w:szCs w:val="22"/>
          <w14:ligatures w14:val="none"/>
        </w:rPr>
        <w:t> mosquitoes were collected in an endemic locality of NW Colombia using 70% barrier screens. The guts of </w:t>
      </w:r>
      <w:r w:rsidRPr="00356016">
        <w:rPr>
          <w:rFonts w:ascii="Calibri" w:eastAsia="Times New Roman" w:hAnsi="Calibri" w:cs="Calibri"/>
          <w:i/>
          <w:iCs/>
          <w:color w:val="000000"/>
          <w:kern w:val="0"/>
          <w:sz w:val="22"/>
          <w:szCs w:val="22"/>
          <w14:ligatures w14:val="none"/>
        </w:rPr>
        <w:t>An. nuneztovari</w:t>
      </w:r>
      <w:r w:rsidRPr="00356016">
        <w:rPr>
          <w:rFonts w:ascii="Calibri" w:eastAsia="Times New Roman" w:hAnsi="Calibri" w:cs="Calibri"/>
          <w:color w:val="000000"/>
          <w:kern w:val="0"/>
          <w:sz w:val="22"/>
          <w:szCs w:val="22"/>
          <w14:ligatures w14:val="none"/>
        </w:rPr>
        <w:t> and </w:t>
      </w:r>
      <w:r w:rsidRPr="00356016">
        <w:rPr>
          <w:rFonts w:ascii="Calibri" w:eastAsia="Times New Roman" w:hAnsi="Calibri" w:cs="Calibri"/>
          <w:i/>
          <w:iCs/>
          <w:color w:val="000000"/>
          <w:kern w:val="0"/>
          <w:sz w:val="22"/>
          <w:szCs w:val="22"/>
          <w14:ligatures w14:val="none"/>
        </w:rPr>
        <w:t>An. triannulatus</w:t>
      </w:r>
      <w:r w:rsidRPr="00356016">
        <w:rPr>
          <w:rFonts w:ascii="Calibri" w:eastAsia="Times New Roman" w:hAnsi="Calibri" w:cs="Calibri"/>
          <w:color w:val="000000"/>
          <w:kern w:val="0"/>
          <w:sz w:val="22"/>
          <w:szCs w:val="22"/>
          <w14:ligatures w14:val="none"/>
        </w:rPr>
        <w:t> mosquitoes were dissected, bacteria were isolated and characterized by phenotypic and biochemical tests. DNA was extracted from bacterial colonies, and the 16S rRNA gene was amplified and sequenced. Bacteria identities were assigned using Megablast against sequences reported in GenBank and analyzed by the Maximum Likelihood method. Results demonstrated that most of the isolates belonged to the class Gammaproteobacteria and Bacilli. In general, eight bacterial genera were identified, </w:t>
      </w:r>
      <w:r w:rsidRPr="00356016">
        <w:rPr>
          <w:rFonts w:ascii="Calibri" w:eastAsia="Times New Roman" w:hAnsi="Calibri" w:cs="Calibri"/>
          <w:i/>
          <w:iCs/>
          <w:color w:val="000000"/>
          <w:kern w:val="0"/>
          <w:sz w:val="22"/>
          <w:szCs w:val="22"/>
          <w14:ligatures w14:val="none"/>
        </w:rPr>
        <w:t>Aeromonas</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Staphylococcus</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Acinetobacter</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Serratia</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Pseudomonas</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Enterobacter</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Bacillus </w:t>
      </w:r>
      <w:r w:rsidRPr="00356016">
        <w:rPr>
          <w:rFonts w:ascii="Calibri" w:eastAsia="Times New Roman" w:hAnsi="Calibri" w:cs="Calibri"/>
          <w:color w:val="000000"/>
          <w:kern w:val="0"/>
          <w:sz w:val="22"/>
          <w:szCs w:val="22"/>
          <w14:ligatures w14:val="none"/>
        </w:rPr>
        <w:t>and</w:t>
      </w:r>
      <w:r w:rsidRPr="00356016">
        <w:rPr>
          <w:rFonts w:ascii="Calibri" w:eastAsia="Times New Roman" w:hAnsi="Calibri" w:cs="Calibri"/>
          <w:i/>
          <w:iCs/>
          <w:color w:val="000000"/>
          <w:kern w:val="0"/>
          <w:sz w:val="22"/>
          <w:szCs w:val="22"/>
          <w14:ligatures w14:val="none"/>
        </w:rPr>
        <w:t> Chromobacterium</w:t>
      </w:r>
      <w:r w:rsidRPr="00356016">
        <w:rPr>
          <w:rFonts w:ascii="Calibri" w:eastAsia="Times New Roman" w:hAnsi="Calibri" w:cs="Calibri"/>
          <w:color w:val="000000"/>
          <w:kern w:val="0"/>
          <w:sz w:val="22"/>
          <w:szCs w:val="22"/>
          <w14:ligatures w14:val="none"/>
        </w:rPr>
        <w:t>. Although a microbiota core was observed, some bacterial species differed between both </w:t>
      </w:r>
      <w:r w:rsidRPr="00356016">
        <w:rPr>
          <w:rFonts w:ascii="Calibri" w:eastAsia="Times New Roman" w:hAnsi="Calibri" w:cs="Calibri"/>
          <w:i/>
          <w:iCs/>
          <w:color w:val="000000"/>
          <w:kern w:val="0"/>
          <w:sz w:val="22"/>
          <w:szCs w:val="22"/>
          <w14:ligatures w14:val="none"/>
        </w:rPr>
        <w:t>Anopheles</w:t>
      </w:r>
      <w:r w:rsidRPr="00356016">
        <w:rPr>
          <w:rFonts w:ascii="Calibri" w:eastAsia="Times New Roman" w:hAnsi="Calibri" w:cs="Calibri"/>
          <w:color w:val="000000"/>
          <w:kern w:val="0"/>
          <w:sz w:val="22"/>
          <w:szCs w:val="22"/>
          <w14:ligatures w14:val="none"/>
        </w:rPr>
        <w:t> species. </w:t>
      </w:r>
      <w:r w:rsidRPr="00356016">
        <w:rPr>
          <w:rFonts w:ascii="Calibri" w:eastAsia="Times New Roman" w:hAnsi="Calibri" w:cs="Calibri"/>
          <w:i/>
          <w:iCs/>
          <w:color w:val="000000"/>
          <w:kern w:val="0"/>
          <w:sz w:val="22"/>
          <w:szCs w:val="22"/>
          <w14:ligatures w14:val="none"/>
        </w:rPr>
        <w:t>Serratia</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Staphylococcus</w:t>
      </w:r>
      <w:r w:rsidRPr="00356016">
        <w:rPr>
          <w:rFonts w:ascii="Calibri" w:eastAsia="Times New Roman" w:hAnsi="Calibri" w:cs="Calibri"/>
          <w:color w:val="000000"/>
          <w:kern w:val="0"/>
          <w:sz w:val="22"/>
          <w:szCs w:val="22"/>
          <w14:ligatures w14:val="none"/>
        </w:rPr>
        <w:t> and </w:t>
      </w:r>
      <w:r w:rsidRPr="00356016">
        <w:rPr>
          <w:rFonts w:ascii="Calibri" w:eastAsia="Times New Roman" w:hAnsi="Calibri" w:cs="Calibri"/>
          <w:i/>
          <w:iCs/>
          <w:color w:val="000000"/>
          <w:kern w:val="0"/>
          <w:sz w:val="22"/>
          <w:szCs w:val="22"/>
          <w14:ligatures w14:val="none"/>
        </w:rPr>
        <w:t>Chromobacterium</w:t>
      </w:r>
      <w:r w:rsidRPr="00356016">
        <w:rPr>
          <w:rFonts w:ascii="Calibri" w:eastAsia="Times New Roman" w:hAnsi="Calibri" w:cs="Calibri"/>
          <w:color w:val="000000"/>
          <w:kern w:val="0"/>
          <w:sz w:val="22"/>
          <w:szCs w:val="22"/>
          <w14:ligatures w14:val="none"/>
        </w:rPr>
        <w:t> were unique to </w:t>
      </w:r>
      <w:r w:rsidRPr="00356016">
        <w:rPr>
          <w:rFonts w:ascii="Calibri" w:eastAsia="Times New Roman" w:hAnsi="Calibri" w:cs="Calibri"/>
          <w:i/>
          <w:iCs/>
          <w:color w:val="000000"/>
          <w:kern w:val="0"/>
          <w:sz w:val="22"/>
          <w:szCs w:val="22"/>
          <w14:ligatures w14:val="none"/>
        </w:rPr>
        <w:t>Anopheles</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triannulatus. </w:t>
      </w:r>
      <w:r w:rsidRPr="00356016">
        <w:rPr>
          <w:rFonts w:ascii="Calibri" w:eastAsia="Times New Roman" w:hAnsi="Calibri" w:cs="Calibri"/>
          <w:color w:val="000000"/>
          <w:kern w:val="0"/>
          <w:sz w:val="22"/>
          <w:szCs w:val="22"/>
          <w14:ligatures w14:val="none"/>
        </w:rPr>
        <w:t>Interestingly, strains of </w:t>
      </w:r>
      <w:r w:rsidRPr="00356016">
        <w:rPr>
          <w:rFonts w:ascii="Calibri" w:eastAsia="Times New Roman" w:hAnsi="Calibri" w:cs="Calibri"/>
          <w:i/>
          <w:iCs/>
          <w:color w:val="000000"/>
          <w:kern w:val="0"/>
          <w:sz w:val="22"/>
          <w:szCs w:val="22"/>
          <w14:ligatures w14:val="none"/>
        </w:rPr>
        <w:t>Serratia</w:t>
      </w:r>
      <w:r w:rsidRPr="00356016">
        <w:rPr>
          <w:rFonts w:ascii="Calibri" w:eastAsia="Times New Roman" w:hAnsi="Calibri" w:cs="Calibri"/>
          <w:color w:val="000000"/>
          <w:kern w:val="0"/>
          <w:sz w:val="22"/>
          <w:szCs w:val="22"/>
          <w14:ligatures w14:val="none"/>
        </w:rPr>
        <w:t> and </w:t>
      </w:r>
      <w:r w:rsidRPr="00356016">
        <w:rPr>
          <w:rFonts w:ascii="Calibri" w:eastAsia="Times New Roman" w:hAnsi="Calibri" w:cs="Calibri"/>
          <w:i/>
          <w:iCs/>
          <w:color w:val="000000"/>
          <w:kern w:val="0"/>
          <w:sz w:val="22"/>
          <w:szCs w:val="22"/>
          <w14:ligatures w14:val="none"/>
        </w:rPr>
        <w:t>Chromobacterium</w:t>
      </w:r>
      <w:r w:rsidRPr="00356016">
        <w:rPr>
          <w:rFonts w:ascii="Calibri" w:eastAsia="Times New Roman" w:hAnsi="Calibri" w:cs="Calibri"/>
          <w:color w:val="000000"/>
          <w:kern w:val="0"/>
          <w:sz w:val="22"/>
          <w:szCs w:val="22"/>
          <w14:ligatures w14:val="none"/>
        </w:rPr>
        <w:t> have previously been reported with ability to block </w:t>
      </w:r>
      <w:r w:rsidRPr="00356016">
        <w:rPr>
          <w:rFonts w:ascii="Calibri" w:eastAsia="Times New Roman" w:hAnsi="Calibri" w:cs="Calibri"/>
          <w:i/>
          <w:iCs/>
          <w:color w:val="000000"/>
          <w:kern w:val="0"/>
          <w:sz w:val="22"/>
          <w:szCs w:val="22"/>
          <w14:ligatures w14:val="none"/>
        </w:rPr>
        <w:t>Plasmodium</w:t>
      </w:r>
      <w:r w:rsidRPr="00356016">
        <w:rPr>
          <w:rFonts w:ascii="Calibri" w:eastAsia="Times New Roman" w:hAnsi="Calibri" w:cs="Calibri"/>
          <w:color w:val="000000"/>
          <w:kern w:val="0"/>
          <w:sz w:val="22"/>
          <w:szCs w:val="22"/>
          <w14:ligatures w14:val="none"/>
        </w:rPr>
        <w:t> in the midgut of</w:t>
      </w:r>
      <w:r w:rsidRPr="00356016">
        <w:rPr>
          <w:rFonts w:ascii="Calibri" w:eastAsia="Times New Roman" w:hAnsi="Calibri" w:cs="Calibri"/>
          <w:i/>
          <w:iCs/>
          <w:color w:val="000000"/>
          <w:kern w:val="0"/>
          <w:sz w:val="22"/>
          <w:szCs w:val="22"/>
          <w14:ligatures w14:val="none"/>
        </w:rPr>
        <w:t> Anopheles</w:t>
      </w:r>
      <w:r w:rsidRPr="00356016">
        <w:rPr>
          <w:rFonts w:ascii="Calibri" w:eastAsia="Times New Roman" w:hAnsi="Calibri" w:cs="Calibri"/>
          <w:color w:val="000000"/>
          <w:kern w:val="0"/>
          <w:sz w:val="22"/>
          <w:szCs w:val="22"/>
          <w14:ligatures w14:val="none"/>
        </w:rPr>
        <w:t> spp. under controlled laboratory conditions. Therefore, future studies should evaluate the blocking effect of the bacteria solely detected in </w:t>
      </w:r>
      <w:r w:rsidRPr="00356016">
        <w:rPr>
          <w:rFonts w:ascii="Calibri" w:eastAsia="Times New Roman" w:hAnsi="Calibri" w:cs="Calibri"/>
          <w:i/>
          <w:iCs/>
          <w:color w:val="000000"/>
          <w:kern w:val="0"/>
          <w:sz w:val="22"/>
          <w:szCs w:val="22"/>
          <w14:ligatures w14:val="none"/>
        </w:rPr>
        <w:t>An. triannulatus</w:t>
      </w:r>
      <w:r w:rsidRPr="00356016">
        <w:rPr>
          <w:rFonts w:ascii="Calibri" w:eastAsia="Times New Roman" w:hAnsi="Calibri" w:cs="Calibri"/>
          <w:color w:val="000000"/>
          <w:kern w:val="0"/>
          <w:sz w:val="22"/>
          <w:szCs w:val="22"/>
          <w14:ligatures w14:val="none"/>
        </w:rPr>
        <w:t>, to design new control strategies based on the use of microorganisms.</w:t>
      </w:r>
    </w:p>
    <w:p w14:paraId="3F36709B"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25-A-4135-ASTMH</w:t>
      </w:r>
    </w:p>
    <w:p w14:paraId="268AC0DA"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Helminths – Nematodes – Filariasis (Other)</w:t>
      </w:r>
    </w:p>
    <w:p w14:paraId="34153D2B"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b/>
          <w:bCs/>
          <w:color w:val="000000"/>
          <w:kern w:val="0"/>
          <w:sz w:val="22"/>
          <w:szCs w:val="22"/>
          <w14:ligatures w14:val="none"/>
        </w:rPr>
        <w:t>Zoonosis- A potential catalyst of the re-emergence of human brugian filariasis in Sri Lanka</w:t>
      </w:r>
    </w:p>
    <w:p w14:paraId="2DD86986"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Lymphatic filariasis is a debilitating disease affecting over 120 million people worldwide. Of the two types of Lymphatic filariasis, Brugian filariasis (BF) was eradicated from Sri Lanka in 1969. However, post elimination surveillance has revealed sporadic cases of BF and recent studies suggest emergence of a variant </w:t>
      </w:r>
      <w:r w:rsidRPr="00356016">
        <w:rPr>
          <w:rFonts w:ascii="Calibri" w:eastAsia="Times New Roman" w:hAnsi="Calibri" w:cs="Calibri"/>
          <w:i/>
          <w:iCs/>
          <w:color w:val="000000"/>
          <w:kern w:val="0"/>
          <w:sz w:val="22"/>
          <w:szCs w:val="22"/>
          <w14:ligatures w14:val="none"/>
        </w:rPr>
        <w:t>Brugia malayi</w:t>
      </w:r>
      <w:r w:rsidRPr="00356016">
        <w:rPr>
          <w:rFonts w:ascii="Calibri" w:eastAsia="Times New Roman" w:hAnsi="Calibri" w:cs="Calibri"/>
          <w:color w:val="000000"/>
          <w:kern w:val="0"/>
          <w:sz w:val="22"/>
          <w:szCs w:val="22"/>
          <w14:ligatures w14:val="none"/>
        </w:rPr>
        <w:t> in humans despite treating affected individuals and eliminating vector breeding sites. This study aims to investigate the mechanism of BF reemergence and transmission within the country. 424 humans, 84 canines, 28 felines and 969 mosquitoes surrounding six recent human BF cases in six study sites were analyzed. Molecular analysis revealed that the brugian parasites harbored within infected humans, animals and mosquitoes shared high levels of identity. Further analysis of the ﻿cytochrome c oxidase subunit I (</w:t>
      </w:r>
      <w:r w:rsidRPr="00356016">
        <w:rPr>
          <w:rFonts w:ascii="Calibri" w:eastAsia="Times New Roman" w:hAnsi="Calibri" w:cs="Calibri"/>
          <w:i/>
          <w:iCs/>
          <w:color w:val="000000"/>
          <w:kern w:val="0"/>
          <w:sz w:val="22"/>
          <w:szCs w:val="22"/>
          <w14:ligatures w14:val="none"/>
        </w:rPr>
        <w:t>COX1</w:t>
      </w:r>
      <w:r w:rsidRPr="00356016">
        <w:rPr>
          <w:rFonts w:ascii="Calibri" w:eastAsia="Times New Roman" w:hAnsi="Calibri" w:cs="Calibri"/>
          <w:color w:val="000000"/>
          <w:kern w:val="0"/>
          <w:sz w:val="22"/>
          <w:szCs w:val="22"/>
          <w14:ligatures w14:val="none"/>
        </w:rPr>
        <w:t>)</w:t>
      </w:r>
      <w:r w:rsidRPr="00356016">
        <w:rPr>
          <w:rFonts w:ascii="Calibri" w:eastAsia="Times New Roman" w:hAnsi="Calibri" w:cs="Calibri"/>
          <w:i/>
          <w:iCs/>
          <w:color w:val="000000"/>
          <w:kern w:val="0"/>
          <w:sz w:val="22"/>
          <w:szCs w:val="22"/>
          <w14:ligatures w14:val="none"/>
        </w:rPr>
        <w:t> </w:t>
      </w:r>
      <w:r w:rsidRPr="00356016">
        <w:rPr>
          <w:rFonts w:ascii="Calibri" w:eastAsia="Times New Roman" w:hAnsi="Calibri" w:cs="Calibri"/>
          <w:color w:val="000000"/>
          <w:kern w:val="0"/>
          <w:sz w:val="22"/>
          <w:szCs w:val="22"/>
          <w14:ligatures w14:val="none"/>
        </w:rPr>
        <w:t xml:space="preserve">regions of the parasites revealed a canine origin. Brugian parasites were detected by PCR in 64.3% (54/84) of the dogs and 46.4% (13/28) of the cats sampled, indicating high prevalence of brugian parasites within the canine and feline populations in affected areas. Furthermore, brugian parasites were also detected within the head and thorax regions of 18.2% (137/752) mosquitoes collected from these areas via dog-baited, gravid and window traps. Blood meal analysis of these mosquitoes (137) caught by all three traps, revealed the presence of both human and animal blood in 39.4% (54/137). Furthermore, animal blood was detected in 66.6% (8/12) of </w:t>
      </w:r>
      <w:r w:rsidRPr="00356016">
        <w:rPr>
          <w:rFonts w:ascii="Calibri" w:eastAsia="Times New Roman" w:hAnsi="Calibri" w:cs="Calibri"/>
          <w:color w:val="000000"/>
          <w:kern w:val="0"/>
          <w:sz w:val="22"/>
          <w:szCs w:val="22"/>
          <w14:ligatures w14:val="none"/>
        </w:rPr>
        <w:lastRenderedPageBreak/>
        <w:t>anthropophilic mosquitoes caught by window traps. Collectively, these data suggest a potential of zoonotic transmission of the disease. There are currently no measures to detect, monitor or control brugian filariasis in animals. This potential reservoir may have led to the re-emergence of the disease, particularly with the availability of vectors. Therefore, it is important to survey the cat and dog population within the country and conduct a detailed analysis of transmission of BF in the country to implement more effective control measures for BF in Sri Lanka.</w:t>
      </w:r>
    </w:p>
    <w:p w14:paraId="6254F76B"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25-A-4138-ASTMH</w:t>
      </w:r>
    </w:p>
    <w:p w14:paraId="70A4B77C"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Respiratory Infections</w:t>
      </w:r>
    </w:p>
    <w:p w14:paraId="7A1FF44C"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Outcome and management of children with chest indrawing pneumonia at primary health care settings in Pakistan: an observational cohort study</w:t>
      </w:r>
    </w:p>
    <w:p w14:paraId="36EC0950"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Pneumonia is a major cause of childhood mortality in Pakistan. In 2019, the Government of Pakistan revised the national Integrated Management of Childhood Illness (IMCI) chart booklet, following the World Health Organization’s recommendation for outpatient management with oral antibiotics of children aged 2-59 months with chest indrawing pneumonia. We aimed to assess the outcomes of children aged 2-59 months with chest indrawing pneumonia in programme setting of Pakistan. This was a prospective observational cohort study in three primary health care facilities in Thatta district, Sindh province. We screened children aged 2-59 months who presented with cough and/or difficult breathing, and recruited those classified with chest indrawing pneumonia according to the IMCI tool. from December 2022 to March 2024. The primary outcome was to assess the case fatality ratio. The secondary outcomes were to calculate the prevalence of antibiotic use, hospital admissions and treatment adherence among these children during the current illness. We followed up on day 15 after enrolment to assess outcomes. 456 children with chest indrawing pneumonia met the study’s enrolment criteria. Two (0.4%) died. Four (0.9%) were lost to follow-up and excluded from the analysis. According to parental/caregiver reports, among 452 children followed up on day 15, 435 (96.3%) were cured, 12 (2.7%) did not improve and two (0.4%) worsened and were hospitalised. All patients were treated with oral antibiotics. Oral amoxicillin was prescribed and used by 282 (62.4%) and 236 of those (83.7%) adhered to five or more days of oral amoxicillin treatment. Oral cefixime was prescribed and used by 114 children (25.2%). Our findings support using the IMCI protocol for treating chest indrawing pneumonia without danger signs in children aged 2-59 months with oral antibiotics on an outpatient basis. It can potentially reduce childhood pneumonia deaths, increase access to treatment, improve treatment coverage, reduce referrals and reduce costs for the health system and families in resource-limited settings.</w:t>
      </w:r>
    </w:p>
    <w:p w14:paraId="182E05BA"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25-A-4139-ASTMH</w:t>
      </w:r>
    </w:p>
    <w:p w14:paraId="389E64DF"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Schistosomiasis and Other Trematodes – Diagnostics and Treatment</w:t>
      </w:r>
    </w:p>
    <w:p w14:paraId="2F90909C"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b/>
          <w:bCs/>
          <w:color w:val="000000"/>
          <w:kern w:val="0"/>
          <w:sz w:val="22"/>
          <w:szCs w:val="22"/>
          <w14:ligatures w14:val="none"/>
        </w:rPr>
        <w:t>Next Generation Drug to Treat Schistosomiasis</w:t>
      </w:r>
    </w:p>
    <w:p w14:paraId="58088318"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Human schistosomiasis is a disease caused by parasitic species of the genus </w:t>
      </w:r>
      <w:r w:rsidRPr="00356016">
        <w:rPr>
          <w:rFonts w:ascii="Calibri" w:eastAsia="Times New Roman" w:hAnsi="Calibri" w:cs="Calibri"/>
          <w:i/>
          <w:iCs/>
          <w:color w:val="000000"/>
          <w:kern w:val="0"/>
          <w:sz w:val="22"/>
          <w:szCs w:val="22"/>
          <w14:ligatures w14:val="none"/>
        </w:rPr>
        <w:t>Schistosoma</w:t>
      </w:r>
      <w:r w:rsidRPr="00356016">
        <w:rPr>
          <w:rFonts w:ascii="Calibri" w:eastAsia="Times New Roman" w:hAnsi="Calibri" w:cs="Calibri"/>
          <w:color w:val="000000"/>
          <w:kern w:val="0"/>
          <w:sz w:val="22"/>
          <w:szCs w:val="22"/>
          <w14:ligatures w14:val="none"/>
        </w:rPr>
        <w:t>. </w:t>
      </w:r>
      <w:r w:rsidRPr="00356016">
        <w:rPr>
          <w:rFonts w:ascii="Calibri" w:eastAsia="Times New Roman" w:hAnsi="Calibri" w:cs="Calibri"/>
          <w:i/>
          <w:iCs/>
          <w:color w:val="000000"/>
          <w:kern w:val="0"/>
          <w:sz w:val="22"/>
          <w:szCs w:val="22"/>
          <w14:ligatures w14:val="none"/>
        </w:rPr>
        <w:t>Schistosoma</w:t>
      </w:r>
      <w:r w:rsidRPr="00356016">
        <w:rPr>
          <w:rFonts w:ascii="Calibri" w:eastAsia="Times New Roman" w:hAnsi="Calibri" w:cs="Calibri"/>
          <w:color w:val="000000"/>
          <w:kern w:val="0"/>
          <w:sz w:val="22"/>
          <w:szCs w:val="22"/>
          <w14:ligatures w14:val="none"/>
        </w:rPr>
        <w:t> affects over 250 million people worldwide, accompanied by severe clinical symptoms, socioeconomic problems, and more than 200,000 deaths per year. About 90% of the schistosomiasis disease burden occurs in sub-Saharan Africa, where the major forms of schistosomiasis are caused by </w:t>
      </w:r>
      <w:r w:rsidRPr="00356016">
        <w:rPr>
          <w:rFonts w:ascii="Calibri" w:eastAsia="Times New Roman" w:hAnsi="Calibri" w:cs="Calibri"/>
          <w:i/>
          <w:iCs/>
          <w:color w:val="000000"/>
          <w:kern w:val="0"/>
          <w:sz w:val="22"/>
          <w:szCs w:val="22"/>
          <w14:ligatures w14:val="none"/>
        </w:rPr>
        <w:t>Schistosoma haematobium</w:t>
      </w:r>
      <w:r w:rsidRPr="00356016">
        <w:rPr>
          <w:rFonts w:ascii="Calibri" w:eastAsia="Times New Roman" w:hAnsi="Calibri" w:cs="Calibri"/>
          <w:color w:val="000000"/>
          <w:kern w:val="0"/>
          <w:sz w:val="22"/>
          <w:szCs w:val="22"/>
          <w14:ligatures w14:val="none"/>
        </w:rPr>
        <w:t> (urogenital disease) and </w:t>
      </w:r>
      <w:r w:rsidRPr="00356016">
        <w:rPr>
          <w:rFonts w:ascii="Calibri" w:eastAsia="Times New Roman" w:hAnsi="Calibri" w:cs="Calibri"/>
          <w:i/>
          <w:iCs/>
          <w:color w:val="000000"/>
          <w:kern w:val="0"/>
          <w:sz w:val="22"/>
          <w:szCs w:val="22"/>
          <w14:ligatures w14:val="none"/>
        </w:rPr>
        <w:t>Schistosoma </w:t>
      </w:r>
      <w:r w:rsidRPr="00356016">
        <w:rPr>
          <w:rFonts w:ascii="Calibri" w:eastAsia="Times New Roman" w:hAnsi="Calibri" w:cs="Calibri"/>
          <w:color w:val="000000"/>
          <w:kern w:val="0"/>
          <w:sz w:val="22"/>
          <w:szCs w:val="22"/>
          <w14:ligatures w14:val="none"/>
        </w:rPr>
        <w:t>anthelmintic drug, praziquantel (PZQ), for more than a generation. However, mass PZQ administration in sub-Saharan Africa, has led to reduced efficacy of PZQ, which portends the selection of fully drug-resistant pathogens. In addition, PZQ is ineffective against juvenile parasites, which leads to re-infection. Therefore, our goal has been to discover a new drug with different mechanisms of</w:t>
      </w:r>
      <w:r w:rsidRPr="00356016">
        <w:rPr>
          <w:rFonts w:ascii="Calibri" w:eastAsia="Times New Roman" w:hAnsi="Calibri" w:cs="Calibri"/>
          <w:b/>
          <w:bCs/>
          <w:color w:val="000000"/>
          <w:kern w:val="0"/>
          <w:sz w:val="22"/>
          <w:szCs w:val="22"/>
          <w14:ligatures w14:val="none"/>
        </w:rPr>
        <w:t> </w:t>
      </w:r>
      <w:r w:rsidRPr="00356016">
        <w:rPr>
          <w:rFonts w:ascii="Calibri" w:eastAsia="Times New Roman" w:hAnsi="Calibri" w:cs="Calibri"/>
          <w:color w:val="000000"/>
          <w:kern w:val="0"/>
          <w:sz w:val="22"/>
          <w:szCs w:val="22"/>
          <w14:ligatures w14:val="none"/>
        </w:rPr>
        <w:t>action as a robust alternative to, or to be used in combination with, PZQ to mitigate developing resistance and improve efficacy. To that end, we have identified CIDD-0150303 as an efficacious anti-helminth that works better than PZQ. While oxamniquine (OXA) has been considered a candidate for further development, it is only effective against </w:t>
      </w:r>
      <w:r w:rsidRPr="00356016">
        <w:rPr>
          <w:rFonts w:ascii="Calibri" w:eastAsia="Times New Roman" w:hAnsi="Calibri" w:cs="Calibri"/>
          <w:i/>
          <w:iCs/>
          <w:color w:val="000000"/>
          <w:kern w:val="0"/>
          <w:sz w:val="22"/>
          <w:szCs w:val="22"/>
          <w14:ligatures w14:val="none"/>
        </w:rPr>
        <w:t>Schistosoma mansoni</w:t>
      </w:r>
      <w:r w:rsidRPr="00356016">
        <w:rPr>
          <w:rFonts w:ascii="Calibri" w:eastAsia="Times New Roman" w:hAnsi="Calibri" w:cs="Calibri"/>
          <w:color w:val="000000"/>
          <w:kern w:val="0"/>
          <w:sz w:val="22"/>
          <w:szCs w:val="22"/>
          <w14:ligatures w14:val="none"/>
        </w:rPr>
        <w:t>, not </w:t>
      </w:r>
      <w:r w:rsidRPr="00356016">
        <w:rPr>
          <w:rFonts w:ascii="Calibri" w:eastAsia="Times New Roman" w:hAnsi="Calibri" w:cs="Calibri"/>
          <w:i/>
          <w:iCs/>
          <w:color w:val="000000"/>
          <w:kern w:val="0"/>
          <w:sz w:val="22"/>
          <w:szCs w:val="22"/>
          <w14:ligatures w14:val="none"/>
        </w:rPr>
        <w:t>S. haematobium </w:t>
      </w:r>
      <w:r w:rsidRPr="00356016">
        <w:rPr>
          <w:rFonts w:ascii="Calibri" w:eastAsia="Times New Roman" w:hAnsi="Calibri" w:cs="Calibri"/>
          <w:color w:val="000000"/>
          <w:kern w:val="0"/>
          <w:sz w:val="22"/>
          <w:szCs w:val="22"/>
          <w14:ligatures w14:val="none"/>
        </w:rPr>
        <w:t>or </w:t>
      </w:r>
      <w:r w:rsidRPr="00356016">
        <w:rPr>
          <w:rFonts w:ascii="Calibri" w:eastAsia="Times New Roman" w:hAnsi="Calibri" w:cs="Calibri"/>
          <w:i/>
          <w:iCs/>
          <w:color w:val="000000"/>
          <w:kern w:val="0"/>
          <w:sz w:val="22"/>
          <w:szCs w:val="22"/>
          <w14:ligatures w14:val="none"/>
        </w:rPr>
        <w:t>S. japonicum</w:t>
      </w:r>
      <w:r w:rsidRPr="00356016">
        <w:rPr>
          <w:rFonts w:ascii="Calibri" w:eastAsia="Times New Roman" w:hAnsi="Calibri" w:cs="Calibri"/>
          <w:color w:val="000000"/>
          <w:kern w:val="0"/>
          <w:sz w:val="22"/>
          <w:szCs w:val="22"/>
          <w14:ligatures w14:val="none"/>
        </w:rPr>
        <w:t xml:space="preserve">. We have designed a new </w:t>
      </w:r>
      <w:r w:rsidRPr="00356016">
        <w:rPr>
          <w:rFonts w:ascii="Calibri" w:eastAsia="Times New Roman" w:hAnsi="Calibri" w:cs="Calibri"/>
          <w:color w:val="000000"/>
          <w:kern w:val="0"/>
          <w:sz w:val="22"/>
          <w:szCs w:val="22"/>
          <w14:ligatures w14:val="none"/>
        </w:rPr>
        <w:lastRenderedPageBreak/>
        <w:t>series of compounds using structure-function-guided approaches. Our laboratory has shown that: </w:t>
      </w:r>
      <w:r w:rsidRPr="00356016">
        <w:rPr>
          <w:rFonts w:ascii="Calibri" w:eastAsia="Times New Roman" w:hAnsi="Calibri" w:cs="Calibri"/>
          <w:b/>
          <w:bCs/>
          <w:color w:val="000000"/>
          <w:kern w:val="0"/>
          <w:sz w:val="22"/>
          <w:szCs w:val="22"/>
          <w14:ligatures w14:val="none"/>
        </w:rPr>
        <w:t>(1) </w:t>
      </w:r>
      <w:r w:rsidRPr="00356016">
        <w:rPr>
          <w:rFonts w:ascii="Calibri" w:eastAsia="Times New Roman" w:hAnsi="Calibri" w:cs="Calibri"/>
          <w:color w:val="000000"/>
          <w:kern w:val="0"/>
          <w:sz w:val="22"/>
          <w:szCs w:val="22"/>
          <w14:ligatures w14:val="none"/>
        </w:rPr>
        <w:t>CIDD-0150303 kills 100% of all three human schistosomes </w:t>
      </w:r>
      <w:r w:rsidRPr="00356016">
        <w:rPr>
          <w:rFonts w:ascii="Calibri" w:eastAsia="Times New Roman" w:hAnsi="Calibri" w:cs="Calibri"/>
          <w:i/>
          <w:iCs/>
          <w:color w:val="000000"/>
          <w:kern w:val="0"/>
          <w:sz w:val="22"/>
          <w:szCs w:val="22"/>
          <w14:ligatures w14:val="none"/>
        </w:rPr>
        <w:t>in vitro</w:t>
      </w:r>
      <w:r w:rsidRPr="00356016">
        <w:rPr>
          <w:rFonts w:ascii="Calibri" w:eastAsia="Times New Roman" w:hAnsi="Calibri" w:cs="Calibri"/>
          <w:color w:val="000000"/>
          <w:kern w:val="0"/>
          <w:sz w:val="22"/>
          <w:szCs w:val="22"/>
          <w14:ligatures w14:val="none"/>
        </w:rPr>
        <w:t>;</w:t>
      </w:r>
      <w:r w:rsidRPr="00356016">
        <w:rPr>
          <w:rFonts w:ascii="Calibri" w:eastAsia="Times New Roman" w:hAnsi="Calibri" w:cs="Calibri"/>
          <w:b/>
          <w:bCs/>
          <w:color w:val="000000"/>
          <w:kern w:val="0"/>
          <w:sz w:val="22"/>
          <w:szCs w:val="22"/>
          <w14:ligatures w14:val="none"/>
        </w:rPr>
        <w:t> (2) </w:t>
      </w:r>
      <w:r w:rsidRPr="00356016">
        <w:rPr>
          <w:rFonts w:ascii="Calibri" w:eastAsia="Times New Roman" w:hAnsi="Calibri" w:cs="Calibri"/>
          <w:color w:val="000000"/>
          <w:kern w:val="0"/>
          <w:sz w:val="22"/>
          <w:szCs w:val="22"/>
          <w14:ligatures w14:val="none"/>
        </w:rPr>
        <w:t>CIDD-0150303 is effective against both mature and juvenile worms in animal models; </w:t>
      </w:r>
      <w:r w:rsidRPr="00356016">
        <w:rPr>
          <w:rFonts w:ascii="Calibri" w:eastAsia="Times New Roman" w:hAnsi="Calibri" w:cs="Calibri"/>
          <w:b/>
          <w:bCs/>
          <w:color w:val="000000"/>
          <w:kern w:val="0"/>
          <w:sz w:val="22"/>
          <w:szCs w:val="22"/>
          <w14:ligatures w14:val="none"/>
        </w:rPr>
        <w:t>(3) </w:t>
      </w:r>
      <w:r w:rsidRPr="00356016">
        <w:rPr>
          <w:rFonts w:ascii="Calibri" w:eastAsia="Times New Roman" w:hAnsi="Calibri" w:cs="Calibri"/>
          <w:color w:val="000000"/>
          <w:kern w:val="0"/>
          <w:sz w:val="22"/>
          <w:szCs w:val="22"/>
          <w14:ligatures w14:val="none"/>
        </w:rPr>
        <w:t>CIDD-0150303 kills PZQ-resistant parasites; and</w:t>
      </w:r>
      <w:r w:rsidRPr="00356016">
        <w:rPr>
          <w:rFonts w:ascii="Calibri" w:eastAsia="Times New Roman" w:hAnsi="Calibri" w:cs="Calibri"/>
          <w:b/>
          <w:bCs/>
          <w:color w:val="000000"/>
          <w:kern w:val="0"/>
          <w:sz w:val="22"/>
          <w:szCs w:val="22"/>
          <w14:ligatures w14:val="none"/>
        </w:rPr>
        <w:t> (4) </w:t>
      </w:r>
      <w:r w:rsidRPr="00356016">
        <w:rPr>
          <w:rFonts w:ascii="Calibri" w:eastAsia="Times New Roman" w:hAnsi="Calibri" w:cs="Calibri"/>
          <w:color w:val="000000"/>
          <w:kern w:val="0"/>
          <w:sz w:val="22"/>
          <w:szCs w:val="22"/>
          <w14:ligatures w14:val="none"/>
        </w:rPr>
        <w:t>co-dosing with CIDD-0150303 and PZQ is well tolerated and highly efficacious. Based on these results, </w:t>
      </w:r>
      <w:r w:rsidRPr="00356016">
        <w:rPr>
          <w:rFonts w:ascii="Calibri" w:eastAsia="Times New Roman" w:hAnsi="Calibri" w:cs="Calibri"/>
          <w:i/>
          <w:iCs/>
          <w:color w:val="000000"/>
          <w:kern w:val="0"/>
          <w:sz w:val="22"/>
          <w:szCs w:val="22"/>
          <w14:ligatures w14:val="none"/>
        </w:rPr>
        <w:t>we conclude that CIDD</w:t>
      </w:r>
      <w:r w:rsidRPr="00356016">
        <w:rPr>
          <w:rFonts w:ascii="Calibri" w:eastAsia="Times New Roman" w:hAnsi="Calibri" w:cs="Calibri"/>
          <w:color w:val="000000"/>
          <w:kern w:val="0"/>
          <w:sz w:val="22"/>
          <w:szCs w:val="22"/>
          <w14:ligatures w14:val="none"/>
        </w:rPr>
        <w:t>-0150303 </w:t>
      </w:r>
      <w:r w:rsidRPr="00356016">
        <w:rPr>
          <w:rFonts w:ascii="Calibri" w:eastAsia="Times New Roman" w:hAnsi="Calibri" w:cs="Calibri"/>
          <w:i/>
          <w:iCs/>
          <w:color w:val="000000"/>
          <w:kern w:val="0"/>
          <w:sz w:val="22"/>
          <w:szCs w:val="22"/>
          <w14:ligatures w14:val="none"/>
        </w:rPr>
        <w:t>will have higher efficacy than PZQ, in both primary infection and resistant disease settings, by targeting adult, juvenile, and resistant parasites.</w:t>
      </w:r>
      <w:r w:rsidRPr="00356016">
        <w:rPr>
          <w:rFonts w:ascii="Calibri" w:eastAsia="Times New Roman" w:hAnsi="Calibri" w:cs="Calibri"/>
          <w:color w:val="000000"/>
          <w:kern w:val="0"/>
          <w:sz w:val="22"/>
          <w:szCs w:val="22"/>
          <w14:ligatures w14:val="none"/>
        </w:rPr>
        <w:t> In addition, co-dosing with PZQ and CIDD-0150303 should mitigate further development of resistance. Our focus now is to obtain the pharmacological data and the critical regulatory-enabling pre-clinical data for a drug candidate to enter the critical path of development towards clinical-stage testing.</w:t>
      </w:r>
    </w:p>
    <w:p w14:paraId="599A0210"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25-A-4140-ASTMH</w:t>
      </w:r>
    </w:p>
    <w:p w14:paraId="044E118F"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Global Health - Maternal, Newborn and Child Health and Nutrition</w:t>
      </w:r>
    </w:p>
    <w:p w14:paraId="42044416"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Nasogastric Tube Feeding in Critically Ill Children: Insights from the CHAIN Cohort Study in Africa and South Asia</w:t>
      </w:r>
    </w:p>
    <w:p w14:paraId="38B4CF1E"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Acutely ill children in low resource settings are often fed by Nasogastric-tube (NG) feeding, especially those with severe wasting or feeding difficulty. This feeding practice carries both benefits and risks. Despite wide use, NG-feeding is not well characterized in low-resource settings. We aimed to assess the prevalence, risk factors associated with NG-use and outcome of acutely ill children. The CHAIN cohort followed retrospectively 3,101 children, under-2, hospitalized at nine sites in six countries (Bangladesh, Pakistan, Kenya, Uganda, Malawi, and Burkina Faso). We compared the prevalence of NG-use between sites and child nutritional status. Complications, like new-onset of vomiting and diarrhea, were assessed with Pearson’s Chi-squared and Wilcoxon rank sum tests. Competitive risk regression evaluated time to NG-use and path analysis will explore cause-effect relationships with outcomes. Our findings show that among 3,101 children, 410 (13%) received NG during hospitalization, with significant site variation, highest in Dhaka (38%) and ≤17% elsewhere. Dhaka differs in their practices in NG-use; while the variations between urban and rural sites may reflect differences in resources. Compared to well-nourished children, the hazard of NG-use was 1.5 times higher in moderate-wasting, 2.5 times in severely-wasted, and 3.1 times in edematous-malnutrition (all, p &lt; 0.001). In-hospital mortality was higher among NG-fed children (12%) vs non-NG (3.5%; p &lt; 0.001). In conclusion, NG-use is frequent, but practices differ greatly between sites and influenced by patient condition. Understanding variation in practices and clarifying guidelines could improve care and outcomes in vulnerable pediatric populations.</w:t>
      </w:r>
    </w:p>
    <w:p w14:paraId="0B7A848C"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25-A-4142-ASTMH</w:t>
      </w:r>
    </w:p>
    <w:p w14:paraId="763BAFBF"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Malaria - Vaccines and Immunotherapeutics</w:t>
      </w:r>
    </w:p>
    <w:p w14:paraId="6AD217C3"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Systematic antibody evolution to achieve enhanced protective performance against malaria</w:t>
      </w:r>
    </w:p>
    <w:p w14:paraId="18E68AE7"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Antibodies can confer protection against malaria by blocking sporozoites (SPZ) from infecting hepatocytes in the liver. L9 is a highly potent human monoclonal antibody (mAb) which has high affinity to the minor repeats of </w:t>
      </w:r>
      <w:r w:rsidRPr="00356016">
        <w:rPr>
          <w:rFonts w:ascii="Calibri" w:eastAsia="Times New Roman" w:hAnsi="Calibri" w:cs="Calibri"/>
          <w:i/>
          <w:iCs/>
          <w:color w:val="000000"/>
          <w:kern w:val="0"/>
          <w:sz w:val="22"/>
          <w:szCs w:val="22"/>
          <w14:ligatures w14:val="none"/>
        </w:rPr>
        <w:t>Plasmodium falciparum</w:t>
      </w:r>
      <w:r w:rsidRPr="00356016">
        <w:rPr>
          <w:rFonts w:ascii="Calibri" w:eastAsia="Times New Roman" w:hAnsi="Calibri" w:cs="Calibri"/>
          <w:color w:val="000000"/>
          <w:kern w:val="0"/>
          <w:sz w:val="22"/>
          <w:szCs w:val="22"/>
          <w14:ligatures w14:val="none"/>
        </w:rPr>
        <w:t> circumsporozoite protein (PfCSP). To further improve the protective potency of L9, we implemented a systematic mutagenesis approach to rigorously explore L9 protein sequence space, including semi-randomized screening of multiple mutation combinations of L9 variants. We used yeast display and high-throughput functional screening to isolate evolved populations within mutant libraries with significantly increased affinity to targeted epitopes in the context of CSP antigen. Furthermore, we highlight several paired variable heavy and light chain sequences reconstructed from next generation sequencing data. </w:t>
      </w:r>
      <w:r w:rsidRPr="00356016">
        <w:rPr>
          <w:rFonts w:ascii="Calibri" w:eastAsia="Times New Roman" w:hAnsi="Calibri" w:cs="Calibri"/>
          <w:i/>
          <w:iCs/>
          <w:color w:val="000000"/>
          <w:kern w:val="0"/>
          <w:sz w:val="22"/>
          <w:szCs w:val="22"/>
          <w14:ligatures w14:val="none"/>
        </w:rPr>
        <w:t>In vitro</w:t>
      </w:r>
      <w:r w:rsidRPr="00356016">
        <w:rPr>
          <w:rFonts w:ascii="Calibri" w:eastAsia="Times New Roman" w:hAnsi="Calibri" w:cs="Calibri"/>
          <w:color w:val="000000"/>
          <w:kern w:val="0"/>
          <w:sz w:val="22"/>
          <w:szCs w:val="22"/>
          <w14:ligatures w14:val="none"/>
        </w:rPr>
        <w:t> and </w:t>
      </w:r>
      <w:r w:rsidRPr="00356016">
        <w:rPr>
          <w:rFonts w:ascii="Calibri" w:eastAsia="Times New Roman" w:hAnsi="Calibri" w:cs="Calibri"/>
          <w:i/>
          <w:iCs/>
          <w:color w:val="000000"/>
          <w:kern w:val="0"/>
          <w:sz w:val="22"/>
          <w:szCs w:val="22"/>
          <w14:ligatures w14:val="none"/>
        </w:rPr>
        <w:t>in vivo</w:t>
      </w:r>
      <w:r w:rsidRPr="00356016">
        <w:rPr>
          <w:rFonts w:ascii="Calibri" w:eastAsia="Times New Roman" w:hAnsi="Calibri" w:cs="Calibri"/>
          <w:color w:val="000000"/>
          <w:kern w:val="0"/>
          <w:sz w:val="22"/>
          <w:szCs w:val="22"/>
          <w14:ligatures w14:val="none"/>
        </w:rPr>
        <w:t> characterization revealed that some of the variants acquired mutations which could have contributed to enhanced </w:t>
      </w:r>
      <w:r w:rsidRPr="00356016">
        <w:rPr>
          <w:rFonts w:ascii="Calibri" w:eastAsia="Times New Roman" w:hAnsi="Calibri" w:cs="Calibri"/>
          <w:i/>
          <w:iCs/>
          <w:color w:val="000000"/>
          <w:kern w:val="0"/>
          <w:sz w:val="22"/>
          <w:szCs w:val="22"/>
          <w14:ligatures w14:val="none"/>
        </w:rPr>
        <w:t>in vivo</w:t>
      </w:r>
      <w:r w:rsidRPr="00356016">
        <w:rPr>
          <w:rFonts w:ascii="Calibri" w:eastAsia="Times New Roman" w:hAnsi="Calibri" w:cs="Calibri"/>
          <w:color w:val="000000"/>
          <w:kern w:val="0"/>
          <w:sz w:val="22"/>
          <w:szCs w:val="22"/>
          <w14:ligatures w14:val="none"/>
        </w:rPr>
        <w:t> potency against circulating malaria strains, and this functional improvement was a direct result of the substantially improved affinity to targeted epitopes. With additional functional evaluations and structural modeling, we seek to bridge the gap between mutational landscape and stronger anti-malarial performance in L9 variants. Ultimately, we hope to accelerate the use of low-cost, high-potency antibody therapeutics to effectively protect against new malaria infections.</w:t>
      </w:r>
    </w:p>
    <w:p w14:paraId="2FEA0BF9"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lastRenderedPageBreak/>
        <w:t>25-A-4235-ASTMH</w:t>
      </w:r>
    </w:p>
    <w:p w14:paraId="40DA1D62"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Malaria - Elimination</w:t>
      </w:r>
    </w:p>
    <w:p w14:paraId="0AA60ED9"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Implications and Lessons for ITN Campaign from ITN M&amp;E under LQAS in Lao PDR</w:t>
      </w:r>
    </w:p>
    <w:p w14:paraId="1F9450EF"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The Lao PDR has achieved remarkable progress in reducing malaria burden over the past decade - cases have declined by 99% with 342 cases recorded in 2024. Central to these successes have been the NMCP’s (CMPE’s) elimination strategy with vector control forming a core strategic pillar. Namely, ITN campaigns have been conducted triennially since 2016, targeting LLINs to high risk stratified villages. LLIN efficacy to protect at-risk populations and reduce vector densities post distribution, however, has been poorly understood where large-scale M&amp;E is costly and unfeasible in the current funding epoch. To address this gap, a M&amp;E pilot was developed, under a Lot Quality Assurance Sampling framework, to estimate indicators related to LLIN access, use, and performance. CMPE seized the opportunity to also profile mobile at-risk behaviour as transmission is now largely focalised to forest-related socio-economic activities. The methodology was piloted across 3 different health facility catchment areas and 3 provinces; in total, 26 villages and 566 households were randomly sampled. The results showed limited access to campaign LLINs, which is not an unexpected outcome nearly 3 years following the previous distribution. Conversely, when all bed nets were assessed, usage was estimated at 95% reflecting normative preferences for net usage across primary domiciles. Highlights from the mobility section revealed 62% of respondents entering forested areas in the past month and, within this cohort, 56% spending overnight at a secondary domicile, confirming greater levels of forest-going behaviour. The implications from these preliminary results are providing added impetus for CMPE to not only strengthen processes for the 2025 campaign, but to also consider effective strategies for forest goers. For this at-risk population, CMPE are exploring multi-faceted approaches involving novel vector control tools plus chemoprophylaxis, improved mobility surveillance, and targeted behaviour change communications. To move towards a zero-case paradigm, Lao PDR will need sustained and cost-effective surveillance data to inform intervention selection.</w:t>
      </w:r>
    </w:p>
    <w:p w14:paraId="17F199D9"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25-A-4240-ASTMH</w:t>
      </w:r>
    </w:p>
    <w:p w14:paraId="2AA7D613"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One Health: The Interface of Humans, Ecosystems, and Animal Health</w:t>
      </w:r>
    </w:p>
    <w:p w14:paraId="03CC723E"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Surveillance of zoonotic diseases in companion animals: a call to action</w:t>
      </w:r>
    </w:p>
    <w:p w14:paraId="5547781C"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Ownership of companion animals, such as dogs and cats, is common globally. Due to frequent, daily interactions between humans and their pets, there is increased risk of zoonotic disease transmission. Similar to other zoonotic diseases, the incidence of certain companion animal zoonotic diseases is predicted to increase under future climate conditions.</w:t>
      </w:r>
      <w:r w:rsidRPr="00356016">
        <w:rPr>
          <w:rFonts w:ascii="Calibri" w:eastAsia="Times New Roman" w:hAnsi="Calibri" w:cs="Calibri"/>
          <w:color w:val="000000"/>
          <w:kern w:val="0"/>
          <w:sz w:val="22"/>
          <w:szCs w:val="22"/>
          <w14:ligatures w14:val="none"/>
        </w:rPr>
        <w:br/>
        <w:t>The accessibility of large-scale data from veterinary clinics and diagnostic laboratories, lack of sustainable funding streams and time pressures faced by veterinary professionals represent significant barriers to designing and implementing effective companion animal health surveillance systems. Without comprehensive surveillance efforts, our ability to predict and mitigate the risks posed by climate-sensitive companion animal zoonotic diseases to both animal and human populations is limited.</w:t>
      </w:r>
      <w:r w:rsidRPr="00356016">
        <w:rPr>
          <w:rFonts w:ascii="Calibri" w:eastAsia="Times New Roman" w:hAnsi="Calibri" w:cs="Calibri"/>
          <w:color w:val="000000"/>
          <w:kern w:val="0"/>
          <w:sz w:val="22"/>
          <w:szCs w:val="22"/>
          <w14:ligatures w14:val="none"/>
        </w:rPr>
        <w:br/>
        <w:t>This poster will discuss our collective published and unpublished work in this area to date, including engagement with stakeholders through participatory workshops, conducting literature reviews, and environmental scanning activities. We will examine the challenges inherent to companion animal zoonotic disease surveillance through a One Health lens to make the case for increased funding, greater awareness, and prioritization of surveillance of zoonotic diseases in companion animals.</w:t>
      </w:r>
    </w:p>
    <w:p w14:paraId="31D79DDE"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25-A-4247-ASTMH</w:t>
      </w:r>
    </w:p>
    <w:p w14:paraId="37D0235E"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Mosquitoes - Epidemiology and Vector Control</w:t>
      </w:r>
    </w:p>
    <w:p w14:paraId="46E99F32"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b/>
          <w:bCs/>
          <w:color w:val="000000"/>
          <w:kern w:val="0"/>
          <w:sz w:val="22"/>
          <w:szCs w:val="22"/>
          <w14:ligatures w14:val="none"/>
        </w:rPr>
        <w:t>Implementation of the novel LQAS method in Panama: results and use of data for local decision making</w:t>
      </w:r>
    </w:p>
    <w:p w14:paraId="0B8D1709"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lastRenderedPageBreak/>
        <w:t>Since 2000, more than 3 billion insecticide-treated nets (ITNs) have been distributed globally, playing a pivotal role in malaria prevention. Despite this achievement, challenges such as limited net durability, budget constraints, coverage gaps, and inconsistent use continue to limit their impact. Having information on ITN durability could help resolve some of these challenges. While durability monitoring remains the gold standard for assessing ITN lifespan, the traditional methodology is resource-intensive, demanding substantial funding, personnel, and logistical support. To address these constraints, alternative approaches for collecting post-distribution data are needed. One such approach is lot quality assurance sampling (LQAS), a methodology that enables targeted, efficient data collection with reduced sample sizes. CHAI has piloted LQAS in multiple settings to explore its operational feasibility and programmatic value. This presentation will outline the LQAS methodology and demonstrate how it can be operationalized for ITN monitoring. We will show how data generated through LQAS can support timely decision-making by identifying geographic areas where ITN indicators are approaching critical thresholds. We will present settings where LQAS could be an appropriate data sampling method, alongside costing information, which is a fraction of traditional sampling methods. We will also consider the limitations of interpreting data collected in this way, whilst highlighting the need to conduct LQAS surveys, particularly given the current resource constrained environment. As malaria programs increasingly face financial and operational limitations, there is a growing need for streamlined, cost-effective monitoring strategies. This presentation will share key learnings and findings from CHAI’s LQAS pilots, highlighting its potential as a scalable and adaptive tool for improving ITN monitoring and informing strategic program decisions.</w:t>
      </w:r>
    </w:p>
    <w:p w14:paraId="3EB96DE4"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25-A-4248-ASTMH</w:t>
      </w:r>
    </w:p>
    <w:p w14:paraId="6AB99174"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Mosquitoes - Epidemiology and Vector Control</w:t>
      </w:r>
    </w:p>
    <w:p w14:paraId="6C0DEFDF"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b/>
          <w:bCs/>
          <w:color w:val="000000"/>
          <w:kern w:val="0"/>
          <w:sz w:val="22"/>
          <w:szCs w:val="22"/>
          <w14:ligatures w14:val="none"/>
        </w:rPr>
        <w:t>The operational research pathway for spatial emanators</w:t>
      </w:r>
    </w:p>
    <w:p w14:paraId="6DB82AF4"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Spatial emanators (SEs, also “spatial repellents”) are a new vector control tool, with a growing evidence base demonstrating public health value against both Anopheles and Aedes-borne diseases. With an expected WHO recommendation this year, there is a need to address critical operational research questions which are relevant to understanding their optimal deployment.Evidence to date has focused on demonstrating entomological and epidemiological value, and much is outstanding on a myriad of questions around </w:t>
      </w:r>
      <w:r w:rsidRPr="00356016">
        <w:rPr>
          <w:rFonts w:ascii="Calibri" w:eastAsia="Times New Roman" w:hAnsi="Calibri" w:cs="Calibri"/>
          <w:i/>
          <w:iCs/>
          <w:color w:val="000000"/>
          <w:kern w:val="0"/>
          <w:sz w:val="22"/>
          <w:szCs w:val="22"/>
          <w14:ligatures w14:val="none"/>
        </w:rPr>
        <w:t>how</w:t>
      </w:r>
      <w:r w:rsidRPr="00356016">
        <w:rPr>
          <w:rFonts w:ascii="Calibri" w:eastAsia="Times New Roman" w:hAnsi="Calibri" w:cs="Calibri"/>
          <w:color w:val="000000"/>
          <w:kern w:val="0"/>
          <w:sz w:val="22"/>
          <w:szCs w:val="22"/>
          <w14:ligatures w14:val="none"/>
        </w:rPr>
        <w:t> to deploy. The uptake and adoption of this valuable tool could be impeded if there is not a clear understanding of how to deploy in a cost-effective manner. Key questions include appropriate distribution channels, communication strategies, cadres to deploy and installation needs. As countries begin procuring and integrating SEs into their vector control strategies, operational research will be essential to guide effective deployment—informing such questions.This presentation will outline what evidence is well established, what is lacking and what the current plans are to fill those gaps. We will layout the outstanding operational research priorities of planned and future trials and pilots that span small and large-scale deployment. This presentation is expected to be useful for country programs, academic institutions, and operational partners who are interested in understanding the operational roadmap for the wider global adoption of SEs.</w:t>
      </w:r>
    </w:p>
    <w:p w14:paraId="4D54D70A"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25-A-4249-ASTMH</w:t>
      </w:r>
    </w:p>
    <w:p w14:paraId="4ACA72F9"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Mosquitoes - Epidemiology and Vector Control</w:t>
      </w:r>
    </w:p>
    <w:p w14:paraId="53A99A37"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b/>
          <w:bCs/>
          <w:color w:val="000000"/>
          <w:kern w:val="0"/>
          <w:sz w:val="22"/>
          <w:szCs w:val="22"/>
          <w14:ligatures w14:val="none"/>
        </w:rPr>
        <w:t>Enhanced net retention improves epidemiological outcomes for malaria: A multi-country modelling study</w:t>
      </w:r>
    </w:p>
    <w:p w14:paraId="2C8E0F11" w14:textId="77777777" w:rsidR="00356016" w:rsidRPr="00356016" w:rsidRDefault="00356016" w:rsidP="00356016">
      <w:pPr>
        <w:spacing w:before="100" w:beforeAutospacing="1" w:after="100" w:afterAutospacing="1" w:line="200" w:lineRule="atLeast"/>
        <w:rPr>
          <w:rFonts w:ascii="Calibri" w:eastAsia="Times New Roman" w:hAnsi="Calibri" w:cs="Calibri"/>
          <w:color w:val="000000"/>
          <w:kern w:val="0"/>
          <w:sz w:val="22"/>
          <w:szCs w:val="22"/>
          <w14:ligatures w14:val="none"/>
        </w:rPr>
      </w:pPr>
      <w:r w:rsidRPr="00356016">
        <w:rPr>
          <w:rFonts w:ascii="Calibri" w:eastAsia="Times New Roman" w:hAnsi="Calibri" w:cs="Calibri"/>
          <w:color w:val="000000"/>
          <w:kern w:val="0"/>
          <w:sz w:val="22"/>
          <w:szCs w:val="22"/>
          <w14:ligatures w14:val="none"/>
        </w:rPr>
        <w:t xml:space="preserve">Insecticide-treated nets (ITNs) are the primary tool for preventing malaria and have contributed to significant reductions in malaria cases across sub-Saharan Africa over the last two decades. However, with severe budget shortfalls, it is critical to strengthen this intervention to maximize the impact of every dollar invested. While ITNs are designed and distributed based on an expected lifespan of three years, a recent meta-analysis has shown that the median retention of ITNs in sub-Saharan Africa is just 1.6 years, leading to coverage gaps and reduced protection against malaria. To address this, a metric </w:t>
      </w:r>
      <w:r w:rsidRPr="00356016">
        <w:rPr>
          <w:rFonts w:ascii="Calibri" w:eastAsia="Times New Roman" w:hAnsi="Calibri" w:cs="Calibri"/>
          <w:color w:val="000000"/>
          <w:kern w:val="0"/>
          <w:sz w:val="22"/>
          <w:szCs w:val="22"/>
          <w14:ligatures w14:val="none"/>
        </w:rPr>
        <w:lastRenderedPageBreak/>
        <w:t>that quantifies a net’s physical robustness, correlating it with expected real-world performance has been developed. Building on NIRI’s work, researchers have refined the RD score, further improving its reliability as a predictor of ITN longevity. Currently, ITN procurement processes prioritize cost without systematically considering net durability. Integrating performance metrics such as RD scores into procurement could incentivize manufacturers to produce higher-performing products and foster market-driven innovation. This epidemiological modelling study aims to quantify the impact of increasing ITN retention times on malaria cases in sub-Saharan Africa and compare the outputs to increasing ITN coverage (ITNs volumes procured) under different scenarios. We use an open-source model of malaria transmission calibrated to recent prevalence estimates to model the impact of increasing retention times while accounting for region-specific variation in malaria epidemiology, demographics, seasonality and coverage. We found that extending ITN retention times by only months could avert a large proportion of malaria cases in sub-Saharan Africa. We found that increased ITN retention times could offset lower ITN coverage, offering a potentially cost-effective approach to saving more lives with less money. Reducing coverage gaps between campaigns will strengthen ITN effectiveness in malaria control programs, leading to significant reductions in malaria cases.</w:t>
      </w:r>
    </w:p>
    <w:p w14:paraId="430FA390" w14:textId="77777777" w:rsidR="00D93B49" w:rsidRPr="00AF28B8" w:rsidRDefault="00D93B49">
      <w:pPr>
        <w:rPr>
          <w:rFonts w:ascii="Calibri" w:hAnsi="Calibri" w:cs="Calibri"/>
          <w:sz w:val="22"/>
          <w:szCs w:val="22"/>
        </w:rPr>
      </w:pPr>
    </w:p>
    <w:sectPr w:rsidR="00D93B49" w:rsidRPr="00AF28B8" w:rsidSect="00454162">
      <w:pgSz w:w="12240" w:h="15840"/>
      <w:pgMar w:top="245" w:right="1440" w:bottom="24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D1C"/>
    <w:rsid w:val="0029652B"/>
    <w:rsid w:val="002E40CA"/>
    <w:rsid w:val="002F1C45"/>
    <w:rsid w:val="00356016"/>
    <w:rsid w:val="00454162"/>
    <w:rsid w:val="00484F79"/>
    <w:rsid w:val="005B3045"/>
    <w:rsid w:val="00625E8F"/>
    <w:rsid w:val="006505C0"/>
    <w:rsid w:val="007C7CE8"/>
    <w:rsid w:val="008B2783"/>
    <w:rsid w:val="008E7DCB"/>
    <w:rsid w:val="00AF28B8"/>
    <w:rsid w:val="00B4341F"/>
    <w:rsid w:val="00D93B49"/>
    <w:rsid w:val="00EE434E"/>
    <w:rsid w:val="00F7712C"/>
    <w:rsid w:val="00FE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D84F"/>
  <w15:chartTrackingRefBased/>
  <w15:docId w15:val="{D1F749C6-F7B6-413D-8830-EA37828E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D1C"/>
    <w:rPr>
      <w:rFonts w:eastAsiaTheme="majorEastAsia" w:cstheme="majorBidi"/>
      <w:color w:val="272727" w:themeColor="text1" w:themeTint="D8"/>
    </w:rPr>
  </w:style>
  <w:style w:type="paragraph" w:styleId="Title">
    <w:name w:val="Title"/>
    <w:basedOn w:val="Normal"/>
    <w:next w:val="Normal"/>
    <w:link w:val="TitleChar"/>
    <w:uiPriority w:val="10"/>
    <w:qFormat/>
    <w:rsid w:val="00FE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D1C"/>
    <w:pPr>
      <w:spacing w:before="160"/>
      <w:jc w:val="center"/>
    </w:pPr>
    <w:rPr>
      <w:i/>
      <w:iCs/>
      <w:color w:val="404040" w:themeColor="text1" w:themeTint="BF"/>
    </w:rPr>
  </w:style>
  <w:style w:type="character" w:customStyle="1" w:styleId="QuoteChar">
    <w:name w:val="Quote Char"/>
    <w:basedOn w:val="DefaultParagraphFont"/>
    <w:link w:val="Quote"/>
    <w:uiPriority w:val="29"/>
    <w:rsid w:val="00FE5D1C"/>
    <w:rPr>
      <w:i/>
      <w:iCs/>
      <w:color w:val="404040" w:themeColor="text1" w:themeTint="BF"/>
    </w:rPr>
  </w:style>
  <w:style w:type="paragraph" w:styleId="ListParagraph">
    <w:name w:val="List Paragraph"/>
    <w:basedOn w:val="Normal"/>
    <w:uiPriority w:val="34"/>
    <w:qFormat/>
    <w:rsid w:val="00FE5D1C"/>
    <w:pPr>
      <w:ind w:left="720"/>
      <w:contextualSpacing/>
    </w:pPr>
  </w:style>
  <w:style w:type="character" w:styleId="IntenseEmphasis">
    <w:name w:val="Intense Emphasis"/>
    <w:basedOn w:val="DefaultParagraphFont"/>
    <w:uiPriority w:val="21"/>
    <w:qFormat/>
    <w:rsid w:val="00FE5D1C"/>
    <w:rPr>
      <w:i/>
      <w:iCs/>
      <w:color w:val="0F4761" w:themeColor="accent1" w:themeShade="BF"/>
    </w:rPr>
  </w:style>
  <w:style w:type="paragraph" w:styleId="IntenseQuote">
    <w:name w:val="Intense Quote"/>
    <w:basedOn w:val="Normal"/>
    <w:next w:val="Normal"/>
    <w:link w:val="IntenseQuoteChar"/>
    <w:uiPriority w:val="30"/>
    <w:qFormat/>
    <w:rsid w:val="00FE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D1C"/>
    <w:rPr>
      <w:i/>
      <w:iCs/>
      <w:color w:val="0F4761" w:themeColor="accent1" w:themeShade="BF"/>
    </w:rPr>
  </w:style>
  <w:style w:type="character" w:styleId="IntenseReference">
    <w:name w:val="Intense Reference"/>
    <w:basedOn w:val="DefaultParagraphFont"/>
    <w:uiPriority w:val="32"/>
    <w:qFormat/>
    <w:rsid w:val="00FE5D1C"/>
    <w:rPr>
      <w:b/>
      <w:bCs/>
      <w:smallCaps/>
      <w:color w:val="0F4761" w:themeColor="accent1" w:themeShade="BF"/>
      <w:spacing w:val="5"/>
    </w:rPr>
  </w:style>
  <w:style w:type="paragraph" w:customStyle="1" w:styleId="msonormal0">
    <w:name w:val="msonormal"/>
    <w:basedOn w:val="Normal"/>
    <w:rsid w:val="00FE5D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trolnumber">
    <w:name w:val="controlnumber"/>
    <w:basedOn w:val="Normal"/>
    <w:rsid w:val="00FE5D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ic1">
    <w:name w:val="topic1"/>
    <w:basedOn w:val="Normal"/>
    <w:rsid w:val="00FE5D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ublishingtitle">
    <w:name w:val="publishingtitle"/>
    <w:basedOn w:val="Normal"/>
    <w:rsid w:val="00FE5D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body">
    <w:name w:val="abody"/>
    <w:basedOn w:val="Normal"/>
    <w:rsid w:val="00FE5D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FE5D1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E5D1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E5D1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E5D1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42477BD447904185B751C7C3D86B5E" ma:contentTypeVersion="13" ma:contentTypeDescription="Create a new document." ma:contentTypeScope="" ma:versionID="a9568a5141c34e43ecc548e2797b73a3">
  <xsd:schema xmlns:xsd="http://www.w3.org/2001/XMLSchema" xmlns:xs="http://www.w3.org/2001/XMLSchema" xmlns:p="http://schemas.microsoft.com/office/2006/metadata/properties" xmlns:ns2="02230e93-ad68-44ed-bb95-bbe09b345fde" xmlns:ns3="aeb00e13-0d6a-43df-8d0b-846e906c3468" targetNamespace="http://schemas.microsoft.com/office/2006/metadata/properties" ma:root="true" ma:fieldsID="8d6cb8a2f8a445e862fd10bb3899e6e2" ns2:_="" ns3:_="">
    <xsd:import namespace="02230e93-ad68-44ed-bb95-bbe09b345fde"/>
    <xsd:import namespace="aeb00e13-0d6a-43df-8d0b-846e906c3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230e93-ad68-44ed-bb95-bbe09b345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736237f-fbc6-4b3c-9210-5bc3738d96a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b00e13-0d6a-43df-8d0b-846e906c346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55191b3-b108-4f6f-a11a-9036f2a2aa6a}" ma:internalName="TaxCatchAll" ma:showField="CatchAllData" ma:web="aeb00e13-0d6a-43df-8d0b-846e906c3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eb00e13-0d6a-43df-8d0b-846e906c3468" xsi:nil="true"/>
    <lcf76f155ced4ddcb4097134ff3c332f xmlns="02230e93-ad68-44ed-bb95-bbe09b345f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AD82E3-8623-46E9-BFD8-76EEC8B56F04}"/>
</file>

<file path=customXml/itemProps2.xml><?xml version="1.0" encoding="utf-8"?>
<ds:datastoreItem xmlns:ds="http://schemas.openxmlformats.org/officeDocument/2006/customXml" ds:itemID="{37CA903F-5F57-4156-AC3A-F631D0E36C02}"/>
</file>

<file path=customXml/itemProps3.xml><?xml version="1.0" encoding="utf-8"?>
<ds:datastoreItem xmlns:ds="http://schemas.openxmlformats.org/officeDocument/2006/customXml" ds:itemID="{476A121F-ECDA-4135-90F2-F31C2E123C9D}"/>
</file>

<file path=docProps/app.xml><?xml version="1.0" encoding="utf-8"?>
<Properties xmlns="http://schemas.openxmlformats.org/officeDocument/2006/extended-properties" xmlns:vt="http://schemas.openxmlformats.org/officeDocument/2006/docPropsVTypes">
  <Template>Normal</Template>
  <TotalTime>15</TotalTime>
  <Pages>996</Pages>
  <Words>607224</Words>
  <Characters>3691928</Characters>
  <Application>Microsoft Office Word</Application>
  <DocSecurity>0</DocSecurity>
  <Lines>36195</Lines>
  <Paragraphs>9469</Paragraphs>
  <ScaleCrop>false</ScaleCrop>
  <Company/>
  <LinksUpToDate>false</LinksUpToDate>
  <CharactersWithSpaces>4289683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DeAcetis</dc:creator>
  <cp:keywords/>
  <dc:description/>
  <cp:lastModifiedBy>Judy DeAcetis</cp:lastModifiedBy>
  <cp:revision>14</cp:revision>
  <dcterms:created xsi:type="dcterms:W3CDTF">2026-03-13T15:09:00Z</dcterms:created>
  <dcterms:modified xsi:type="dcterms:W3CDTF">2026-03-13T15:24:00Z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0x0101000D42477BD447904185B751C7C3D86B5E</vt:lpwstr>
  </property>
</Properties>
</file>