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1. Developing a water-smart economy: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using advanced solutions and a systems approach to eco-innovation, a</w:t>
      </w:r>
    </w:p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state-of-the-future water infrastructure, a circular water-economy, as well as new economic models based on the true</w:t>
      </w:r>
      <w:r w:rsidR="000C0A88">
        <w:rPr>
          <w:rFonts w:ascii="AvantGardeITCbyBT-Book" w:hAnsi="AvantGardeITCbyBT-Book" w:cs="AvantGardeITCbyBT-Book" w:hint="eastAsia"/>
          <w:color w:val="333333"/>
          <w:kern w:val="0"/>
          <w:szCs w:val="20"/>
        </w:rPr>
        <w:t xml:space="preserve">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value of water for different sectors and purposes, in order to increase rational use and re-use;</w:t>
      </w:r>
    </w:p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Demi" w:hAnsi="AvantGardeITCbyBT-Demi" w:cs="AvantGardeITCbyBT-Demi"/>
          <w:color w:val="333333"/>
          <w:kern w:val="0"/>
          <w:szCs w:val="20"/>
        </w:rPr>
        <w:t xml:space="preserve">2. New digital and water technologies: </w:t>
      </w:r>
      <w:r>
        <w:rPr>
          <w:rFonts w:ascii="AvantGardeITCbyBT-Book" w:hAnsi="AvantGardeITCbyBT-Book" w:cs="AvantGardeITCbyBT-Book"/>
          <w:color w:val="333333"/>
          <w:kern w:val="0"/>
          <w:szCs w:val="20"/>
        </w:rPr>
        <w:t>deploying advanced digital solutions for water in a capillary network of sensors</w:t>
      </w:r>
    </w:p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 water distribution systems at various levels (industrial, urban, rural, regional, river basin), capturing and using this new</w:t>
      </w:r>
    </w:p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>information to manage them in real time. Developing advanced water-treatment solutions to achieve good status of</w:t>
      </w:r>
    </w:p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European water bodies. Enable synergies between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decentralised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treatments, as well as economically</w:t>
      </w:r>
    </w:p>
    <w:p w:rsidR="00B9650D" w:rsidRDefault="00B9650D" w:rsidP="00B9650D">
      <w:pPr>
        <w:wordWrap/>
        <w:adjustRightInd w:val="0"/>
        <w:jc w:val="left"/>
        <w:rPr>
          <w:rFonts w:ascii="AvantGardeITCbyBT-Book" w:hAnsi="AvantGardeITCbyBT-Book" w:cs="AvantGardeITCbyBT-Book"/>
          <w:color w:val="333333"/>
          <w:kern w:val="0"/>
          <w:szCs w:val="20"/>
        </w:rPr>
      </w:pPr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viable extraction and </w:t>
      </w:r>
      <w:proofErr w:type="spellStart"/>
      <w:r>
        <w:rPr>
          <w:rFonts w:ascii="AvantGardeITCbyBT-Book" w:hAnsi="AvantGardeITCbyBT-Book" w:cs="AvantGardeITCbyBT-Book"/>
          <w:color w:val="333333"/>
          <w:kern w:val="0"/>
          <w:szCs w:val="20"/>
        </w:rPr>
        <w:t>valorisation</w:t>
      </w:r>
      <w:proofErr w:type="spellEnd"/>
      <w:r>
        <w:rPr>
          <w:rFonts w:ascii="AvantGardeITCbyBT-Book" w:hAnsi="AvantGardeITCbyBT-Book" w:cs="AvantGardeITCbyBT-Book"/>
          <w:color w:val="333333"/>
          <w:kern w:val="0"/>
          <w:szCs w:val="20"/>
        </w:rPr>
        <w:t xml:space="preserve"> of valuable substances and energy in water. Use advanced materials in the water</w:t>
      </w:r>
    </w:p>
    <w:p w:rsidR="00E113DC" w:rsidRDefault="00E113DC"/>
    <w:sectPr w:rsidR="00E113DC" w:rsidSect="00E11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26B" w:rsidRDefault="0090026B" w:rsidP="000C0A88">
      <w:r>
        <w:separator/>
      </w:r>
    </w:p>
  </w:endnote>
  <w:endnote w:type="continuationSeparator" w:id="0">
    <w:p w:rsidR="0090026B" w:rsidRDefault="0090026B" w:rsidP="000C0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ITCbyBT-Book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  <w:font w:name="AvantGardeITCbyBT-Demi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26B" w:rsidRDefault="0090026B" w:rsidP="000C0A88">
      <w:r>
        <w:separator/>
      </w:r>
    </w:p>
  </w:footnote>
  <w:footnote w:type="continuationSeparator" w:id="0">
    <w:p w:rsidR="0090026B" w:rsidRDefault="0090026B" w:rsidP="000C0A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50D"/>
    <w:rsid w:val="0003516A"/>
    <w:rsid w:val="000C0A88"/>
    <w:rsid w:val="0090026B"/>
    <w:rsid w:val="00B9650D"/>
    <w:rsid w:val="00BF28F2"/>
    <w:rsid w:val="00E1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5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C0A88"/>
  </w:style>
  <w:style w:type="paragraph" w:styleId="a4">
    <w:name w:val="footer"/>
    <w:basedOn w:val="a"/>
    <w:link w:val="Char0"/>
    <w:uiPriority w:val="99"/>
    <w:semiHidden/>
    <w:unhideWhenUsed/>
    <w:rsid w:val="000C0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C0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채현병</dc:creator>
  <cp:lastModifiedBy>채현병</cp:lastModifiedBy>
  <cp:revision>2</cp:revision>
  <dcterms:created xsi:type="dcterms:W3CDTF">2019-02-09T23:30:00Z</dcterms:created>
  <dcterms:modified xsi:type="dcterms:W3CDTF">2019-02-09T23:57:00Z</dcterms:modified>
</cp:coreProperties>
</file>