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160"/>
      </w:pPr>
      <w:r>
        <w:rPr>
          <w:b/>
          <w:color w:val="0B8F7E"/>
          <w:sz w:val="24"/>
        </w:rPr>
        <w:t>HAKIKA</w:t>
      </w:r>
    </w:p>
    <w:p>
      <w:pPr>
        <w:spacing w:after="160"/>
      </w:pPr>
      <w:r>
        <w:rPr>
          <w:b/>
          <w:color w:val="101827"/>
          <w:sz w:val="68"/>
        </w:rPr>
        <w:t>Business OS</w:t>
      </w:r>
    </w:p>
    <w:p>
      <w:pPr>
        <w:spacing w:after="480"/>
      </w:pPr>
      <w:r>
        <w:rPr>
          <w:color w:val="475569"/>
          <w:sz w:val="36"/>
        </w:rPr>
        <w:t>Complete Rebuild Architecture &amp; Product Specification</w:t>
      </w:r>
    </w:p>
    <w:tbl>
      <w:tblPr>
        <w:tblStyle w:val="TableGrid"/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76"/>
      </w:tblGrid>
      <w:tr>
        <w:tc>
          <w:tcPr>
            <w:tcW w:type="dxa" w:w="9576"/>
            <w:shd w:fill="ECFD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0B8F7E"/>
              </w:rPr>
              <w:t xml:space="preserve">BUILD DECISION  </w:t>
            </w:r>
            <w:r>
              <w:rPr>
                <w:color w:val="101827"/>
              </w:rPr>
              <w:t>Create a new modular system in a new repository and a new Supabase project. Keep the legacy application read-only as a migration source; do not transplant its access-control foundation.</w:t>
            </w:r>
          </w:p>
        </w:tc>
      </w:tr>
    </w:tbl>
    <w:p>
      <w:pPr>
        <w:spacing w:after="0"/>
      </w:pPr>
    </w:p>
    <w:p>
      <w:pPr>
        <w:spacing w:before="360" w:after="80"/>
      </w:pPr>
      <w:r>
        <w:rPr>
          <w:b/>
          <w:color w:val="101827"/>
          <w:sz w:val="24"/>
        </w:rPr>
        <w:t>Implementation contract</w:t>
      </w:r>
    </w:p>
    <w:p>
      <w:pPr>
        <w:spacing w:after="60"/>
      </w:pPr>
      <w:r>
        <w:rPr>
          <w:color w:val="475569"/>
          <w:sz w:val="20"/>
        </w:rPr>
        <w:t>Prepared for Codex implementation</w:t>
      </w:r>
    </w:p>
    <w:p>
      <w:pPr>
        <w:spacing w:after="60"/>
      </w:pPr>
      <w:r>
        <w:rPr>
          <w:color w:val="475569"/>
          <w:sz w:val="20"/>
        </w:rPr>
        <w:t>Version 1.1 · 11 August 2026</w:t>
      </w:r>
    </w:p>
    <w:p>
      <w:pPr>
        <w:spacing w:after="60"/>
      </w:pPr>
      <w:r>
        <w:rPr>
          <w:color w:val="475569"/>
          <w:sz w:val="20"/>
        </w:rPr>
        <w:t>Scope: Home, authentication, launcher, admin surfaces, application folders, database, RLS, Real Estate inventory, documentation and delivery gates</w:t>
      </w:r>
    </w:p>
    <w:p>
      <w:r>
        <w:br w:type="page"/>
      </w:r>
    </w:p>
    <w:p>
      <w:pPr>
        <w:pStyle w:val="Heading1"/>
      </w:pPr>
      <w:r>
        <w:t>1. Architecture decision</w:t>
      </w:r>
    </w:p>
    <w:p>
      <w:r>
        <w:t>Platform Admin and Customer Admin must be separate products at the authorization level, while sharing the same design system, reusable components, authentication session, and selected administration features.</w:t>
      </w:r>
    </w:p>
    <w:tbl>
      <w:tblPr>
        <w:tblStyle w:val="TableGrid"/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32"/>
        <w:gridCol w:w="3671"/>
        <w:gridCol w:w="1872"/>
      </w:tblGrid>
      <w:tr>
        <w:trPr>
          <w:tblHeader w:val="true"/>
        </w:trPr>
        <w:tc>
          <w:tcPr>
            <w:tcW w:type="dxa" w:w="1800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Surface</w:t>
            </w:r>
          </w:p>
        </w:tc>
        <w:tc>
          <w:tcPr>
            <w:tcW w:type="dxa" w:w="2232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users</w:t>
            </w:r>
          </w:p>
        </w:tc>
        <w:tc>
          <w:tcPr>
            <w:tcW w:type="dxa" w:w="3671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1872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Billing access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Platform Admin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Verified Hakika platform operators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Every organization, company, application, plan, subscription and platform event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Global billing and provisioning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Customer Admin</w:t>
            </w:r>
          </w:p>
        </w:tc>
        <w:tc>
          <w:tcPr>
            <w:tcW w:type="dxa" w:w="223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Organization owners and delegated administrators</w:t>
            </w:r>
          </w:p>
        </w:tc>
        <w:tc>
          <w:tcPr>
            <w:tcW w:type="dxa" w:w="3671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Only the active organization and its companies</w:t>
            </w:r>
          </w:p>
        </w:tc>
        <w:tc>
          <w:tcPr>
            <w:tcW w:type="dxa" w:w="187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Own subscriptions, invoices and receipts</w:t>
            </w:r>
          </w:p>
        </w:tc>
      </w:tr>
    </w:tbl>
    <w:p>
      <w:pPr>
        <w:spacing w:after="20"/>
      </w:pPr>
    </w:p>
    <w:tbl>
      <w:tblPr>
        <w:tblStyle w:val="TableGrid"/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76"/>
      </w:tblGrid>
      <w:tr>
        <w:tc>
          <w:tcPr>
            <w:tcW w:type="dxa" w:w="9576"/>
            <w:shd w:fill="ECFD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0B8F7E"/>
              </w:rPr>
              <w:t xml:space="preserve">WHY THIS MATTERS  </w:t>
            </w:r>
            <w:r>
              <w:rPr>
                <w:color w:val="101827"/>
              </w:rPr>
              <w:t>A shared UI is efficient; shared authority is dangerous. A customer admin must never inherit platform-wide queries, routes, service-role operations, or exceptions merely because the screens look similar.</w:t>
            </w:r>
          </w:p>
        </w:tc>
      </w:tr>
    </w:tbl>
    <w:p>
      <w:pPr>
        <w:spacing w:after="0"/>
      </w:pPr>
    </w:p>
    <w:p>
      <w:pPr>
        <w:pStyle w:val="ListBullet"/>
        <w:spacing w:after="80"/>
        <w:ind w:left="720" w:hanging="360"/>
      </w:pPr>
      <w:r>
        <w:t>Platform Admin is an installed internal application, not an elevated mode hidden inside Customer Admin.</w:t>
      </w:r>
    </w:p>
    <w:p>
      <w:pPr>
        <w:pStyle w:val="ListBullet"/>
        <w:spacing w:after="80"/>
        <w:ind w:left="720" w:hanging="360"/>
      </w:pPr>
      <w:r>
        <w:t>Customer Admin is included for every customer organization and manages that organization only.</w:t>
      </w:r>
    </w:p>
    <w:p>
      <w:pPr>
        <w:pStyle w:val="ListBullet"/>
        <w:spacing w:after="80"/>
        <w:ind w:left="720" w:hanging="360"/>
      </w:pPr>
      <w:r>
        <w:t>Reusable member, company, role and audit components live in shared packages, but their repositories and permission checks receive an explicit scope.</w:t>
      </w:r>
    </w:p>
    <w:p>
      <w:pPr>
        <w:pStyle w:val="ListBullet"/>
        <w:spacing w:after="80"/>
        <w:ind w:left="720" w:hanging="360"/>
      </w:pPr>
      <w:r>
        <w:t>Organization 0 remains the platform-owner organization. Billing exemption does not replace memberships or permissions.</w:t>
      </w:r>
    </w:p>
    <w:p>
      <w:pPr>
        <w:pStyle w:val="Heading1"/>
      </w:pPr>
      <w:r>
        <w:t>2. Product model and non-negotiable rules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76"/>
      </w:tblGrid>
      <w:tr>
        <w:tc>
          <w:tcPr>
            <w:tcW w:type="dxa" w:w="957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1827"/>
                <w:sz w:val="16"/>
              </w:rPr>
              <w:t>Identity</w:t>
              <w:br/>
              <w:t>└── Organization membership</w:t>
              <w:br/>
              <w:t xml:space="preserve">    ├── Company membership</w:t>
              <w:br/>
              <w:t xml:space="preserve">    └── Application entitlement</w:t>
              <w:br/>
              <w:t xml:space="preserve">        └── Application role and permissions</w:t>
            </w:r>
          </w:p>
        </w:tc>
      </w:tr>
    </w:tbl>
    <w:p>
      <w:pPr>
        <w:spacing w:after="0"/>
      </w:pPr>
    </w:p>
    <w:p>
      <w:pPr>
        <w:pStyle w:val="ListBullet"/>
        <w:spacing w:after="80"/>
        <w:ind w:left="720" w:hanging="360"/>
      </w:pPr>
      <w:r>
        <w:t>One Supabase identity and one session serve the public account area, launcher and every entitled application.</w:t>
      </w:r>
    </w:p>
    <w:p>
      <w:pPr>
        <w:pStyle w:val="ListBullet"/>
        <w:spacing w:after="80"/>
        <w:ind w:left="720" w:hanging="360"/>
      </w:pPr>
      <w:r>
        <w:t>The launcher is the default authenticated landing page. Applications may open in a new tab without another login.</w:t>
      </w:r>
    </w:p>
    <w:p>
      <w:pPr>
        <w:pStyle w:val="ListBullet"/>
        <w:spacing w:after="80"/>
        <w:ind w:left="720" w:hanging="360"/>
      </w:pPr>
      <w:r>
        <w:t>A newly provisioned organization receives Customer Admin plus only the applications it rents.</w:t>
      </w:r>
    </w:p>
    <w:p>
      <w:pPr>
        <w:pStyle w:val="ListBullet"/>
        <w:spacing w:after="80"/>
        <w:ind w:left="720" w:hanging="360"/>
      </w:pPr>
      <w:r>
        <w:t>A new customer dashboard is empty of operational data; only required configuration and onboarding tasks are created.</w:t>
      </w:r>
    </w:p>
    <w:p>
      <w:pPr>
        <w:pStyle w:val="ListBullet"/>
        <w:spacing w:after="80"/>
        <w:ind w:left="720" w:hanging="360"/>
      </w:pPr>
      <w:r>
        <w:t>No user is silently assigned to Organization 0. Platform access requires reviewed membership and platform roles.</w:t>
      </w:r>
    </w:p>
    <w:p>
      <w:pPr>
        <w:pStyle w:val="ListBullet"/>
        <w:spacing w:after="80"/>
        <w:ind w:left="720" w:hanging="360"/>
      </w:pPr>
      <w:r>
        <w:t>Organization is the tenant boundary. Company is the operational subdivision. “Workspace” may be a UI label, not a competing database entity.</w:t>
      </w:r>
    </w:p>
    <w:p>
      <w:pPr>
        <w:pStyle w:val="Heading1"/>
      </w:pPr>
      <w:r>
        <w:t>3. Repository root and directory responsibilities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76"/>
      </w:tblGrid>
      <w:tr>
        <w:tc>
          <w:tcPr>
            <w:tcW w:type="dxa" w:w="957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1827"/>
                <w:sz w:val="16"/>
              </w:rPr>
              <w:t>hakika-business-os/</w:t>
              <w:br/>
              <w:t>├── frontend/</w:t>
              <w:br/>
              <w:t>│   ├── src/app/                 # Next.js route entrypoints</w:t>
              <w:br/>
              <w:t>│   ├── src/applications/        # One folder per Business OS application</w:t>
              <w:br/>
              <w:t>│   ├── src/components/          # Cross-application presentation components</w:t>
              <w:br/>
              <w:t>│   ├── src/layouts/             # Public, account and workspace shells</w:t>
              <w:br/>
              <w:t>│   ├── src/lib/                 # Supabase, auth, access and telemetry clients</w:t>
              <w:br/>
              <w:t>│   ├── src/providers/           # One session provider; UI providers only</w:t>
              <w:br/>
              <w:t>│   ├── src/styles/              # Design tokens and global styles</w:t>
              <w:br/>
              <w:t>│   ├── public/</w:t>
              <w:br/>
              <w:t>│   ├── tests/</w:t>
              <w:br/>
              <w:t>│   └── README.md</w:t>
              <w:br/>
              <w:t>├── backend/</w:t>
              <w:br/>
              <w:t>│   ├── supabase/migrations/</w:t>
              <w:br/>
              <w:t>│   ├── supabase/functions/</w:t>
              <w:br/>
              <w:t>│   ├── supabase/seed/</w:t>
              <w:br/>
              <w:t>│   ├── supabase/tests/</w:t>
              <w:br/>
              <w:t>│   ├── services/</w:t>
              <w:br/>
              <w:t>│   ├── scripts/</w:t>
              <w:br/>
              <w:t>│   └── README.md</w:t>
              <w:br/>
              <w:t>├── packages/</w:t>
              <w:br/>
              <w:t>│   ├── ui/ auth/ tenancy/ permissions/</w:t>
              <w:br/>
              <w:t>│   ├── database/ validation/ config/ observability/</w:t>
              <w:br/>
              <w:t>│   └── README.md</w:t>
              <w:br/>
              <w:t>├── docs/</w:t>
              <w:br/>
              <w:t>├── tests/</w:t>
              <w:br/>
              <w:t>├── package.json</w:t>
              <w:br/>
              <w:t>├── pnpm-workspace.yaml</w:t>
              <w:br/>
              <w:t>├── turbo.json</w:t>
              <w:br/>
              <w:t>├── .env.example</w:t>
              <w:br/>
              <w:t>└── README.md</w:t>
            </w:r>
          </w:p>
        </w:tc>
      </w:tr>
    </w:tbl>
    <w:p>
      <w:pPr>
        <w:spacing w:after="0"/>
      </w:pPr>
    </w:p>
    <w:p>
      <w:pPr>
        <w:pStyle w:val="Heading2"/>
      </w:pPr>
      <w:r>
        <w:t>3.1 Frontend application folders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76"/>
      </w:tblGrid>
      <w:tr>
        <w:tc>
          <w:tcPr>
            <w:tcW w:type="dxa" w:w="957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1827"/>
                <w:sz w:val="16"/>
              </w:rPr>
              <w:t>frontend/src/applications/</w:t>
              <w:br/>
              <w:t>├── launcher/</w:t>
              <w:br/>
              <w:t>├── platform-admin/</w:t>
              <w:br/>
              <w:t>├── customer-admin/</w:t>
              <w:br/>
              <w:t>├── real-estate/</w:t>
              <w:br/>
              <w:t>├── hr/</w:t>
              <w:br/>
              <w:t>├── finance/</w:t>
              <w:br/>
              <w:t>└── toughforce/</w:t>
            </w:r>
          </w:p>
        </w:tc>
      </w:tr>
    </w:tbl>
    <w:p>
      <w:pPr>
        <w:spacing w:after="0"/>
      </w:pPr>
    </w:p>
    <w:p>
      <w:r>
        <w:t>Every application folder follows the same contract: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76"/>
      </w:tblGrid>
      <w:tr>
        <w:tc>
          <w:tcPr>
            <w:tcW w:type="dxa" w:w="957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1827"/>
                <w:sz w:val="16"/>
              </w:rPr>
              <w:t>&lt;application&gt;/</w:t>
              <w:br/>
              <w:t>├── components/</w:t>
              <w:br/>
              <w:t>├── layouts/</w:t>
              <w:br/>
              <w:t>├── navigation/sidebar.config.ts</w:t>
              <w:br/>
              <w:t>├── pages/</w:t>
              <w:br/>
              <w:t>├── features/</w:t>
              <w:br/>
              <w:t>├── repositories/</w:t>
              <w:br/>
              <w:t>├── services/</w:t>
              <w:br/>
              <w:t>├── schemas/</w:t>
              <w:br/>
              <w:t>├── hooks/</w:t>
              <w:br/>
              <w:t>├── permissions/</w:t>
              <w:br/>
              <w:t>├── types/</w:t>
              <w:br/>
              <w:t>├── tests/</w:t>
              <w:br/>
              <w:t>└── README.md</w:t>
            </w:r>
          </w:p>
        </w:tc>
      </w:tr>
    </w:tbl>
    <w:p>
      <w:pPr>
        <w:spacing w:after="0"/>
      </w:pPr>
    </w:p>
    <w:tbl>
      <w:tblPr>
        <w:tblStyle w:val="TableGrid"/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76"/>
      </w:tblGrid>
      <w:tr>
        <w:tc>
          <w:tcPr>
            <w:tcW w:type="dxa" w:w="9576"/>
            <w:shd w:fill="ECFD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0B8F7E"/>
              </w:rPr>
              <w:t xml:space="preserve">ROUTING RULE  </w:t>
            </w:r>
            <w:r>
              <w:rPr>
                <w:color w:val="101827"/>
              </w:rPr>
              <w:t>Next.js page files are thin adapters. Business pages, queries and mutations live in the relevant application folder. A route imports a page component; it does not contain direct Supabase queries.</w:t>
            </w:r>
          </w:p>
        </w:tc>
      </w:tr>
    </w:tbl>
    <w:p>
      <w:pPr>
        <w:spacing w:after="0"/>
      </w:pPr>
    </w:p>
    <w:p>
      <w:pPr>
        <w:pStyle w:val="Heading2"/>
      </w:pPr>
      <w:r>
        <w:t>3.2 Backend folders</w:t>
      </w:r>
    </w:p>
    <w:tbl>
      <w:tblPr>
        <w:tblStyle w:val="TableGrid"/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6552"/>
      </w:tblGrid>
      <w:tr>
        <w:trPr>
          <w:tblHeader w:val="true"/>
        </w:trPr>
        <w:tc>
          <w:tcPr>
            <w:tcW w:type="dxa" w:w="3024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Directory</w:t>
            </w:r>
          </w:p>
        </w:tc>
        <w:tc>
          <w:tcPr>
            <w:tcW w:type="dxa" w:w="6552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backend/supabase/migrations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Ordered, immutable schema and RLS migrations grouped by domain naming convention</w:t>
            </w:r>
          </w:p>
        </w:tc>
      </w:tr>
      <w:tr>
        <w:tc>
          <w:tcPr>
            <w:tcW w:type="dxa" w:w="302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backend/supabase/functions</w:t>
            </w:r>
          </w:p>
        </w:tc>
        <w:tc>
          <w:tcPr>
            <w:tcW w:type="dxa" w:w="65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Privileged workflows: provisioning, billing runs, payment callbacks, invitations and notifications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backend/supabase/tests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pgTAP tests for functions, constraints and RLS isolation</w:t>
            </w:r>
          </w:p>
        </w:tc>
      </w:tr>
      <w:tr>
        <w:tc>
          <w:tcPr>
            <w:tcW w:type="dxa" w:w="302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backend/services</w:t>
            </w:r>
          </w:p>
        </w:tc>
        <w:tc>
          <w:tcPr>
            <w:tcW w:type="dxa" w:w="65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Domain orchestration shared by functions; no browser imports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backend/scripts/migration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Repeatable legacy ETL and mapping scripts</w:t>
            </w:r>
          </w:p>
        </w:tc>
      </w:tr>
      <w:tr>
        <w:tc>
          <w:tcPr>
            <w:tcW w:type="dxa" w:w="302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backend/scripts/verification</w:t>
            </w:r>
          </w:p>
        </w:tc>
        <w:tc>
          <w:tcPr>
            <w:tcW w:type="dxa" w:w="65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Counts, reconciliation, orphan checks and release gates</w:t>
            </w:r>
          </w:p>
        </w:tc>
      </w:tr>
    </w:tbl>
    <w:p>
      <w:pPr>
        <w:spacing w:after="20"/>
      </w:pPr>
    </w:p>
    <w:p>
      <w:pPr>
        <w:pStyle w:val="Heading2"/>
      </w:pPr>
      <w:r>
        <w:t>3.3 Documentation contract for all major directories</w:t>
      </w:r>
    </w:p>
    <w:p>
      <w:pPr>
        <w:pStyle w:val="ListBullet"/>
        <w:spacing w:after="80"/>
        <w:ind w:left="720" w:hanging="360"/>
      </w:pPr>
      <w:r>
        <w:t>Every major directory has a README describing its purpose, public API, ownership, dependencies, prohibited imports, testing commands and common failure modes.</w:t>
      </w:r>
    </w:p>
    <w:p>
      <w:pPr>
        <w:pStyle w:val="ListBullet"/>
        <w:spacing w:after="80"/>
        <w:ind w:left="720" w:hanging="360"/>
      </w:pPr>
      <w:r>
        <w:t>Every application documents its page inventory, sidebar, permissions, tables/RPCs, mutations, empty states, integrations and acceptance tests.</w:t>
      </w:r>
    </w:p>
    <w:p>
      <w:pPr>
        <w:pStyle w:val="ListBullet"/>
        <w:spacing w:after="80"/>
        <w:ind w:left="720" w:hanging="360"/>
      </w:pPr>
      <w:r>
        <w:t>Every backend domain documents its schema, constraints, RLS policies, privileged functions and rollback strategy.</w:t>
      </w:r>
    </w:p>
    <w:p>
      <w:pPr>
        <w:pStyle w:val="ListBullet"/>
        <w:spacing w:after="80"/>
        <w:ind w:left="720" w:hanging="360"/>
      </w:pPr>
      <w:r>
        <w:t>Small component folders do not need repetitive READMEs; document boundaries where a new engineer makes architectural decisions.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76"/>
      </w:tblGrid>
      <w:tr>
        <w:tc>
          <w:tcPr>
            <w:tcW w:type="dxa" w:w="957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1827"/>
                <w:sz w:val="16"/>
              </w:rPr>
              <w:t>docs/</w:t>
              <w:br/>
              <w:t>├── architecture/decisions/</w:t>
              <w:br/>
              <w:t>├── frontend/</w:t>
              <w:br/>
              <w:t>├── backend/</w:t>
              <w:br/>
              <w:t>├── database/</w:t>
              <w:br/>
              <w:t>├── api/</w:t>
              <w:br/>
              <w:t>├── security/</w:t>
              <w:br/>
              <w:t>├── deployment/</w:t>
              <w:br/>
              <w:t>├── testing/</w:t>
              <w:br/>
              <w:t>├── migration/</w:t>
              <w:br/>
              <w:t>├── runbooks/</w:t>
              <w:br/>
              <w:t>└── applications/</w:t>
              <w:br/>
              <w:t xml:space="preserve">    ├── launcher/</w:t>
              <w:br/>
              <w:t xml:space="preserve">    ├── platform-admin/</w:t>
              <w:br/>
              <w:t xml:space="preserve">    ├── customer-admin/</w:t>
              <w:br/>
              <w:t xml:space="preserve">    ├── real-estate/</w:t>
              <w:br/>
              <w:t xml:space="preserve">    ├── hr/</w:t>
              <w:br/>
              <w:t xml:space="preserve">    ├── finance/</w:t>
              <w:br/>
              <w:t xml:space="preserve">    └── toughforce/</w:t>
            </w:r>
          </w:p>
        </w:tc>
      </w:tr>
    </w:tbl>
    <w:p>
      <w:pPr>
        <w:spacing w:after="0"/>
      </w:pPr>
    </w:p>
    <w:p>
      <w:pPr>
        <w:pStyle w:val="Heading1"/>
      </w:pPr>
      <w:r>
        <w:t>4. Public website: independent pages</w:t>
      </w:r>
    </w:p>
    <w:p>
      <w:r>
        <w:t>The public site uses genuine routes. Header and footer links navigate to their own pages; they must not redirect to an anchor section on the homepage.</w:t>
      </w:r>
    </w:p>
    <w:tbl>
      <w:tblPr>
        <w:tblStyle w:val="TableGrid"/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1"/>
        <w:gridCol w:w="6623"/>
      </w:tblGrid>
      <w:tr>
        <w:trPr>
          <w:tblHeader w:val="true"/>
        </w:trPr>
        <w:tc>
          <w:tcPr>
            <w:tcW w:type="dxa" w:w="2951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6623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Page responsibility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</w:t>
            </w:r>
          </w:p>
        </w:tc>
        <w:tc>
          <w:tcPr>
            <w:tcW w:type="dxa" w:w="66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Homepage: hero, Business OS overview, application highlights, process, trust, CTA</w:t>
            </w:r>
          </w:p>
        </w:tc>
      </w:tr>
      <w:tr>
        <w:tc>
          <w:tcPr>
            <w:tcW w:type="dxa" w:w="2951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/products</w:t>
            </w:r>
          </w:p>
        </w:tc>
        <w:tc>
          <w:tcPr>
            <w:tcW w:type="dxa" w:w="6623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Suite overview and links to individual application pages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/products/real-estate</w:t>
            </w:r>
          </w:p>
        </w:tc>
        <w:tc>
          <w:tcPr>
            <w:tcW w:type="dxa" w:w="66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Real Estate product detail</w:t>
            </w:r>
          </w:p>
        </w:tc>
      </w:tr>
      <w:tr>
        <w:tc>
          <w:tcPr>
            <w:tcW w:type="dxa" w:w="2951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/products/hr</w:t>
            </w:r>
          </w:p>
        </w:tc>
        <w:tc>
          <w:tcPr>
            <w:tcW w:type="dxa" w:w="6623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HR product detail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/products/finance</w:t>
            </w:r>
          </w:p>
        </w:tc>
        <w:tc>
          <w:tcPr>
            <w:tcW w:type="dxa" w:w="66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Finance product detail</w:t>
            </w:r>
          </w:p>
        </w:tc>
      </w:tr>
      <w:tr>
        <w:tc>
          <w:tcPr>
            <w:tcW w:type="dxa" w:w="2951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/products/toughforce</w:t>
            </w:r>
          </w:p>
        </w:tc>
        <w:tc>
          <w:tcPr>
            <w:tcW w:type="dxa" w:w="6623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ToughForce product detail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/pricing</w:t>
            </w:r>
          </w:p>
        </w:tc>
        <w:tc>
          <w:tcPr>
            <w:tcW w:type="dxa" w:w="66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Plans, inclusions, FAQs and contact-sales action</w:t>
            </w:r>
          </w:p>
        </w:tc>
      </w:tr>
      <w:tr>
        <w:tc>
          <w:tcPr>
            <w:tcW w:type="dxa" w:w="2951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/security</w:t>
            </w:r>
          </w:p>
        </w:tc>
        <w:tc>
          <w:tcPr>
            <w:tcW w:type="dxa" w:w="6623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Tenant isolation, privacy, backups and auditability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/about</w:t>
            </w:r>
          </w:p>
        </w:tc>
        <w:tc>
          <w:tcPr>
            <w:tcW w:type="dxa" w:w="66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Hakika company story and product vision</w:t>
            </w:r>
          </w:p>
        </w:tc>
      </w:tr>
      <w:tr>
        <w:tc>
          <w:tcPr>
            <w:tcW w:type="dxa" w:w="2951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/contact</w:t>
            </w:r>
          </w:p>
        </w:tc>
        <w:tc>
          <w:tcPr>
            <w:tcW w:type="dxa" w:w="6623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Independent contact form, contact details and support paths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/support</w:t>
            </w:r>
          </w:p>
        </w:tc>
        <w:tc>
          <w:tcPr>
            <w:tcW w:type="dxa" w:w="66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Help categories, documentation and support request entry</w:t>
            </w:r>
          </w:p>
        </w:tc>
      </w:tr>
      <w:tr>
        <w:tc>
          <w:tcPr>
            <w:tcW w:type="dxa" w:w="2951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/legal/privacy</w:t>
            </w:r>
          </w:p>
        </w:tc>
        <w:tc>
          <w:tcPr>
            <w:tcW w:type="dxa" w:w="6623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Privacy policy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/legal/terms</w:t>
            </w:r>
          </w:p>
        </w:tc>
        <w:tc>
          <w:tcPr>
            <w:tcW w:type="dxa" w:w="66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Terms of service</w:t>
            </w:r>
          </w:p>
        </w:tc>
      </w:tr>
      <w:tr>
        <w:tc>
          <w:tcPr>
            <w:tcW w:type="dxa" w:w="2951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/status</w:t>
            </w:r>
          </w:p>
        </w:tc>
        <w:tc>
          <w:tcPr>
            <w:tcW w:type="dxa" w:w="6623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Optional platform status page or external status link</w:t>
            </w:r>
          </w:p>
        </w:tc>
      </w:tr>
    </w:tbl>
    <w:p>
      <w:pPr>
        <w:spacing w:after="20"/>
      </w:pPr>
    </w:p>
    <w:tbl>
      <w:tblPr>
        <w:tblStyle w:val="TableGrid"/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76"/>
      </w:tblGrid>
      <w:tr>
        <w:tc>
          <w:tcPr>
            <w:tcW w:type="dxa" w:w="9576"/>
            <w:shd w:fill="ECFD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0B8F7E"/>
              </w:rPr>
              <w:t xml:space="preserve">EXAMPLE  </w:t>
            </w:r>
            <w:r>
              <w:rPr>
                <w:color w:val="101827"/>
              </w:rPr>
              <w:t>Clicking Contact navigates to /contact and renders the Contact page. The homepage may still contain a compact CTA, but it is not the destination for the Contact navigation item.</w:t>
            </w:r>
          </w:p>
        </w:tc>
      </w:tr>
    </w:tbl>
    <w:p>
      <w:pPr>
        <w:spacing w:after="0"/>
      </w:pPr>
    </w:p>
    <w:p>
      <w:pPr>
        <w:pStyle w:val="Heading1"/>
      </w:pPr>
      <w:r>
        <w:t>5. Authentication, account and launcher pages</w:t>
      </w:r>
    </w:p>
    <w:tbl>
      <w:tblPr>
        <w:tblStyle w:val="TableGrid"/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343"/>
      </w:tblGrid>
      <w:tr>
        <w:trPr>
          <w:tblHeader w:val="true"/>
        </w:trPr>
        <w:tc>
          <w:tcPr>
            <w:tcW w:type="dxa" w:w="2232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7343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Pages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Authentication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Login, forgot password, reset password, invitation acceptance, MFA challenge, auth callback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Context selection</w:t>
            </w:r>
          </w:p>
        </w:tc>
        <w:tc>
          <w:tcPr>
            <w:tcW w:type="dxa" w:w="7343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Select organization; select company only when the requested app/action requires it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Account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Profile, security/MFA, active sessions, notifications, preferences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Launcher</w:t>
            </w:r>
          </w:p>
        </w:tc>
        <w:tc>
          <w:tcPr>
            <w:tcW w:type="dxa" w:w="7343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Entitled application cards, current organization/company, subscription state, open action, support action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Access outcomes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Forbidden, provisioning required, app unavailable, suspended subscription, stable error/retry</w:t>
            </w:r>
          </w:p>
        </w:tc>
      </w:tr>
    </w:tbl>
    <w:p>
      <w:pPr>
        <w:spacing w:after="20"/>
      </w:pPr>
    </w:p>
    <w:p>
      <w:pPr>
        <w:pStyle w:val="Heading1"/>
      </w:pPr>
      <w:r>
        <w:t>6. Administration pages</w:t>
      </w:r>
    </w:p>
    <w:p>
      <w:pPr>
        <w:pStyle w:val="Heading2"/>
      </w:pPr>
      <w:r>
        <w:t>6.1 Platform Admin</w:t>
      </w:r>
    </w:p>
    <w:p>
      <w:pPr>
        <w:pStyle w:val="ListBullet"/>
        <w:spacing w:after="80"/>
        <w:ind w:left="720" w:hanging="360"/>
      </w:pPr>
      <w:r>
        <w:t>Executive dashboard</w:t>
      </w:r>
    </w:p>
    <w:p>
      <w:pPr>
        <w:pStyle w:val="ListBullet"/>
        <w:spacing w:after="80"/>
        <w:ind w:left="720" w:hanging="360"/>
      </w:pPr>
      <w:r>
        <w:t>Organizations and organization detail</w:t>
      </w:r>
    </w:p>
    <w:p>
      <w:pPr>
        <w:pStyle w:val="ListBullet"/>
        <w:spacing w:after="80"/>
        <w:ind w:left="720" w:hanging="360"/>
      </w:pPr>
      <w:r>
        <w:t>Global company directory and orphan checks</w:t>
      </w:r>
    </w:p>
    <w:p>
      <w:pPr>
        <w:pStyle w:val="ListBullet"/>
        <w:spacing w:after="80"/>
        <w:ind w:left="720" w:hanging="360"/>
      </w:pPr>
      <w:r>
        <w:t>Applications and feature catalogue</w:t>
      </w:r>
    </w:p>
    <w:p>
      <w:pPr>
        <w:pStyle w:val="ListBullet"/>
        <w:spacing w:after="80"/>
        <w:ind w:left="720" w:hanging="360"/>
      </w:pPr>
      <w:r>
        <w:t>Plans and plan features</w:t>
      </w:r>
    </w:p>
    <w:p>
      <w:pPr>
        <w:pStyle w:val="ListBullet"/>
        <w:spacing w:after="80"/>
        <w:ind w:left="720" w:hanging="360"/>
      </w:pPr>
      <w:r>
        <w:t>Subscriptions, trials, grace and suspension</w:t>
      </w:r>
    </w:p>
    <w:p>
      <w:pPr>
        <w:pStyle w:val="ListBullet"/>
        <w:spacing w:after="80"/>
        <w:ind w:left="720" w:hanging="360"/>
      </w:pPr>
      <w:r>
        <w:t>Platform invoices, payments and M-Pesa reconciliation</w:t>
      </w:r>
    </w:p>
    <w:p>
      <w:pPr>
        <w:pStyle w:val="ListBullet"/>
        <w:spacing w:after="80"/>
        <w:ind w:left="720" w:hanging="360"/>
      </w:pPr>
      <w:r>
        <w:t>Provisioning jobs, failures and retry controls</w:t>
      </w:r>
    </w:p>
    <w:p>
      <w:pPr>
        <w:pStyle w:val="ListBullet"/>
        <w:spacing w:after="80"/>
        <w:ind w:left="720" w:hanging="360"/>
      </w:pPr>
      <w:r>
        <w:t>Platform operators, roles and permissions</w:t>
      </w:r>
    </w:p>
    <w:p>
      <w:pPr>
        <w:pStyle w:val="ListBullet"/>
        <w:spacing w:after="80"/>
        <w:ind w:left="720" w:hanging="360"/>
      </w:pPr>
      <w:r>
        <w:t>Global audit events</w:t>
      </w:r>
    </w:p>
    <w:p>
      <w:pPr>
        <w:pStyle w:val="ListBullet"/>
        <w:spacing w:after="80"/>
        <w:ind w:left="720" w:hanging="360"/>
      </w:pPr>
      <w:r>
        <w:t>Platform health, integrations, support cases and settings</w:t>
      </w:r>
    </w:p>
    <w:p>
      <w:pPr>
        <w:pStyle w:val="Heading2"/>
      </w:pPr>
      <w:r>
        <w:t>6.2 Customer Admin</w:t>
      </w:r>
    </w:p>
    <w:p>
      <w:pPr>
        <w:pStyle w:val="ListBullet"/>
        <w:spacing w:after="80"/>
        <w:ind w:left="720" w:hanging="360"/>
      </w:pPr>
      <w:r>
        <w:t>Organization overview and profile</w:t>
      </w:r>
    </w:p>
    <w:p>
      <w:pPr>
        <w:pStyle w:val="ListBullet"/>
        <w:spacing w:after="80"/>
        <w:ind w:left="720" w:hanging="360"/>
      </w:pPr>
      <w:r>
        <w:t>Companies and branches</w:t>
      </w:r>
    </w:p>
    <w:p>
      <w:pPr>
        <w:pStyle w:val="ListBullet"/>
        <w:spacing w:after="80"/>
        <w:ind w:left="720" w:hanging="360"/>
      </w:pPr>
      <w:r>
        <w:t>Members and invitations</w:t>
      </w:r>
    </w:p>
    <w:p>
      <w:pPr>
        <w:pStyle w:val="ListBullet"/>
        <w:spacing w:after="80"/>
        <w:ind w:left="720" w:hanging="360"/>
      </w:pPr>
      <w:r>
        <w:t>Roles and app permissions</w:t>
      </w:r>
    </w:p>
    <w:p>
      <w:pPr>
        <w:pStyle w:val="ListBullet"/>
        <w:spacing w:after="80"/>
        <w:ind w:left="720" w:hanging="360"/>
      </w:pPr>
      <w:r>
        <w:t>Installed applications and subscription status</w:t>
      </w:r>
    </w:p>
    <w:p>
      <w:pPr>
        <w:pStyle w:val="ListBullet"/>
        <w:spacing w:after="80"/>
        <w:ind w:left="720" w:hanging="360"/>
      </w:pPr>
      <w:r>
        <w:t>Billing profile, invoices and receipts</w:t>
      </w:r>
    </w:p>
    <w:p>
      <w:pPr>
        <w:pStyle w:val="ListBullet"/>
        <w:spacing w:after="80"/>
        <w:ind w:left="720" w:hanging="360"/>
      </w:pPr>
      <w:r>
        <w:t>Organization audit log</w:t>
      </w:r>
    </w:p>
    <w:p>
      <w:pPr>
        <w:pStyle w:val="ListBullet"/>
        <w:spacing w:after="80"/>
        <w:ind w:left="720" w:hanging="360"/>
      </w:pPr>
      <w:r>
        <w:t>Branding, notifications and organization settings</w:t>
      </w:r>
    </w:p>
    <w:p>
      <w:pPr>
        <w:pStyle w:val="Heading1"/>
      </w:pPr>
      <w:r>
        <w:t>7. Real Estate application: complete page inventory</w:t>
      </w:r>
    </w:p>
    <w:p>
      <w:r>
        <w:t>This inventory combines the requested rental workflows with the legacy schema evidence currently available. The old schema contains properties, units, tenants, leases, move-out settlements, unit transfers, landlords, caretakers, invoices/items/types, payments, payment references, M-Pesa accounts/transactions/reconciliation/payouts, rent statements, inspections/items, maintenance/messages, expenses, ledger entries and unit assets. These are migration candidates—not permission to repeat legacy duplication.</w:t>
      </w:r>
    </w:p>
    <w:tbl>
      <w:tblPr>
        <w:tblStyle w:val="TableGrid"/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384"/>
        <w:gridCol w:w="4752"/>
      </w:tblGrid>
      <w:tr>
        <w:trPr>
          <w:tblHeader w:val="true"/>
        </w:trPr>
        <w:tc>
          <w:tcPr>
            <w:tcW w:type="dxa" w:w="1440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Group</w:t>
            </w:r>
          </w:p>
        </w:tc>
        <w:tc>
          <w:tcPr>
            <w:tcW w:type="dxa" w:w="3384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4752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Overview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/real-estate/dashboard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Portfolio KPIs, occupancy, arrears, collections, actions and recent activity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Properties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/real-estate/properties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Property directory, filters, export, create property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Properties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/real-estate/properties/[propertyId]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Property summary, units, owners, caretakers, documents, financial snapshot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Properties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/real-estate/landlords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Landlord/owner directory and statement access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Properties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/real-estate/caretakers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Caretaker directory, assignments and contacts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Units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/real-estate/units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Canonical unit directory with server pagination and consistent totals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Units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/real-estate/units/[unitId]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Unit status, lease history, assets, inspections and maintenance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Units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/real-estate/units/import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Validated bulk import and result report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Tenants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/real-estate/tenants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Active tenant directory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Tenants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/real-estate/tenants/[tenantId]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Contacts, documents, leases, balances, payments and communication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Tenants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/real-estate/tenants/archive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Former tenants and archived records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Leases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/real-estate/leases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Lease directory and lifecycle filters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Leases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/real-estate/leases/new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Create lease with unit availability validation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Leases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/real-estate/leases/[leaseId]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Charges, tenants, documents, deposit, billing and activity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Leases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/real-estate/transfers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Tenant unit-transfer workflow and approvals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Leases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/real-estate/move-outs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Move-out requests, inspection, settlement and deposit outcome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Billing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/real-estate/billing/runs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Auto-billing run list and job status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Billing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/real-estate/billing/runs/new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Choose period, scope, charge rules and idempotency key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Billing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/real-estate/billing/runs/[runId]/preview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Preview exceptions and totals before approval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Billing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/real-estate/invoices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Issued/draft/overdue invoice directory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Billing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/real-estate/invoices/[invoiceId]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Invoice items, receipt history, credit/debit notes and delivery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Billing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/real-estate/billing/calendar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Billing dates, rent due dates and scheduled runs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Billing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/real-estate/billing/history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Immutable billing run history and failures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Payments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/real-estate/payments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Payment directory, method, reference and allocation status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Payments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/real-estate/payments/[paymentId]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Receipt, allocations, reversals and audit trail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Payments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/real-estate/payments/unallocated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Allocation work queue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M-Pesa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/real-estate/mpesa/transactions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Safaricom One Account transaction feed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M-Pesa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/real-estate/mpesa/reconciliation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Matched, unmatched, duplicate and exception workflow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M-Pesa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/real-estate/mpesa/references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Tenant/unit/payment reference configuration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Settlements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/real-estate/splits/rules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Split rules and effective dates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Settlements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/real-estate/splits/rules/[ruleId]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Version history, recipients and calculation logic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Settlements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/real-estate/splits/preview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Allocation preview before payout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Settlements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/real-estate/payouts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Payout batches, queue, attempts and status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Settlements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/real-estate/payouts/[batchId]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Recipients, amounts, provider responses and reversals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Operations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/real-estate/maintenance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Maintenance requests and work-order board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Operations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/real-estate/maintenance/[requestId]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Messages, supplier, costs, evidence and resolution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Operations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/real-estate/inspections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Inspection schedule and findings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Operations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/real-estate/inspections/[inspectionId]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Checklist items, photos, findings and actions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Operations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/real-estate/expenses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Property expenses, attachments and approvals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Operations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/real-estate/assets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Unit/property assets and condition history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Reports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/real-estate/reports/rent-roll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Rent roll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Reports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/real-estate/reports/occupancy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Occupancy and vacancy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Reports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/real-estate/reports/arrears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Arrears aging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Reports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/real-estate/reports/collections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Collections and allocation performance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Reports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/real-estate/reports/landlord-statements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Landlord statements and payout reconciliation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Reports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/real-estate/reports/ledger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Global Real Estate ledger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Configuration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/real-estate/settings/charges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Invoice types, recurring charges, penalties and deposits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Configuration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/real-estate/settings/payments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Payment methods, references and allocation rules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Configuration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/real-estate/settings/mpesa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Safaricom/Daraja configuration via secure server settings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Configuration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/real-estate/settings/numbering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Invoice, receipt and statement numbering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Configuration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/real-estate/settings/notifications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Tenant and landlord message templates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Configuration</w:t>
            </w:r>
          </w:p>
        </w:tc>
        <w:tc>
          <w:tcPr>
            <w:tcW w:type="dxa" w:w="33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/real-estate/settings</w:t>
            </w:r>
          </w:p>
        </w:tc>
        <w:tc>
          <w:tcPr>
            <w:tcW w:type="dxa" w:w="47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Application defaults and onboarding checklist</w:t>
            </w:r>
          </w:p>
        </w:tc>
      </w:tr>
    </w:tbl>
    <w:p>
      <w:pPr>
        <w:spacing w:after="20"/>
      </w:pPr>
    </w:p>
    <w:p>
      <w:pPr>
        <w:pStyle w:val="Heading2"/>
      </w:pPr>
      <w:r>
        <w:t>7.1 Real Estate sidebar</w:t>
      </w:r>
    </w:p>
    <w:p>
      <w:pPr>
        <w:pStyle w:val="ListBullet"/>
        <w:spacing w:after="80"/>
        <w:ind w:left="720" w:hanging="360"/>
      </w:pPr>
      <w:r>
        <w:t>Overview: Dashboard.</w:t>
      </w:r>
    </w:p>
    <w:p>
      <w:pPr>
        <w:pStyle w:val="ListBullet"/>
        <w:spacing w:after="80"/>
        <w:ind w:left="720" w:hanging="360"/>
      </w:pPr>
      <w:r>
        <w:t>Portfolio: Properties, Units, Landlords, Caretakers.</w:t>
      </w:r>
    </w:p>
    <w:p>
      <w:pPr>
        <w:pStyle w:val="ListBullet"/>
        <w:spacing w:after="80"/>
        <w:ind w:left="720" w:hanging="360"/>
      </w:pPr>
      <w:r>
        <w:t>Tenancy: Tenants, Leases, Transfers, Move-outs.</w:t>
      </w:r>
    </w:p>
    <w:p>
      <w:pPr>
        <w:pStyle w:val="ListBullet"/>
        <w:spacing w:after="80"/>
        <w:ind w:left="720" w:hanging="360"/>
      </w:pPr>
      <w:r>
        <w:t>Billing &amp; Collections: Billing Runs, Invoices, Payments, M-Pesa, Reconciliation.</w:t>
      </w:r>
    </w:p>
    <w:p>
      <w:pPr>
        <w:pStyle w:val="ListBullet"/>
        <w:spacing w:after="80"/>
        <w:ind w:left="720" w:hanging="360"/>
      </w:pPr>
      <w:r>
        <w:t>Settlements: Split Rules, Allocation Preview, Payouts.</w:t>
      </w:r>
    </w:p>
    <w:p>
      <w:pPr>
        <w:pStyle w:val="ListBullet"/>
        <w:spacing w:after="80"/>
        <w:ind w:left="720" w:hanging="360"/>
      </w:pPr>
      <w:r>
        <w:t>Operations: Maintenance, Inspections, Expenses, Assets.</w:t>
      </w:r>
    </w:p>
    <w:p>
      <w:pPr>
        <w:pStyle w:val="ListBullet"/>
        <w:spacing w:after="80"/>
        <w:ind w:left="720" w:hanging="360"/>
      </w:pPr>
      <w:r>
        <w:t>Reports: Rent Roll, Occupancy, Arrears, Collections, Landlord Statements, Ledger.</w:t>
      </w:r>
    </w:p>
    <w:p>
      <w:pPr>
        <w:pStyle w:val="ListBullet"/>
        <w:spacing w:after="80"/>
        <w:ind w:left="720" w:hanging="360"/>
      </w:pPr>
      <w:r>
        <w:t>Configuration: Charges, Payments, M-Pesa, Numbering, Notifications, Settings.</w:t>
      </w:r>
    </w:p>
    <w:tbl>
      <w:tblPr>
        <w:tblStyle w:val="TableGrid"/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76"/>
      </w:tblGrid>
      <w:tr>
        <w:tc>
          <w:tcPr>
            <w:tcW w:type="dxa" w:w="9576"/>
            <w:shd w:fill="ECFD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0B8F7E"/>
              </w:rPr>
              <w:t xml:space="preserve">CONSISTENCY GATE  </w:t>
            </w:r>
            <w:r>
              <w:rPr>
                <w:color w:val="101827"/>
              </w:rPr>
              <w:t>Properties, Units, Property Detail and Dashboard must consume the same tenant-scoped repository and counting contract. Dashboard lists may be limited; KPI totals may not be computed from the limited list.</w:t>
            </w:r>
          </w:p>
        </w:tc>
      </w:tr>
    </w:tbl>
    <w:p>
      <w:pPr>
        <w:spacing w:after="0"/>
      </w:pPr>
    </w:p>
    <w:p>
      <w:pPr>
        <w:pStyle w:val="Heading1"/>
      </w:pPr>
      <w:r>
        <w:t>8. Other application page groups</w:t>
      </w:r>
    </w:p>
    <w:tbl>
      <w:tblPr>
        <w:tblStyle w:val="TableGrid"/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7848"/>
      </w:tblGrid>
      <w:tr>
        <w:trPr>
          <w:tblHeader w:val="true"/>
        </w:trPr>
        <w:tc>
          <w:tcPr>
            <w:tcW w:type="dxa" w:w="1728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Application</w:t>
            </w:r>
          </w:p>
        </w:tc>
        <w:tc>
          <w:tcPr>
            <w:tcW w:type="dxa" w:w="7848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Required groups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HR</w:t>
            </w:r>
          </w:p>
        </w:tc>
        <w:tc>
          <w:tcPr>
            <w:tcW w:type="dxa" w:w="78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Dashboard; employees; departments/positions; attendance/time; leave; payroll; payslips; statutory items; advances/approvals; recruitment; disciplinary; document expiry; assets; expenses; reports; settings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Finance</w:t>
            </w:r>
          </w:p>
        </w:tc>
        <w:tc>
          <w:tcPr>
            <w:tcW w:type="dxa" w:w="784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Dashboard; chart of accounts; ledger; journals/approvals; bank/cash; customers/vendors; invoices/receipts; supplier bills/payments; expenses/requisitions; reconciliation; tax; statements; settings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ToughForce</w:t>
            </w:r>
          </w:p>
        </w:tc>
        <w:tc>
          <w:tcPr>
            <w:tcW w:type="dxa" w:w="78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Dashboard; guards; clients/sites; rosters/shifts/assignments; attendance; occurrence book/incidents; patrols/checkpoints; CCTV/devices; assets/inventory; compliance; notes; client billing; reports; settings</w:t>
            </w:r>
          </w:p>
        </w:tc>
      </w:tr>
    </w:tbl>
    <w:p>
      <w:pPr>
        <w:spacing w:after="20"/>
      </w:pPr>
    </w:p>
    <w:p>
      <w:pPr>
        <w:pStyle w:val="Heading1"/>
      </w:pPr>
      <w:r>
        <w:t>9. Database architecture</w:t>
      </w:r>
    </w:p>
    <w:tbl>
      <w:tblPr>
        <w:tblStyle w:val="TableGrid"/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272"/>
      </w:tblGrid>
      <w:tr>
        <w:trPr>
          <w:tblHeader w:val="true"/>
        </w:trPr>
        <w:tc>
          <w:tcPr>
            <w:tcW w:type="dxa" w:w="2304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PostgreSQL schema</w:t>
            </w:r>
          </w:p>
        </w:tc>
        <w:tc>
          <w:tcPr>
            <w:tcW w:type="dxa" w:w="7272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Ownership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platform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Organizations, companies, application registry and configuration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iam</w:t>
            </w:r>
          </w:p>
        </w:tc>
        <w:tc>
          <w:tcPr>
            <w:tcW w:type="dxa" w:w="727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Profiles, memberships, invitations, roles and permissions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billing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Plans, subscriptions, platform invoices and platform payments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audit</w:t>
            </w:r>
          </w:p>
        </w:tc>
        <w:tc>
          <w:tcPr>
            <w:tcW w:type="dxa" w:w="727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Append-only events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real_estate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Rental domain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hr</w:t>
            </w:r>
          </w:p>
        </w:tc>
        <w:tc>
          <w:tcPr>
            <w:tcW w:type="dxa" w:w="727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Workforce domain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finance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Accounting domain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security_ops</w:t>
            </w:r>
          </w:p>
        </w:tc>
        <w:tc>
          <w:tcPr>
            <w:tcW w:type="dxa" w:w="727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ToughForce domain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private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Security-definer authorization helpers and internal functions</w:t>
            </w:r>
          </w:p>
        </w:tc>
      </w:tr>
    </w:tbl>
    <w:p>
      <w:pPr>
        <w:spacing w:after="20"/>
      </w:pPr>
    </w:p>
    <w:p>
      <w:pPr>
        <w:pStyle w:val="Heading2"/>
      </w:pPr>
      <w:r>
        <w:t>9.1 Canonical tenancy and access tables</w:t>
      </w:r>
    </w:p>
    <w:p>
      <w:pPr>
        <w:pStyle w:val="ListBullet"/>
        <w:spacing w:after="80"/>
        <w:ind w:left="720" w:hanging="360"/>
      </w:pPr>
      <w:r>
        <w:t>iam.profiles: one row per auth user; identity/status only, not the canonical role.</w:t>
      </w:r>
    </w:p>
    <w:p>
      <w:pPr>
        <w:pStyle w:val="ListBullet"/>
        <w:spacing w:after="80"/>
        <w:ind w:left="720" w:hanging="360"/>
      </w:pPr>
      <w:r>
        <w:t>platform.organizations: type platform_owner or customer, status and billing_exempt.</w:t>
      </w:r>
    </w:p>
    <w:p>
      <w:pPr>
        <w:pStyle w:val="ListBullet"/>
        <w:spacing w:after="80"/>
        <w:ind w:left="720" w:hanging="360"/>
      </w:pPr>
      <w:r>
        <w:t>platform.companies: belongs to exactly one organization; company code unique inside that organization.</w:t>
      </w:r>
    </w:p>
    <w:p>
      <w:pPr>
        <w:pStyle w:val="ListBullet"/>
        <w:spacing w:after="80"/>
        <w:ind w:left="720" w:hanging="360"/>
      </w:pPr>
      <w:r>
        <w:t>iam.organization_memberships and iam.company_memberships: explicit active membership records.</w:t>
      </w:r>
    </w:p>
    <w:p>
      <w:pPr>
        <w:pStyle w:val="ListBullet"/>
        <w:spacing w:after="80"/>
        <w:ind w:left="720" w:hanging="360"/>
      </w:pPr>
      <w:r>
        <w:t>platform.applications and billing.application_subscriptions: stable app keys and organization entitlement state.</w:t>
      </w:r>
    </w:p>
    <w:p>
      <w:pPr>
        <w:pStyle w:val="ListBullet"/>
        <w:spacing w:after="80"/>
        <w:ind w:left="720" w:hanging="360"/>
      </w:pPr>
      <w:r>
        <w:t>iam.roles, iam.permissions, iam.role_permissions and iam.member_app_roles: scoped authorization.</w:t>
      </w:r>
    </w:p>
    <w:p>
      <w:pPr>
        <w:pStyle w:val="ListBullet"/>
        <w:spacing w:after="80"/>
        <w:ind w:left="720" w:hanging="360"/>
      </w:pPr>
      <w:r>
        <w:t>iam.invitations and assignment tables: token hash, expiry, company and app-role intent.</w:t>
      </w:r>
    </w:p>
    <w:p>
      <w:pPr>
        <w:pStyle w:val="ListBullet"/>
        <w:spacing w:after="80"/>
        <w:ind w:left="720" w:hanging="360"/>
      </w:pPr>
      <w:r>
        <w:t>platform.provisioning_jobs and audit.events: idempotent lifecycle and traceability.</w:t>
      </w:r>
    </w:p>
    <w:p>
      <w:pPr>
        <w:pStyle w:val="Heading2"/>
      </w:pPr>
      <w:r>
        <w:t>9.2 Operational row contract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76"/>
      </w:tblGrid>
      <w:tr>
        <w:tc>
          <w:tcPr>
            <w:tcW w:type="dxa" w:w="957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1827"/>
                <w:sz w:val="16"/>
              </w:rPr>
              <w:t>id uuid primary key</w:t>
              <w:br/>
              <w:t>organization_id uuid not null</w:t>
              <w:br/>
              <w:t>company_id uuid [required when company-scoped]</w:t>
              <w:br/>
              <w:t>created_at timestamptz not null</w:t>
              <w:br/>
              <w:t>created_by uuid null</w:t>
              <w:br/>
              <w:t>updated_at timestamptz not null</w:t>
              <w:br/>
              <w:t>updated_by uuid null</w:t>
              <w:br/>
              <w:t>deleted_at timestamptz null</w:t>
            </w:r>
          </w:p>
        </w:tc>
      </w:tr>
    </w:tbl>
    <w:p>
      <w:pPr>
        <w:spacing w:after="0"/>
      </w:pPr>
    </w:p>
    <w:p>
      <w:pPr>
        <w:pStyle w:val="Heading1"/>
      </w:pPr>
      <w:r>
        <w:t>10. Authentication bootstrap and access state</w:t>
      </w:r>
    </w:p>
    <w:p>
      <w:pPr>
        <w:pStyle w:val="ListNumber"/>
        <w:spacing w:after="100"/>
        <w:ind w:left="720" w:hanging="360"/>
      </w:pPr>
      <w:r>
        <w:t>Middleware refreshes the cookie session only when necessary.</w:t>
      </w:r>
    </w:p>
    <w:p>
      <w:pPr>
        <w:pStyle w:val="ListNumber"/>
        <w:spacing w:after="100"/>
        <w:ind w:left="720" w:hanging="360"/>
      </w:pPr>
      <w:r>
        <w:t>A protected server layout validates the user using the server Supabase client.</w:t>
      </w:r>
    </w:p>
    <w:p>
      <w:pPr>
        <w:pStyle w:val="ListNumber"/>
        <w:spacing w:after="100"/>
        <w:ind w:left="720" w:hanging="360"/>
      </w:pPr>
      <w:r>
        <w:t>One function returns the canonical access snapshot: profile, memberships, selected context, application entitlements and permissions.</w:t>
      </w:r>
    </w:p>
    <w:p>
      <w:pPr>
        <w:pStyle w:val="ListNumber"/>
        <w:spacing w:after="100"/>
        <w:ind w:left="720" w:hanging="360"/>
      </w:pPr>
      <w:r>
        <w:t>The server passes that snapshot to one client SessionProvider.</w:t>
      </w:r>
    </w:p>
    <w:p>
      <w:pPr>
        <w:pStyle w:val="ListNumber"/>
        <w:spacing w:after="100"/>
        <w:ind w:left="720" w:hanging="360"/>
      </w:pPr>
      <w:r>
        <w:t>One browser Supabase client and one auth listener exist for the entire application.</w:t>
      </w:r>
    </w:p>
    <w:p>
      <w:pPr>
        <w:pStyle w:val="ListNumber"/>
        <w:spacing w:after="100"/>
        <w:ind w:left="720" w:hanging="360"/>
      </w:pPr>
      <w:r>
        <w:t>TOKEN_REFRESHED updates the session; it does not rebuild the entire access graph.</w:t>
      </w:r>
    </w:p>
    <w:p>
      <w:pPr>
        <w:pStyle w:val="ListNumber"/>
        <w:spacing w:after="100"/>
        <w:ind w:left="720" w:hanging="360"/>
      </w:pPr>
      <w:r>
        <w:t>Membership and subscription mutations explicitly invalidate the access snapshot.</w:t>
      </w:r>
    </w:p>
    <w:tbl>
      <w:tblPr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76"/>
      </w:tblGrid>
      <w:tr>
        <w:tc>
          <w:tcPr>
            <w:tcW w:type="dxa" w:w="957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1827"/>
                <w:sz w:val="16"/>
              </w:rPr>
              <w:t>loading</w:t>
              <w:br/>
              <w:t>├── unauthenticated → /login</w:t>
              <w:br/>
              <w:t>├── organization_required → /select-organization</w:t>
              <w:br/>
              <w:t>├── company_required → /select-company</w:t>
              <w:br/>
              <w:t>├── ready → /apps or requested route</w:t>
              <w:br/>
              <w:t>├── forbidden → /forbidden</w:t>
              <w:br/>
              <w:t>└── error → stable retry UI</w:t>
            </w:r>
          </w:p>
        </w:tc>
      </w:tr>
    </w:tbl>
    <w:p>
      <w:pPr>
        <w:spacing w:after="0"/>
      </w:pPr>
    </w:p>
    <w:p>
      <w:pPr>
        <w:pStyle w:val="ListBullet"/>
        <w:spacing w:after="80"/>
        <w:ind w:left="720" w:hanging="360"/>
      </w:pPr>
      <w:r>
        <w:t>No AccessContext plus CanonicalAccessContext combination.</w:t>
      </w:r>
    </w:p>
    <w:p>
      <w:pPr>
        <w:pStyle w:val="ListBullet"/>
        <w:spacing w:after="80"/>
        <w:ind w:left="720" w:hanging="360"/>
      </w:pPr>
      <w:r>
        <w:t>No browser reload for Retry.</w:t>
      </w:r>
    </w:p>
    <w:p>
      <w:pPr>
        <w:pStyle w:val="ListBullet"/>
        <w:spacing w:after="80"/>
        <w:ind w:left="720" w:hanging="360"/>
      </w:pPr>
      <w:r>
        <w:t>No permission decisions from localStorage, profile.role or editable user metadata.</w:t>
      </w:r>
    </w:p>
    <w:p>
      <w:pPr>
        <w:pStyle w:val="ListBullet"/>
        <w:spacing w:after="80"/>
        <w:ind w:left="720" w:hanging="360"/>
      </w:pPr>
      <w:r>
        <w:t>Remembered organization/company IDs are preferences that the server must validate.</w:t>
      </w:r>
    </w:p>
    <w:p>
      <w:pPr>
        <w:pStyle w:val="ListBullet"/>
        <w:spacing w:after="80"/>
        <w:ind w:left="720" w:hanging="360"/>
      </w:pPr>
      <w:r>
        <w:t>Missing membership fails closed once and never starts a listener/bootstrap loop.</w:t>
      </w:r>
    </w:p>
    <w:p>
      <w:pPr>
        <w:pStyle w:val="Heading1"/>
      </w:pPr>
      <w:r>
        <w:t>11. RLS and provisioning</w:t>
      </w:r>
    </w:p>
    <w:p>
      <w:pPr>
        <w:pStyle w:val="ListBullet"/>
        <w:spacing w:after="80"/>
        <w:ind w:left="720" w:hanging="360"/>
      </w:pPr>
      <w:r>
        <w:t>Enable RLS on every tenant-owned table.</w:t>
      </w:r>
    </w:p>
    <w:p>
      <w:pPr>
        <w:pStyle w:val="ListBullet"/>
        <w:spacing w:after="80"/>
        <w:ind w:left="720" w:hanging="360"/>
      </w:pPr>
      <w:r>
        <w:t>Use private, fixed-search-path SECURITY DEFINER helpers for organization, company, application and permission checks.</w:t>
      </w:r>
    </w:p>
    <w:p>
      <w:pPr>
        <w:pStyle w:val="ListBullet"/>
        <w:spacing w:after="80"/>
        <w:ind w:left="720" w:hanging="360"/>
      </w:pPr>
      <w:r>
        <w:t>Memberships have safe self-read policies so the authenticated user can resolve context.</w:t>
      </w:r>
    </w:p>
    <w:p>
      <w:pPr>
        <w:pStyle w:val="ListBullet"/>
        <w:spacing w:after="80"/>
        <w:ind w:left="720" w:hanging="360"/>
      </w:pPr>
      <w:r>
        <w:t>INSERT and UPDATE validate organization/company scope using WITH CHECK.</w:t>
      </w:r>
    </w:p>
    <w:p>
      <w:pPr>
        <w:pStyle w:val="ListBullet"/>
        <w:spacing w:after="80"/>
        <w:ind w:left="720" w:hanging="360"/>
      </w:pPr>
      <w:r>
        <w:t>Never use USING (true) on operational data.</w:t>
      </w:r>
    </w:p>
    <w:p>
      <w:pPr>
        <w:pStyle w:val="ListBullet"/>
        <w:spacing w:after="80"/>
        <w:ind w:left="720" w:hanging="360"/>
      </w:pPr>
      <w:r>
        <w:t>Service-role credentials remain server-only.</w:t>
      </w:r>
    </w:p>
    <w:p>
      <w:pPr>
        <w:pStyle w:val="ListBullet"/>
        <w:spacing w:after="80"/>
        <w:ind w:left="720" w:hanging="360"/>
      </w:pPr>
      <w:r>
        <w:t>Test two organizations for both permitted access and denied cross-tenant reads/writes/references.</w:t>
      </w:r>
    </w:p>
    <w:p>
      <w:pPr>
        <w:pStyle w:val="Heading2"/>
      </w:pPr>
      <w:r>
        <w:t>11.1 Atomic customer provisioning</w:t>
      </w:r>
    </w:p>
    <w:p>
      <w:pPr>
        <w:pStyle w:val="ListNumber"/>
        <w:spacing w:after="100"/>
        <w:ind w:left="720" w:hanging="360"/>
      </w:pPr>
      <w:r>
        <w:t>Create customer organization.</w:t>
      </w:r>
    </w:p>
    <w:p>
      <w:pPr>
        <w:pStyle w:val="ListNumber"/>
        <w:spacing w:after="100"/>
        <w:ind w:left="720" w:hanging="360"/>
      </w:pPr>
      <w:r>
        <w:t>Create default company.</w:t>
      </w:r>
    </w:p>
    <w:p>
      <w:pPr>
        <w:pStyle w:val="ListNumber"/>
        <w:spacing w:after="100"/>
        <w:ind w:left="720" w:hanging="360"/>
      </w:pPr>
      <w:r>
        <w:t>Create or link owner identity.</w:t>
      </w:r>
    </w:p>
    <w:p>
      <w:pPr>
        <w:pStyle w:val="ListNumber"/>
        <w:spacing w:after="100"/>
        <w:ind w:left="720" w:hanging="360"/>
      </w:pPr>
      <w:r>
        <w:t>Create owner organization/company memberships.</w:t>
      </w:r>
    </w:p>
    <w:p>
      <w:pPr>
        <w:pStyle w:val="ListNumber"/>
        <w:spacing w:after="100"/>
        <w:ind w:left="720" w:hanging="360"/>
      </w:pPr>
      <w:r>
        <w:t>Assign Customer Admin role.</w:t>
      </w:r>
    </w:p>
    <w:p>
      <w:pPr>
        <w:pStyle w:val="ListNumber"/>
        <w:spacing w:after="100"/>
        <w:ind w:left="720" w:hanging="360"/>
      </w:pPr>
      <w:r>
        <w:t>Activate Customer Admin entitlement.</w:t>
      </w:r>
    </w:p>
    <w:p>
      <w:pPr>
        <w:pStyle w:val="ListNumber"/>
        <w:spacing w:after="100"/>
        <w:ind w:left="720" w:hanging="360"/>
      </w:pPr>
      <w:r>
        <w:t>Create selected application subscriptions.</w:t>
      </w:r>
    </w:p>
    <w:p>
      <w:pPr>
        <w:pStyle w:val="ListNumber"/>
        <w:spacing w:after="100"/>
        <w:ind w:left="720" w:hanging="360"/>
      </w:pPr>
      <w:r>
        <w:t>Initialize required settings only.</w:t>
      </w:r>
    </w:p>
    <w:p>
      <w:pPr>
        <w:pStyle w:val="ListNumber"/>
        <w:spacing w:after="100"/>
        <w:ind w:left="720" w:hanging="360"/>
      </w:pPr>
      <w:r>
        <w:t>Write audit events and mark ready.</w:t>
      </w:r>
    </w:p>
    <w:tbl>
      <w:tblPr>
        <w:tblStyle w:val="TableGrid"/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76"/>
      </w:tblGrid>
      <w:tr>
        <w:tc>
          <w:tcPr>
            <w:tcW w:type="dxa" w:w="9576"/>
            <w:shd w:fill="ECFD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0B8F7E"/>
              </w:rPr>
              <w:t xml:space="preserve">EMPTY MEANS EMPTY  </w:t>
            </w:r>
            <w:r>
              <w:rPr>
                <w:color w:val="101827"/>
              </w:rPr>
              <w:t>Provisioning creates access and configuration, not properties, units, tenants, employees, guards, invoices or demo transactions.</w:t>
            </w:r>
          </w:p>
        </w:tc>
      </w:tr>
    </w:tbl>
    <w:p>
      <w:pPr>
        <w:spacing w:after="0"/>
      </w:pPr>
    </w:p>
    <w:p>
      <w:pPr>
        <w:pStyle w:val="Heading1"/>
      </w:pPr>
      <w:r>
        <w:t>12. UI system based on the reference image</w:t>
      </w:r>
    </w:p>
    <w:tbl>
      <w:tblPr>
        <w:tblStyle w:val="TableGrid"/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632"/>
      </w:tblGrid>
      <w:tr>
        <w:trPr>
          <w:tblHeader w:val="true"/>
        </w:trPr>
        <w:tc>
          <w:tcPr>
            <w:tcW w:type="dxa" w:w="1944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Token</w:t>
            </w:r>
          </w:p>
        </w:tc>
        <w:tc>
          <w:tcPr>
            <w:tcW w:type="dxa" w:w="7632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Font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Inter for the web interface; ui-sans-serif fallback</w:t>
            </w:r>
          </w:p>
        </w:tc>
      </w:tr>
      <w:tr>
        <w:tc>
          <w:tcPr>
            <w:tcW w:type="dxa" w:w="194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Sidebar</w:t>
            </w:r>
          </w:p>
        </w:tc>
        <w:tc>
          <w:tcPr>
            <w:tcW w:type="dxa" w:w="763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#101827 deep navy; 272 px desktop; drawer on mobile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Page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#F5F7FA background with white cards</w:t>
            </w:r>
          </w:p>
        </w:tc>
      </w:tr>
      <w:tr>
        <w:tc>
          <w:tcPr>
            <w:tcW w:type="dxa" w:w="194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Accent</w:t>
            </w:r>
          </w:p>
        </w:tc>
        <w:tc>
          <w:tcPr>
            <w:tcW w:type="dxa" w:w="763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#0B8F7E teal; restrained blue actions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Cards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16 px radius, subtle #E4E8EF border and very soft shadow</w:t>
            </w:r>
          </w:p>
        </w:tc>
      </w:tr>
      <w:tr>
        <w:tc>
          <w:tcPr>
            <w:tcW w:type="dxa" w:w="194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Type</w:t>
            </w:r>
          </w:p>
        </w:tc>
        <w:tc>
          <w:tcPr>
            <w:tcW w:type="dxa" w:w="763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14 px body/nav; 12–13 px labels; 30–36 px page titles; 28–34 px KPI values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Dashboard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Four compact KPI cards; two-thirds analytics; one-third health/actions</w:t>
            </w:r>
          </w:p>
        </w:tc>
      </w:tr>
      <w:tr>
        <w:tc>
          <w:tcPr>
            <w:tcW w:type="dxa" w:w="194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Sidebar</w:t>
            </w:r>
          </w:p>
        </w:tc>
        <w:tc>
          <w:tcPr>
            <w:tcW w:type="dxa" w:w="763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Logo/org, app name, Back to Business OS, grouped collapsible navigation, bottom sign-out</w:t>
            </w:r>
          </w:p>
        </w:tc>
      </w:tr>
    </w:tbl>
    <w:p>
      <w:pPr>
        <w:spacing w:after="20"/>
      </w:pPr>
    </w:p>
    <w:p>
      <w:pPr>
        <w:pStyle w:val="ListBullet"/>
        <w:spacing w:after="80"/>
        <w:ind w:left="720" w:hanging="360"/>
      </w:pPr>
      <w:r>
        <w:t>Each application has its own sidebar config; never recreate the single enormous cross-app dropdown.</w:t>
      </w:r>
    </w:p>
    <w:p>
      <w:pPr>
        <w:pStyle w:val="ListBullet"/>
        <w:spacing w:after="80"/>
        <w:ind w:left="720" w:hanging="360"/>
      </w:pPr>
      <w:r>
        <w:t>Use content-height cards except charts and deliberate data panels. Avoid giant empty blocks.</w:t>
      </w:r>
    </w:p>
    <w:p>
      <w:pPr>
        <w:pStyle w:val="ListBullet"/>
        <w:spacing w:after="80"/>
        <w:ind w:left="720" w:hanging="360"/>
      </w:pPr>
      <w:r>
        <w:t>Every list has loading skeleton, empty state, error state, permission state and server pagination.</w:t>
      </w:r>
    </w:p>
    <w:p>
      <w:pPr>
        <w:pStyle w:val="ListBullet"/>
        <w:spacing w:after="80"/>
        <w:ind w:left="720" w:hanging="360"/>
      </w:pPr>
      <w:r>
        <w:t>The launcher uses compact application cards and clearly labels trial, active, suspended and unavailable states.</w:t>
      </w:r>
    </w:p>
    <w:p>
      <w:pPr>
        <w:pStyle w:val="Heading1"/>
      </w:pPr>
      <w:r>
        <w:t>13. Delivery sequence</w:t>
      </w:r>
    </w:p>
    <w:tbl>
      <w:tblPr>
        <w:tblStyle w:val="TableGrid"/>
        <w:tblW w:type="dxa" w:w="95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3671"/>
        <w:gridCol w:w="4392"/>
      </w:tblGrid>
      <w:tr>
        <w:trPr>
          <w:tblHeader w:val="true"/>
        </w:trPr>
        <w:tc>
          <w:tcPr>
            <w:tcW w:type="dxa" w:w="1512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671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4392"/>
            <w:shd w:fill="1018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Exit gate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0. Inventory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Freeze legacy app; classify routes, tables and files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Each item marked migrate, transform, archive or retire</w:t>
            </w:r>
          </w:p>
        </w:tc>
      </w:tr>
      <w:tr>
        <w:tc>
          <w:tcPr>
            <w:tcW w:type="dxa" w:w="151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1. Foundation</w:t>
            </w:r>
          </w:p>
        </w:tc>
        <w:tc>
          <w:tcPr>
            <w:tcW w:type="dxa" w:w="3671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Repository, CI, design system, environments</w:t>
            </w:r>
          </w:p>
        </w:tc>
        <w:tc>
          <w:tcPr>
            <w:tcW w:type="dxa" w:w="439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Preview build and automated checks pass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2. Identity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Auth, tenancy, memberships, roles and RLS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No loop; cross-tenant RLS suite passes</w:t>
            </w:r>
          </w:p>
        </w:tc>
      </w:tr>
      <w:tr>
        <w:tc>
          <w:tcPr>
            <w:tcW w:type="dxa" w:w="151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3. Entry surfaces</w:t>
            </w:r>
          </w:p>
        </w:tc>
        <w:tc>
          <w:tcPr>
            <w:tcW w:type="dxa" w:w="3671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Home, independent public pages, login, launcher, both Admin apps</w:t>
            </w:r>
          </w:p>
        </w:tc>
        <w:tc>
          <w:tcPr>
            <w:tcW w:type="dxa" w:w="439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Empty customer can be provisioned and launched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4. Real Estate slice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Property → unit → tenant → lease → invoice → payment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End-to-end rental lifecycle passes</w:t>
            </w:r>
          </w:p>
        </w:tc>
      </w:tr>
      <w:tr>
        <w:tc>
          <w:tcPr>
            <w:tcW w:type="dxa" w:w="151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5. Real Estate depth</w:t>
            </w:r>
          </w:p>
        </w:tc>
        <w:tc>
          <w:tcPr>
            <w:tcW w:type="dxa" w:w="3671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M-Pesa, splits, payouts, operations and reports</w:t>
            </w:r>
          </w:p>
        </w:tc>
        <w:tc>
          <w:tcPr>
            <w:tcW w:type="dxa" w:w="439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Reconciliation and failure tests pass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6. Other apps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HR, Finance and ToughForce vertical slices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Per-app routes, roles and RLS pass</w:t>
            </w:r>
          </w:p>
        </w:tc>
      </w:tr>
      <w:tr>
        <w:tc>
          <w:tcPr>
            <w:tcW w:type="dxa" w:w="151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7. Migration</w:t>
            </w:r>
          </w:p>
        </w:tc>
        <w:tc>
          <w:tcPr>
            <w:tcW w:type="dxa" w:w="3671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Staged ETL, reconciliation and rehearsal</w:t>
            </w:r>
          </w:p>
        </w:tc>
        <w:tc>
          <w:tcPr>
            <w:tcW w:type="dxa" w:w="439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Counts and money totals signed off</w:t>
            </w:r>
          </w:p>
        </w:tc>
      </w:tr>
      <w:t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8. Launch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Security, load, UAT, backup/restore, monitoring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101827"/>
                <w:sz w:val="18"/>
              </w:rPr>
              <w:t>Readiness checklist approved</w:t>
            </w:r>
          </w:p>
        </w:tc>
      </w:tr>
    </w:tbl>
    <w:p>
      <w:pPr>
        <w:spacing w:after="20"/>
      </w:pPr>
    </w:p>
    <w:p>
      <w:pPr>
        <w:pStyle w:val="Heading1"/>
      </w:pPr>
      <w:r>
        <w:t>14. Codex implementation rules</w:t>
      </w:r>
    </w:p>
    <w:p>
      <w:pPr>
        <w:pStyle w:val="ListBullet"/>
        <w:spacing w:after="80"/>
        <w:ind w:left="720" w:hanging="360"/>
      </w:pPr>
      <w:r>
        <w:t>Do not connect the new project to the old Supabase account.</w:t>
      </w:r>
    </w:p>
    <w:p>
      <w:pPr>
        <w:pStyle w:val="ListBullet"/>
        <w:spacing w:after="80"/>
        <w:ind w:left="720" w:hanging="360"/>
      </w:pPr>
      <w:r>
        <w:t>Do not apply production migrations until their SQL, rollback and RLS tests are reviewed.</w:t>
      </w:r>
    </w:p>
    <w:p>
      <w:pPr>
        <w:pStyle w:val="ListBullet"/>
        <w:spacing w:after="80"/>
        <w:ind w:left="720" w:hanging="360"/>
      </w:pPr>
      <w:r>
        <w:t>Do not copy legacy access contexts, broad policies or route guards.</w:t>
      </w:r>
    </w:p>
    <w:p>
      <w:pPr>
        <w:pStyle w:val="ListBullet"/>
        <w:spacing w:after="80"/>
        <w:ind w:left="720" w:hanging="360"/>
      </w:pPr>
      <w:r>
        <w:t>Do not build placeholder navigation links. Every visible link must resolve to a real page or be explicitly marked unavailable.</w:t>
      </w:r>
    </w:p>
    <w:p>
      <w:pPr>
        <w:pStyle w:val="ListBullet"/>
        <w:spacing w:after="80"/>
        <w:ind w:left="720" w:hanging="360"/>
      </w:pPr>
      <w:r>
        <w:t>Do not query by company_code when a canonical company UUID exists.</w:t>
      </w:r>
    </w:p>
    <w:p>
      <w:pPr>
        <w:pStyle w:val="ListBullet"/>
        <w:spacing w:after="80"/>
        <w:ind w:left="720" w:hanging="360"/>
      </w:pPr>
      <w:r>
        <w:t>Do not infer totals from paginated rows.</w:t>
      </w:r>
    </w:p>
    <w:p>
      <w:pPr>
        <w:pStyle w:val="ListBullet"/>
        <w:spacing w:after="80"/>
        <w:ind w:left="720" w:hanging="360"/>
      </w:pPr>
      <w:r>
        <w:t>Do not silently insert demo data for new customers.</w:t>
      </w:r>
    </w:p>
    <w:p>
      <w:pPr>
        <w:pStyle w:val="ListBullet"/>
        <w:spacing w:after="80"/>
        <w:ind w:left="720" w:hanging="360"/>
      </w:pPr>
      <w:r>
        <w:t>After each phase, report created files, routes, migrations, tests, unresolved decisions and whether anything was pushed.</w:t>
      </w:r>
    </w:p>
    <w:p>
      <w:pPr>
        <w:pStyle w:val="Heading1"/>
      </w:pPr>
      <w:r>
        <w:t>15. Acceptance checklist</w:t>
      </w:r>
    </w:p>
    <w:p>
      <w:pPr>
        <w:spacing w:after="100"/>
        <w:ind w:left="216"/>
      </w:pPr>
      <w:r>
        <w:rPr>
          <w:b/>
          <w:color w:val="0B8F7E"/>
        </w:rPr>
        <w:t xml:space="preserve">☐  </w:t>
      </w:r>
      <w:r>
        <w:t>Home, Products, Pricing, Security, About, Contact and Support are independent routes.</w:t>
      </w:r>
    </w:p>
    <w:p>
      <w:pPr>
        <w:spacing w:after="100"/>
        <w:ind w:left="216"/>
      </w:pPr>
      <w:r>
        <w:rPr>
          <w:b/>
          <w:color w:val="0B8F7E"/>
        </w:rPr>
        <w:t xml:space="preserve">☐  </w:t>
      </w:r>
      <w:r>
        <w:t>One login reaches the launcher and opens entitled apps in the same or a new tab.</w:t>
      </w:r>
    </w:p>
    <w:p>
      <w:pPr>
        <w:spacing w:after="100"/>
        <w:ind w:left="216"/>
      </w:pPr>
      <w:r>
        <w:rPr>
          <w:b/>
          <w:color w:val="0B8F7E"/>
        </w:rPr>
        <w:t xml:space="preserve">☐  </w:t>
      </w:r>
      <w:r>
        <w:t>Platform Admin and Customer Admin share visual components but have separate permissions and route boundaries.</w:t>
      </w:r>
    </w:p>
    <w:p>
      <w:pPr>
        <w:spacing w:after="100"/>
        <w:ind w:left="216"/>
      </w:pPr>
      <w:r>
        <w:rPr>
          <w:b/>
          <w:color w:val="0B8F7E"/>
        </w:rPr>
        <w:t xml:space="preserve">☐  </w:t>
      </w:r>
      <w:r>
        <w:t>A customer can manage only its organization and companies.</w:t>
      </w:r>
    </w:p>
    <w:p>
      <w:pPr>
        <w:spacing w:after="100"/>
        <w:ind w:left="216"/>
      </w:pPr>
      <w:r>
        <w:rPr>
          <w:b/>
          <w:color w:val="0B8F7E"/>
        </w:rPr>
        <w:t xml:space="preserve">☐  </w:t>
      </w:r>
      <w:r>
        <w:t>A new organization contains no operational records.</w:t>
      </w:r>
    </w:p>
    <w:p>
      <w:pPr>
        <w:spacing w:after="100"/>
        <w:ind w:left="216"/>
      </w:pPr>
      <w:r>
        <w:rPr>
          <w:b/>
          <w:color w:val="0B8F7E"/>
        </w:rPr>
        <w:t xml:space="preserve">☐  </w:t>
      </w:r>
      <w:r>
        <w:t>Auth events cannot trigger repeated profile/access fetch loops.</w:t>
      </w:r>
    </w:p>
    <w:p>
      <w:pPr>
        <w:spacing w:after="100"/>
        <w:ind w:left="216"/>
      </w:pPr>
      <w:r>
        <w:rPr>
          <w:b/>
          <w:color w:val="0B8F7E"/>
        </w:rPr>
        <w:t xml:space="preserve">☐  </w:t>
      </w:r>
      <w:r>
        <w:t>Suspended apps return to the launcher with a clear state; they do not hijack other routes.</w:t>
      </w:r>
    </w:p>
    <w:p>
      <w:pPr>
        <w:spacing w:after="100"/>
        <w:ind w:left="216"/>
      </w:pPr>
      <w:r>
        <w:rPr>
          <w:b/>
          <w:color w:val="0B8F7E"/>
        </w:rPr>
        <w:t xml:space="preserve">☐  </w:t>
      </w:r>
      <w:r>
        <w:t>Properties, Units, Property Detail and Dashboard use one scoped counting/query contract.</w:t>
      </w:r>
    </w:p>
    <w:p>
      <w:pPr>
        <w:spacing w:after="100"/>
        <w:ind w:left="216"/>
      </w:pPr>
      <w:r>
        <w:rPr>
          <w:b/>
          <w:color w:val="0B8F7E"/>
        </w:rPr>
        <w:t xml:space="preserve">☐  </w:t>
      </w:r>
      <w:r>
        <w:t>Auto-billing previews before issue and is idempotent.</w:t>
      </w:r>
    </w:p>
    <w:p>
      <w:pPr>
        <w:spacing w:after="100"/>
        <w:ind w:left="216"/>
      </w:pPr>
      <w:r>
        <w:rPr>
          <w:b/>
          <w:color w:val="0B8F7E"/>
        </w:rPr>
        <w:t xml:space="preserve">☐  </w:t>
      </w:r>
      <w:r>
        <w:t>M-Pesa receipts are unique, traceable and reconciled; splits retain rule versions.</w:t>
      </w:r>
    </w:p>
    <w:p>
      <w:pPr>
        <w:spacing w:after="100"/>
        <w:ind w:left="216"/>
      </w:pPr>
      <w:r>
        <w:rPr>
          <w:b/>
          <w:color w:val="0B8F7E"/>
        </w:rPr>
        <w:t xml:space="preserve">☐  </w:t>
      </w:r>
      <w:r>
        <w:t>Two-tenant RLS tests prove isolation for every domain.</w:t>
      </w:r>
    </w:p>
    <w:p>
      <w:pPr>
        <w:spacing w:after="100"/>
        <w:ind w:left="216"/>
      </w:pPr>
      <w:r>
        <w:rPr>
          <w:b/>
          <w:color w:val="0B8F7E"/>
        </w:rPr>
        <w:t xml:space="preserve">☐  </w:t>
      </w:r>
      <w:r>
        <w:t>Every major directory and every application includes maintained documentation.</w:t>
      </w:r>
    </w:p>
    <w:p>
      <w:pPr>
        <w:pStyle w:val="Heading1"/>
      </w:pPr>
      <w:r>
        <w:t>16. Source and migration note</w:t>
      </w:r>
    </w:p>
    <w:p>
      <w:r>
        <w:t>The Real Estate inventory in this specification was grounded in the available legacy SQL schema and the previously discussed UI/page flows. The original application source archives are not treated as the new architecture. Before implementation reaches migration phase, Codex must run a fresh route/component inventory against the complete legacy frontend archive and produce a migrate/replace/retire matrix. Any additional legacy route discovered should be mapped into the page groups above or explicitly retired—never silently omitted.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b/>
        <w:color w:val="475569"/>
        <w:sz w:val="16"/>
      </w:rPr>
      <w:t>HAKIKA BUSINESS OS  /  REBUILD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0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8F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40" w:after="180"/>
      <w:ind w:left="259" w:right="259"/>
    </w:pPr>
    <w:rPr>
      <w:rFonts w:ascii="Calibri" w:hAnsi="Calibri"/>
      <w:b/>
      <w:color w:val="10182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Hakika Business OS Complete Rebuild Specification</dc:title>
  <dc:subject>Architecture, routes, tenancy, database, Real Estate inventory and implementation contract</dc:subject>
  <dc:creator>Hakika Business OS</dc:creator>
  <cp:keywords>Hakika, Business OS, Next.js, Supabase, tenancy, Real Estate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