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  <w:sz w:val="46"/>
          <w:szCs w:val="46"/>
        </w:rPr>
      </w:pPr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3. Methodology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section describes our framework for detecting dyslexia across different age groups and eye-tracking devices. Our goal was to create a "hardware-independent" system that works even when switching between different sensors or demographics.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ao5zj6shqsti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3.1 Data Acquisition and Harmonization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combined three different datasets to test how well our model generalizes: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Dataset A (ETDD70):</w:t>
      </w:r>
      <w:r w:rsidDel="00000000" w:rsidR="00000000" w:rsidRPr="00000000">
        <w:rPr>
          <w:color w:val="1f1f1f"/>
          <w:rtl w:val="0"/>
        </w:rPr>
        <w:t xml:space="preserve"> Data from 70 children (ages 9–10) including fixation and saccade logs.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Dataset B (Kronoberg):</w:t>
      </w:r>
      <w:r w:rsidDel="00000000" w:rsidR="00000000" w:rsidRPr="00000000">
        <w:rPr>
          <w:color w:val="1f1f1f"/>
          <w:rtl w:val="0"/>
        </w:rPr>
        <w:t xml:space="preserve"> Raw eye-movement coordinates from 185 second-grade students.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Dataset C (Adult Cognitive):</w:t>
      </w:r>
      <w:r w:rsidDel="00000000" w:rsidR="00000000" w:rsidRPr="00000000">
        <w:rPr>
          <w:color w:val="1f1f1f"/>
          <w:rtl w:val="0"/>
        </w:rPr>
        <w:t xml:space="preserve"> Raw data from 64 adults to test if the model works on older subjects.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wm7ietpwdb7p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3.1.1 The I-VT Protocol (Standardizing Data)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make the raw data from different devices match, we used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Velocity-Threshold Identification (I-VT)</w:t>
      </w:r>
      <w:r w:rsidDel="00000000" w:rsidR="00000000" w:rsidRPr="00000000">
        <w:rPr>
          <w:color w:val="1f1f1f"/>
          <w:rtl w:val="0"/>
        </w:rPr>
        <w:t xml:space="preserve"> algorithm. This separates eye movements into two types: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Fixations:</w:t>
      </w:r>
      <w:r w:rsidDel="00000000" w:rsidR="00000000" w:rsidRPr="00000000">
        <w:rPr>
          <w:color w:val="1f1f1f"/>
          <w:rtl w:val="0"/>
        </w:rPr>
        <w:t xml:space="preserve"> When the eye stays steady to process information.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Saccades:</w:t>
      </w:r>
      <w:r w:rsidDel="00000000" w:rsidR="00000000" w:rsidRPr="00000000">
        <w:rPr>
          <w:color w:val="1f1f1f"/>
          <w:rtl w:val="0"/>
        </w:rPr>
        <w:t xml:space="preserve"> When the eye moves quickly between points.</w:t>
        <w:br w:type="textWrapping"/>
        <w:t xml:space="preserve">We used a dynamic threshold (v = mu + 2sigma) to adjust for the different recording speeds of each device.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dvt79ja4linx" w:id="2"/>
      <w:bookmarkEnd w:id="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3.2 Feature Engineering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Instead of looking at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where</w:t>
      </w:r>
      <w:r w:rsidDel="00000000" w:rsidR="00000000" w:rsidRPr="00000000">
        <w:rPr>
          <w:color w:val="1f1f1f"/>
          <w:rtl w:val="0"/>
        </w:rPr>
        <w:t xml:space="preserve"> someone looks on a specific screen, we looked at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how</w:t>
      </w:r>
      <w:r w:rsidDel="00000000" w:rsidR="00000000" w:rsidRPr="00000000">
        <w:rPr>
          <w:color w:val="1f1f1f"/>
          <w:rtl w:val="0"/>
        </w:rPr>
        <w:t xml:space="preserve"> they move their eyes. This makes the model work on any screen size.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Gaze Stability:</w:t>
      </w:r>
      <w:r w:rsidDel="00000000" w:rsidR="00000000" w:rsidRPr="00000000">
        <w:rPr>
          <w:color w:val="1f1f1f"/>
          <w:rtl w:val="0"/>
        </w:rPr>
        <w:t xml:space="preserve"> Measuring how steady the eye stays during fixations. Dyslexic readers often show more instability.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Movement Ratios:</w:t>
      </w:r>
      <w:r w:rsidDel="00000000" w:rsidR="00000000" w:rsidRPr="00000000">
        <w:rPr>
          <w:color w:val="1f1f1f"/>
          <w:rtl w:val="0"/>
        </w:rPr>
        <w:t xml:space="preserve"> We calculated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Fixation-to-Saccade Ratio</w:t>
      </w:r>
      <w:r w:rsidDel="00000000" w:rsidR="00000000" w:rsidRPr="00000000">
        <w:rPr>
          <w:color w:val="1f1f1f"/>
          <w:rtl w:val="0"/>
        </w:rPr>
        <w:t xml:space="preserve">. Because this is a ratio, it stays the same regardless of how long the reading task lasts.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Reading Regressions:</w:t>
      </w:r>
      <w:r w:rsidDel="00000000" w:rsidR="00000000" w:rsidRPr="00000000">
        <w:rPr>
          <w:color w:val="1f1f1f"/>
          <w:rtl w:val="0"/>
        </w:rPr>
        <w:t xml:space="preserve"> We tracked "backward" eye movements. Frequent re-reading (regressions) is a key indicator of dyslexia.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u3rzx3bls2wz" w:id="3"/>
      <w:bookmarkEnd w:id="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3.3 Machine Learning Models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tested three different algorithms to find the most reliable one: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Random Forest:</w:t>
      </w:r>
      <w:r w:rsidDel="00000000" w:rsidR="00000000" w:rsidRPr="00000000">
        <w:rPr>
          <w:color w:val="1f1f1f"/>
          <w:rtl w:val="0"/>
        </w:rPr>
        <w:t xml:space="preserve"> Used as a starting point to see which features were most important.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Support Vector Machines (SVM):</w:t>
      </w:r>
      <w:r w:rsidDel="00000000" w:rsidR="00000000" w:rsidRPr="00000000">
        <w:rPr>
          <w:color w:val="1f1f1f"/>
          <w:rtl w:val="0"/>
        </w:rPr>
        <w:t xml:space="preserve"> A linear model used to find broad patterns and avoid focusing on "noise" from the hardware.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XGBoost (Final Choice):</w:t>
      </w:r>
      <w:r w:rsidDel="00000000" w:rsidR="00000000" w:rsidRPr="00000000">
        <w:rPr>
          <w:color w:val="1f1f1f"/>
          <w:rtl w:val="0"/>
        </w:rPr>
        <w:t xml:space="preserve"> This was our best-performing model. It uses advanced error-correction to ignore hardware differences and focus only on the biological signals of dyslexia.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17520ytwpdoh" w:id="4"/>
      <w:bookmarkEnd w:id="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3.4 Experimental Validation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tested our system in three steps: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Step 1: Internal Testing.</w:t>
      </w:r>
      <w:r w:rsidDel="00000000" w:rsidR="00000000" w:rsidRPr="00000000">
        <w:rPr>
          <w:color w:val="1f1f1f"/>
          <w:rtl w:val="0"/>
        </w:rPr>
        <w:t xml:space="preserve"> We trained and tested the model on the same group to set a baseline accuracy.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Step 2: Zero-Shot Transfer.</w:t>
      </w:r>
      <w:r w:rsidDel="00000000" w:rsidR="00000000" w:rsidRPr="00000000">
        <w:rPr>
          <w:color w:val="1f1f1f"/>
          <w:rtl w:val="0"/>
        </w:rPr>
        <w:t xml:space="preserve"> This was the "stress test." We trained the model on children (Dataset A) and tested it on a completely different group (Dataset B) without any extra training. We used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Quantile Normalization</w:t>
      </w:r>
      <w:r w:rsidDel="00000000" w:rsidR="00000000" w:rsidRPr="00000000">
        <w:rPr>
          <w:color w:val="1f1f1f"/>
          <w:rtl w:val="0"/>
        </w:rPr>
        <w:t xml:space="preserve"> to make the data from different devices look statistically similar.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Step 3: Visual Analysis (PCA).</w:t>
      </w:r>
      <w:r w:rsidDel="00000000" w:rsidR="00000000" w:rsidRPr="00000000">
        <w:rPr>
          <w:color w:val="1f1f1f"/>
          <w:rtl w:val="0"/>
        </w:rPr>
        <w:t xml:space="preserve"> We used Principal Component Analysis to map the reading patterns of both adults and children. The results showed that dyslexic reading "signatures" look the same across all ages, proving a single model can work for everyone.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pwnz6dg8jh6h" w:id="5"/>
      <w:bookmarkEnd w:id="5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3.5 Summary of Contributions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Our methodology provides a way to screen for dyslexia that does not depend on expensive or specific hardware. By focusing on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movement ratios</w:t>
      </w:r>
      <w:r w:rsidDel="00000000" w:rsidR="00000000" w:rsidRPr="00000000">
        <w:rPr>
          <w:color w:val="1f1f1f"/>
          <w:rtl w:val="0"/>
        </w:rPr>
        <w:t xml:space="preserve"> rather than screen coordinates, we have created a tool that is ready for real-world, multi-age use.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569cd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