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0"/>
        </w:rPr>
        <w:t>Machine learning in battery management systems: a two-tier scoping review of 799 eligible studies with in-depth classification and validation audit</w:t>
      </w:r>
    </w:p>
    <w:p>
      <w:pPr>
        <w:spacing w:after="40"/>
        <w:jc w:val="center"/>
      </w:pPr>
      <w:r>
        <w:rPr>
          <w:rFonts w:ascii="Times New Roman" w:hAnsi="Times New Roman"/>
          <w:b/>
          <w:i w:val="0"/>
          <w:sz w:val="22"/>
        </w:rPr>
        <w:t>Hussain Touhid Siddiquee</w:t>
      </w:r>
    </w:p>
    <w:p>
      <w:pPr>
        <w:spacing w:after="200"/>
        <w:jc w:val="center"/>
      </w:pPr>
      <w:r>
        <w:rPr>
          <w:rFonts w:ascii="Times New Roman" w:hAnsi="Times New Roman"/>
          <w:b w:val="0"/>
          <w:i/>
          <w:sz w:val="18"/>
        </w:rPr>
        <w:t>Leading University, Sylhet, Bangladesh</w:t>
      </w:r>
    </w:p>
    <w:p>
      <w:pPr>
        <w:spacing w:after="40"/>
        <w:jc w:val="center"/>
      </w:pPr>
      <w:r>
        <w:rPr>
          <w:rFonts w:ascii="Times New Roman" w:hAnsi="Times New Roman"/>
          <w:b/>
          <w:i w:val="0"/>
          <w:sz w:val="22"/>
        </w:rPr>
        <w:t>Syeda Salsabil Islam Ariya</w:t>
      </w:r>
    </w:p>
    <w:p>
      <w:pPr>
        <w:spacing w:after="200"/>
        <w:jc w:val="center"/>
      </w:pPr>
      <w:r>
        <w:rPr>
          <w:rFonts w:ascii="Times New Roman" w:hAnsi="Times New Roman"/>
          <w:b w:val="0"/>
          <w:i/>
          <w:sz w:val="18"/>
        </w:rPr>
        <w:t>Leading University, Sylhet, Bangladesh</w:t>
      </w:r>
    </w:p>
    <w:p>
      <w:pPr>
        <w:spacing w:after="40"/>
        <w:jc w:val="center"/>
      </w:pPr>
      <w:r>
        <w:rPr>
          <w:rFonts w:ascii="Times New Roman" w:hAnsi="Times New Roman"/>
          <w:b/>
          <w:i w:val="0"/>
          <w:sz w:val="22"/>
        </w:rPr>
        <w:t>Jasimul Islam Chowdhury</w:t>
      </w:r>
    </w:p>
    <w:p>
      <w:pPr>
        <w:spacing w:after="200"/>
        <w:jc w:val="center"/>
      </w:pPr>
      <w:r>
        <w:rPr>
          <w:rFonts w:ascii="Times New Roman" w:hAnsi="Times New Roman"/>
          <w:b w:val="0"/>
          <w:i/>
          <w:sz w:val="18"/>
        </w:rPr>
        <w:t>Leading University, Sylhet, Bangladesh</w:t>
      </w:r>
    </w:p>
    <w:p>
      <w:pPr>
        <w:spacing w:after="120"/>
        <w:jc w:val="left"/>
      </w:pPr>
      <w:r>
        <w:rPr>
          <w:rFonts w:ascii="Times New Roman" w:hAnsi="Times New Roman"/>
          <w:b/>
          <w:i w:val="0"/>
          <w:sz w:val="20"/>
        </w:rPr>
        <w:t>Abstract</w:t>
      </w:r>
    </w:p>
    <w:p>
      <w:pPr>
        <w:spacing w:after="160"/>
        <w:jc w:val="both"/>
      </w:pPr>
      <w:r>
        <w:rPr>
          <w:rFonts w:ascii="Times New Roman" w:hAnsi="Times New Roman"/>
          <w:b w:val="0"/>
          <w:i w:val="0"/>
          <w:sz w:val="20"/>
        </w:rPr>
        <w:t xml:space="preserve">Machine learning (ML) has become a load-bearing component of modern battery management systems (BMS), but the validation practices behind the literature’s accuracy claims are rarely examined. A structured scoping review with a two-tier evidence base is presented. The </w:t>
      </w:r>
      <w:r>
        <w:rPr>
          <w:rFonts w:ascii="Times New Roman" w:hAnsi="Times New Roman"/>
          <w:b w:val="0"/>
          <w:i/>
          <w:sz w:val="20"/>
        </w:rPr>
        <w:t>eligible corpus</w:t>
      </w:r>
      <w:r>
        <w:rPr>
          <w:rFonts w:ascii="Times New Roman" w:hAnsi="Times New Roman"/>
          <w:b w:val="0"/>
          <w:i w:val="0"/>
          <w:sz w:val="20"/>
        </w:rPr>
        <w:t xml:space="preserve"> holds 799 peer-reviewed journal articles admitted from a capped 30-query Crossref retrieval by rule-based screens: 798 dated 2020–2026 plus one early-access record date-stamped 2027. The </w:t>
      </w:r>
      <w:r>
        <w:rPr>
          <w:rFonts w:ascii="Times New Roman" w:hAnsi="Times New Roman"/>
          <w:b w:val="0"/>
          <w:i/>
          <w:sz w:val="20"/>
        </w:rPr>
        <w:t>classified subset</w:t>
      </w:r>
      <w:r>
        <w:rPr>
          <w:rFonts w:ascii="Times New Roman" w:hAnsi="Times New Roman"/>
          <w:b w:val="0"/>
          <w:i w:val="0"/>
          <w:sz w:val="20"/>
        </w:rPr>
        <w:t xml:space="preserve"> holds 103 studies — 98 drawn from that pool plus five seed studies retrieved and verified individually, one of them dated 2019 — coded by function, method family, chemistry, data source, and validation practice, with a blind 30-paper reliability check and label-noise scenario envelopes on the coded fields.</w:t>
      </w:r>
    </w:p>
    <w:p>
      <w:pPr>
        <w:spacing w:after="160"/>
        <w:jc w:val="both"/>
      </w:pPr>
      <w:r>
        <w:rPr>
          <w:rFonts w:ascii="Times New Roman" w:hAnsi="Times New Roman"/>
          <w:b w:val="0"/>
          <w:i w:val="0"/>
          <w:sz w:val="20"/>
        </w:rPr>
        <w:t>Union-share bibliometrics measured over the eligible corpus locate the screened literature’s center of gravity in health estimation (SOH), state estimation (SOC), and prognostics (RUL) — tag shares inherited from the retrieval queries and read for ordering, not exact rates, with their union share reported in Section 3.3 — with charging control, thermal management, cell balancing, and vehicle- or fleet-level work comparatively thin for a transportation-electrification readership. Within the classified subset, method families stratify by period — classical shallow learners, then deep sequence models, now physics-informed hybrids — a within-subset sequence that the eligible pool’s method-theme tags do not mirror (Section 3.2) — and the subset’s first large-language-model studies appear in 2025–2026.</w:t>
      </w:r>
    </w:p>
    <w:p>
      <w:pPr>
        <w:spacing w:after="160"/>
        <w:jc w:val="both"/>
      </w:pPr>
      <w:r>
        <w:rPr>
          <w:rFonts w:ascii="Times New Roman" w:hAnsi="Times New Roman"/>
          <w:b w:val="0"/>
          <w:i w:val="0"/>
          <w:sz w:val="20"/>
        </w:rPr>
        <w:t>Three structural weaknesses recur across the classified subset. Only 8 of the 88 primary-application papers demonstrate their estimators online or on real vehicle or fleet data; 17 rely on within-cell or k-fold splits that can leak trajectory information; and the empirical base is split between three shared public benchmarks (23 papers on Severson/Toyota, NASA, and CALCE) and private laboratory cells (36 papers) that cannot be audited at all. Physics-informed architectures, often assumed more rigorous by construction, show no detectable difference in validation stringency from data-driven peers — a contrast this review’s minimum-detectable-effect analysis shows to be underpowered, so meaningful differences in either direction cannot be excluded — and symmetric and strong-to-weak label-noise scenarios bracket the strong-protocol share between 11% and 59%, the strong-to-weak floor a worst-case bound rather than an estimate (Section 3.4). A post-hoc recall audit against the reference lists of the included reviews quantifies what the capped retrieval misses; an abstract-level probe tests how far the subset’s validation audit can be generalized; and a baseline-comparison screen asks whether ML studies benchmark against model-based methods at all. The review closes with a requirement-level mapping of BMS functions onto UN GTR 20, GB 38031, and ISO 26262, a positioning against prior reviews, and a twelve-item reporting checklist; the complete evidence base and analysis pipeline are deposited with a DOI.</w:t>
      </w:r>
    </w:p>
    <w:p>
      <w:pPr>
        <w:spacing w:after="240"/>
        <w:jc w:val="both"/>
      </w:pPr>
      <w:r>
        <w:rPr>
          <w:rFonts w:ascii="Times New Roman" w:hAnsi="Times New Roman"/>
          <w:b w:val="0"/>
          <w:i/>
          <w:sz w:val="20"/>
        </w:rPr>
        <w:t>Keywords: machine learning; battery management systems; lithium-ion batteries; state of charge; state of health; remaining useful life; deep learning; physics-informed neural networks; transfer learning; battery safety</w:t>
      </w:r>
    </w:p>
    <w:p>
      <w:pPr>
        <w:keepNext/>
        <w:spacing w:after="120"/>
        <w:jc w:val="left"/>
      </w:pPr>
      <w:r>
        <w:rPr>
          <w:rFonts w:ascii="Times New Roman" w:hAnsi="Times New Roman"/>
          <w:b/>
          <w:i w:val="0"/>
          <w:sz w:val="20"/>
        </w:rPr>
        <w:t>1. Introduction</w:t>
      </w:r>
    </w:p>
    <w:p>
      <w:pPr>
        <w:keepNext/>
        <w:spacing w:after="80"/>
        <w:jc w:val="left"/>
      </w:pPr>
      <w:r>
        <w:rPr>
          <w:rFonts w:ascii="Times New Roman" w:hAnsi="Times New Roman"/>
          <w:b/>
          <w:i w:val="0"/>
          <w:sz w:val="20"/>
        </w:rPr>
        <w:t>1.1 Electrification and the battery management problem</w:t>
      </w:r>
    </w:p>
    <w:p>
      <w:pPr>
        <w:spacing w:after="160"/>
        <w:jc w:val="both"/>
      </w:pPr>
      <w:r>
        <w:rPr>
          <w:rFonts w:ascii="Times New Roman" w:hAnsi="Times New Roman"/>
          <w:b w:val="0"/>
          <w:i w:val="0"/>
          <w:sz w:val="20"/>
        </w:rPr>
        <w:t xml:space="preserve">Lithium-ion batteries now anchor three converging transitions: the electrification of road transport, the proliferation of stationary storage in renewable-heavy grids, and the electrification of aerospace, marine, and industrial systems. In each of these settings, the battery is not a passive component but an actively managed asset whose usable capacity, lifetime, and safety depend on operating decisions made in real time. The battery management system is the embedded cyber-physical layer that makes those decisions: it senses cell voltages, currents, and temperatures; estimates unobservable internal states; protects against over-charge, over-discharge, and thermal abuse; balances cells; and increasingly negotiates charging strategies with the surrounding power system </w:t>
      </w:r>
      <w:r>
        <w:rPr>
          <w:rFonts w:ascii="Times New Roman" w:hAnsi="Times New Roman"/>
          <w:sz w:val="20"/>
        </w:rPr>
        <w:t>[1]</w:t>
      </w:r>
      <w:r>
        <w:rPr>
          <w:rFonts w:ascii="Times New Roman" w:hAnsi="Times New Roman"/>
          <w:b w:val="0"/>
          <w:i w:val="0"/>
          <w:sz w:val="20"/>
        </w:rPr>
        <w:t>.</w:t>
      </w:r>
    </w:p>
    <w:p>
      <w:pPr>
        <w:spacing w:after="160"/>
        <w:jc w:val="both"/>
      </w:pPr>
      <w:r>
        <w:rPr>
          <w:rFonts w:ascii="Times New Roman" w:hAnsi="Times New Roman"/>
          <w:b w:val="0"/>
          <w:i w:val="0"/>
          <w:sz w:val="20"/>
        </w:rPr>
        <w:t xml:space="preserve">The difficulty of the management problem stems from the fact that the quantities that matter most — state of charge (SOC), state of health (SOH), internal temperature, and the onset of degradation or fault mechanisms — are not directly measurable. They must be inferred from noisy, partially observable terminal measurements under widely varying operating conditions. Model-based approaches built on equivalent-circuit or electrochemical models have served the industry well, but they face a persistent trade-off between fidelity and computational tractability, and their parameters drift as cells age </w:t>
      </w:r>
      <w:r>
        <w:rPr>
          <w:rFonts w:ascii="Times New Roman" w:hAnsi="Times New Roman"/>
          <w:sz w:val="20"/>
        </w:rPr>
        <w:t>[2]</w:t>
      </w:r>
      <w:r>
        <w:rPr>
          <w:rFonts w:ascii="Times New Roman" w:hAnsi="Times New Roman"/>
          <w:b w:val="0"/>
          <w:i w:val="0"/>
          <w:sz w:val="20"/>
        </w:rPr>
        <w:t>. It is in this inference-and-decision layer that machine learning has made its most forceful entry.</w:t>
      </w:r>
    </w:p>
    <w:p>
      <w:pPr>
        <w:keepNext/>
        <w:spacing w:after="80"/>
        <w:jc w:val="left"/>
      </w:pPr>
      <w:r>
        <w:rPr>
          <w:rFonts w:ascii="Times New Roman" w:hAnsi="Times New Roman"/>
          <w:b/>
          <w:i w:val="0"/>
          <w:sz w:val="20"/>
        </w:rPr>
        <w:t>1.2 The rise of machine learning in battery management</w:t>
      </w:r>
    </w:p>
    <w:p>
      <w:pPr>
        <w:spacing w:after="160"/>
        <w:jc w:val="both"/>
      </w:pPr>
      <w:r>
        <w:rPr>
          <w:rFonts w:ascii="Times New Roman" w:hAnsi="Times New Roman"/>
          <w:b w:val="0"/>
          <w:i w:val="0"/>
          <w:sz w:val="20"/>
        </w:rPr>
        <w:t xml:space="preserve">Machine learning entered battery management through estimation. Early applications treated SOC and SOH estimation as supervised regression on hand-engineered features, using support vector machines, Gaussian process regression, and shallow neural networks. Two studies then reset expectations for the whole field. Severson and colleagues showed that the entire cycle life of a lithium-ion cell could be predicted with a median test error near 9% using only features extracted from the first hundred cycles, on a public dataset of 124 cells </w:t>
      </w:r>
      <w:r>
        <w:rPr>
          <w:rFonts w:ascii="Times New Roman" w:hAnsi="Times New Roman"/>
          <w:sz w:val="20"/>
        </w:rPr>
        <w:t>[3]</w:t>
      </w:r>
      <w:r>
        <w:rPr>
          <w:rFonts w:ascii="Times New Roman" w:hAnsi="Times New Roman"/>
          <w:b w:val="0"/>
          <w:i w:val="0"/>
          <w:sz w:val="20"/>
        </w:rPr>
        <w:t xml:space="preserve">. Attia and colleagues demonstrated closed-loop Bayesian optimization of fast-charging protocols, identifying high-cycle-life protocols among 224 candidates in 16 days of closed-loop cycling rather than the more than 500 days an exhaustive search without early prediction would take </w:t>
      </w:r>
      <w:r>
        <w:rPr>
          <w:rFonts w:ascii="Times New Roman" w:hAnsi="Times New Roman"/>
          <w:sz w:val="20"/>
        </w:rPr>
        <w:t>[4]</w:t>
      </w:r>
      <w:r>
        <w:rPr>
          <w:rFonts w:ascii="Times New Roman" w:hAnsi="Times New Roman"/>
          <w:b w:val="0"/>
          <w:i w:val="0"/>
          <w:sz w:val="20"/>
        </w:rPr>
        <w:t>. Together these results reframed battery management as a data problem in which learning systems could outperform hand-tuned models both in estimation accuracy and in experiment efficiency.</w:t>
      </w:r>
    </w:p>
    <w:p>
      <w:pPr>
        <w:spacing w:after="160"/>
        <w:jc w:val="both"/>
      </w:pPr>
      <w:r>
        <w:rPr>
          <w:rFonts w:ascii="Times New Roman" w:hAnsi="Times New Roman"/>
          <w:b w:val="0"/>
          <w:i w:val="0"/>
          <w:sz w:val="20"/>
        </w:rPr>
        <w:t xml:space="preserve">The five years that followed produced a wave of published applications across every BMS function: recurrent and convolutional networks for SOC and SOH </w:t>
      </w:r>
      <w:r>
        <w:rPr>
          <w:rFonts w:ascii="Times New Roman" w:hAnsi="Times New Roman"/>
          <w:sz w:val="20"/>
        </w:rPr>
        <w:t>[5, 6]</w:t>
      </w:r>
      <w:r>
        <w:rPr>
          <w:rFonts w:ascii="Times New Roman" w:hAnsi="Times New Roman"/>
          <w:b w:val="0"/>
          <w:i w:val="0"/>
          <w:sz w:val="20"/>
        </w:rPr>
        <w:t xml:space="preserve">, graph and transformer architectures for prognostics </w:t>
      </w:r>
      <w:r>
        <w:rPr>
          <w:rFonts w:ascii="Times New Roman" w:hAnsi="Times New Roman"/>
          <w:sz w:val="20"/>
        </w:rPr>
        <w:t>[7, 8]</w:t>
      </w:r>
      <w:r>
        <w:rPr>
          <w:rFonts w:ascii="Times New Roman" w:hAnsi="Times New Roman"/>
          <w:b w:val="0"/>
          <w:i w:val="0"/>
          <w:sz w:val="20"/>
        </w:rPr>
        <w:t xml:space="preserve">, physics-informed neural networks that embed electrochemical and thermal priors into learning systems </w:t>
      </w:r>
      <w:r>
        <w:rPr>
          <w:rFonts w:ascii="Times New Roman" w:hAnsi="Times New Roman"/>
          <w:sz w:val="20"/>
        </w:rPr>
        <w:t>[9, 10]</w:t>
      </w:r>
      <w:r>
        <w:rPr>
          <w:rFonts w:ascii="Times New Roman" w:hAnsi="Times New Roman"/>
          <w:b w:val="0"/>
          <w:i w:val="0"/>
          <w:sz w:val="20"/>
        </w:rPr>
        <w:t xml:space="preserve">, transfer learning schemes that port estimators across chemistries and vehicles </w:t>
      </w:r>
      <w:r>
        <w:rPr>
          <w:rFonts w:ascii="Times New Roman" w:hAnsi="Times New Roman"/>
          <w:sz w:val="20"/>
        </w:rPr>
        <w:t>[11, 12]</w:t>
      </w:r>
      <w:r>
        <w:rPr>
          <w:rFonts w:ascii="Times New Roman" w:hAnsi="Times New Roman"/>
          <w:b w:val="0"/>
          <w:i w:val="0"/>
          <w:sz w:val="20"/>
        </w:rPr>
        <w:t xml:space="preserve">, reinforcement learning agents for charging and prognostic model selection </w:t>
      </w:r>
      <w:r>
        <w:rPr>
          <w:rFonts w:ascii="Times New Roman" w:hAnsi="Times New Roman"/>
          <w:sz w:val="20"/>
        </w:rPr>
        <w:t>[13]</w:t>
      </w:r>
      <w:r>
        <w:rPr>
          <w:rFonts w:ascii="Times New Roman" w:hAnsi="Times New Roman"/>
          <w:b w:val="0"/>
          <w:i w:val="0"/>
          <w:sz w:val="20"/>
        </w:rPr>
        <w:t xml:space="preserve">, and, most recently, large language model (LLM) agents for fleet-scale risk analysis and vehicle-cloud battery management </w:t>
      </w:r>
      <w:r>
        <w:rPr>
          <w:rFonts w:ascii="Times New Roman" w:hAnsi="Times New Roman"/>
          <w:sz w:val="20"/>
        </w:rPr>
        <w:t>[14, 15]</w:t>
      </w:r>
      <w:r>
        <w:rPr>
          <w:rFonts w:ascii="Times New Roman" w:hAnsi="Times New Roman"/>
          <w:b w:val="0"/>
          <w:i w:val="0"/>
          <w:sz w:val="20"/>
        </w:rPr>
        <w:t>.</w:t>
      </w:r>
    </w:p>
    <w:p>
      <w:pPr>
        <w:keepNext/>
        <w:spacing w:after="80"/>
        <w:jc w:val="left"/>
      </w:pPr>
      <w:r>
        <w:rPr>
          <w:rFonts w:ascii="Times New Roman" w:hAnsi="Times New Roman"/>
          <w:b/>
          <w:i w:val="0"/>
          <w:sz w:val="20"/>
        </w:rPr>
        <w:t>1.3 Existing reviews and the literature gap</w:t>
      </w:r>
    </w:p>
    <w:p>
      <w:pPr>
        <w:spacing w:after="160"/>
        <w:jc w:val="both"/>
      </w:pPr>
      <w:r>
        <w:rPr>
          <w:rFonts w:ascii="Times New Roman" w:hAnsi="Times New Roman"/>
          <w:b w:val="0"/>
          <w:i w:val="0"/>
          <w:sz w:val="20"/>
        </w:rPr>
        <w:t xml:space="preserve">The review literature has grown alongside the applications, but it is fragmented along the same axes as the primary studies. An early perspective on data-driven SOC and SOH prediction </w:t>
      </w:r>
      <w:r>
        <w:rPr>
          <w:rFonts w:ascii="Times New Roman" w:hAnsi="Times New Roman"/>
          <w:sz w:val="20"/>
        </w:rPr>
        <w:t>[16]</w:t>
      </w:r>
      <w:r>
        <w:rPr>
          <w:rFonts w:ascii="Times New Roman" w:hAnsi="Times New Roman"/>
          <w:b w:val="0"/>
          <w:i w:val="0"/>
          <w:sz w:val="20"/>
        </w:rPr>
        <w:t xml:space="preserve"> set the agenda; function-specific reviews cover SOC estimation </w:t>
      </w:r>
      <w:r>
        <w:rPr>
          <w:rFonts w:ascii="Times New Roman" w:hAnsi="Times New Roman"/>
          <w:sz w:val="20"/>
        </w:rPr>
        <w:t>[17, 18]</w:t>
      </w:r>
      <w:r>
        <w:rPr>
          <w:rFonts w:ascii="Times New Roman" w:hAnsi="Times New Roman"/>
          <w:b w:val="0"/>
          <w:i w:val="0"/>
          <w:sz w:val="20"/>
        </w:rPr>
        <w:t xml:space="preserve">, SOH estimation </w:t>
      </w:r>
      <w:r>
        <w:rPr>
          <w:rFonts w:ascii="Times New Roman" w:hAnsi="Times New Roman"/>
          <w:sz w:val="20"/>
        </w:rPr>
        <w:t>[19]</w:t>
      </w:r>
      <w:r>
        <w:rPr>
          <w:rFonts w:ascii="Times New Roman" w:hAnsi="Times New Roman"/>
          <w:b w:val="0"/>
          <w:i w:val="0"/>
          <w:sz w:val="20"/>
        </w:rPr>
        <w:t xml:space="preserve">, and prognostics </w:t>
      </w:r>
      <w:r>
        <w:rPr>
          <w:rFonts w:ascii="Times New Roman" w:hAnsi="Times New Roman"/>
          <w:sz w:val="20"/>
        </w:rPr>
        <w:t>[20]</w:t>
      </w:r>
      <w:r>
        <w:rPr>
          <w:rFonts w:ascii="Times New Roman" w:hAnsi="Times New Roman"/>
          <w:b w:val="0"/>
          <w:i w:val="0"/>
          <w:sz w:val="20"/>
        </w:rPr>
        <w:t xml:space="preserve"> in depth, while method-specific reviews follow individual threads such as deep-learning state estimation </w:t>
      </w:r>
      <w:r>
        <w:rPr>
          <w:rFonts w:ascii="Times New Roman" w:hAnsi="Times New Roman"/>
          <w:sz w:val="20"/>
        </w:rPr>
        <w:t>[1]</w:t>
      </w:r>
      <w:r>
        <w:rPr>
          <w:rFonts w:ascii="Times New Roman" w:hAnsi="Times New Roman"/>
          <w:b w:val="0"/>
          <w:i w:val="0"/>
          <w:sz w:val="20"/>
        </w:rPr>
        <w:t xml:space="preserve">, physics-informed learning for impedance-based diagnostics </w:t>
      </w:r>
      <w:r>
        <w:rPr>
          <w:rFonts w:ascii="Times New Roman" w:hAnsi="Times New Roman"/>
          <w:sz w:val="20"/>
        </w:rPr>
        <w:t>[21]</w:t>
      </w:r>
      <w:r>
        <w:rPr>
          <w:rFonts w:ascii="Times New Roman" w:hAnsi="Times New Roman"/>
          <w:b w:val="0"/>
          <w:i w:val="0"/>
          <w:sz w:val="20"/>
        </w:rPr>
        <w:t xml:space="preserve">, or interpretable ML for prognosis </w:t>
      </w:r>
      <w:r>
        <w:rPr>
          <w:rFonts w:ascii="Times New Roman" w:hAnsi="Times New Roman"/>
          <w:sz w:val="20"/>
        </w:rPr>
        <w:t>[22]</w:t>
      </w:r>
      <w:r>
        <w:rPr>
          <w:rFonts w:ascii="Times New Roman" w:hAnsi="Times New Roman"/>
          <w:b w:val="0"/>
          <w:i w:val="0"/>
          <w:sz w:val="20"/>
        </w:rPr>
        <w:t xml:space="preserve">. Domain-anchored reviews examine fault diagnosis and safety </w:t>
      </w:r>
      <w:r>
        <w:rPr>
          <w:rFonts w:ascii="Times New Roman" w:hAnsi="Times New Roman"/>
          <w:sz w:val="20"/>
        </w:rPr>
        <w:t>[23, 24]</w:t>
      </w:r>
      <w:r>
        <w:rPr>
          <w:rFonts w:ascii="Times New Roman" w:hAnsi="Times New Roman"/>
          <w:b w:val="0"/>
          <w:i w:val="0"/>
          <w:sz w:val="20"/>
        </w:rPr>
        <w:t xml:space="preserve"> and thermal management </w:t>
      </w:r>
      <w:r>
        <w:rPr>
          <w:rFonts w:ascii="Times New Roman" w:hAnsi="Times New Roman"/>
          <w:sz w:val="20"/>
        </w:rPr>
        <w:t>[25]</w:t>
      </w:r>
      <w:r>
        <w:rPr>
          <w:rFonts w:ascii="Times New Roman" w:hAnsi="Times New Roman"/>
          <w:b w:val="0"/>
          <w:i w:val="0"/>
          <w:sz w:val="20"/>
        </w:rPr>
        <w:t xml:space="preserve">, alongside broader degradation-method surveys </w:t>
      </w:r>
      <w:r>
        <w:rPr>
          <w:rFonts w:ascii="Times New Roman" w:hAnsi="Times New Roman"/>
          <w:sz w:val="20"/>
        </w:rPr>
        <w:t>[26]</w:t>
      </w:r>
      <w:r>
        <w:rPr>
          <w:rFonts w:ascii="Times New Roman" w:hAnsi="Times New Roman"/>
          <w:b w:val="0"/>
          <w:i w:val="0"/>
          <w:sz w:val="20"/>
        </w:rPr>
        <w:t>.</w:t>
      </w:r>
    </w:p>
    <w:p>
      <w:pPr>
        <w:spacing w:after="160"/>
        <w:jc w:val="both"/>
      </w:pPr>
      <w:r>
        <w:rPr>
          <w:rFonts w:ascii="Times New Roman" w:hAnsi="Times New Roman"/>
          <w:b w:val="0"/>
          <w:i w:val="0"/>
          <w:sz w:val="20"/>
        </w:rPr>
        <w:t xml:space="preserve">The closest in scope among recent cross-functional reviews is the performance-centric review of Prasanna et al. </w:t>
      </w:r>
      <w:r>
        <w:rPr>
          <w:rFonts w:ascii="Times New Roman" w:hAnsi="Times New Roman"/>
          <w:sz w:val="20"/>
        </w:rPr>
        <w:t>[27]</w:t>
      </w:r>
      <w:r>
        <w:rPr>
          <w:rFonts w:ascii="Times New Roman" w:hAnsi="Times New Roman"/>
          <w:b w:val="0"/>
          <w:i w:val="0"/>
          <w:sz w:val="20"/>
        </w:rPr>
        <w:t xml:space="preserve">, which examines 240 peer-reviewed publications (included from 361 initially retrieved records under its PRISMA screen) spanning the whole electric-vehicle powertrain — battery management alongside charging systems, motor control, and energy-consumption prediction — and aggregates reported performance metrics (RMSE, R²) into a quantitative benchmarking of algorithm families, concluding that hybrid deep-learning architectures (LSTM-DDQN, CNN-BiGRU, transformer-based frameworks) consistently achieve superior accuracy (R² &gt; 0.95, RMSE &lt; 0.05). This review differs from that work in scope, unit of analysis, and question asked. In scope, it is narrower and deeper: battery-management functions only — estimation, prognostics, charging, thermal, fault and safety, balancing — rather than the powertrain breadth, which permits function-level cuts such as the standards mapping of Section 9.4 and the per-function validation audit. In unit of analysis, it is protocol-centric rather than performance-centric: instead of pooling reported accuracy figures, it codes how each study’s validation protocol isolates (or fails to isolate) its generalization claim — cross-cell holdout versus within-cell splits, benchmark reuse versus private data, laboratory duty versus fleet duty. The two approaches are complementary, and the complementarity is pointed: an aggregation of self-reported RMSE and R² may inherit, unmeasured, precisely the validation weaknesses that this review quantifies within its own subset — there, 17 of 88 primary papers validate on information-leaking splits and headline accuracies concentrate on three shared benchmarks — so where Prasanna et al. answer </w:t>
      </w:r>
      <w:r>
        <w:rPr>
          <w:rFonts w:ascii="Times New Roman" w:hAnsi="Times New Roman"/>
          <w:b w:val="0"/>
          <w:i/>
          <w:sz w:val="20"/>
        </w:rPr>
        <w:t>which algorithm family performs best as reported</w:t>
      </w:r>
      <w:r>
        <w:rPr>
          <w:rFonts w:ascii="Times New Roman" w:hAnsi="Times New Roman"/>
          <w:b w:val="0"/>
          <w:i w:val="0"/>
          <w:sz w:val="20"/>
        </w:rPr>
        <w:t xml:space="preserve">, this review asks </w:t>
      </w:r>
      <w:r>
        <w:rPr>
          <w:rFonts w:ascii="Times New Roman" w:hAnsi="Times New Roman"/>
          <w:b w:val="0"/>
          <w:i/>
          <w:sz w:val="20"/>
        </w:rPr>
        <w:t>how much the reports can be trusted, and what a study must disclose for its claims to be checkable</w:t>
      </w:r>
      <w:r>
        <w:rPr>
          <w:rFonts w:ascii="Times New Roman" w:hAnsi="Times New Roman"/>
          <w:b w:val="0"/>
          <w:i w:val="0"/>
          <w:sz w:val="20"/>
        </w:rPr>
        <w:t>. A third difference is evidentiary: the two-tier design here measures bibliometric shares over a released 799-record eligible corpus with record-level screening provenance, and releases the per-paper protocol audit, codebook, and re-runnable pipeline — an artifact base on which a future performance-centric synthesis could itself be audited. What remains missing from the literature even after these reviews is exactly that junction: a corpus-level account linking method family, data regime, and validation strength across management functions, which this review supplies for the BMS slice.</w:t>
      </w:r>
    </w:p>
    <w:p>
      <w:pPr>
        <w:spacing w:after="160"/>
        <w:jc w:val="both"/>
      </w:pPr>
      <w:r>
        <w:rPr>
          <w:rFonts w:ascii="Times New Roman" w:hAnsi="Times New Roman"/>
          <w:b w:val="0"/>
          <w:i w:val="0"/>
          <w:sz w:val="20"/>
        </w:rPr>
        <w:t>This gap matters because the field’s self-image drives its research allocation. If, for example, most published health estimators are validated on within-cell splits of public datasets, the community’s sense of progress is calibrated to a benchmark regime that differs sharply from fleet deployment. If interpretability claims are concentrated in a small method family, the safety case for certification-grade ML in production BMS is weaker than the volume of publications suggests. Answering such questions requires a corpus-level, cross-functional account of the field rather than another narrative synthesis of one function.</w:t>
      </w:r>
    </w:p>
    <w:p>
      <w:pPr>
        <w:keepNext/>
        <w:spacing w:after="80"/>
        <w:jc w:val="left"/>
      </w:pPr>
      <w:r>
        <w:rPr>
          <w:rFonts w:ascii="Times New Roman" w:hAnsi="Times New Roman"/>
          <w:b/>
          <w:i w:val="0"/>
          <w:sz w:val="20"/>
        </w:rPr>
        <w:t>1.4 Contribution of this paper</w:t>
      </w:r>
    </w:p>
    <w:p>
      <w:pPr>
        <w:spacing w:after="160"/>
        <w:jc w:val="both"/>
      </w:pPr>
      <w:r>
        <w:rPr>
          <w:rFonts w:ascii="Times New Roman" w:hAnsi="Times New Roman"/>
          <w:b w:val="0"/>
          <w:i w:val="0"/>
          <w:sz w:val="20"/>
        </w:rPr>
        <w:t xml:space="preserve">This paper makes five contributions. First, it assembles a two-tier evidence base: a rule-based eligible corpus of 799 Crossref-verified journal articles from which field-level shares are measured within a documented capped retrieval, and an in-depth classified subset of 103 studies in which every reference’s bibliographic metadata was confirmed against the Crossref registry by direct DOI resolution. Second, it develops a classification framework — BMS function × method family, extended with chemistry, data-source, and validation-practice fields — applies it uniformly to all 103 papers, and probes its reliability with a blind 30-paper re-coding under a released codebook. Third, it quantifies the corpus’s composition across functions, methods, data, and validation (Section 3), anchoring function-level baselines on the quota-free eligible pool and reporting validation-practice rates with confidence intervals, label-noise scenario envelopes, a minimum-detectable-effect analysis for the method-family contrast, an abstract-level representativeness probe, a baseline-comparison screen, and a recall audit that quantifies what the capped retrieval itself misses (Section 2.2). Fourth, it provides a critical, function-by-function review of what the corpus actually demonstrates (Sections 4–8), positioned explicitly against prior reviews (Section 9.7), and maps BMS functions onto UN GTR 20 </w:t>
      </w:r>
      <w:r>
        <w:rPr>
          <w:rFonts w:ascii="Times New Roman" w:hAnsi="Times New Roman"/>
          <w:sz w:val="20"/>
        </w:rPr>
        <w:t>[28]</w:t>
      </w:r>
      <w:r>
        <w:rPr>
          <w:rFonts w:ascii="Times New Roman" w:hAnsi="Times New Roman"/>
          <w:b w:val="0"/>
          <w:i w:val="0"/>
          <w:sz w:val="20"/>
        </w:rPr>
        <w:t xml:space="preserve">, GB 38031 </w:t>
      </w:r>
      <w:r>
        <w:rPr>
          <w:rFonts w:ascii="Times New Roman" w:hAnsi="Times New Roman"/>
          <w:sz w:val="20"/>
        </w:rPr>
        <w:t>[29]</w:t>
      </w:r>
      <w:r>
        <w:rPr>
          <w:rFonts w:ascii="Times New Roman" w:hAnsi="Times New Roman"/>
          <w:b w:val="0"/>
          <w:i w:val="0"/>
          <w:sz w:val="20"/>
        </w:rPr>
        <w:t xml:space="preserve">, and ISO 26262 </w:t>
      </w:r>
      <w:r>
        <w:rPr>
          <w:rFonts w:ascii="Times New Roman" w:hAnsi="Times New Roman"/>
          <w:sz w:val="20"/>
        </w:rPr>
        <w:t>[30]</w:t>
      </w:r>
      <w:r>
        <w:rPr>
          <w:rFonts w:ascii="Times New Roman" w:hAnsi="Times New Roman"/>
          <w:b w:val="0"/>
          <w:i w:val="0"/>
          <w:sz w:val="20"/>
        </w:rPr>
        <w:t xml:space="preserve"> requirements (Section 9.4). Fifth, it distills a gap-driven research agenda (Section 9) and a twelve-item reporting checklist (Section 9.9).</w:t>
      </w:r>
    </w:p>
    <w:p>
      <w:pPr>
        <w:spacing w:after="160"/>
        <w:jc w:val="both"/>
      </w:pPr>
      <w:r>
        <w:rPr>
          <w:rFonts w:ascii="Times New Roman" w:hAnsi="Times New Roman"/>
          <w:b w:val="0"/>
          <w:i w:val="0"/>
          <w:sz w:val="20"/>
        </w:rPr>
        <w:t>Fig. 1 previews the analysis, mapping the entire corpus across management functions and method families: the field’s center of gravity sits squarely in the health-prognostics complex, hybrid model–data approaches now span every function, and learning-based charging control remains a concentrated Bayesian-optimization stronghold. The remainder of the paper is organized as follows. Section 2 details the review methodology: search strategy, screening procedure, inclusion and exclusion criteria, and the classification framework, together with its limitations. Section 3 presents the corpus overview and five-year bibliometric analysis. Sections 4 through 7 review machine learning for state estimation, health estimation and prognostics, charging control, and thermal management, fault detection, and safety, respectively. Section 8 examines cross-cutting directions — physics-informed learning, interpretability and uncertainty, digital twins and cloud BMS, and foundation models. Section 9 formulates research gaps and future directions, and Section 10 concludes.</w:t>
      </w:r>
    </w:p>
    <w:p>
      <w:pPr>
        <w:keepNext/>
        <w:spacing w:after="80"/>
        <w:jc w:val="center"/>
      </w:pPr>
      <w:r>
        <w:drawing>
          <wp:inline xmlns:a="http://schemas.openxmlformats.org/drawingml/2006/main" xmlns:pic="http://schemas.openxmlformats.org/drawingml/2006/picture">
            <wp:extent cx="4480560" cy="1866900"/>
            <wp:docPr id="1" name="Picture 1"/>
            <wp:cNvGraphicFramePr>
              <a:graphicFrameLocks noChangeAspect="1"/>
            </wp:cNvGraphicFramePr>
            <a:graphic>
              <a:graphicData uri="http://schemas.openxmlformats.org/drawingml/2006/picture">
                <pic:pic>
                  <pic:nvPicPr>
                    <pic:cNvPr id="0" name="fig1_function_method_map.png"/>
                    <pic:cNvPicPr/>
                  </pic:nvPicPr>
                  <pic:blipFill>
                    <a:blip r:embed="rId9"/>
                    <a:stretch>
                      <a:fillRect/>
                    </a:stretch>
                  </pic:blipFill>
                  <pic:spPr>
                    <a:xfrm>
                      <a:off x="0" y="0"/>
                      <a:ext cx="4480560" cy="1866900"/>
                    </a:xfrm>
                    <a:prstGeom prst="rect"/>
                  </pic:spPr>
                </pic:pic>
              </a:graphicData>
            </a:graphic>
          </wp:inline>
        </w:drawing>
      </w:r>
    </w:p>
    <w:p>
      <w:pPr>
        <w:keepLines/>
        <w:spacing w:after="200"/>
        <w:jc w:val="both"/>
      </w:pPr>
      <w:r>
        <w:rPr>
          <w:rFonts w:ascii="Times New Roman" w:hAnsi="Times New Roman"/>
          <w:b w:val="0"/>
          <w:i w:val="0"/>
          <w:sz w:val="18"/>
        </w:rPr>
        <w:t>Fig. 1 The classified subset mapped across battery-management functions and method families (88 primary-application papers; see Section 2.5 for terminology). Cell values are paper counts. The 15 review-labelled papers (12 method-family reviews plus 3 review-type syntheses coded under their dominant method family, two of them physics-informed) are excluded here; the Reviews column of Table 3 states the reconciliation directly, so the physics-informed family comprises 22 primary papers plus 2 review-type syntheses (24 family-coded; Table 2 gives the primary counts).</w:t>
      </w:r>
    </w:p>
    <w:p>
      <w:pPr>
        <w:keepNext/>
        <w:spacing w:after="120"/>
        <w:jc w:val="left"/>
      </w:pPr>
      <w:r>
        <w:rPr>
          <w:rFonts w:ascii="Times New Roman" w:hAnsi="Times New Roman"/>
          <w:b/>
          <w:i w:val="0"/>
          <w:sz w:val="20"/>
        </w:rPr>
        <w:t>2. Review Methodology</w:t>
      </w:r>
    </w:p>
    <w:p>
      <w:pPr>
        <w:keepNext/>
        <w:spacing w:after="80"/>
        <w:jc w:val="left"/>
      </w:pPr>
      <w:r>
        <w:rPr>
          <w:rFonts w:ascii="Times New Roman" w:hAnsi="Times New Roman"/>
          <w:b/>
          <w:i w:val="0"/>
          <w:sz w:val="20"/>
        </w:rPr>
        <w:t>2.1 Scope and objective</w:t>
      </w:r>
    </w:p>
    <w:p>
      <w:pPr>
        <w:spacing w:after="160"/>
        <w:jc w:val="both"/>
      </w:pPr>
      <w:r>
        <w:rPr>
          <w:rFonts w:ascii="Times New Roman" w:hAnsi="Times New Roman"/>
          <w:b w:val="0"/>
          <w:i w:val="0"/>
          <w:sz w:val="20"/>
        </w:rPr>
        <w:t xml:space="preserve">The objective of this review is to characterize the current state and recent evolution of machine learning applied to battery management, understood as the set of estimation, protection, and control functions performed by or in support of a battery management system. The scope covers SOC estimation, SOH estimation and capacity tracking, remaining useful life (RUL) prediction and early-life prognosis, charging strategy optimization, thermal-state estimation and battery thermal management, fault diagnosis, anomaly detection and safety prediction, and cross-cutting methodological themes (physics-informed learning, transfer learning, interpretability, digital twins, cloud and fleet management, and foundation models). Battery </w:t>
      </w:r>
      <w:r>
        <w:rPr>
          <w:rFonts w:ascii="Times New Roman" w:hAnsi="Times New Roman"/>
          <w:b w:val="0"/>
          <w:i/>
          <w:sz w:val="20"/>
        </w:rPr>
        <w:t>design</w:t>
      </w:r>
      <w:r>
        <w:rPr>
          <w:rFonts w:ascii="Times New Roman" w:hAnsi="Times New Roman"/>
          <w:b w:val="0"/>
          <w:i w:val="0"/>
          <w:sz w:val="20"/>
        </w:rPr>
        <w:t xml:space="preserve"> and </w:t>
      </w:r>
      <w:r>
        <w:rPr>
          <w:rFonts w:ascii="Times New Roman" w:hAnsi="Times New Roman"/>
          <w:b w:val="0"/>
          <w:i/>
          <w:sz w:val="20"/>
        </w:rPr>
        <w:t>materials-discovery</w:t>
      </w:r>
      <w:r>
        <w:rPr>
          <w:rFonts w:ascii="Times New Roman" w:hAnsi="Times New Roman"/>
          <w:b w:val="0"/>
          <w:i w:val="0"/>
          <w:sz w:val="20"/>
        </w:rPr>
        <w:t xml:space="preserve"> applications of machine learning fall outside the scope except where they directly support a management function, such as manufacturing-quality prediction of cell capacity.</w:t>
      </w:r>
    </w:p>
    <w:p>
      <w:pPr>
        <w:keepNext/>
        <w:spacing w:after="80"/>
        <w:jc w:val="left"/>
      </w:pPr>
      <w:r>
        <w:rPr>
          <w:rFonts w:ascii="Times New Roman" w:hAnsi="Times New Roman"/>
          <w:b/>
          <w:i w:val="0"/>
          <w:sz w:val="20"/>
        </w:rPr>
        <w:t>2.2 Literature search strategy</w:t>
      </w:r>
    </w:p>
    <w:p>
      <w:pPr>
        <w:spacing w:after="160"/>
        <w:jc w:val="both"/>
      </w:pPr>
      <w:r>
        <w:rPr>
          <w:rFonts w:ascii="Times New Roman" w:hAnsi="Times New Roman"/>
          <w:b w:val="0"/>
          <w:i w:val="0"/>
          <w:sz w:val="20"/>
        </w:rPr>
        <w:t xml:space="preserve">All candidate records were retrieved programmatically from the Crossref REST API between 4 and 5 September 2026 using 30 bibliographic query strings spanning the application areas listed above (for example, “state of charge estimation lithium-ion battery machine learning”, “remaining useful life prediction battery deep learning”, “physics-informed neural network lithium-ion battery”, and “large language model battery”). Queries were issued in five passes: a top-cited pass over 2020–2026 sorted by citation count; a relevance-sorted recency pass restricted to June 2024 onward (from 1 June 2024); two dedicated relevance-sorted passes restricted to 2020–2022 and to 2023; and a mid-window 2021–2023 coverage pass, which together yielded 3,000 retrieved records. After DOI-based deduplication — 1,450 duplicates removed — 1,550 unique records remained. Six landmark studies — including the early-life prediction study </w:t>
      </w:r>
      <w:r>
        <w:rPr>
          <w:rFonts w:ascii="Times New Roman" w:hAnsi="Times New Roman"/>
          <w:sz w:val="20"/>
        </w:rPr>
        <w:t>[3]</w:t>
      </w:r>
      <w:r>
        <w:rPr>
          <w:rFonts w:ascii="Times New Roman" w:hAnsi="Times New Roman"/>
          <w:b w:val="0"/>
          <w:i w:val="0"/>
          <w:sz w:val="20"/>
        </w:rPr>
        <w:t xml:space="preserve"> and the prognostics review </w:t>
      </w:r>
      <w:r>
        <w:rPr>
          <w:rFonts w:ascii="Times New Roman" w:hAnsi="Times New Roman"/>
          <w:sz w:val="20"/>
        </w:rPr>
        <w:t>[2]</w:t>
      </w:r>
      <w:r>
        <w:rPr>
          <w:rFonts w:ascii="Times New Roman" w:hAnsi="Times New Roman"/>
          <w:b w:val="0"/>
          <w:i w:val="0"/>
          <w:sz w:val="20"/>
        </w:rPr>
        <w:t xml:space="preserve"> — were additionally safeguarded as forced seeds: five were retrieved and verified individually because citation-sorted retrieval had crowded them out, and one was already among the top-cited hits.</w:t>
      </w:r>
    </w:p>
    <w:p>
      <w:pPr>
        <w:spacing w:after="160"/>
        <w:jc w:val="both"/>
      </w:pPr>
      <w:r>
        <w:rPr>
          <w:rFonts w:ascii="Times New Roman" w:hAnsi="Times New Roman"/>
          <w:b w:val="0"/>
          <w:i w:val="0"/>
          <w:sz w:val="20"/>
        </w:rPr>
        <w:t>Two properties of this search design should be stated plainly. First, the Crossref registry is a metadata registry, not a discovery engine of the kind Scopus or Web of Science provide; it was chosen deliberately, because the aim of this review is that every included record be individually verifiable by direct DOI resolution, which registry-native retrieval guarantees and secondary databases cannot. The cost is a recall floor: coverage depends on Crossref registration, and the usual cross-database triangulation is absent. Second, the top-cited pass inherits the biases of citation counts — it favors established, English-language, high-profile work and mechanically over-weights older publications. The three remaining passes exist to counter exactly these biases, and all trend statements in this paper are statements about trends within this citation-weighted, English-language, journal-article sample rather than about the field in the aggregate.</w:t>
      </w:r>
    </w:p>
    <w:p>
      <w:pPr>
        <w:spacing w:after="160"/>
        <w:jc w:val="both"/>
      </w:pPr>
      <w:r>
        <w:rPr>
          <w:rFonts w:ascii="Times New Roman" w:hAnsi="Times New Roman"/>
          <w:b w:val="0"/>
          <w:i w:val="0"/>
          <w:sz w:val="20"/>
        </w:rPr>
        <w:t>A third property of the search design is measured rather than asserted. Every query pass returned its top 20 records only, so the 30 queries are design-capped at 100 records per query family: the five passes yielded 3,000 fetched rows, 2,973 after document-type, year, and title-completeness filters, and 1,550 unique records after deduplication — roughly half of what any one query saw was also seen by another, and every yield is a design cap, not a saturated result (the per-query yields are released in recall_audit.json). A post-hoc recall audit therefore asks how much of the literature that this review’s own included reviews cite the retrieval actually captured. Across the deposited reference lists of the 15 included reviews and the six seed studies — 2,508 references in total — 1,367 are dated before 2020 and fall outside the retrieval window by design; of the remaining references that pass the same title gate as the screening pipeline and carry matchable DOIs (649 counted with multiplicity, 586 unique), the 1,550-record retrieval contains 112 (17.3% per-source; 96 of the 586 unique references, 16.4%). The audit’s limits are stated with it: its denominator is a citation-conditioned sample of what the reviews happened to cite, the in-scope gate runs on titles, and references without deposited DOIs cannot be matched. Read as a floor on external validity the number is sobering, and it is reported because retrieval-boundedness should be quantified, not assumed away: theme frequencies, per-family shares, and ‘earliest’ claims in this review are properties of this retrieval and the subset it fed, not of the field — which is why every such claim is subset-scoped (Box 1). The recall miss documented in Section 8.4 fits this pattern exactly: the TEC 2025 GPT-4 estimator it discloses is cited by none of the included reviews either, so no reference-list audit would have surfaced it.</w:t>
      </w:r>
    </w:p>
    <w:p>
      <w:pPr>
        <w:keepNext/>
        <w:spacing w:after="80"/>
        <w:jc w:val="left"/>
      </w:pPr>
      <w:r>
        <w:rPr>
          <w:rFonts w:ascii="Times New Roman" w:hAnsi="Times New Roman"/>
          <w:b/>
          <w:i w:val="0"/>
          <w:sz w:val="20"/>
        </w:rPr>
        <w:t>2.3 Screening and selection procedure</w:t>
      </w:r>
    </w:p>
    <w:p>
      <w:pPr>
        <w:spacing w:after="160"/>
        <w:jc w:val="both"/>
      </w:pPr>
      <w:r>
        <w:rPr>
          <w:rFonts w:ascii="Times New Roman" w:hAnsi="Times New Roman"/>
          <w:b w:val="0"/>
          <w:i w:val="0"/>
          <w:sz w:val="20"/>
        </w:rPr>
        <w:t xml:space="preserve">The screening funnel is shown in Fig. 2. From 1,550 deduplicated records, a title-level relevance gate requiring both battery-related and machine-learning-related terminology retained 883 records and excluded 667 (predominantly adjacent-field papers — general machine-learning methods, adjacent-domain bibliometrics, and battery electrochemistry without a learning component — that surfaced through loose bibliographic matching). Venue and document-type screening then removed 84 records — conference abstracts and proceedings series (e.g., ECS Meeting Abstracts, IET/IFAC proceedings), preprint servers (SSRN), and non-scholarly venues — in line with the decision to restrict the corpus to peer-reviewed journal articles, leaving 799 eligible records. Selection then proceeds in two tiers, and the distinction carries the paper’s evidentiary weight. </w:t>
      </w:r>
      <w:r>
        <w:rPr>
          <w:rFonts w:ascii="Times New Roman" w:hAnsi="Times New Roman"/>
          <w:b w:val="0"/>
          <w:i/>
          <w:sz w:val="20"/>
        </w:rPr>
        <w:t>Tier 1 (eligible corpus).</w:t>
      </w:r>
      <w:r>
        <w:rPr>
          <w:rFonts w:ascii="Times New Roman" w:hAnsi="Times New Roman"/>
          <w:b w:val="0"/>
          <w:i w:val="0"/>
          <w:sz w:val="20"/>
        </w:rPr>
        <w:t xml:space="preserve"> Every one of the 799 eligible records is included, subject only to the venue screen — no function quotas, year caps, or citation thresholds are applied at this tier — and all 1,550 record-level screening decisions are released (screening_log.csv). Function tagging at Tier 1 is inherited from retrieval: each eligible record carries the area of every query theme that returned it (the released query list of Section 2.2), so a record can hold several tags, and per-tag union shares are the pool-level baselines used in Section 3.3. The limits of that scheme are disclosed here rather than footnoted. 24 of the 799 eligible records carry no tag beyond the generic ‘Other’ (the equivalent-circuit-modeling queries map to no area); 202 carry no core-function tag at all (methodological or cross-cutting themes only); and against the subset’s full-text function labels the tags match for 53 of the 75 core-area papers found in the pool (71%, counting a hit when any of a record’s tags matches — a lenient criterion). Pool-level function baselines are therefore retrieval-based indicators rather than classifications, and are read for ordering, not for exact rates. </w:t>
      </w:r>
      <w:r>
        <w:rPr>
          <w:rFonts w:ascii="Times New Roman" w:hAnsi="Times New Roman"/>
          <w:b w:val="0"/>
          <w:i/>
          <w:sz w:val="20"/>
        </w:rPr>
        <w:t>Tier 2 (classified subset).</w:t>
      </w:r>
      <w:r>
        <w:rPr>
          <w:rFonts w:ascii="Times New Roman" w:hAnsi="Times New Roman"/>
          <w:b w:val="0"/>
          <w:i w:val="0"/>
          <w:sz w:val="20"/>
        </w:rPr>
        <w:t xml:space="preserve"> Because in-depth coding of chemistry, data source, and validation practice requires full-text assessment, it was applied to a classified subset of 103 studies — 98 drawn from the eligible pool plus 5 seed studies retrieved and verified individually — and the subset’s construction history is disclosed in full. A stratified draw first selected 107 candidates from the eligible pool, balancing the eight management functions and only partly balancing publication years — within each function stratum deterministic rather than random: records ranked by Crossref citation count and taken from the top of that ranking, with the ranking walked deeper specifically to cover recent publication years that citation sorting alone would have starved. Six landmark seed studies were safeguarded at this point (one already captured by the searches, five retrieved individually), giving 112 candidates. Full-text curation then excluded 19 records — corrigenda, misindexed records, scope mismatches (for example, vehicle-level lifecycle assessment or charging-infrastructure demand modeling without a BMS function), and quota-driven trimming of over-represented function clusters — while 10 targeted additions were made from the screened pool for under-represented themes, a net change of −9 that yields the final classified corpus of 103 studies — 98 drawn from the eligible pool plus the 5 individually retrieved seeds. Per-record reasons for every exclusion and addition are carried in the released screening log and selection files, so the funnel is auditable end to end. Readers should hold the implication of the design plainly in view: the subset is curated, not sampled — function and year distributions inside the 103 partly reflect the quota and citation-ranking choices made here, not only the field’s shape — so all such distributions are reported as corpus composition, the subset is never generalized to the field, and the quota-free Tier-1 measurements are stated wherever they exist (Section 3).</w:t>
      </w:r>
    </w:p>
    <w:tbl>
      <w:tblPr>
        <w:tblStyle w:val="TableGrid"/>
        <w:tblW w:type="auto" w:w="0"/>
        <w:jc w:val="center"/>
        <w:tblLook w:firstColumn="1" w:firstRow="1" w:lastColumn="0" w:lastRow="0" w:noHBand="0" w:noVBand="1" w:val="04A0"/>
      </w:tblPr>
      <w:tblGrid>
        <w:gridCol w:w="9360"/>
      </w:tblGrid>
      <w:tr>
        <w:tc>
          <w:tcPr>
            <w:tcW w:type="dxa" w:w="9360"/>
            <w:shd w:val="clear" w:fill="F2F2F2"/>
          </w:tcPr>
          <w:p>
            <w:pPr>
              <w:spacing w:after="80"/>
            </w:pPr>
            <w:r>
              <w:rPr>
                <w:rFonts w:ascii="Times New Roman" w:hAnsi="Times New Roman"/>
                <w:b/>
                <w:sz w:val="19"/>
              </w:rPr>
              <w:t>Box 1 Interpretation rules for every quantitative claim in this paper</w:t>
            </w:r>
          </w:p>
          <w:p>
            <w:pPr>
              <w:spacing w:after="60"/>
              <w:jc w:val="both"/>
            </w:pPr>
            <w:r>
              <w:rPr>
                <w:rFonts w:ascii="Times New Roman" w:hAnsi="Times New Roman"/>
                <w:b/>
                <w:sz w:val="18"/>
              </w:rPr>
              <w:t xml:space="preserve">1. Subset-scoped claims. </w:t>
            </w:r>
            <w:r>
              <w:rPr>
                <w:rFonts w:ascii="Times New Roman" w:hAnsi="Times New Roman"/>
                <w:sz w:val="18"/>
              </w:rPr>
              <w:t>Anything coded from full texts — function, method family, chemistry, data source, validation protocol, baseline screen — describes the 103-study classified subset only and is never generalized to the field. Headlines that read ‘the subset’s’ or ‘within the classified subset’ invoke this rule.</w:t>
            </w:r>
          </w:p>
          <w:p>
            <w:pPr>
              <w:spacing w:after="60"/>
              <w:jc w:val="both"/>
            </w:pPr>
            <w:r>
              <w:rPr>
                <w:rFonts w:ascii="Times New Roman" w:hAnsi="Times New Roman"/>
                <w:b/>
                <w:sz w:val="18"/>
              </w:rPr>
              <w:t xml:space="preserve">2. Pool-scoped claims. </w:t>
            </w:r>
            <w:r>
              <w:rPr>
                <w:rFonts w:ascii="Times New Roman" w:hAnsi="Times New Roman"/>
                <w:sz w:val="18"/>
              </w:rPr>
              <w:t>Tier-1 counts (799 records) measure a capped 30-query Crossref retrieval, not a census. Per-year counts are observed counts inside that cap; query-theme tag shares are read for ordering, not exact rates; the 2024 window is partially covered; and the recall audit of Section 2.2 (16–17% capture of the reviews’ own cited literature) bounds external validity.</w:t>
            </w:r>
          </w:p>
          <w:p>
            <w:pPr>
              <w:spacing w:after="60"/>
              <w:jc w:val="both"/>
            </w:pPr>
            <w:r>
              <w:rPr>
                <w:rFonts w:ascii="Times New Roman" w:hAnsi="Times New Roman"/>
                <w:b/>
                <w:sz w:val="18"/>
              </w:rPr>
              <w:t xml:space="preserve">3. Earliest means earliest in the classified subset. </w:t>
            </w:r>
            <w:r>
              <w:rPr>
                <w:rFonts w:ascii="Times New Roman" w:hAnsi="Times New Roman"/>
                <w:sz w:val="18"/>
              </w:rPr>
              <w:t>Recall is bounded, so ‘first’ and ‘earliest’ claims are subset-first by construction and are phrased accordingly.</w:t>
            </w:r>
          </w:p>
          <w:p>
            <w:pPr>
              <w:spacing w:after="60"/>
              <w:jc w:val="both"/>
            </w:pPr>
            <w:r>
              <w:rPr>
                <w:rFonts w:ascii="Times New Roman" w:hAnsi="Times New Roman"/>
                <w:b/>
                <w:sz w:val="18"/>
              </w:rPr>
              <w:t xml:space="preserve">4. Non-significance is not equivalence. </w:t>
            </w:r>
            <w:r>
              <w:rPr>
                <w:rFonts w:ascii="Times New Roman" w:hAnsi="Times New Roman"/>
                <w:sz w:val="18"/>
              </w:rPr>
              <w:t>The physics-informed versus data-driven contrast is underpowered (minimum detectable effect roughly 30–35 percentage points, Section 3.4); ‘no detectable difference’ is reported as exactly that.</w:t>
            </w:r>
          </w:p>
          <w:p>
            <w:pPr>
              <w:spacing w:after="60"/>
              <w:jc w:val="both"/>
            </w:pPr>
            <w:r>
              <w:rPr>
                <w:rFonts w:ascii="Times New Roman" w:hAnsi="Times New Roman"/>
                <w:b/>
                <w:sz w:val="18"/>
              </w:rPr>
              <w:t xml:space="preserve">5. Curation conditions the subset. </w:t>
            </w:r>
            <w:r>
              <w:rPr>
                <w:rFonts w:ascii="Times New Roman" w:hAnsi="Times New Roman"/>
                <w:sz w:val="18"/>
              </w:rPr>
              <w:t>Tier-2 selection is quota- and citation-ranking-driven (Section 2.3), so distributions inside the 103 partly reflect those choices and are reported as corpus composition.</w:t>
            </w:r>
          </w:p>
        </w:tc>
      </w:tr>
    </w:tbl>
    <w:p>
      <w:pPr>
        <w:spacing w:after="160"/>
      </w:pPr>
    </w:p>
    <w:tbl>
      <w:tblPr>
        <w:tblStyle w:val="TableGrid"/>
        <w:tblW w:type="auto" w:w="0"/>
        <w:jc w:val="center"/>
        <w:tblLook w:firstColumn="1" w:firstRow="1" w:lastColumn="0" w:lastRow="0" w:noHBand="0" w:noVBand="1" w:val="04A0"/>
      </w:tblPr>
      <w:tblGrid>
        <w:gridCol w:w="9360"/>
      </w:tblGrid>
      <w:tr>
        <w:tc>
          <w:tcPr>
            <w:tcW w:type="dxa" w:w="9360"/>
            <w:shd w:val="clear" w:fill="F2F2F2"/>
          </w:tcPr>
          <w:p>
            <w:pPr>
              <w:spacing w:after="80"/>
            </w:pPr>
            <w:r>
              <w:rPr>
                <w:rFonts w:ascii="Times New Roman" w:hAnsi="Times New Roman"/>
                <w:b/>
                <w:sz w:val="19"/>
              </w:rPr>
              <w:t>Box 2 Terminology and count reconciliation (stated once; used throughout)</w:t>
            </w:r>
          </w:p>
          <w:p>
            <w:pPr>
              <w:spacing w:after="60"/>
              <w:jc w:val="both"/>
            </w:pPr>
            <w:r>
              <w:rPr>
                <w:rFonts w:ascii="Times New Roman" w:hAnsi="Times New Roman"/>
                <w:b/>
                <w:sz w:val="18"/>
              </w:rPr>
              <w:t xml:space="preserve">Eligible corpus (Tier 1). </w:t>
            </w:r>
            <w:r>
              <w:rPr>
                <w:rFonts w:ascii="Times New Roman" w:hAnsi="Times New Roman"/>
                <w:sz w:val="18"/>
              </w:rPr>
              <w:t>The 799 records admitted from the 1,550-record retrieval by the title gate and venue screen; tagged by retrieval theme only, never full-text coded.</w:t>
            </w:r>
          </w:p>
          <w:p>
            <w:pPr>
              <w:spacing w:after="60"/>
              <w:jc w:val="both"/>
            </w:pPr>
            <w:r>
              <w:rPr>
                <w:rFonts w:ascii="Times New Roman" w:hAnsi="Times New Roman"/>
                <w:b/>
                <w:sz w:val="18"/>
              </w:rPr>
              <w:t xml:space="preserve">Classified subset (Tier 2). </w:t>
            </w:r>
            <w:r>
              <w:rPr>
                <w:rFonts w:ascii="Times New Roman" w:hAnsi="Times New Roman"/>
                <w:sz w:val="18"/>
              </w:rPr>
              <w:t>The 103 studies coded from full texts: 98 drawn from the eligible pool plus five individually verified seed studies (one dated 2019; the 2019 seed is therefore part of the 103, not of the 799).</w:t>
            </w:r>
          </w:p>
          <w:p>
            <w:pPr>
              <w:spacing w:after="60"/>
              <w:jc w:val="both"/>
            </w:pPr>
            <w:r>
              <w:rPr>
                <w:rFonts w:ascii="Times New Roman" w:hAnsi="Times New Roman"/>
                <w:b/>
                <w:sz w:val="18"/>
              </w:rPr>
              <w:t xml:space="preserve">Primary and review-labelled papers. </w:t>
            </w:r>
            <w:r>
              <w:rPr>
                <w:rFonts w:ascii="Times New Roman" w:hAnsi="Times New Roman"/>
                <w:sz w:val="18"/>
              </w:rPr>
              <w:t>Primary papers: the 88 subset studies whose contribution is a primary application. Review-labelled: the other 15 — 12 method-family reviews plus 3 review-type syntheses coded under their dominant method family.</w:t>
            </w:r>
          </w:p>
          <w:p>
            <w:pPr>
              <w:spacing w:after="60"/>
              <w:jc w:val="both"/>
            </w:pPr>
            <w:r>
              <w:rPr>
                <w:rFonts w:ascii="Times New Roman" w:hAnsi="Times New Roman"/>
                <w:b/>
                <w:sz w:val="18"/>
              </w:rPr>
              <w:t xml:space="preserve">Family-coded papers. </w:t>
            </w:r>
            <w:r>
              <w:rPr>
                <w:rFonts w:ascii="Times New Roman" w:hAnsi="Times New Roman"/>
                <w:sz w:val="18"/>
              </w:rPr>
              <w:t>Studies carrying a method-family code, including the review-type syntheses — e.g. ‘24 physics-informed family-coded papers’ = 22 primary + 2 syntheses.</w:t>
            </w:r>
          </w:p>
          <w:p>
            <w:pPr>
              <w:spacing w:after="60"/>
              <w:jc w:val="both"/>
            </w:pPr>
            <w:r>
              <w:rPr>
                <w:rFonts w:ascii="Times New Roman" w:hAnsi="Times New Roman"/>
                <w:b/>
                <w:sz w:val="18"/>
              </w:rPr>
              <w:t xml:space="preserve">Funnel. </w:t>
            </w:r>
            <w:r>
              <w:rPr>
                <w:rFonts w:ascii="Times New Roman" w:hAnsi="Times New Roman"/>
                <w:sz w:val="18"/>
              </w:rPr>
              <w:t>3,000 fetched → 2,973 after document-type/year/title filters → 1,550 unique after deduplication → 883 after the title gate → 799 after the venue screen → 98 selected for Tier 2 (+ 5 seeds) = 103 = 88 primary + 15 review-labelled. The 14-paper conference set is separate and descriptive (Section 3.5).</w:t>
            </w:r>
          </w:p>
          <w:p>
            <w:pPr>
              <w:spacing w:after="60"/>
              <w:jc w:val="both"/>
            </w:pPr>
            <w:r>
              <w:rPr>
                <w:rFonts w:ascii="Times New Roman" w:hAnsi="Times New Roman"/>
                <w:b/>
                <w:sz w:val="18"/>
              </w:rPr>
              <w:t xml:space="preserve">Glossary. </w:t>
            </w:r>
            <w:r>
              <w:rPr>
                <w:rFonts w:ascii="Times New Roman" w:hAnsi="Times New Roman"/>
                <w:sz w:val="18"/>
              </w:rPr>
              <w:t>Union share: the share of records carrying a tag, counting overlaps (a record with two tags counts in both), so shares can sum past 100%. Protocol-only vs broader stringency: the two definitions of Section 2.5 (strong = an isolating protocol; the broader definition additionally counts experimental-hardware demonstrations). Environment-only: validation that evidences an operating environment — hardware, simulation, or case study — without a data-isolation protocol. Absorbing rule: each paper is credited with the strongest protocol its full text reports for its headline claim (codebook); on full-text re-check, an unsupported stronger claim absorbs into the weaker class that is evidenced.</w:t>
            </w:r>
          </w:p>
        </w:tc>
      </w:tr>
    </w:tbl>
    <w:p>
      <w:pPr>
        <w:spacing w:after="160"/>
      </w:pPr>
    </w:p>
    <w:p>
      <w:pPr>
        <w:keepNext/>
        <w:spacing w:after="80"/>
        <w:jc w:val="center"/>
      </w:pPr>
      <w:r>
        <w:drawing>
          <wp:inline xmlns:a="http://schemas.openxmlformats.org/drawingml/2006/main" xmlns:pic="http://schemas.openxmlformats.org/drawingml/2006/picture">
            <wp:extent cx="4480560" cy="3640455"/>
            <wp:docPr id="2" name="Picture 2"/>
            <wp:cNvGraphicFramePr>
              <a:graphicFrameLocks noChangeAspect="1"/>
            </wp:cNvGraphicFramePr>
            <a:graphic>
              <a:graphicData uri="http://schemas.openxmlformats.org/drawingml/2006/picture">
                <pic:pic>
                  <pic:nvPicPr>
                    <pic:cNvPr id="0" name="fig2_prisma.png"/>
                    <pic:cNvPicPr/>
                  </pic:nvPicPr>
                  <pic:blipFill>
                    <a:blip r:embed="rId10"/>
                    <a:stretch>
                      <a:fillRect/>
                    </a:stretch>
                  </pic:blipFill>
                  <pic:spPr>
                    <a:xfrm>
                      <a:off x="0" y="0"/>
                      <a:ext cx="4480560" cy="3640455"/>
                    </a:xfrm>
                    <a:prstGeom prst="rect"/>
                  </pic:spPr>
                </pic:pic>
              </a:graphicData>
            </a:graphic>
          </wp:inline>
        </w:drawing>
      </w:r>
    </w:p>
    <w:p>
      <w:pPr>
        <w:keepLines/>
        <w:spacing w:after="200"/>
        <w:jc w:val="both"/>
      </w:pPr>
      <w:r>
        <w:rPr>
          <w:rFonts w:ascii="Times New Roman" w:hAnsi="Times New Roman"/>
          <w:b w:val="0"/>
          <w:i w:val="0"/>
          <w:sz w:val="18"/>
        </w:rPr>
        <w:t>Fig. 2 Study-selection flowchart with the two-tier design. Records were retrieved from the Crossref REST API on 4–5 September 2026, deduplicated, screened at title level for battery and machine-learning relevance, then at venue and document-type level. Tier 1 includes every eligible record (799, rule-based, no quotas); Tier 2 carries the curated full-text-classified subset of 103 (98 drawn from the pool plus 5 individually retrieved seeds). Record-level provenance for all 1,550 screening decisions is released (screening_log.csv), and every included record’s metadata was verified by direct DOI resolution against the Crossref registry.</w:t>
      </w:r>
    </w:p>
    <w:p>
      <w:pPr>
        <w:keepNext/>
        <w:spacing w:after="80"/>
        <w:jc w:val="left"/>
      </w:pPr>
      <w:r>
        <w:rPr>
          <w:rFonts w:ascii="Times New Roman" w:hAnsi="Times New Roman"/>
          <w:b/>
          <w:i w:val="0"/>
          <w:sz w:val="20"/>
        </w:rPr>
        <w:t>2.4 Inclusion and exclusion criteria</w:t>
      </w:r>
    </w:p>
    <w:p>
      <w:pPr>
        <w:spacing w:after="160"/>
        <w:jc w:val="both"/>
      </w:pPr>
      <w:r>
        <w:rPr>
          <w:rFonts w:ascii="Times New Roman" w:hAnsi="Times New Roman"/>
          <w:b w:val="0"/>
          <w:i w:val="0"/>
          <w:sz w:val="20"/>
        </w:rPr>
        <w:t>Table 1 summarizes the criteria. Inclusion required: (i) a peer-reviewed journal article; (ii) a battery or battery-system subject; (iii) machine learning as a substantive component of the contribution, whether estimation, control, diagnosis, or analysis; (iv) a publication year between 2019 and 2026, with 2019 admitted only for the field-defining early-life prediction study; and (v) English language. Exclusion criteria were: review-only papers without a primary application (admitted only into the cross-cutting cluster, capped at 12 studies; three further review-type syntheses — two physics-informed, one classical — are coded under their dominant method family, so the corpus carries 15 review-labelled papers in total, per the terminology of Section 2.5), pure materials-discovery or cell-design papers, charging-infrastructure or grid-demand studies without an onboard management function, preprints and conference records, and duplicate-venue or misindexed records.</w:t>
      </w:r>
    </w:p>
    <w:p>
      <w:pPr>
        <w:keepNext/>
        <w:spacing w:after="80"/>
        <w:jc w:val="left"/>
      </w:pPr>
      <w:r>
        <w:rPr>
          <w:rFonts w:ascii="Times New Roman" w:hAnsi="Times New Roman"/>
          <w:b w:val="0"/>
          <w:i w:val="0"/>
          <w:sz w:val="18"/>
        </w:rPr>
        <w:t>Table 1 Inclusion and exclusion criteria applied during corpus screening</w:t>
      </w:r>
    </w:p>
    <w:tbl>
      <w:tblPr>
        <w:tblStyle w:val="TableGrid"/>
        <w:tblW w:type="auto" w:w="0"/>
        <w:jc w:val="center"/>
        <w:tblLayout w:type="fixed"/>
        <w:tblLook w:firstColumn="1" w:firstRow="1" w:lastColumn="0" w:lastRow="0" w:noHBand="0" w:noVBand="1" w:val="04A0"/>
        <w:tblLayout w:type="fixed"/>
      </w:tblPr>
      <w:tblGrid>
        <w:gridCol w:w="1440"/>
        <w:gridCol w:w="3960"/>
        <w:gridCol w:w="3960"/>
      </w:tblGrid>
      <w:tr>
        <w:trPr>
          <w:cantSplit/>
          <w:tblHeader/>
        </w:trPr>
        <w:tc>
          <w:tcPr>
            <w:tcW w:type="dxa" w:w="1440"/>
          </w:tcPr>
          <w:p>
            <w:pPr>
              <w:jc w:val="center"/>
            </w:pPr>
            <w:r/>
            <w:r>
              <w:rPr>
                <w:rFonts w:ascii="Times New Roman" w:hAnsi="Times New Roman"/>
                <w:b/>
                <w:sz w:val="17"/>
              </w:rPr>
              <w:t>Dimension</w:t>
            </w:r>
          </w:p>
        </w:tc>
        <w:tc>
          <w:tcPr>
            <w:tcW w:type="dxa" w:w="3960"/>
          </w:tcPr>
          <w:p>
            <w:pPr>
              <w:jc w:val="center"/>
            </w:pPr>
            <w:r/>
            <w:r>
              <w:rPr>
                <w:rFonts w:ascii="Times New Roman" w:hAnsi="Times New Roman"/>
                <w:b/>
                <w:sz w:val="17"/>
              </w:rPr>
              <w:t>Included</w:t>
            </w:r>
          </w:p>
        </w:tc>
        <w:tc>
          <w:tcPr>
            <w:tcW w:type="dxa" w:w="3960"/>
          </w:tcPr>
          <w:p>
            <w:pPr>
              <w:jc w:val="center"/>
            </w:pPr>
            <w:r/>
            <w:r>
              <w:rPr>
                <w:rFonts w:ascii="Times New Roman" w:hAnsi="Times New Roman"/>
                <w:b/>
                <w:sz w:val="17"/>
              </w:rPr>
              <w:t>Excluded</w:t>
            </w:r>
          </w:p>
        </w:tc>
      </w:tr>
      <w:tr>
        <w:trPr>
          <w:cantSplit/>
        </w:trPr>
        <w:tc>
          <w:tcPr>
            <w:tcW w:type="dxa" w:w="1440"/>
          </w:tcPr>
          <w:p>
            <w:pPr>
              <w:jc w:val="left"/>
            </w:pPr>
            <w:r/>
            <w:r>
              <w:rPr>
                <w:rFonts w:ascii="Times New Roman" w:hAnsi="Times New Roman"/>
                <w:b w:val="0"/>
                <w:i w:val="0"/>
                <w:sz w:val="17"/>
              </w:rPr>
              <w:t>Document type</w:t>
            </w:r>
          </w:p>
        </w:tc>
        <w:tc>
          <w:tcPr>
            <w:tcW w:type="dxa" w:w="3960"/>
          </w:tcPr>
          <w:p>
            <w:r/>
            <w:r>
              <w:rPr>
                <w:rFonts w:ascii="Times New Roman" w:hAnsi="Times New Roman"/>
                <w:b w:val="0"/>
                <w:i w:val="0"/>
                <w:sz w:val="17"/>
              </w:rPr>
              <w:t>Peer-reviewed journal articles</w:t>
            </w:r>
          </w:p>
        </w:tc>
        <w:tc>
          <w:tcPr>
            <w:tcW w:type="dxa" w:w="3960"/>
          </w:tcPr>
          <w:p>
            <w:r/>
            <w:r>
              <w:rPr>
                <w:rFonts w:ascii="Times New Roman" w:hAnsi="Times New Roman"/>
                <w:b w:val="0"/>
                <w:i w:val="0"/>
                <w:sz w:val="17"/>
              </w:rPr>
              <w:t>Conference abstracts/proceedings, preprints (SSRN), corrigenda</w:t>
            </w:r>
          </w:p>
        </w:tc>
      </w:tr>
      <w:tr>
        <w:trPr>
          <w:cantSplit/>
        </w:trPr>
        <w:tc>
          <w:tcPr>
            <w:tcW w:type="dxa" w:w="1440"/>
          </w:tcPr>
          <w:p>
            <w:pPr>
              <w:jc w:val="left"/>
            </w:pPr>
            <w:r/>
            <w:r>
              <w:rPr>
                <w:rFonts w:ascii="Times New Roman" w:hAnsi="Times New Roman"/>
                <w:b w:val="0"/>
                <w:i w:val="0"/>
                <w:sz w:val="17"/>
              </w:rPr>
              <w:t>Subject</w:t>
            </w:r>
          </w:p>
        </w:tc>
        <w:tc>
          <w:tcPr>
            <w:tcW w:type="dxa" w:w="3960"/>
          </w:tcPr>
          <w:p>
            <w:r/>
            <w:r>
              <w:rPr>
                <w:rFonts w:ascii="Times New Roman" w:hAnsi="Times New Roman"/>
                <w:b w:val="0"/>
                <w:i w:val="0"/>
                <w:sz w:val="17"/>
              </w:rPr>
              <w:t>Batteries and battery systems with a management function</w:t>
            </w:r>
          </w:p>
        </w:tc>
        <w:tc>
          <w:tcPr>
            <w:tcW w:type="dxa" w:w="3960"/>
          </w:tcPr>
          <w:p>
            <w:r/>
            <w:r>
              <w:rPr>
                <w:rFonts w:ascii="Times New Roman" w:hAnsi="Times New Roman"/>
                <w:b w:val="0"/>
                <w:i w:val="0"/>
                <w:sz w:val="17"/>
              </w:rPr>
              <w:t>Materials discovery, cell design, grid/infrastructure demand modeling without BMS function</w:t>
            </w:r>
          </w:p>
        </w:tc>
      </w:tr>
      <w:tr>
        <w:trPr>
          <w:cantSplit/>
        </w:trPr>
        <w:tc>
          <w:tcPr>
            <w:tcW w:type="dxa" w:w="1440"/>
          </w:tcPr>
          <w:p>
            <w:pPr>
              <w:jc w:val="left"/>
            </w:pPr>
            <w:r/>
            <w:r>
              <w:rPr>
                <w:rFonts w:ascii="Times New Roman" w:hAnsi="Times New Roman"/>
                <w:b w:val="0"/>
                <w:i w:val="0"/>
                <w:sz w:val="17"/>
              </w:rPr>
              <w:t>Method</w:t>
            </w:r>
          </w:p>
        </w:tc>
        <w:tc>
          <w:tcPr>
            <w:tcW w:type="dxa" w:w="3960"/>
          </w:tcPr>
          <w:p>
            <w:r/>
            <w:r>
              <w:rPr>
                <w:rFonts w:ascii="Times New Roman" w:hAnsi="Times New Roman"/>
                <w:b w:val="0"/>
                <w:i w:val="0"/>
                <w:sz w:val="17"/>
              </w:rPr>
              <w:t>ML as a substantive component (estimation, control, diagnosis, analysis)</w:t>
            </w:r>
          </w:p>
        </w:tc>
        <w:tc>
          <w:tcPr>
            <w:tcW w:type="dxa" w:w="3960"/>
          </w:tcPr>
          <w:p>
            <w:r/>
            <w:r>
              <w:rPr>
                <w:rFonts w:ascii="Times New Roman" w:hAnsi="Times New Roman"/>
                <w:b w:val="0"/>
                <w:i w:val="0"/>
                <w:sz w:val="17"/>
              </w:rPr>
              <w:t>Papers without a learning component</w:t>
            </w:r>
          </w:p>
        </w:tc>
      </w:tr>
      <w:tr>
        <w:trPr>
          <w:cantSplit/>
        </w:trPr>
        <w:tc>
          <w:tcPr>
            <w:tcW w:type="dxa" w:w="1440"/>
          </w:tcPr>
          <w:p>
            <w:pPr>
              <w:jc w:val="left"/>
            </w:pPr>
            <w:r/>
            <w:r>
              <w:rPr>
                <w:rFonts w:ascii="Times New Roman" w:hAnsi="Times New Roman"/>
                <w:b w:val="0"/>
                <w:i w:val="0"/>
                <w:sz w:val="17"/>
              </w:rPr>
              <w:t>Period</w:t>
            </w:r>
          </w:p>
        </w:tc>
        <w:tc>
          <w:tcPr>
            <w:tcW w:type="dxa" w:w="3960"/>
          </w:tcPr>
          <w:p>
            <w:r/>
            <w:r>
              <w:rPr>
                <w:rFonts w:ascii="Times New Roman" w:hAnsi="Times New Roman"/>
                <w:b w:val="0"/>
                <w:i w:val="0"/>
                <w:sz w:val="17"/>
              </w:rPr>
              <w:t>Crossref date-stamps 2020–2027 at retrieval (798 records dated 2020–2026, one early-access record stamped 2027)</w:t>
            </w:r>
          </w:p>
        </w:tc>
        <w:tc>
          <w:tcPr>
            <w:tcW w:type="dxa" w:w="3960"/>
          </w:tcPr>
          <w:p>
            <w:r/>
            <w:r>
              <w:rPr>
                <w:rFonts w:ascii="Times New Roman" w:hAnsi="Times New Roman"/>
                <w:b w:val="0"/>
                <w:i w:val="0"/>
                <w:sz w:val="17"/>
              </w:rPr>
              <w:t>Pre-2020 publications, except the individually verified 2019 seed study admitted to the classified subset</w:t>
            </w:r>
          </w:p>
        </w:tc>
      </w:tr>
      <w:tr>
        <w:trPr>
          <w:cantSplit/>
        </w:trPr>
        <w:tc>
          <w:tcPr>
            <w:tcW w:type="dxa" w:w="1440"/>
          </w:tcPr>
          <w:p>
            <w:pPr>
              <w:jc w:val="left"/>
            </w:pPr>
            <w:r/>
            <w:r>
              <w:rPr>
                <w:rFonts w:ascii="Times New Roman" w:hAnsi="Times New Roman"/>
                <w:b w:val="0"/>
                <w:i w:val="0"/>
                <w:sz w:val="17"/>
              </w:rPr>
              <w:t>Verification</w:t>
            </w:r>
          </w:p>
        </w:tc>
        <w:tc>
          <w:tcPr>
            <w:tcW w:type="dxa" w:w="3960"/>
          </w:tcPr>
          <w:p>
            <w:r/>
            <w:r>
              <w:rPr>
                <w:rFonts w:ascii="Times New Roman" w:hAnsi="Times New Roman"/>
                <w:b w:val="0"/>
                <w:i w:val="0"/>
                <w:sz w:val="17"/>
              </w:rPr>
              <w:t>Metadata confirmed by direct Crossref DOI resolution</w:t>
            </w:r>
          </w:p>
        </w:tc>
        <w:tc>
          <w:tcPr>
            <w:tcW w:type="dxa" w:w="3960"/>
          </w:tcPr>
          <w:p>
            <w:r/>
            <w:r>
              <w:rPr>
                <w:rFonts w:ascii="Times New Roman" w:hAnsi="Times New Roman"/>
                <w:b w:val="0"/>
                <w:i w:val="0"/>
                <w:sz w:val="17"/>
              </w:rPr>
              <w:t>Unresolvable or mismatched records</w:t>
            </w:r>
          </w:p>
        </w:tc>
      </w:tr>
      <w:tr>
        <w:trPr>
          <w:cantSplit/>
        </w:trPr>
        <w:tc>
          <w:tcPr>
            <w:tcW w:type="dxa" w:w="1440"/>
          </w:tcPr>
          <w:p>
            <w:pPr>
              <w:jc w:val="left"/>
            </w:pPr>
            <w:r/>
            <w:r>
              <w:rPr>
                <w:rFonts w:ascii="Times New Roman" w:hAnsi="Times New Roman"/>
                <w:b w:val="0"/>
                <w:i w:val="0"/>
                <w:sz w:val="17"/>
              </w:rPr>
              <w:t>Language</w:t>
            </w:r>
          </w:p>
        </w:tc>
        <w:tc>
          <w:tcPr>
            <w:tcW w:type="dxa" w:w="3960"/>
          </w:tcPr>
          <w:p>
            <w:pPr>
              <w:jc w:val="center"/>
            </w:pPr>
            <w:r/>
            <w:r>
              <w:rPr>
                <w:rFonts w:ascii="Times New Roman" w:hAnsi="Times New Roman"/>
                <w:b w:val="0"/>
                <w:i w:val="0"/>
                <w:sz w:val="17"/>
              </w:rPr>
              <w:t>English</w:t>
            </w:r>
          </w:p>
        </w:tc>
        <w:tc>
          <w:tcPr>
            <w:tcW w:type="dxa" w:w="3960"/>
          </w:tcPr>
          <w:p>
            <w:r/>
            <w:r>
              <w:rPr>
                <w:rFonts w:ascii="Times New Roman" w:hAnsi="Times New Roman"/>
                <w:b w:val="0"/>
                <w:i w:val="0"/>
                <w:sz w:val="17"/>
              </w:rPr>
              <w:t>Non-English</w:t>
            </w:r>
          </w:p>
        </w:tc>
      </w:tr>
    </w:tbl>
    <w:p>
      <w:pPr>
        <w:spacing w:after="120"/>
        <w:jc w:val="both"/>
      </w:pPr>
    </w:p>
    <w:p>
      <w:pPr>
        <w:keepNext/>
        <w:spacing w:after="80"/>
        <w:jc w:val="left"/>
      </w:pPr>
      <w:r>
        <w:rPr>
          <w:rFonts w:ascii="Times New Roman" w:hAnsi="Times New Roman"/>
          <w:b/>
          <w:i w:val="0"/>
          <w:sz w:val="20"/>
        </w:rPr>
        <w:t>2.5 Classification framework</w:t>
      </w:r>
    </w:p>
    <w:p>
      <w:pPr>
        <w:spacing w:after="160"/>
        <w:jc w:val="both"/>
      </w:pPr>
      <w:r>
        <w:rPr>
          <w:rFonts w:ascii="Times New Roman" w:hAnsi="Times New Roman"/>
          <w:b w:val="0"/>
          <w:i w:val="0"/>
          <w:sz w:val="20"/>
        </w:rPr>
        <w:t xml:space="preserve">Each corpus paper was classified along six fields: (1) </w:t>
      </w:r>
      <w:r>
        <w:rPr>
          <w:rFonts w:ascii="Times New Roman" w:hAnsi="Times New Roman"/>
          <w:b w:val="0"/>
          <w:i/>
          <w:sz w:val="20"/>
        </w:rPr>
        <w:t>management function</w:t>
      </w:r>
      <w:r>
        <w:rPr>
          <w:rFonts w:ascii="Times New Roman" w:hAnsi="Times New Roman"/>
          <w:b w:val="0"/>
          <w:i w:val="0"/>
          <w:sz w:val="20"/>
        </w:rPr>
        <w:t xml:space="preserve">, with eight values — state estimation (SOC), health estimation (SOH), prognostics (RUL), charging control, thermal management, fault and safety, cell balancing and equivalent-circuit modeling, and a cross-cutting cluster for methodological and system-level themes; (2) </w:t>
      </w:r>
      <w:r>
        <w:rPr>
          <w:rFonts w:ascii="Times New Roman" w:hAnsi="Times New Roman"/>
          <w:b w:val="0"/>
          <w:i/>
          <w:sz w:val="20"/>
        </w:rPr>
        <w:t>method family</w:t>
      </w:r>
      <w:r>
        <w:rPr>
          <w:rFonts w:ascii="Times New Roman" w:hAnsi="Times New Roman"/>
          <w:b w:val="0"/>
          <w:i w:val="0"/>
          <w:sz w:val="20"/>
        </w:rPr>
        <w:t xml:space="preserve">, with values including classical ML (Gaussian process regression, support vector machines, random forests, shallow networks), deep learning (recurrent, convolutional, attention and graph architectures), physics-informed and hybrid model–data learning, optimization-augmented learning (Bayesian optimization, surrogate-assisted and meta-heuristic schemes), reinforcement and control learning, transfer and domain adaptation, and foundation models/LLMs; (3) </w:t>
      </w:r>
      <w:r>
        <w:rPr>
          <w:rFonts w:ascii="Times New Roman" w:hAnsi="Times New Roman"/>
          <w:b w:val="0"/>
          <w:i/>
          <w:sz w:val="20"/>
        </w:rPr>
        <w:t>chemistry</w:t>
      </w:r>
      <w:r>
        <w:rPr>
          <w:rFonts w:ascii="Times New Roman" w:hAnsi="Times New Roman"/>
          <w:b w:val="0"/>
          <w:i w:val="0"/>
          <w:sz w:val="20"/>
        </w:rPr>
        <w:t xml:space="preserve"> (NMC, LFP, LCO, lithium-metal, lithium–sulfur, mixed, or unspecified); (4) </w:t>
      </w:r>
      <w:r>
        <w:rPr>
          <w:rFonts w:ascii="Times New Roman" w:hAnsi="Times New Roman"/>
          <w:b w:val="0"/>
          <w:i/>
          <w:sz w:val="20"/>
        </w:rPr>
        <w:t>primary data source</w:t>
      </w:r>
      <w:r>
        <w:rPr>
          <w:rFonts w:ascii="Times New Roman" w:hAnsi="Times New Roman"/>
          <w:b w:val="0"/>
          <w:i w:val="0"/>
          <w:sz w:val="20"/>
        </w:rPr>
        <w:t xml:space="preserve"> (own laboratory cycling, public datasets, laboratory impedance spectroscopy, real vehicle or fleet data, simulation, or multiple sources); (5) </w:t>
      </w:r>
      <w:r>
        <w:rPr>
          <w:rFonts w:ascii="Times New Roman" w:hAnsi="Times New Roman"/>
          <w:b w:val="0"/>
          <w:i/>
          <w:sz w:val="20"/>
        </w:rPr>
        <w:t>validation approach</w:t>
      </w:r>
      <w:r>
        <w:rPr>
          <w:rFonts w:ascii="Times New Roman" w:hAnsi="Times New Roman"/>
          <w:b w:val="0"/>
          <w:i w:val="0"/>
          <w:sz w:val="20"/>
        </w:rPr>
        <w:t xml:space="preserve"> (within-cell splits, cross-cell holdout, cross-chemistry or cross-domain transfer protocols, online/real-vehicle demonstration, experimental hardware, or simulation); and (6) a short coded summary of the headline finding and the principal limitation. A seventh, lighter field was added when this review’s own checklist (item 6, Section 9.9) turned on its authors: a </w:t>
      </w:r>
      <w:r>
        <w:rPr>
          <w:rFonts w:ascii="Times New Roman" w:hAnsi="Times New Roman"/>
          <w:b w:val="0"/>
          <w:i/>
          <w:sz w:val="20"/>
        </w:rPr>
        <w:t>baseline-comparison screen</w:t>
      </w:r>
      <w:r>
        <w:rPr>
          <w:rFonts w:ascii="Times New Roman" w:hAnsi="Times New Roman"/>
          <w:b w:val="0"/>
          <w:i w:val="0"/>
          <w:sz w:val="20"/>
        </w:rPr>
        <w:t xml:space="preserve"> recording whether a study’s indexed abstract names a model-based or classical reference method — a Kalman-family filter (EKF/UKF), an observer, an equivalent-circuit or physics-based model, coulomb counting, or a classical regressor such as Gaussian-process regression — as a comparator, with values </w:t>
      </w:r>
      <w:r>
        <w:rPr>
          <w:rFonts w:ascii="Times New Roman" w:hAnsi="Times New Roman"/>
          <w:b w:val="0"/>
          <w:i/>
          <w:sz w:val="20"/>
        </w:rPr>
        <w:t>none</w:t>
      </w:r>
      <w:r>
        <w:rPr>
          <w:rFonts w:ascii="Times New Roman" w:hAnsi="Times New Roman"/>
          <w:b w:val="0"/>
          <w:i w:val="0"/>
          <w:sz w:val="20"/>
        </w:rPr>
        <w:t xml:space="preserve">, </w:t>
      </w:r>
      <w:r>
        <w:rPr>
          <w:rFonts w:ascii="Times New Roman" w:hAnsi="Times New Roman"/>
          <w:b w:val="0"/>
          <w:i/>
          <w:sz w:val="20"/>
        </w:rPr>
        <w:t>mentioned</w:t>
      </w:r>
      <w:r>
        <w:rPr>
          <w:rFonts w:ascii="Times New Roman" w:hAnsi="Times New Roman"/>
          <w:b w:val="0"/>
          <w:i w:val="0"/>
          <w:sz w:val="20"/>
        </w:rPr>
        <w:t xml:space="preserve">, and </w:t>
      </w:r>
      <w:r>
        <w:rPr>
          <w:rFonts w:ascii="Times New Roman" w:hAnsi="Times New Roman"/>
          <w:b w:val="0"/>
          <w:i/>
          <w:sz w:val="20"/>
        </w:rPr>
        <w:t>stated same-data comparison</w:t>
      </w:r>
      <w:r>
        <w:rPr>
          <w:rFonts w:ascii="Times New Roman" w:hAnsi="Times New Roman"/>
          <w:b w:val="0"/>
          <w:i w:val="0"/>
          <w:sz w:val="20"/>
        </w:rPr>
        <w:t xml:space="preserve">. It is coded from abstracts, not full texts; the released rubric (codebook.md) also defines the full-text version of the field for future work, and its results are reported with the validation audit in Section 3.4. The validation categories of field (5) are aggregated into three stringency tiers used throughout the paper. Under the </w:t>
      </w:r>
      <w:r>
        <w:rPr>
          <w:rFonts w:ascii="Times New Roman" w:hAnsi="Times New Roman"/>
          <w:b w:val="0"/>
          <w:i/>
          <w:sz w:val="20"/>
        </w:rPr>
        <w:t>protocol-only definition</w:t>
      </w:r>
      <w:r>
        <w:rPr>
          <w:rFonts w:ascii="Times New Roman" w:hAnsi="Times New Roman"/>
          <w:b w:val="0"/>
          <w:i w:val="0"/>
          <w:sz w:val="20"/>
        </w:rPr>
        <w:t xml:space="preserve">, a </w:t>
      </w:r>
      <w:r>
        <w:rPr>
          <w:rFonts w:ascii="Times New Roman" w:hAnsi="Times New Roman"/>
          <w:b w:val="0"/>
          <w:i/>
          <w:sz w:val="20"/>
        </w:rPr>
        <w:t>strong</w:t>
      </w:r>
      <w:r>
        <w:rPr>
          <w:rFonts w:ascii="Times New Roman" w:hAnsi="Times New Roman"/>
          <w:b w:val="0"/>
          <w:i w:val="0"/>
          <w:sz w:val="20"/>
        </w:rPr>
        <w:t xml:space="preserve"> protocol is one whose design isolates the generalization claim: cross-cell holdout, cross-chemistry holdout, cross-domain holdout, and online or real-vehicle demonstration. </w:t>
      </w:r>
      <w:r>
        <w:rPr>
          <w:rFonts w:ascii="Times New Roman" w:hAnsi="Times New Roman"/>
          <w:b w:val="0"/>
          <w:i/>
          <w:sz w:val="20"/>
        </w:rPr>
        <w:t>Weak</w:t>
      </w:r>
      <w:r>
        <w:rPr>
          <w:rFonts w:ascii="Times New Roman" w:hAnsi="Times New Roman"/>
          <w:b w:val="0"/>
          <w:i w:val="0"/>
          <w:sz w:val="20"/>
        </w:rPr>
        <w:t xml:space="preserve"> splits leak information between train and test: within-cell splits and k-fold cross-validation without cell-level isolation. The remaining classes are </w:t>
      </w:r>
      <w:r>
        <w:rPr>
          <w:rFonts w:ascii="Times New Roman" w:hAnsi="Times New Roman"/>
          <w:b w:val="0"/>
          <w:i/>
          <w:sz w:val="20"/>
        </w:rPr>
        <w:t>environment-only</w:t>
      </w:r>
      <w:r>
        <w:rPr>
          <w:rFonts w:ascii="Times New Roman" w:hAnsi="Times New Roman"/>
          <w:b w:val="0"/>
          <w:i w:val="0"/>
          <w:sz w:val="20"/>
        </w:rPr>
        <w:t xml:space="preserve">: experimental-hardware, simulation, and single-system case-study demonstrations, which evidence an operating environment but not a data-isolation protocol; the </w:t>
      </w:r>
      <w:r>
        <w:rPr>
          <w:rFonts w:ascii="Times New Roman" w:hAnsi="Times New Roman"/>
          <w:b w:val="0"/>
          <w:i/>
          <w:sz w:val="20"/>
        </w:rPr>
        <w:t>broader definition</w:t>
      </w:r>
      <w:r>
        <w:rPr>
          <w:rFonts w:ascii="Times New Roman" w:hAnsi="Times New Roman"/>
          <w:b w:val="0"/>
          <w:i w:val="0"/>
          <w:sz w:val="20"/>
        </w:rPr>
        <w:t xml:space="preserve"> of stringency additionally counts experimental-hardware demonstrations as strong. Every strong-protocol count in Sections 3 and 9 states which definition it uses, and review-labelled studies carry no primary validation. Classification was performed by the lead author with conservative coding from full texts: where a paper’s specifics could not be established confidently, broader categories were assigned. The corpus/subset terminology — corpus paper, primary study, review-labelled, family-coded — and the full count reconciliation (1,550 retrieved → 799 eligible → 103 classified = 88 primary + 15 review-labelled) are stated once, in Box 2, and used consistently hereafter. Papers are assigned a single dominant value per field even where several apply. To probe the reliability of that coding, two co-author coders (S.S.I.A. and J.I.C., the second and third authors) later blind-re-coded a 30-paper stratified random sample (drawn by function and year band, seed-pinned) under the released codebook. The blinding was procedural rather than external: the coders are authors of this study; they coded without access to the released labels or to each other’s sheets, from sheets locked and hash-tracked at completion, with a filed blinding memo documenting what each coder had opened before coding; but they are not independent of the paper, and their later author-contribution roles included verification of classifications and counts. Their access was uneven: coder B worked from 6 full texts plus 1 preprint (23 of 30 papers from abstracts only) and coder C from 2 full texts (28 from abstracts only), so the study measures abstract-level reproducibility of the coding, not full-text agreement. With those scopes stated, agreement passes the κ ≥ 0.66 threshold on management function (κ = 0.92, bootstrap 95% CI 0.80–1.00), method family (0.88, CI 0.73–1.00), and primary data source (0.88, CI 0.72–1.00), and falls below it on chemistry (0.55, CI 0.16–0.83) and validation protocol (0.48, CI 0.31–0.65) — the two fields least often stated at abstract level. On the count-bearing strong-versus-non-strong bucket the two coders agree on 25 of 30 papers (raw agreement 83%, κ = 0.52, CI 0.09–0.84). Against the released labels their bucket kappas are 0.22 and 0.42, with the conservative weak-code fallback for unreported protocols — declared in advance by both coders — driving most of that gap. No full-text dual coding was performed, so the strong/weak counts of Section 3 rest on a single full-text coding by the lead author, with two quantitative buffers: the label-noise sensitivity analysis that propagates the observed coder-versus-label disagreement into the headline counts (Section 3.4), and the complete release of per-paper labels, coder sheets, and the itemized disagreements, so that any reader can re-run, check, correct, or extend the coding — and so that a formal full-text reliability measurement can be run on the released labels.</w:t>
      </w:r>
    </w:p>
    <w:p>
      <w:pPr>
        <w:keepNext/>
        <w:spacing w:after="80"/>
        <w:jc w:val="left"/>
      </w:pPr>
      <w:r>
        <w:rPr>
          <w:rFonts w:ascii="Times New Roman" w:hAnsi="Times New Roman"/>
          <w:b/>
          <w:i w:val="0"/>
          <w:sz w:val="20"/>
        </w:rPr>
        <w:t>2.6 Comparative synthesis approach</w:t>
      </w:r>
    </w:p>
    <w:p>
      <w:pPr>
        <w:spacing w:after="160"/>
        <w:jc w:val="both"/>
      </w:pPr>
      <w:r>
        <w:rPr>
          <w:rFonts w:ascii="Times New Roman" w:hAnsi="Times New Roman"/>
          <w:b w:val="0"/>
          <w:i w:val="0"/>
          <w:sz w:val="20"/>
        </w:rPr>
        <w:t>The synthesis proceeds on two tracks. Quantitatively, the classification fields are aggregated into cross-tabulations — function by year, method family by year, chemistry, data source, and validation practice — that characterize the corpus as a sample of the field’s recent output (Section 3); every figure and every count in Section 3 was generated programmatically from the released dataset rather than compiled by hand; the full pipeline is publicly available in the repository accompanying this paper. Qualitatively, the review synthesizes each function’s literature critically: what each cluster of methods assumes, what it demonstrates, and where its evidentiary support is thin (Sections 4–8). Cross-referencing the two tracks then yields the gap analysis of Section 9.</w:t>
      </w:r>
    </w:p>
    <w:p>
      <w:pPr>
        <w:spacing w:after="160"/>
        <w:jc w:val="both"/>
      </w:pPr>
      <w:r>
        <w:rPr>
          <w:rFonts w:ascii="Times New Roman" w:hAnsi="Times New Roman"/>
          <w:b w:val="0"/>
          <w:i w:val="0"/>
          <w:sz w:val="20"/>
        </w:rPr>
        <w:t>The review-rigor posture of this study should be weighed against PRISMA-ScR practice as plainly as its coding limitations are, and three deviations are disclosed here rather than footnoted. First, no protocol registration exists: PROSPERO does not accept scoping-review registrations and no alternative registry was used, so the a-priori scope decisions are reconstructable only from the released pipeline files and their version history, not from a time-stamped external registration. Second, screening was single-reviewer in design — with the qualification that its first two stages are deterministic rules rather than judgment calls: the title relevance gate and the venue screen are programmatic applications of released term lists, and all 1,555 per-record decisions with their reasons are in the released screening log, so they are exactly reproducible but were not double-screened by a second human; the judgment-bearing stages (the full-text curation of 19 exclusions and 10 additions, and all classification) were likewise single-reviewer, and the only dual-coded element is the 30-paper reliability study, whose coders are co-authors of this paper (Section 2.5). Third, no per-record time-on-task logs were kept for any stage: retrieval ran on 4–5 September 2026, the rule-based screens execute in seconds and were verified spot-wise rather than re-screened record by record, and the human-judgment stages were not time-stamped, so effort cannot be audited after the fact. Tool assistance is bounded exactly as the AI declaration states — scripting, drafting, and figure generation only; no tool-assisted triage or ranking participated in screening, and the one ranking used (citation-count ordering within strata at Tier-2 selection) is a deterministic, released computation (Section 2.3). Against the PRISMA-ScR checklist the study therefore documents eligibility, charting, and synthesis transparently but falls short of dual independent screening and external registration, and readers should weigh the released, re-runnable decision trail accordingly.</w:t>
      </w:r>
    </w:p>
    <w:p>
      <w:pPr>
        <w:spacing w:after="160"/>
        <w:jc w:val="both"/>
      </w:pPr>
      <w:r>
        <w:rPr>
          <w:rFonts w:ascii="Times New Roman" w:hAnsi="Times New Roman"/>
          <w:b w:val="0"/>
          <w:i w:val="0"/>
          <w:sz w:val="20"/>
        </w:rPr>
        <w:t>The methodology has limitations that readers should weigh. The corpus is drawn from Crossref-registered journal articles and therefore inherits that registry’s coverage: influential conference papers (a significant venue for control-oriented BMS work) are excluded by design, and very recent articles registered with incomplete metadata may evade relevance screening. Title-level relevance screening can miss relevant papers whose titles avoid standard terminology, and citation-count ranking privileges English-language, high-profile venues. Classification reliability is documented on a 30-paper blind re-coding subset rather than measured corpus-wide (three of five fields above threshold, two below, with sensitivity ranges reported; the re-coding was abstract-level and co-author-coded, per Section 2.5). The classified corpus is additionally quota-curated rather than sampled, and the pool has its own retrieval-design shaping (Box 1, rules 1, 2, and 5); distributional statements in Section 3 are framed as corpus composition, with quota-free pool-level baselines stated where they exist. These limitations qualify the quantitative aggregates of Section 3, which should be read as a structured sample of the field’s output rather than a census — and they are the reason this paper describes itself as a scoping review with bibliometric classification rather than as a meta-analysis.</w:t>
      </w:r>
    </w:p>
    <w:p>
      <w:pPr>
        <w:keepNext/>
        <w:spacing w:after="120"/>
        <w:jc w:val="left"/>
      </w:pPr>
      <w:r>
        <w:rPr>
          <w:rFonts w:ascii="Times New Roman" w:hAnsi="Times New Roman"/>
          <w:b/>
          <w:i w:val="0"/>
          <w:sz w:val="20"/>
        </w:rPr>
        <w:t>3. Corpus Overview and Five-Year Evolution</w:t>
      </w:r>
    </w:p>
    <w:p>
      <w:pPr>
        <w:keepNext/>
        <w:spacing w:after="80"/>
        <w:jc w:val="left"/>
      </w:pPr>
      <w:r>
        <w:rPr>
          <w:rFonts w:ascii="Times New Roman" w:hAnsi="Times New Roman"/>
          <w:b/>
          <w:i w:val="0"/>
          <w:sz w:val="20"/>
        </w:rPr>
        <w:t>3.1 Publication trend</w:t>
      </w:r>
    </w:p>
    <w:p>
      <w:pPr>
        <w:spacing w:after="160"/>
        <w:jc w:val="both"/>
      </w:pPr>
      <w:r>
        <w:rPr>
          <w:rFonts w:ascii="Times New Roman" w:hAnsi="Times New Roman"/>
          <w:b w:val="0"/>
          <w:i w:val="0"/>
          <w:sz w:val="20"/>
        </w:rPr>
        <w:t xml:space="preserve">Two layers of trend evidence are reported, and they are kept separate throughout. On the </w:t>
      </w:r>
      <w:r>
        <w:rPr>
          <w:rFonts w:ascii="Times New Roman" w:hAnsi="Times New Roman"/>
          <w:b w:val="0"/>
          <w:i/>
          <w:sz w:val="20"/>
        </w:rPr>
        <w:t>measured</w:t>
      </w:r>
      <w:r>
        <w:rPr>
          <w:rFonts w:ascii="Times New Roman" w:hAnsi="Times New Roman"/>
          <w:b w:val="0"/>
          <w:i w:val="0"/>
          <w:sz w:val="20"/>
        </w:rPr>
        <w:t xml:space="preserve"> tier (eligible corpus, 799 records), the capped retrieval captures 55, 85, 139, and 223 journal articles for 2020–2023, then 56 for 2024 — an observed count inside the capped retrieval, not an estimate of missing volume: no query pass was dedicated to January–May 2024 — the mid-window and dedicated passes end in December 2023, the recency pass begins on 1 June 2024, and the citation-sorted pass returns almost nothing from 2024 (Section 2.2) — then 126 in 2025 and — partial year, retrieval date September 2026 — 114 in 2026, plus one further early-access record date-stamped 2027 by Crossref metadata and omitted from the year chart (Fig. 4, left panel). These are counts within a capped retrieval, not census totals, and they do not support absolute-growth claims: a per-year external denominator was tested and discarded, because Crossref’s reported result totals for the same queries rely on loose token-level bibliographic matches whose totals run into the hundreds of thousands and vary strongly with query phrasing, so they are not interpretable as field denominators (the test script and its output are released). What remains defensible is direction within the sample: the eligible-corpus counts rise through 2020–2023, dip at the retrieval hole, and remain high in 2025–2026.</w:t>
      </w:r>
    </w:p>
    <w:p>
      <w:pPr>
        <w:spacing w:after="160"/>
        <w:jc w:val="both"/>
      </w:pPr>
      <w:r>
        <w:rPr>
          <w:rFonts w:ascii="Times New Roman" w:hAnsi="Times New Roman"/>
          <w:b w:val="0"/>
          <w:i w:val="0"/>
          <w:sz w:val="20"/>
        </w:rPr>
        <w:t>The corpus spans 2019–2026 with the following composition: 9 papers in 2020, 13 in 2021, 13 in 2022, 22 in 2023, 20 in 2024, 18 in 2025, and 7 in the partial year 2026 (retrieval date September 2026), plus the 2019 seed (Fig. 3). This profile should be read as the output of the sampling design, not as a measurement of field output. Three design choices shape it. First, the stratified draw of Section 2.3 only partly balanced publication years by construction — per-year counts in the subset span 7 to 22 papers — so year-to-year differences inside the subset are muted by design rather than observed. Second, the citation-ranked within-stratum rule preferentially captures highly cited work. Third, the eligible pool itself has a retrieval-shaped year mix — the five query passes of Section 2.2 covered year windows unequally (a dedicated 2023 pass, a recency pass from mid-2024, older passes ending 2022), so the pool’s own year profile (measured above) reflects query coverage as much as publication. Neither level supports a claim that field output rose, fell, or accelerated; what the composition does show, within those limits, is a broadening from single-function estimators toward cross-cutting system-level contributions in the recent quotas.</w:t>
      </w:r>
    </w:p>
    <w:p>
      <w:pPr>
        <w:spacing w:after="160"/>
        <w:jc w:val="both"/>
      </w:pPr>
      <w:r>
        <w:rPr>
          <w:rFonts w:ascii="Times New Roman" w:hAnsi="Times New Roman"/>
          <w:b w:val="0"/>
          <w:i w:val="0"/>
          <w:sz w:val="20"/>
        </w:rPr>
        <w:t xml:space="preserve">Citation weight tells a complementary story about influence. Citation counts throughout this paper are the Crossref registry’s is-referenced-by-count values retrieved on 5 September 2026 and are included per paper in the released dataset; they are typically lower than Google Scholar counts for the same paper and should be compared only against themselves. The corpus accumulates roughly 18,400 recorded citations, but the distribution is steeply skewed: the median paper has 65 citations, while the 2019 seed alone holds 3,002 and the two 2020 landmark studies (Battery Lifetime Prognostics </w:t>
      </w:r>
      <w:r>
        <w:rPr>
          <w:rFonts w:ascii="Times New Roman" w:hAnsi="Times New Roman"/>
          <w:sz w:val="20"/>
        </w:rPr>
        <w:t>[2]</w:t>
      </w:r>
      <w:r>
        <w:rPr>
          <w:rFonts w:ascii="Times New Roman" w:hAnsi="Times New Roman"/>
          <w:b w:val="0"/>
          <w:i w:val="0"/>
          <w:sz w:val="20"/>
        </w:rPr>
        <w:t xml:space="preserve"> and closed-loop fast charging </w:t>
      </w:r>
      <w:r>
        <w:rPr>
          <w:rFonts w:ascii="Times New Roman" w:hAnsi="Times New Roman"/>
          <w:sz w:val="20"/>
        </w:rPr>
        <w:t>[4]</w:t>
      </w:r>
      <w:r>
        <w:rPr>
          <w:rFonts w:ascii="Times New Roman" w:hAnsi="Times New Roman"/>
          <w:b w:val="0"/>
          <w:i w:val="0"/>
          <w:sz w:val="20"/>
        </w:rPr>
        <w:t>) hold 1,239 and 1,078 respectively. Median citations fall monotonically with publication year — from 441 (2020) through 141 (2022) and 46 (2024) to single digits for 2026 publications — which is partly an age effect and partly evidence that the field’s attention concentrates on a small set of canonical results. For a scoping review this skew matters: narrative reviews that emphasize highly cited work systematically describe the field as it stood in 2020–2021, whereas the recent relevance-sorted portions of this corpus capture the current working frontier that citations have not yet caught up with.</w:t>
      </w:r>
    </w:p>
    <w:p>
      <w:pPr>
        <w:keepNext/>
        <w:spacing w:after="80"/>
        <w:jc w:val="center"/>
      </w:pPr>
      <w:r>
        <w:drawing>
          <wp:inline xmlns:a="http://schemas.openxmlformats.org/drawingml/2006/main" xmlns:pic="http://schemas.openxmlformats.org/drawingml/2006/picture">
            <wp:extent cx="4480560" cy="2749435"/>
            <wp:docPr id="3" name="Picture 3"/>
            <wp:cNvGraphicFramePr>
              <a:graphicFrameLocks noChangeAspect="1"/>
            </wp:cNvGraphicFramePr>
            <a:graphic>
              <a:graphicData uri="http://schemas.openxmlformats.org/drawingml/2006/picture">
                <pic:pic>
                  <pic:nvPicPr>
                    <pic:cNvPr id="0" name="fig2_year_trend.png"/>
                    <pic:cNvPicPr/>
                  </pic:nvPicPr>
                  <pic:blipFill>
                    <a:blip r:embed="rId11"/>
                    <a:stretch>
                      <a:fillRect/>
                    </a:stretch>
                  </pic:blipFill>
                  <pic:spPr>
                    <a:xfrm>
                      <a:off x="0" y="0"/>
                      <a:ext cx="4480560" cy="2749435"/>
                    </a:xfrm>
                    <a:prstGeom prst="rect"/>
                  </pic:spPr>
                </pic:pic>
              </a:graphicData>
            </a:graphic>
          </wp:inline>
        </w:drawing>
      </w:r>
    </w:p>
    <w:p>
      <w:pPr>
        <w:keepLines/>
        <w:spacing w:after="200"/>
        <w:jc w:val="both"/>
      </w:pPr>
      <w:r>
        <w:rPr>
          <w:rFonts w:ascii="Times New Roman" w:hAnsi="Times New Roman"/>
          <w:b w:val="0"/>
          <w:i w:val="0"/>
          <w:sz w:val="18"/>
        </w:rPr>
        <w:t>Fig. 3 Corpus composition by publication year (bars, left axis) with cumulative total (line, right axis). The 2019 seed study is included in the cumulative count. Years were only partly balanced by the sampling design of Section 2.3, so the profile is corpus composition, not a field-output trend (Section 3.1).</w:t>
      </w:r>
    </w:p>
    <w:p>
      <w:pPr>
        <w:keepNext/>
        <w:spacing w:after="80"/>
        <w:jc w:val="left"/>
      </w:pPr>
      <w:r>
        <w:rPr>
          <w:rFonts w:ascii="Times New Roman" w:hAnsi="Times New Roman"/>
          <w:b/>
          <w:i w:val="0"/>
          <w:sz w:val="20"/>
        </w:rPr>
        <w:t>3.2 Method-family evolution</w:t>
      </w:r>
    </w:p>
    <w:p>
      <w:pPr>
        <w:spacing w:after="160"/>
        <w:jc w:val="both"/>
      </w:pPr>
      <w:r>
        <w:rPr>
          <w:rFonts w:ascii="Times New Roman" w:hAnsi="Times New Roman"/>
          <w:b w:val="0"/>
          <w:i w:val="0"/>
          <w:sz w:val="20"/>
        </w:rPr>
        <w:t xml:space="preserve">The compositional shift in method families across the corpus (Fig. 4, Table 2) is a within-corpus observation under the quota design of Section 2.3, not a field-level growth measurement. Classical ML — Gaussian process regression, support vector machines, ensemble regressors, and shallow networks on engineered features — dominates the early corpus: 12 of the 23 papers published from 2019 through 2021. Deep sequence models (LSTM, GRU, CNN, attention and graph architectures) rise through 2022–2023 and remain the largest single family for prediction tasks thereafter. Physics-informed and hybrid model–data learning — including physics-informed neural networks (PINNs), physics-constrained autoencoders, filter-embedded networks, and multiphysics-ML fusion — emerges in 2021–2022 and grows steadily: counted year by year, the family contributes 1, 2, 3, 3, 4, 4, and 5 primary papers in 2020–2026 — the only family with a monotonically non-decreasing primary trajectory within the subset, with 2026 a partial year at the September 2026 retrieval — so that 13 of its 22 primary papers fall in 2024–2026 and it is the largest single family among the 7 papers published in 2026 (24 family-coded papers including two review-type syntheses; Table 2 gives the primary totals; Fig. 4 the yearly counts). Optimization-augmented learning (Bayesian optimization for protocol design, surrogate-assisted multi-objective schemes, and meta-heuristic-tuned networks) peaks in 2024 (5 of its 11 papers). Transfer and domain-adaptation approaches appear consistently from 2022 and accelerate in 2024–2025 (3 of its 5 papers), reinforcement learning remains scarce but visible (1 primary paper, with RL embedded in further studies), and the subset’s first foundation-model and LLM-based studies appear in 2025–2026 (2 papers) </w:t>
      </w:r>
      <w:r>
        <w:rPr>
          <w:rFonts w:ascii="Times New Roman" w:hAnsi="Times New Roman"/>
          <w:sz w:val="20"/>
        </w:rPr>
        <w:t>[14, 15]</w:t>
      </w:r>
      <w:r>
        <w:rPr>
          <w:rFonts w:ascii="Times New Roman" w:hAnsi="Times New Roman"/>
          <w:b w:val="0"/>
          <w:i w:val="0"/>
          <w:sz w:val="20"/>
        </w:rPr>
        <w:t xml:space="preserve"> — earliest in the classified subset, not in the field: earlier journal-published LLM estimators exist and were missed by this retrieval (Section 8.4).</w:t>
      </w:r>
    </w:p>
    <w:p>
      <w:pPr>
        <w:keepNext/>
        <w:spacing w:after="80"/>
        <w:jc w:val="left"/>
      </w:pPr>
      <w:r>
        <w:rPr>
          <w:rFonts w:ascii="Times New Roman" w:hAnsi="Times New Roman"/>
          <w:b w:val="0"/>
          <w:i w:val="0"/>
          <w:sz w:val="18"/>
        </w:rPr>
        <w:t>Table 2 Method families: representative techniques, strengths, and limitations. Counts are the 88 primary-application papers; the three review-type syntheses coded under a method family plus the 12 method-family reviews are accounted for in the function-by-year composition table.</w:t>
      </w:r>
    </w:p>
    <w:tbl>
      <w:tblPr>
        <w:tblStyle w:val="TableGrid"/>
        <w:tblW w:type="auto" w:w="0"/>
        <w:jc w:val="center"/>
        <w:tblLayout w:type="fixed"/>
        <w:tblLook w:firstColumn="1" w:firstRow="1" w:lastColumn="0" w:lastRow="0" w:noHBand="0" w:noVBand="1" w:val="04A0"/>
        <w:tblLayout w:type="fixed"/>
      </w:tblPr>
      <w:tblGrid>
        <w:gridCol w:w="1655"/>
        <w:gridCol w:w="720"/>
        <w:gridCol w:w="2592"/>
        <w:gridCol w:w="2232"/>
        <w:gridCol w:w="2160"/>
      </w:tblGrid>
      <w:tr>
        <w:trPr>
          <w:cantSplit/>
          <w:tblHeader/>
        </w:trPr>
        <w:tc>
          <w:tcPr>
            <w:tcW w:type="dxa" w:w="1656"/>
          </w:tcPr>
          <w:p>
            <w:pPr>
              <w:jc w:val="center"/>
            </w:pPr>
            <w:r/>
            <w:r>
              <w:rPr>
                <w:rFonts w:ascii="Times New Roman" w:hAnsi="Times New Roman"/>
                <w:b/>
                <w:sz w:val="17"/>
              </w:rPr>
              <w:t>Method family</w:t>
            </w:r>
          </w:p>
        </w:tc>
        <w:tc>
          <w:tcPr>
            <w:tcW w:type="dxa" w:w="720"/>
          </w:tcPr>
          <w:p>
            <w:pPr>
              <w:jc w:val="center"/>
            </w:pPr>
            <w:r/>
            <w:r>
              <w:rPr>
                <w:rFonts w:ascii="Times New Roman" w:hAnsi="Times New Roman"/>
                <w:b/>
                <w:sz w:val="17"/>
              </w:rPr>
              <w:t>Papers</w:t>
            </w:r>
          </w:p>
        </w:tc>
        <w:tc>
          <w:tcPr>
            <w:tcW w:type="dxa" w:w="2592"/>
          </w:tcPr>
          <w:p>
            <w:pPr>
              <w:jc w:val="center"/>
            </w:pPr>
            <w:r/>
            <w:r>
              <w:rPr>
                <w:rFonts w:ascii="Times New Roman" w:hAnsi="Times New Roman"/>
                <w:b/>
                <w:sz w:val="17"/>
              </w:rPr>
              <w:t>Representative techniques</w:t>
            </w:r>
          </w:p>
        </w:tc>
        <w:tc>
          <w:tcPr>
            <w:tcW w:type="dxa" w:w="2232"/>
          </w:tcPr>
          <w:p>
            <w:pPr>
              <w:jc w:val="center"/>
            </w:pPr>
            <w:r/>
            <w:r>
              <w:rPr>
                <w:rFonts w:ascii="Times New Roman" w:hAnsi="Times New Roman"/>
                <w:b/>
                <w:sz w:val="17"/>
              </w:rPr>
              <w:t>Strengths</w:t>
            </w:r>
          </w:p>
        </w:tc>
        <w:tc>
          <w:tcPr>
            <w:tcW w:type="dxa" w:w="2160"/>
          </w:tcPr>
          <w:p>
            <w:pPr>
              <w:jc w:val="center"/>
            </w:pPr>
            <w:r/>
            <w:r>
              <w:rPr>
                <w:rFonts w:ascii="Times New Roman" w:hAnsi="Times New Roman"/>
                <w:b/>
                <w:sz w:val="17"/>
              </w:rPr>
              <w:t>Limitations</w:t>
            </w:r>
          </w:p>
        </w:tc>
      </w:tr>
      <w:tr>
        <w:trPr>
          <w:cantSplit/>
        </w:trPr>
        <w:tc>
          <w:tcPr>
            <w:tcW w:type="dxa" w:w="1656"/>
          </w:tcPr>
          <w:p>
            <w:pPr>
              <w:jc w:val="left"/>
            </w:pPr>
            <w:r/>
            <w:r>
              <w:rPr>
                <w:rFonts w:ascii="Times New Roman" w:hAnsi="Times New Roman"/>
                <w:b w:val="0"/>
                <w:i w:val="0"/>
                <w:sz w:val="17"/>
              </w:rPr>
              <w:t>Classical ML</w:t>
            </w:r>
          </w:p>
        </w:tc>
        <w:tc>
          <w:tcPr>
            <w:tcW w:type="dxa" w:w="720"/>
          </w:tcPr>
          <w:p>
            <w:pPr>
              <w:jc w:val="center"/>
            </w:pPr>
            <w:r/>
            <w:r>
              <w:rPr>
                <w:rFonts w:ascii="Times New Roman" w:hAnsi="Times New Roman"/>
                <w:b w:val="0"/>
                <w:i w:val="0"/>
                <w:sz w:val="17"/>
              </w:rPr>
              <w:t>28</w:t>
            </w:r>
          </w:p>
        </w:tc>
        <w:tc>
          <w:tcPr>
            <w:tcW w:type="dxa" w:w="2592"/>
          </w:tcPr>
          <w:p>
            <w:r/>
            <w:r>
              <w:rPr>
                <w:rFonts w:ascii="Times New Roman" w:hAnsi="Times New Roman"/>
                <w:b w:val="0"/>
                <w:i w:val="0"/>
                <w:sz w:val="17"/>
              </w:rPr>
              <w:t>Gaussian process regression, SVM/SVR, ensembles, shallow networks on engineered features</w:t>
            </w:r>
          </w:p>
        </w:tc>
        <w:tc>
          <w:tcPr>
            <w:tcW w:type="dxa" w:w="2232"/>
          </w:tcPr>
          <w:p>
            <w:r/>
            <w:r>
              <w:rPr>
                <w:rFonts w:ascii="Times New Roman" w:hAnsi="Times New Roman"/>
                <w:b w:val="0"/>
                <w:i w:val="0"/>
                <w:sz w:val="17"/>
              </w:rPr>
              <w:t>Calibrated uncertainty; small-data friendly; cheap to embed</w:t>
            </w:r>
          </w:p>
        </w:tc>
        <w:tc>
          <w:tcPr>
            <w:tcW w:type="dxa" w:w="2160"/>
          </w:tcPr>
          <w:p>
            <w:r/>
            <w:r>
              <w:rPr>
                <w:rFonts w:ascii="Times New Roman" w:hAnsi="Times New Roman"/>
                <w:b w:val="0"/>
                <w:i w:val="0"/>
                <w:sz w:val="17"/>
              </w:rPr>
              <w:t>Feature engineering is manual; ceilings under complex dynamics</w:t>
            </w:r>
          </w:p>
        </w:tc>
      </w:tr>
      <w:tr>
        <w:trPr>
          <w:cantSplit/>
        </w:trPr>
        <w:tc>
          <w:tcPr>
            <w:tcW w:type="dxa" w:w="1656"/>
          </w:tcPr>
          <w:p>
            <w:pPr>
              <w:jc w:val="left"/>
            </w:pPr>
            <w:r/>
            <w:r>
              <w:rPr>
                <w:rFonts w:ascii="Times New Roman" w:hAnsi="Times New Roman"/>
                <w:b w:val="0"/>
                <w:i w:val="0"/>
                <w:sz w:val="17"/>
              </w:rPr>
              <w:t>Deep learning</w:t>
            </w:r>
          </w:p>
        </w:tc>
        <w:tc>
          <w:tcPr>
            <w:tcW w:type="dxa" w:w="720"/>
          </w:tcPr>
          <w:p>
            <w:pPr>
              <w:jc w:val="center"/>
            </w:pPr>
            <w:r/>
            <w:r>
              <w:rPr>
                <w:rFonts w:ascii="Times New Roman" w:hAnsi="Times New Roman"/>
                <w:b w:val="0"/>
                <w:i w:val="0"/>
                <w:sz w:val="17"/>
              </w:rPr>
              <w:t>19</w:t>
            </w:r>
          </w:p>
        </w:tc>
        <w:tc>
          <w:tcPr>
            <w:tcW w:type="dxa" w:w="2592"/>
          </w:tcPr>
          <w:p>
            <w:r/>
            <w:r>
              <w:rPr>
                <w:rFonts w:ascii="Times New Roman" w:hAnsi="Times New Roman"/>
                <w:b w:val="0"/>
                <w:i w:val="0"/>
                <w:sz w:val="17"/>
              </w:rPr>
              <w:t>LSTM/GRU, CNN, attention/Transformer, autoencoders, graph networks</w:t>
            </w:r>
          </w:p>
        </w:tc>
        <w:tc>
          <w:tcPr>
            <w:tcW w:type="dxa" w:w="2232"/>
          </w:tcPr>
          <w:p>
            <w:r/>
            <w:r>
              <w:rPr>
                <w:rFonts w:ascii="Times New Roman" w:hAnsi="Times New Roman"/>
                <w:b w:val="0"/>
                <w:i w:val="0"/>
                <w:sz w:val="17"/>
              </w:rPr>
              <w:t>Learns features from raw curves; strong trajectory modeling</w:t>
            </w:r>
          </w:p>
        </w:tc>
        <w:tc>
          <w:tcPr>
            <w:tcW w:type="dxa" w:w="2160"/>
          </w:tcPr>
          <w:p>
            <w:r/>
            <w:r>
              <w:rPr>
                <w:rFonts w:ascii="Times New Roman" w:hAnsi="Times New Roman"/>
                <w:b w:val="0"/>
                <w:i w:val="0"/>
                <w:sz w:val="17"/>
              </w:rPr>
              <w:t>Data-hungry; weak extrapolation; opaque</w:t>
            </w:r>
          </w:p>
        </w:tc>
      </w:tr>
      <w:tr>
        <w:trPr>
          <w:cantSplit/>
        </w:trPr>
        <w:tc>
          <w:tcPr>
            <w:tcW w:type="dxa" w:w="1656"/>
          </w:tcPr>
          <w:p>
            <w:pPr>
              <w:jc w:val="left"/>
            </w:pPr>
            <w:r/>
            <w:r>
              <w:rPr>
                <w:rFonts w:ascii="Times New Roman" w:hAnsi="Times New Roman"/>
                <w:b w:val="0"/>
                <w:i w:val="0"/>
                <w:sz w:val="17"/>
              </w:rPr>
              <w:t>Physics-informed / hybrid</w:t>
            </w:r>
          </w:p>
        </w:tc>
        <w:tc>
          <w:tcPr>
            <w:tcW w:type="dxa" w:w="720"/>
          </w:tcPr>
          <w:p>
            <w:pPr>
              <w:jc w:val="center"/>
            </w:pPr>
            <w:r/>
            <w:r>
              <w:rPr>
                <w:rFonts w:ascii="Times New Roman" w:hAnsi="Times New Roman"/>
                <w:b w:val="0"/>
                <w:i w:val="0"/>
                <w:sz w:val="17"/>
              </w:rPr>
              <w:t>22</w:t>
            </w:r>
          </w:p>
        </w:tc>
        <w:tc>
          <w:tcPr>
            <w:tcW w:type="dxa" w:w="2592"/>
          </w:tcPr>
          <w:p>
            <w:r/>
            <w:r>
              <w:rPr>
                <w:rFonts w:ascii="Times New Roman" w:hAnsi="Times New Roman"/>
                <w:b w:val="0"/>
                <w:i w:val="0"/>
                <w:sz w:val="17"/>
              </w:rPr>
              <w:t>PINNs, physics-constrained autoencoders, filter-embedded networks, multiphysics fusion</w:t>
            </w:r>
          </w:p>
        </w:tc>
        <w:tc>
          <w:tcPr>
            <w:tcW w:type="dxa" w:w="2232"/>
          </w:tcPr>
          <w:p>
            <w:r/>
            <w:r>
              <w:rPr>
                <w:rFonts w:ascii="Times New Roman" w:hAnsi="Times New Roman"/>
                <w:b w:val="0"/>
                <w:i w:val="0"/>
                <w:sz w:val="17"/>
              </w:rPr>
              <w:t>Structure aids extrapolation; reduced data demand</w:t>
            </w:r>
          </w:p>
        </w:tc>
        <w:tc>
          <w:tcPr>
            <w:tcW w:type="dxa" w:w="2160"/>
          </w:tcPr>
          <w:p>
            <w:r/>
            <w:r>
              <w:rPr>
                <w:rFonts w:ascii="Times New Roman" w:hAnsi="Times New Roman"/>
                <w:b w:val="0"/>
                <w:i w:val="0"/>
                <w:sz w:val="17"/>
              </w:rPr>
              <w:t>Inherits simplified-model bias; harder to train</w:t>
            </w:r>
          </w:p>
        </w:tc>
      </w:tr>
      <w:tr>
        <w:trPr>
          <w:cantSplit/>
        </w:trPr>
        <w:tc>
          <w:tcPr>
            <w:tcW w:type="dxa" w:w="1656"/>
          </w:tcPr>
          <w:p>
            <w:pPr>
              <w:jc w:val="left"/>
            </w:pPr>
            <w:r/>
            <w:r>
              <w:rPr>
                <w:rFonts w:ascii="Times New Roman" w:hAnsi="Times New Roman"/>
                <w:b w:val="0"/>
                <w:i w:val="0"/>
                <w:sz w:val="17"/>
              </w:rPr>
              <w:t>Optimization-augmented</w:t>
            </w:r>
          </w:p>
        </w:tc>
        <w:tc>
          <w:tcPr>
            <w:tcW w:type="dxa" w:w="720"/>
          </w:tcPr>
          <w:p>
            <w:pPr>
              <w:jc w:val="center"/>
            </w:pPr>
            <w:r/>
            <w:r>
              <w:rPr>
                <w:rFonts w:ascii="Times New Roman" w:hAnsi="Times New Roman"/>
                <w:b w:val="0"/>
                <w:i w:val="0"/>
                <w:sz w:val="17"/>
              </w:rPr>
              <w:t>11</w:t>
            </w:r>
          </w:p>
        </w:tc>
        <w:tc>
          <w:tcPr>
            <w:tcW w:type="dxa" w:w="2592"/>
          </w:tcPr>
          <w:p>
            <w:r/>
            <w:r>
              <w:rPr>
                <w:rFonts w:ascii="Times New Roman" w:hAnsi="Times New Roman"/>
                <w:b w:val="0"/>
                <w:i w:val="0"/>
                <w:sz w:val="17"/>
              </w:rPr>
              <w:t>Bayesian optimization, surrogate-assisted multi-objective design, meta-heuristic-tuned networks</w:t>
            </w:r>
          </w:p>
        </w:tc>
        <w:tc>
          <w:tcPr>
            <w:tcW w:type="dxa" w:w="2232"/>
          </w:tcPr>
          <w:p>
            <w:r/>
            <w:r>
              <w:rPr>
                <w:rFonts w:ascii="Times New Roman" w:hAnsi="Times New Roman"/>
                <w:b w:val="0"/>
                <w:i w:val="0"/>
                <w:sz w:val="17"/>
              </w:rPr>
              <w:t>Sample-efficient protocol discovery; explicit trade-off handling</w:t>
            </w:r>
          </w:p>
        </w:tc>
        <w:tc>
          <w:tcPr>
            <w:tcW w:type="dxa" w:w="2160"/>
          </w:tcPr>
          <w:p>
            <w:r/>
            <w:r>
              <w:rPr>
                <w:rFonts w:ascii="Times New Roman" w:hAnsi="Times New Roman"/>
                <w:b w:val="0"/>
                <w:i w:val="0"/>
                <w:sz w:val="17"/>
              </w:rPr>
              <w:t>Offline tuning cost; surrogate bias</w:t>
            </w:r>
          </w:p>
        </w:tc>
      </w:tr>
      <w:tr>
        <w:trPr>
          <w:cantSplit/>
        </w:trPr>
        <w:tc>
          <w:tcPr>
            <w:tcW w:type="dxa" w:w="1656"/>
          </w:tcPr>
          <w:p>
            <w:pPr>
              <w:jc w:val="left"/>
            </w:pPr>
            <w:r/>
            <w:r>
              <w:rPr>
                <w:rFonts w:ascii="Times New Roman" w:hAnsi="Times New Roman"/>
                <w:b w:val="0"/>
                <w:i w:val="0"/>
                <w:sz w:val="17"/>
              </w:rPr>
              <w:t>Transfer / domain adaptation</w:t>
            </w:r>
          </w:p>
        </w:tc>
        <w:tc>
          <w:tcPr>
            <w:tcW w:type="dxa" w:w="720"/>
          </w:tcPr>
          <w:p>
            <w:pPr>
              <w:jc w:val="center"/>
            </w:pPr>
            <w:r/>
            <w:r>
              <w:rPr>
                <w:rFonts w:ascii="Times New Roman" w:hAnsi="Times New Roman"/>
                <w:b w:val="0"/>
                <w:i w:val="0"/>
                <w:sz w:val="17"/>
              </w:rPr>
              <w:t>5</w:t>
            </w:r>
          </w:p>
        </w:tc>
        <w:tc>
          <w:tcPr>
            <w:tcW w:type="dxa" w:w="2592"/>
          </w:tcPr>
          <w:p>
            <w:r/>
            <w:r>
              <w:rPr>
                <w:rFonts w:ascii="Times New Roman" w:hAnsi="Times New Roman"/>
                <w:b w:val="0"/>
                <w:i w:val="0"/>
                <w:sz w:val="17"/>
              </w:rPr>
              <w:t>Domain-adversarial training, fine-tuning across chemistry/protocol</w:t>
            </w:r>
          </w:p>
        </w:tc>
        <w:tc>
          <w:tcPr>
            <w:tcW w:type="dxa" w:w="2232"/>
          </w:tcPr>
          <w:p>
            <w:r/>
            <w:r>
              <w:rPr>
                <w:rFonts w:ascii="Times New Roman" w:hAnsi="Times New Roman"/>
                <w:b w:val="0"/>
                <w:i w:val="0"/>
                <w:sz w:val="17"/>
              </w:rPr>
              <w:t>Directly targets the generalization gap</w:t>
            </w:r>
          </w:p>
        </w:tc>
        <w:tc>
          <w:tcPr>
            <w:tcW w:type="dxa" w:w="2160"/>
          </w:tcPr>
          <w:p>
            <w:r/>
            <w:r>
              <w:rPr>
                <w:rFonts w:ascii="Times New Roman" w:hAnsi="Times New Roman"/>
                <w:b w:val="0"/>
                <w:i w:val="0"/>
                <w:sz w:val="17"/>
              </w:rPr>
              <w:t>Negative transfer; needs shared protocols</w:t>
            </w:r>
          </w:p>
        </w:tc>
      </w:tr>
      <w:tr>
        <w:trPr>
          <w:cantSplit/>
        </w:trPr>
        <w:tc>
          <w:tcPr>
            <w:tcW w:type="dxa" w:w="1656"/>
          </w:tcPr>
          <w:p>
            <w:pPr>
              <w:jc w:val="left"/>
            </w:pPr>
            <w:r/>
            <w:r>
              <w:rPr>
                <w:rFonts w:ascii="Times New Roman" w:hAnsi="Times New Roman"/>
                <w:b w:val="0"/>
                <w:i w:val="0"/>
                <w:sz w:val="17"/>
              </w:rPr>
              <w:t>Reinforcement / control learning</w:t>
            </w:r>
          </w:p>
        </w:tc>
        <w:tc>
          <w:tcPr>
            <w:tcW w:type="dxa" w:w="720"/>
          </w:tcPr>
          <w:p>
            <w:pPr>
              <w:jc w:val="center"/>
            </w:pPr>
            <w:r/>
            <w:r>
              <w:rPr>
                <w:rFonts w:ascii="Times New Roman" w:hAnsi="Times New Roman"/>
                <w:b w:val="0"/>
                <w:i w:val="0"/>
                <w:sz w:val="17"/>
              </w:rPr>
              <w:t>1</w:t>
            </w:r>
          </w:p>
        </w:tc>
        <w:tc>
          <w:tcPr>
            <w:tcW w:type="dxa" w:w="2592"/>
          </w:tcPr>
          <w:p>
            <w:r/>
            <w:r>
              <w:rPr>
                <w:rFonts w:ascii="Times New Roman" w:hAnsi="Times New Roman"/>
                <w:b w:val="0"/>
                <w:i w:val="0"/>
                <w:sz w:val="17"/>
              </w:rPr>
              <w:t>Deep-RL prognostic model selection (also an embedded component in further studies)</w:t>
            </w:r>
          </w:p>
        </w:tc>
        <w:tc>
          <w:tcPr>
            <w:tcW w:type="dxa" w:w="2232"/>
          </w:tcPr>
          <w:p>
            <w:r/>
            <w:r>
              <w:rPr>
                <w:rFonts w:ascii="Times New Roman" w:hAnsi="Times New Roman"/>
                <w:b w:val="0"/>
                <w:i w:val="0"/>
                <w:sz w:val="17"/>
              </w:rPr>
              <w:t>Adaptive decision-making along trajectories</w:t>
            </w:r>
          </w:p>
        </w:tc>
        <w:tc>
          <w:tcPr>
            <w:tcW w:type="dxa" w:w="2160"/>
          </w:tcPr>
          <w:p>
            <w:r/>
            <w:r>
              <w:rPr>
                <w:rFonts w:ascii="Times New Roman" w:hAnsi="Times New Roman"/>
                <w:b w:val="0"/>
                <w:i w:val="0"/>
                <w:sz w:val="17"/>
              </w:rPr>
              <w:t>Training stability; scarce hardware validation</w:t>
            </w:r>
          </w:p>
        </w:tc>
      </w:tr>
      <w:tr>
        <w:trPr>
          <w:cantSplit/>
        </w:trPr>
        <w:tc>
          <w:tcPr>
            <w:tcW w:type="dxa" w:w="1656"/>
          </w:tcPr>
          <w:p>
            <w:pPr>
              <w:jc w:val="left"/>
            </w:pPr>
            <w:r/>
            <w:r>
              <w:rPr>
                <w:rFonts w:ascii="Times New Roman" w:hAnsi="Times New Roman"/>
                <w:b w:val="0"/>
                <w:i w:val="0"/>
                <w:sz w:val="17"/>
              </w:rPr>
              <w:t>Foundation models / LLM</w:t>
            </w:r>
          </w:p>
        </w:tc>
        <w:tc>
          <w:tcPr>
            <w:tcW w:type="dxa" w:w="720"/>
          </w:tcPr>
          <w:p>
            <w:pPr>
              <w:jc w:val="center"/>
            </w:pPr>
            <w:r/>
            <w:r>
              <w:rPr>
                <w:rFonts w:ascii="Times New Roman" w:hAnsi="Times New Roman"/>
                <w:b w:val="0"/>
                <w:i w:val="0"/>
                <w:sz w:val="17"/>
              </w:rPr>
              <w:t>2</w:t>
            </w:r>
          </w:p>
        </w:tc>
        <w:tc>
          <w:tcPr>
            <w:tcW w:type="dxa" w:w="2592"/>
          </w:tcPr>
          <w:p>
            <w:r/>
            <w:r>
              <w:rPr>
                <w:rFonts w:ascii="Times New Roman" w:hAnsi="Times New Roman"/>
                <w:b w:val="0"/>
                <w:i w:val="0"/>
                <w:sz w:val="17"/>
              </w:rPr>
              <w:t>LLM incident-risk analysis; LLM-based SOH estimation with uncertainty-gated physics fallback</w:t>
            </w:r>
          </w:p>
        </w:tc>
        <w:tc>
          <w:tcPr>
            <w:tcW w:type="dxa" w:w="2232"/>
          </w:tcPr>
          <w:p>
            <w:r/>
            <w:r>
              <w:rPr>
                <w:rFonts w:ascii="Times New Roman" w:hAnsi="Times New Roman"/>
                <w:b w:val="0"/>
                <w:i w:val="0"/>
                <w:sz w:val="17"/>
              </w:rPr>
              <w:t>Reasoning over heterogeneous text/system context; transferable priors</w:t>
            </w:r>
          </w:p>
        </w:tc>
        <w:tc>
          <w:tcPr>
            <w:tcW w:type="dxa" w:w="2160"/>
          </w:tcPr>
          <w:p>
            <w:r/>
            <w:r>
              <w:rPr>
                <w:rFonts w:ascii="Times New Roman" w:hAnsi="Times New Roman"/>
                <w:b w:val="0"/>
                <w:i w:val="0"/>
                <w:sz w:val="17"/>
              </w:rPr>
              <w:t>Hallucination risk; latency and cost</w:t>
            </w:r>
          </w:p>
        </w:tc>
      </w:tr>
      <w:tr>
        <w:trPr>
          <w:cantSplit/>
        </w:trPr>
        <w:tc>
          <w:tcPr>
            <w:tcW w:type="dxa" w:w="1656"/>
          </w:tcPr>
          <w:p>
            <w:pPr>
              <w:jc w:val="left"/>
            </w:pPr>
            <w:r/>
            <w:r>
              <w:rPr>
                <w:rFonts w:ascii="Times New Roman" w:hAnsi="Times New Roman"/>
                <w:b w:val="0"/>
                <w:i w:val="0"/>
                <w:sz w:val="17"/>
              </w:rPr>
              <w:t>Review / perspective</w:t>
            </w:r>
          </w:p>
        </w:tc>
        <w:tc>
          <w:tcPr>
            <w:tcW w:type="dxa" w:w="720"/>
          </w:tcPr>
          <w:p>
            <w:pPr>
              <w:jc w:val="center"/>
            </w:pPr>
            <w:r/>
            <w:r>
              <w:rPr>
                <w:rFonts w:ascii="Times New Roman" w:hAnsi="Times New Roman"/>
                <w:b w:val="0"/>
                <w:i w:val="0"/>
                <w:sz w:val="17"/>
              </w:rPr>
              <w:t>12</w:t>
            </w:r>
          </w:p>
        </w:tc>
        <w:tc>
          <w:tcPr>
            <w:tcW w:type="dxa" w:w="2592"/>
          </w:tcPr>
          <w:p>
            <w:r/>
            <w:r>
              <w:rPr>
                <w:rFonts w:ascii="Times New Roman" w:hAnsi="Times New Roman"/>
                <w:b w:val="0"/>
                <w:i w:val="0"/>
                <w:sz w:val="17"/>
              </w:rPr>
              <w:t>Narrative and systematic syntheses</w:t>
            </w:r>
          </w:p>
        </w:tc>
        <w:tc>
          <w:tcPr>
            <w:tcW w:type="dxa" w:w="2232"/>
          </w:tcPr>
          <w:p>
            <w:r/>
            <w:r>
              <w:rPr>
                <w:rFonts w:ascii="Times New Roman" w:hAnsi="Times New Roman"/>
                <w:b w:val="0"/>
                <w:i w:val="0"/>
                <w:sz w:val="17"/>
              </w:rPr>
              <w:t>Maps the field; identifies shared gaps</w:t>
            </w:r>
          </w:p>
        </w:tc>
        <w:tc>
          <w:tcPr>
            <w:tcW w:type="dxa" w:w="2160"/>
          </w:tcPr>
          <w:p>
            <w:r/>
            <w:r>
              <w:rPr>
                <w:rFonts w:ascii="Times New Roman" w:hAnsi="Times New Roman"/>
                <w:b w:val="0"/>
                <w:i w:val="0"/>
                <w:sz w:val="17"/>
              </w:rPr>
              <w:t>No primary validation</w:t>
            </w:r>
          </w:p>
        </w:tc>
      </w:tr>
    </w:tbl>
    <w:p>
      <w:pPr>
        <w:spacing w:after="120"/>
        <w:jc w:val="both"/>
      </w:pPr>
    </w:p>
    <w:p>
      <w:pPr>
        <w:spacing w:after="160"/>
        <w:jc w:val="both"/>
      </w:pPr>
      <w:r>
        <w:rPr>
          <w:rFonts w:ascii="Times New Roman" w:hAnsi="Times New Roman"/>
          <w:b w:val="0"/>
          <w:i w:val="0"/>
          <w:sz w:val="20"/>
        </w:rPr>
        <w:t xml:space="preserve">Within-family dynamics deserve comment. The persistent classical-ML share is not inertia: Gaussian process regression survives because it natively returns calibrated uncertainty — the one property certification-minded applications cannot do without — and because feature-based estimators remain the cheapest to embed. The deep-learning share consolidated around recurrent and attention architectures for trajectory data and convolutional architectures for curve data, with graph networks appearing where cell-to-cell or feature-to-feature relations matter. The optimization-augmented family grew along two distinct branches: meta-heuristically tuned networks (PSO, GA, and swarm variants), which improve accuracy at a documented training cost, and Bayesian or surrogate-assisted optimization of </w:t>
      </w:r>
      <w:r>
        <w:rPr>
          <w:rFonts w:ascii="Times New Roman" w:hAnsi="Times New Roman"/>
          <w:b w:val="0"/>
          <w:i/>
          <w:sz w:val="20"/>
        </w:rPr>
        <w:t>operating protocols</w:t>
      </w:r>
      <w:r>
        <w:rPr>
          <w:rFonts w:ascii="Times New Roman" w:hAnsi="Times New Roman"/>
          <w:b w:val="0"/>
          <w:i w:val="0"/>
          <w:sz w:val="20"/>
        </w:rPr>
        <w:t>, which changes what can be experimentally discovered rather than merely what can be predicted. Conflating these two branches, as broad-brush surveys tend to do, obscures the more consequential of the two developments.</w:t>
      </w:r>
    </w:p>
    <w:p>
      <w:pPr>
        <w:keepNext/>
        <w:spacing w:after="80"/>
        <w:jc w:val="center"/>
      </w:pPr>
      <w:r>
        <w:drawing>
          <wp:inline xmlns:a="http://schemas.openxmlformats.org/drawingml/2006/main" xmlns:pic="http://schemas.openxmlformats.org/drawingml/2006/picture">
            <wp:extent cx="4480560" cy="1929130"/>
            <wp:docPr id="4" name="Picture 4"/>
            <wp:cNvGraphicFramePr>
              <a:graphicFrameLocks noChangeAspect="1"/>
            </wp:cNvGraphicFramePr>
            <a:graphic>
              <a:graphicData uri="http://schemas.openxmlformats.org/drawingml/2006/picture">
                <pic:pic>
                  <pic:nvPicPr>
                    <pic:cNvPr id="0" name="fig3_method_evolution.png"/>
                    <pic:cNvPicPr/>
                  </pic:nvPicPr>
                  <pic:blipFill>
                    <a:blip r:embed="rId12"/>
                    <a:stretch>
                      <a:fillRect/>
                    </a:stretch>
                  </pic:blipFill>
                  <pic:spPr>
                    <a:xfrm>
                      <a:off x="0" y="0"/>
                      <a:ext cx="4480560" cy="1929130"/>
                    </a:xfrm>
                    <a:prstGeom prst="rect"/>
                  </pic:spPr>
                </pic:pic>
              </a:graphicData>
            </a:graphic>
          </wp:inline>
        </w:drawing>
      </w:r>
    </w:p>
    <w:p>
      <w:pPr>
        <w:keepLines/>
        <w:spacing w:after="200"/>
        <w:jc w:val="both"/>
      </w:pPr>
      <w:r>
        <w:rPr>
          <w:rFonts w:ascii="Times New Roman" w:hAnsi="Times New Roman"/>
          <w:b w:val="0"/>
          <w:i w:val="0"/>
          <w:sz w:val="18"/>
        </w:rPr>
        <w:t>Fig. 4 Left panel: the measured eligible corpus per publication year (Tier 1, n = 799; capped retrieval, Section 3.1; one further record is date-stamped 2027 by Crossref and not shown). Right panel: method-family composition of the classified subset by publication year (Tier 2, paper counts; reviews shown as their own band); yearly totals match the corpus totals of Table 3. Composition of the curated subset under the Section 2.3 quota design; not a field-level trend measurement (Section 3.2).</w:t>
      </w:r>
    </w:p>
    <w:p>
      <w:pPr>
        <w:spacing w:after="160"/>
        <w:jc w:val="both"/>
      </w:pPr>
      <w:r>
        <w:rPr>
          <w:rFonts w:ascii="Times New Roman" w:hAnsi="Times New Roman"/>
          <w:b w:val="0"/>
          <w:i w:val="0"/>
          <w:sz w:val="20"/>
        </w:rPr>
        <w:t>Three observations qualify this trajectory. First, the families are not mutually exclusive in practice — a PSO-tuned LSTM is simultaneously deep learning and optimization-augmented learning — and the corpus classification assigns each paper to its dominant family; the composition therefore understates method mixing. Second, the rise of physics-informed learning is partly a response to the recognized brittleness of purely data-driven models under distribution shift, but physics-informed papers in the corpus are, on average, validated no more stringently than others — if anything somewhat less stringently, a point quantified in Section 3.4. Third, the foundation-model cluster is too small to represent a trend; its significance is that LLM-based management (fleet risk analysis and LLM-based health estimation, Section 8.4) is appearing in mainstream energy journals at all. A pool-level cross-check bounds these observations: among the 799 eligible records, the physics-informed query theme tags 1, 10, 12, 18, 2, 3, and 9 records in 2020–2026 — 1.8%, 11.8%, 8.6%, 8.1%, 3.6%, 2.4%, and 7.9% of each year’s eligible records — non-monotonic and peaking in 2021, so no field-level physics-informed rise is measurable at either tier (the 2024 trough and the partial-year 2026 count both sit inside unequal retrieval windows), and the family trajectories of this section describe the curated subset alone.</w:t>
      </w:r>
    </w:p>
    <w:p>
      <w:pPr>
        <w:keepNext/>
        <w:spacing w:after="80"/>
        <w:jc w:val="left"/>
      </w:pPr>
      <w:r>
        <w:rPr>
          <w:rFonts w:ascii="Times New Roman" w:hAnsi="Times New Roman"/>
          <w:b/>
          <w:i w:val="0"/>
          <w:sz w:val="20"/>
        </w:rPr>
        <w:t>3.3 Application-area distribution</w:t>
      </w:r>
    </w:p>
    <w:p>
      <w:pPr>
        <w:spacing w:after="160"/>
        <w:jc w:val="both"/>
      </w:pPr>
      <w:r>
        <w:rPr>
          <w:rFonts w:ascii="Times New Roman" w:hAnsi="Times New Roman"/>
          <w:b w:val="0"/>
          <w:i w:val="0"/>
          <w:sz w:val="20"/>
        </w:rPr>
        <w:t xml:space="preserve">Functionally, the corpus is dominated by the health-prognostics complex: health estimation (20 papers) and remaining-useful-life prognostics (15) together account for 34% of the 103-paper corpus, followed by the cross-cutting cluster (24, including reviews, physics-informed methods, interpretability, transfer learning, digital twins, cloud/fleet themes, and foundation models), state estimation (17), fault and safety (9), charging control (8), thermal management (8), and cell balancing/ECM (2) (Fig. 5). Fig. 5 matches the all-corpus totals of Table 3 (103 papers); Fig. 1, by contrast, is drawn over the 88-paper primary-application corpus and excludes the 15 review-labelled papers, with the per-function reconciliation stated in that figure’s caption and in Table 3’s Reviews column. Because these shares are conditioned on the sampling quotas (Section 2.3), the quota-free eligible pool provides the check. Its query-theme tags (their derivation, lenient validation, and untagged-record counts are disclosed in Section 2.3) give health estimation 158, state estimation 133, prognostics 103, thermal management 99, fault and safety 96, charging control 64, and cell balancing 38 of 799 records. Together, the three estimation functions tag 366 of the 799 records (45.8%) — the union share behind the ‘about half’ phrasing used in the Conclusion; the per-tag figures remain ordering indicators rather than exact rates (Section 2.3). The pool confirms the same ordering at the top: the health-prognostics complex dominates, consistent with the commercial pull of lifetime prediction for warranties and second-life markets. It also confirms the same floor — balancing is the smallest core function at pool level as well as in the subset, so its thin representation is a property of the retrieved literature rather than an artifact of the quotas, and ML has so far contributed mainly at the level of pack-level insight rather than as a balancing controller — the corpus’s most-cited balancing-related result is a single contrarian study reporting that routine balancing can be dispensed with in well-managed packs, reducing hazardous lithium-plating side reactions </w:t>
      </w:r>
      <w:r>
        <w:rPr>
          <w:rFonts w:ascii="Times New Roman" w:hAnsi="Times New Roman"/>
          <w:sz w:val="20"/>
        </w:rPr>
        <w:t>[31]</w:t>
      </w:r>
      <w:r>
        <w:rPr>
          <w:rFonts w:ascii="Times New Roman" w:hAnsi="Times New Roman"/>
          <w:b w:val="0"/>
          <w:i w:val="0"/>
          <w:sz w:val="20"/>
        </w:rPr>
        <w:t xml:space="preserve"> — reproduced here as one study’s claim, not as an established result. Thermal management, by contrast, is not scarce at pool level (99 tagged records, comparable to fault and safety): the subset’s small thermal count reflects the coding scheme — thermal-runaway papers are coded under fault and safety — and the curation quotas, not field scarcity; the genuine thermal deficit is evidential rather than topical, since no subset paper yet closes the thermal control loop on hardware (Section 7.1).</w:t>
      </w:r>
    </w:p>
    <w:p>
      <w:pPr>
        <w:keepNext/>
        <w:spacing w:after="80"/>
        <w:jc w:val="left"/>
      </w:pPr>
      <w:r>
        <w:rPr>
          <w:rFonts w:ascii="Times New Roman" w:hAnsi="Times New Roman"/>
          <w:b w:val="0"/>
          <w:i w:val="0"/>
          <w:sz w:val="18"/>
        </w:rPr>
        <w:t>Table 3 Corpus composition: management function by publication year. The Reviews column counts the 12 method-family reviews plus the 3 review-type syntheses coded under their dominant method family; Primary = Total − Reviews is the 88-paper primary-application count used in Fig. 1.</w:t>
      </w:r>
    </w:p>
    <w:tbl>
      <w:tblPr>
        <w:tblStyle w:val="TableGrid"/>
        <w:tblW w:type="auto" w:w="0"/>
        <w:jc w:val="center"/>
        <w:tblLayout w:type="fixed"/>
        <w:tblLook w:firstColumn="1" w:firstRow="1" w:lastColumn="0" w:lastRow="0" w:noHBand="0" w:noVBand="1" w:val="04A0"/>
        <w:tblLayout w:type="fixed"/>
      </w:tblPr>
      <w:tblGrid>
        <w:gridCol w:w="2160"/>
        <w:gridCol w:w="518"/>
        <w:gridCol w:w="518"/>
        <w:gridCol w:w="518"/>
        <w:gridCol w:w="518"/>
        <w:gridCol w:w="518"/>
        <w:gridCol w:w="518"/>
        <w:gridCol w:w="518"/>
        <w:gridCol w:w="518"/>
        <w:gridCol w:w="648"/>
        <w:gridCol w:w="1036"/>
        <w:gridCol w:w="979"/>
      </w:tblGrid>
      <w:tr>
        <w:trPr>
          <w:cantSplit/>
          <w:tblHeader/>
        </w:trPr>
        <w:tc>
          <w:tcPr>
            <w:tcW w:type="dxa" w:w="2160"/>
          </w:tcPr>
          <w:p>
            <w:pPr>
              <w:jc w:val="center"/>
            </w:pPr>
            <w:r/>
            <w:r>
              <w:rPr>
                <w:rFonts w:ascii="Times New Roman" w:hAnsi="Times New Roman"/>
                <w:b/>
                <w:sz w:val="17"/>
              </w:rPr>
              <w:t>Function</w:t>
            </w:r>
          </w:p>
        </w:tc>
        <w:tc>
          <w:tcPr>
            <w:tcW w:type="dxa" w:w="518"/>
          </w:tcPr>
          <w:p>
            <w:pPr>
              <w:jc w:val="center"/>
            </w:pPr>
            <w:r/>
            <w:r>
              <w:rPr>
                <w:rFonts w:ascii="Times New Roman" w:hAnsi="Times New Roman"/>
                <w:b/>
                <w:sz w:val="17"/>
              </w:rPr>
              <w:t>'19</w:t>
            </w:r>
          </w:p>
        </w:tc>
        <w:tc>
          <w:tcPr>
            <w:tcW w:type="dxa" w:w="518"/>
          </w:tcPr>
          <w:p>
            <w:pPr>
              <w:jc w:val="center"/>
            </w:pPr>
            <w:r/>
            <w:r>
              <w:rPr>
                <w:rFonts w:ascii="Times New Roman" w:hAnsi="Times New Roman"/>
                <w:b/>
                <w:sz w:val="17"/>
              </w:rPr>
              <w:t>'20</w:t>
            </w:r>
          </w:p>
        </w:tc>
        <w:tc>
          <w:tcPr>
            <w:tcW w:type="dxa" w:w="518"/>
          </w:tcPr>
          <w:p>
            <w:pPr>
              <w:jc w:val="center"/>
            </w:pPr>
            <w:r/>
            <w:r>
              <w:rPr>
                <w:rFonts w:ascii="Times New Roman" w:hAnsi="Times New Roman"/>
                <w:b/>
                <w:sz w:val="17"/>
              </w:rPr>
              <w:t>'21</w:t>
            </w:r>
          </w:p>
        </w:tc>
        <w:tc>
          <w:tcPr>
            <w:tcW w:type="dxa" w:w="518"/>
          </w:tcPr>
          <w:p>
            <w:pPr>
              <w:jc w:val="center"/>
            </w:pPr>
            <w:r/>
            <w:r>
              <w:rPr>
                <w:rFonts w:ascii="Times New Roman" w:hAnsi="Times New Roman"/>
                <w:b/>
                <w:sz w:val="17"/>
              </w:rPr>
              <w:t>'22</w:t>
            </w:r>
          </w:p>
        </w:tc>
        <w:tc>
          <w:tcPr>
            <w:tcW w:type="dxa" w:w="518"/>
          </w:tcPr>
          <w:p>
            <w:pPr>
              <w:jc w:val="center"/>
            </w:pPr>
            <w:r/>
            <w:r>
              <w:rPr>
                <w:rFonts w:ascii="Times New Roman" w:hAnsi="Times New Roman"/>
                <w:b/>
                <w:sz w:val="17"/>
              </w:rPr>
              <w:t>'23</w:t>
            </w:r>
          </w:p>
        </w:tc>
        <w:tc>
          <w:tcPr>
            <w:tcW w:type="dxa" w:w="518"/>
          </w:tcPr>
          <w:p>
            <w:pPr>
              <w:jc w:val="center"/>
            </w:pPr>
            <w:r/>
            <w:r>
              <w:rPr>
                <w:rFonts w:ascii="Times New Roman" w:hAnsi="Times New Roman"/>
                <w:b/>
                <w:sz w:val="17"/>
              </w:rPr>
              <w:t>'24</w:t>
            </w:r>
          </w:p>
        </w:tc>
        <w:tc>
          <w:tcPr>
            <w:tcW w:type="dxa" w:w="518"/>
          </w:tcPr>
          <w:p>
            <w:pPr>
              <w:jc w:val="center"/>
            </w:pPr>
            <w:r/>
            <w:r>
              <w:rPr>
                <w:rFonts w:ascii="Times New Roman" w:hAnsi="Times New Roman"/>
                <w:b/>
                <w:sz w:val="17"/>
              </w:rPr>
              <w:t>'25</w:t>
            </w:r>
          </w:p>
        </w:tc>
        <w:tc>
          <w:tcPr>
            <w:tcW w:type="dxa" w:w="518"/>
          </w:tcPr>
          <w:p>
            <w:pPr>
              <w:jc w:val="center"/>
            </w:pPr>
            <w:r/>
            <w:r>
              <w:rPr>
                <w:rFonts w:ascii="Times New Roman" w:hAnsi="Times New Roman"/>
                <w:b/>
                <w:sz w:val="17"/>
              </w:rPr>
              <w:t>'26</w:t>
            </w:r>
          </w:p>
        </w:tc>
        <w:tc>
          <w:tcPr>
            <w:tcW w:type="dxa" w:w="648"/>
          </w:tcPr>
          <w:p>
            <w:pPr>
              <w:jc w:val="center"/>
            </w:pPr>
            <w:r/>
            <w:r>
              <w:rPr>
                <w:rFonts w:ascii="Times New Roman" w:hAnsi="Times New Roman"/>
                <w:b/>
                <w:sz w:val="17"/>
              </w:rPr>
              <w:t>Total</w:t>
            </w:r>
          </w:p>
        </w:tc>
        <w:tc>
          <w:tcPr>
            <w:tcW w:type="dxa" w:w="1037"/>
          </w:tcPr>
          <w:p>
            <w:pPr>
              <w:jc w:val="center"/>
            </w:pPr>
            <w:r/>
            <w:r>
              <w:rPr>
                <w:rFonts w:ascii="Times New Roman" w:hAnsi="Times New Roman"/>
                <w:b/>
                <w:sz w:val="17"/>
              </w:rPr>
              <w:t>Reviews</w:t>
            </w:r>
          </w:p>
        </w:tc>
        <w:tc>
          <w:tcPr>
            <w:tcW w:type="dxa" w:w="979"/>
          </w:tcPr>
          <w:p>
            <w:pPr>
              <w:jc w:val="center"/>
            </w:pPr>
            <w:r/>
            <w:r>
              <w:rPr>
                <w:rFonts w:ascii="Times New Roman" w:hAnsi="Times New Roman"/>
                <w:b/>
                <w:sz w:val="17"/>
              </w:rPr>
              <w:t>Primary</w:t>
            </w:r>
          </w:p>
        </w:tc>
      </w:tr>
      <w:tr>
        <w:trPr>
          <w:cantSplit/>
        </w:trPr>
        <w:tc>
          <w:tcPr>
            <w:tcW w:type="dxa" w:w="2160"/>
          </w:tcPr>
          <w:p>
            <w:pPr>
              <w:jc w:val="left"/>
            </w:pPr>
            <w:r/>
            <w:r>
              <w:rPr>
                <w:rFonts w:ascii="Times New Roman" w:hAnsi="Times New Roman"/>
                <w:b w:val="0"/>
                <w:i w:val="0"/>
                <w:sz w:val="17"/>
              </w:rPr>
              <w:t>Cell balancing &amp; ECM</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648"/>
          </w:tcPr>
          <w:p>
            <w:pPr>
              <w:jc w:val="center"/>
            </w:pPr>
            <w:r/>
            <w:r>
              <w:rPr>
                <w:rFonts w:ascii="Times New Roman" w:hAnsi="Times New Roman"/>
                <w:b w:val="0"/>
                <w:i w:val="0"/>
                <w:sz w:val="17"/>
              </w:rPr>
              <w:t>2</w:t>
            </w:r>
          </w:p>
        </w:tc>
        <w:tc>
          <w:tcPr>
            <w:tcW w:type="dxa" w:w="1037"/>
          </w:tcPr>
          <w:p>
            <w:pPr>
              <w:jc w:val="center"/>
            </w:pPr>
            <w:r/>
            <w:r>
              <w:rPr>
                <w:rFonts w:ascii="Times New Roman" w:hAnsi="Times New Roman"/>
                <w:b w:val="0"/>
                <w:i w:val="0"/>
                <w:sz w:val="17"/>
              </w:rPr>
              <w:t>0</w:t>
            </w:r>
          </w:p>
        </w:tc>
        <w:tc>
          <w:tcPr>
            <w:tcW w:type="dxa" w:w="979"/>
          </w:tcPr>
          <w:p>
            <w:pPr>
              <w:jc w:val="center"/>
            </w:pPr>
            <w:r/>
            <w:r>
              <w:rPr>
                <w:rFonts w:ascii="Times New Roman" w:hAnsi="Times New Roman"/>
                <w:b w:val="0"/>
                <w:i w:val="0"/>
                <w:sz w:val="17"/>
              </w:rPr>
              <w:t>2</w:t>
            </w:r>
          </w:p>
        </w:tc>
      </w:tr>
      <w:tr>
        <w:trPr>
          <w:cantSplit/>
        </w:trPr>
        <w:tc>
          <w:tcPr>
            <w:tcW w:type="dxa" w:w="2160"/>
          </w:tcPr>
          <w:p>
            <w:pPr>
              <w:jc w:val="left"/>
            </w:pPr>
            <w:r/>
            <w:r>
              <w:rPr>
                <w:rFonts w:ascii="Times New Roman" w:hAnsi="Times New Roman"/>
                <w:b w:val="0"/>
                <w:i w:val="0"/>
                <w:sz w:val="17"/>
              </w:rPr>
              <w:t>Charging control</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0</w:t>
            </w:r>
          </w:p>
        </w:tc>
        <w:tc>
          <w:tcPr>
            <w:tcW w:type="dxa" w:w="648"/>
          </w:tcPr>
          <w:p>
            <w:pPr>
              <w:jc w:val="center"/>
            </w:pPr>
            <w:r/>
            <w:r>
              <w:rPr>
                <w:rFonts w:ascii="Times New Roman" w:hAnsi="Times New Roman"/>
                <w:b w:val="0"/>
                <w:i w:val="0"/>
                <w:sz w:val="17"/>
              </w:rPr>
              <w:t>8</w:t>
            </w:r>
          </w:p>
        </w:tc>
        <w:tc>
          <w:tcPr>
            <w:tcW w:type="dxa" w:w="1037"/>
          </w:tcPr>
          <w:p>
            <w:pPr>
              <w:jc w:val="center"/>
            </w:pPr>
            <w:r/>
            <w:r>
              <w:rPr>
                <w:rFonts w:ascii="Times New Roman" w:hAnsi="Times New Roman"/>
                <w:b w:val="0"/>
                <w:i w:val="0"/>
                <w:sz w:val="17"/>
              </w:rPr>
              <w:t>0</w:t>
            </w:r>
          </w:p>
        </w:tc>
        <w:tc>
          <w:tcPr>
            <w:tcW w:type="dxa" w:w="979"/>
          </w:tcPr>
          <w:p>
            <w:pPr>
              <w:jc w:val="center"/>
            </w:pPr>
            <w:r/>
            <w:r>
              <w:rPr>
                <w:rFonts w:ascii="Times New Roman" w:hAnsi="Times New Roman"/>
                <w:b w:val="0"/>
                <w:i w:val="0"/>
                <w:sz w:val="17"/>
              </w:rPr>
              <w:t>8</w:t>
            </w:r>
          </w:p>
        </w:tc>
      </w:tr>
      <w:tr>
        <w:trPr>
          <w:cantSplit/>
        </w:trPr>
        <w:tc>
          <w:tcPr>
            <w:tcW w:type="dxa" w:w="2160"/>
          </w:tcPr>
          <w:p>
            <w:pPr>
              <w:jc w:val="left"/>
            </w:pPr>
            <w:r/>
            <w:r>
              <w:rPr>
                <w:rFonts w:ascii="Times New Roman" w:hAnsi="Times New Roman"/>
                <w:b w:val="0"/>
                <w:i w:val="0"/>
                <w:sz w:val="17"/>
              </w:rPr>
              <w:t>Cross-cutting</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6</w:t>
            </w:r>
          </w:p>
        </w:tc>
        <w:tc>
          <w:tcPr>
            <w:tcW w:type="dxa" w:w="518"/>
          </w:tcPr>
          <w:p>
            <w:pPr>
              <w:jc w:val="center"/>
            </w:pPr>
            <w:r/>
            <w:r>
              <w:rPr>
                <w:rFonts w:ascii="Times New Roman" w:hAnsi="Times New Roman"/>
                <w:b w:val="0"/>
                <w:i w:val="0"/>
                <w:sz w:val="17"/>
              </w:rPr>
              <w:t>8</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4</w:t>
            </w:r>
          </w:p>
        </w:tc>
        <w:tc>
          <w:tcPr>
            <w:tcW w:type="dxa" w:w="648"/>
          </w:tcPr>
          <w:p>
            <w:pPr>
              <w:jc w:val="center"/>
            </w:pPr>
            <w:r/>
            <w:r>
              <w:rPr>
                <w:rFonts w:ascii="Times New Roman" w:hAnsi="Times New Roman"/>
                <w:b w:val="0"/>
                <w:i w:val="0"/>
                <w:sz w:val="17"/>
              </w:rPr>
              <w:t>24</w:t>
            </w:r>
          </w:p>
        </w:tc>
        <w:tc>
          <w:tcPr>
            <w:tcW w:type="dxa" w:w="1037"/>
          </w:tcPr>
          <w:p>
            <w:pPr>
              <w:jc w:val="center"/>
            </w:pPr>
            <w:r/>
            <w:r>
              <w:rPr>
                <w:rFonts w:ascii="Times New Roman" w:hAnsi="Times New Roman"/>
                <w:b w:val="0"/>
                <w:i w:val="0"/>
                <w:sz w:val="17"/>
              </w:rPr>
              <w:t>5</w:t>
            </w:r>
          </w:p>
        </w:tc>
        <w:tc>
          <w:tcPr>
            <w:tcW w:type="dxa" w:w="979"/>
          </w:tcPr>
          <w:p>
            <w:pPr>
              <w:jc w:val="center"/>
            </w:pPr>
            <w:r/>
            <w:r>
              <w:rPr>
                <w:rFonts w:ascii="Times New Roman" w:hAnsi="Times New Roman"/>
                <w:b w:val="0"/>
                <w:i w:val="0"/>
                <w:sz w:val="17"/>
              </w:rPr>
              <w:t>19</w:t>
            </w:r>
          </w:p>
        </w:tc>
      </w:tr>
      <w:tr>
        <w:trPr>
          <w:cantSplit/>
        </w:trPr>
        <w:tc>
          <w:tcPr>
            <w:tcW w:type="dxa" w:w="2160"/>
          </w:tcPr>
          <w:p>
            <w:pPr>
              <w:jc w:val="left"/>
            </w:pPr>
            <w:r/>
            <w:r>
              <w:rPr>
                <w:rFonts w:ascii="Times New Roman" w:hAnsi="Times New Roman"/>
                <w:b w:val="0"/>
                <w:i w:val="0"/>
                <w:sz w:val="17"/>
              </w:rPr>
              <w:t>Fault &amp; safety</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0</w:t>
            </w:r>
          </w:p>
        </w:tc>
        <w:tc>
          <w:tcPr>
            <w:tcW w:type="dxa" w:w="648"/>
          </w:tcPr>
          <w:p>
            <w:pPr>
              <w:jc w:val="center"/>
            </w:pPr>
            <w:r/>
            <w:r>
              <w:rPr>
                <w:rFonts w:ascii="Times New Roman" w:hAnsi="Times New Roman"/>
                <w:b w:val="0"/>
                <w:i w:val="0"/>
                <w:sz w:val="17"/>
              </w:rPr>
              <w:t>9</w:t>
            </w:r>
          </w:p>
        </w:tc>
        <w:tc>
          <w:tcPr>
            <w:tcW w:type="dxa" w:w="1037"/>
          </w:tcPr>
          <w:p>
            <w:pPr>
              <w:jc w:val="center"/>
            </w:pPr>
            <w:r/>
            <w:r>
              <w:rPr>
                <w:rFonts w:ascii="Times New Roman" w:hAnsi="Times New Roman"/>
                <w:b w:val="0"/>
                <w:i w:val="0"/>
                <w:sz w:val="17"/>
              </w:rPr>
              <w:t>2</w:t>
            </w:r>
          </w:p>
        </w:tc>
        <w:tc>
          <w:tcPr>
            <w:tcW w:type="dxa" w:w="979"/>
          </w:tcPr>
          <w:p>
            <w:pPr>
              <w:jc w:val="center"/>
            </w:pPr>
            <w:r/>
            <w:r>
              <w:rPr>
                <w:rFonts w:ascii="Times New Roman" w:hAnsi="Times New Roman"/>
                <w:b w:val="0"/>
                <w:i w:val="0"/>
                <w:sz w:val="17"/>
              </w:rPr>
              <w:t>7</w:t>
            </w:r>
          </w:p>
        </w:tc>
      </w:tr>
      <w:tr>
        <w:trPr>
          <w:cantSplit/>
        </w:trPr>
        <w:tc>
          <w:tcPr>
            <w:tcW w:type="dxa" w:w="2160"/>
          </w:tcPr>
          <w:p>
            <w:pPr>
              <w:jc w:val="left"/>
            </w:pPr>
            <w:r/>
            <w:r>
              <w:rPr>
                <w:rFonts w:ascii="Times New Roman" w:hAnsi="Times New Roman"/>
                <w:b w:val="0"/>
                <w:i w:val="0"/>
                <w:sz w:val="17"/>
              </w:rPr>
              <w:t>Health estimation (SOH)</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4</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4</w:t>
            </w:r>
          </w:p>
        </w:tc>
        <w:tc>
          <w:tcPr>
            <w:tcW w:type="dxa" w:w="518"/>
          </w:tcPr>
          <w:p>
            <w:pPr>
              <w:jc w:val="center"/>
            </w:pPr>
            <w:r/>
            <w:r>
              <w:rPr>
                <w:rFonts w:ascii="Times New Roman" w:hAnsi="Times New Roman"/>
                <w:b w:val="0"/>
                <w:i w:val="0"/>
                <w:sz w:val="17"/>
              </w:rPr>
              <w:t>2</w:t>
            </w:r>
          </w:p>
        </w:tc>
        <w:tc>
          <w:tcPr>
            <w:tcW w:type="dxa" w:w="648"/>
          </w:tcPr>
          <w:p>
            <w:pPr>
              <w:jc w:val="center"/>
            </w:pPr>
            <w:r/>
            <w:r>
              <w:rPr>
                <w:rFonts w:ascii="Times New Roman" w:hAnsi="Times New Roman"/>
                <w:b w:val="0"/>
                <w:i w:val="0"/>
                <w:sz w:val="17"/>
              </w:rPr>
              <w:t>20</w:t>
            </w:r>
          </w:p>
        </w:tc>
        <w:tc>
          <w:tcPr>
            <w:tcW w:type="dxa" w:w="1037"/>
          </w:tcPr>
          <w:p>
            <w:pPr>
              <w:jc w:val="center"/>
            </w:pPr>
            <w:r/>
            <w:r>
              <w:rPr>
                <w:rFonts w:ascii="Times New Roman" w:hAnsi="Times New Roman"/>
                <w:b w:val="0"/>
                <w:i w:val="0"/>
                <w:sz w:val="17"/>
              </w:rPr>
              <w:t>1</w:t>
            </w:r>
          </w:p>
        </w:tc>
        <w:tc>
          <w:tcPr>
            <w:tcW w:type="dxa" w:w="979"/>
          </w:tcPr>
          <w:p>
            <w:pPr>
              <w:jc w:val="center"/>
            </w:pPr>
            <w:r/>
            <w:r>
              <w:rPr>
                <w:rFonts w:ascii="Times New Roman" w:hAnsi="Times New Roman"/>
                <w:b w:val="0"/>
                <w:i w:val="0"/>
                <w:sz w:val="17"/>
              </w:rPr>
              <w:t>19</w:t>
            </w:r>
          </w:p>
        </w:tc>
      </w:tr>
      <w:tr>
        <w:trPr>
          <w:cantSplit/>
        </w:trPr>
        <w:tc>
          <w:tcPr>
            <w:tcW w:type="dxa" w:w="2160"/>
          </w:tcPr>
          <w:p>
            <w:pPr>
              <w:jc w:val="left"/>
            </w:pPr>
            <w:r/>
            <w:r>
              <w:rPr>
                <w:rFonts w:ascii="Times New Roman" w:hAnsi="Times New Roman"/>
                <w:b w:val="0"/>
                <w:i w:val="0"/>
                <w:sz w:val="17"/>
              </w:rPr>
              <w:t>Prognostics (RUL)</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6</w:t>
            </w:r>
          </w:p>
        </w:tc>
        <w:tc>
          <w:tcPr>
            <w:tcW w:type="dxa" w:w="518"/>
          </w:tcPr>
          <w:p>
            <w:pPr>
              <w:jc w:val="center"/>
            </w:pPr>
            <w:r/>
            <w:r>
              <w:rPr>
                <w:rFonts w:ascii="Times New Roman" w:hAnsi="Times New Roman"/>
                <w:b w:val="0"/>
                <w:i w:val="0"/>
                <w:sz w:val="17"/>
              </w:rPr>
              <w:t>0</w:t>
            </w:r>
          </w:p>
        </w:tc>
        <w:tc>
          <w:tcPr>
            <w:tcW w:type="dxa" w:w="648"/>
          </w:tcPr>
          <w:p>
            <w:pPr>
              <w:jc w:val="center"/>
            </w:pPr>
            <w:r/>
            <w:r>
              <w:rPr>
                <w:rFonts w:ascii="Times New Roman" w:hAnsi="Times New Roman"/>
                <w:b w:val="0"/>
                <w:i w:val="0"/>
                <w:sz w:val="17"/>
              </w:rPr>
              <w:t>15</w:t>
            </w:r>
          </w:p>
        </w:tc>
        <w:tc>
          <w:tcPr>
            <w:tcW w:type="dxa" w:w="1037"/>
          </w:tcPr>
          <w:p>
            <w:pPr>
              <w:jc w:val="center"/>
            </w:pPr>
            <w:r/>
            <w:r>
              <w:rPr>
                <w:rFonts w:ascii="Times New Roman" w:hAnsi="Times New Roman"/>
                <w:b w:val="0"/>
                <w:i w:val="0"/>
                <w:sz w:val="17"/>
              </w:rPr>
              <w:t>2</w:t>
            </w:r>
          </w:p>
        </w:tc>
        <w:tc>
          <w:tcPr>
            <w:tcW w:type="dxa" w:w="979"/>
          </w:tcPr>
          <w:p>
            <w:pPr>
              <w:jc w:val="center"/>
            </w:pPr>
            <w:r/>
            <w:r>
              <w:rPr>
                <w:rFonts w:ascii="Times New Roman" w:hAnsi="Times New Roman"/>
                <w:b w:val="0"/>
                <w:i w:val="0"/>
                <w:sz w:val="17"/>
              </w:rPr>
              <w:t>13</w:t>
            </w:r>
          </w:p>
        </w:tc>
      </w:tr>
      <w:tr>
        <w:trPr>
          <w:cantSplit/>
        </w:trPr>
        <w:tc>
          <w:tcPr>
            <w:tcW w:type="dxa" w:w="2160"/>
          </w:tcPr>
          <w:p>
            <w:pPr>
              <w:jc w:val="left"/>
            </w:pPr>
            <w:r/>
            <w:r>
              <w:rPr>
                <w:rFonts w:ascii="Times New Roman" w:hAnsi="Times New Roman"/>
                <w:b w:val="0"/>
                <w:i w:val="0"/>
                <w:sz w:val="17"/>
              </w:rPr>
              <w:t>State estimation (SOC)</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4</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5</w:t>
            </w:r>
          </w:p>
        </w:tc>
        <w:tc>
          <w:tcPr>
            <w:tcW w:type="dxa" w:w="518"/>
          </w:tcPr>
          <w:p>
            <w:pPr>
              <w:jc w:val="center"/>
            </w:pPr>
            <w:r/>
            <w:r>
              <w:rPr>
                <w:rFonts w:ascii="Times New Roman" w:hAnsi="Times New Roman"/>
                <w:b w:val="0"/>
                <w:i w:val="0"/>
                <w:sz w:val="17"/>
              </w:rPr>
              <w:t>2</w:t>
            </w:r>
          </w:p>
        </w:tc>
        <w:tc>
          <w:tcPr>
            <w:tcW w:type="dxa" w:w="518"/>
          </w:tcPr>
          <w:p>
            <w:pPr>
              <w:jc w:val="center"/>
            </w:pPr>
            <w:r/>
            <w:r>
              <w:rPr>
                <w:rFonts w:ascii="Times New Roman" w:hAnsi="Times New Roman"/>
                <w:b w:val="0"/>
                <w:i w:val="0"/>
                <w:sz w:val="17"/>
              </w:rPr>
              <w:t>0</w:t>
            </w:r>
          </w:p>
        </w:tc>
        <w:tc>
          <w:tcPr>
            <w:tcW w:type="dxa" w:w="648"/>
          </w:tcPr>
          <w:p>
            <w:pPr>
              <w:jc w:val="center"/>
            </w:pPr>
            <w:r/>
            <w:r>
              <w:rPr>
                <w:rFonts w:ascii="Times New Roman" w:hAnsi="Times New Roman"/>
                <w:b w:val="0"/>
                <w:i w:val="0"/>
                <w:sz w:val="17"/>
              </w:rPr>
              <w:t>17</w:t>
            </w:r>
          </w:p>
        </w:tc>
        <w:tc>
          <w:tcPr>
            <w:tcW w:type="dxa" w:w="1037"/>
          </w:tcPr>
          <w:p>
            <w:pPr>
              <w:jc w:val="center"/>
            </w:pPr>
            <w:r/>
            <w:r>
              <w:rPr>
                <w:rFonts w:ascii="Times New Roman" w:hAnsi="Times New Roman"/>
                <w:b w:val="0"/>
                <w:i w:val="0"/>
                <w:sz w:val="17"/>
              </w:rPr>
              <w:t>4</w:t>
            </w:r>
          </w:p>
        </w:tc>
        <w:tc>
          <w:tcPr>
            <w:tcW w:type="dxa" w:w="979"/>
          </w:tcPr>
          <w:p>
            <w:pPr>
              <w:jc w:val="center"/>
            </w:pPr>
            <w:r/>
            <w:r>
              <w:rPr>
                <w:rFonts w:ascii="Times New Roman" w:hAnsi="Times New Roman"/>
                <w:b w:val="0"/>
                <w:i w:val="0"/>
                <w:sz w:val="17"/>
              </w:rPr>
              <w:t>13</w:t>
            </w:r>
          </w:p>
        </w:tc>
      </w:tr>
      <w:tr>
        <w:trPr>
          <w:cantSplit/>
        </w:trPr>
        <w:tc>
          <w:tcPr>
            <w:tcW w:type="dxa" w:w="2160"/>
          </w:tcPr>
          <w:p>
            <w:pPr>
              <w:jc w:val="left"/>
            </w:pPr>
            <w:r/>
            <w:r>
              <w:rPr>
                <w:rFonts w:ascii="Times New Roman" w:hAnsi="Times New Roman"/>
                <w:b w:val="0"/>
                <w:i w:val="0"/>
                <w:sz w:val="17"/>
              </w:rPr>
              <w:t>Thermal management</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0</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3</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1</w:t>
            </w:r>
          </w:p>
        </w:tc>
        <w:tc>
          <w:tcPr>
            <w:tcW w:type="dxa" w:w="648"/>
          </w:tcPr>
          <w:p>
            <w:pPr>
              <w:jc w:val="center"/>
            </w:pPr>
            <w:r/>
            <w:r>
              <w:rPr>
                <w:rFonts w:ascii="Times New Roman" w:hAnsi="Times New Roman"/>
                <w:b w:val="0"/>
                <w:i w:val="0"/>
                <w:sz w:val="17"/>
              </w:rPr>
              <w:t>8</w:t>
            </w:r>
          </w:p>
        </w:tc>
        <w:tc>
          <w:tcPr>
            <w:tcW w:type="dxa" w:w="1037"/>
          </w:tcPr>
          <w:p>
            <w:pPr>
              <w:jc w:val="center"/>
            </w:pPr>
            <w:r/>
            <w:r>
              <w:rPr>
                <w:rFonts w:ascii="Times New Roman" w:hAnsi="Times New Roman"/>
                <w:b w:val="0"/>
                <w:i w:val="0"/>
                <w:sz w:val="17"/>
              </w:rPr>
              <w:t>1</w:t>
            </w:r>
          </w:p>
        </w:tc>
        <w:tc>
          <w:tcPr>
            <w:tcW w:type="dxa" w:w="979"/>
          </w:tcPr>
          <w:p>
            <w:pPr>
              <w:jc w:val="center"/>
            </w:pPr>
            <w:r/>
            <w:r>
              <w:rPr>
                <w:rFonts w:ascii="Times New Roman" w:hAnsi="Times New Roman"/>
                <w:b w:val="0"/>
                <w:i w:val="0"/>
                <w:sz w:val="17"/>
              </w:rPr>
              <w:t>7</w:t>
            </w:r>
          </w:p>
        </w:tc>
      </w:tr>
      <w:tr>
        <w:trPr>
          <w:cantSplit/>
        </w:trPr>
        <w:tc>
          <w:tcPr>
            <w:tcW w:type="dxa" w:w="2160"/>
          </w:tcPr>
          <w:p>
            <w:pPr>
              <w:jc w:val="left"/>
            </w:pPr>
            <w:r/>
            <w:r>
              <w:rPr>
                <w:rFonts w:ascii="Times New Roman" w:hAnsi="Times New Roman"/>
                <w:b w:val="0"/>
                <w:i w:val="0"/>
                <w:sz w:val="17"/>
              </w:rPr>
              <w:t>Total</w:t>
            </w:r>
          </w:p>
        </w:tc>
        <w:tc>
          <w:tcPr>
            <w:tcW w:type="dxa" w:w="518"/>
          </w:tcPr>
          <w:p>
            <w:pPr>
              <w:jc w:val="center"/>
            </w:pPr>
            <w:r/>
            <w:r>
              <w:rPr>
                <w:rFonts w:ascii="Times New Roman" w:hAnsi="Times New Roman"/>
                <w:b w:val="0"/>
                <w:i w:val="0"/>
                <w:sz w:val="17"/>
              </w:rPr>
              <w:t>1</w:t>
            </w:r>
          </w:p>
        </w:tc>
        <w:tc>
          <w:tcPr>
            <w:tcW w:type="dxa" w:w="518"/>
          </w:tcPr>
          <w:p>
            <w:pPr>
              <w:jc w:val="center"/>
            </w:pPr>
            <w:r/>
            <w:r>
              <w:rPr>
                <w:rFonts w:ascii="Times New Roman" w:hAnsi="Times New Roman"/>
                <w:b w:val="0"/>
                <w:i w:val="0"/>
                <w:sz w:val="17"/>
              </w:rPr>
              <w:t>9</w:t>
            </w:r>
          </w:p>
        </w:tc>
        <w:tc>
          <w:tcPr>
            <w:tcW w:type="dxa" w:w="518"/>
          </w:tcPr>
          <w:p>
            <w:pPr>
              <w:jc w:val="center"/>
            </w:pPr>
            <w:r/>
            <w:r>
              <w:rPr>
                <w:rFonts w:ascii="Times New Roman" w:hAnsi="Times New Roman"/>
                <w:b w:val="0"/>
                <w:i w:val="0"/>
                <w:sz w:val="17"/>
              </w:rPr>
              <w:t>13</w:t>
            </w:r>
          </w:p>
        </w:tc>
        <w:tc>
          <w:tcPr>
            <w:tcW w:type="dxa" w:w="518"/>
          </w:tcPr>
          <w:p>
            <w:pPr>
              <w:jc w:val="center"/>
            </w:pPr>
            <w:r/>
            <w:r>
              <w:rPr>
                <w:rFonts w:ascii="Times New Roman" w:hAnsi="Times New Roman"/>
                <w:b w:val="0"/>
                <w:i w:val="0"/>
                <w:sz w:val="17"/>
              </w:rPr>
              <w:t>13</w:t>
            </w:r>
          </w:p>
        </w:tc>
        <w:tc>
          <w:tcPr>
            <w:tcW w:type="dxa" w:w="518"/>
          </w:tcPr>
          <w:p>
            <w:pPr>
              <w:jc w:val="center"/>
            </w:pPr>
            <w:r/>
            <w:r>
              <w:rPr>
                <w:rFonts w:ascii="Times New Roman" w:hAnsi="Times New Roman"/>
                <w:b w:val="0"/>
                <w:i w:val="0"/>
                <w:sz w:val="17"/>
              </w:rPr>
              <w:t>22</w:t>
            </w:r>
          </w:p>
        </w:tc>
        <w:tc>
          <w:tcPr>
            <w:tcW w:type="dxa" w:w="518"/>
          </w:tcPr>
          <w:p>
            <w:pPr>
              <w:jc w:val="center"/>
            </w:pPr>
            <w:r/>
            <w:r>
              <w:rPr>
                <w:rFonts w:ascii="Times New Roman" w:hAnsi="Times New Roman"/>
                <w:b w:val="0"/>
                <w:i w:val="0"/>
                <w:sz w:val="17"/>
              </w:rPr>
              <w:t>20</w:t>
            </w:r>
          </w:p>
        </w:tc>
        <w:tc>
          <w:tcPr>
            <w:tcW w:type="dxa" w:w="518"/>
          </w:tcPr>
          <w:p>
            <w:pPr>
              <w:jc w:val="center"/>
            </w:pPr>
            <w:r/>
            <w:r>
              <w:rPr>
                <w:rFonts w:ascii="Times New Roman" w:hAnsi="Times New Roman"/>
                <w:b w:val="0"/>
                <w:i w:val="0"/>
                <w:sz w:val="17"/>
              </w:rPr>
              <w:t>18</w:t>
            </w:r>
          </w:p>
        </w:tc>
        <w:tc>
          <w:tcPr>
            <w:tcW w:type="dxa" w:w="518"/>
          </w:tcPr>
          <w:p>
            <w:pPr>
              <w:jc w:val="center"/>
            </w:pPr>
            <w:r/>
            <w:r>
              <w:rPr>
                <w:rFonts w:ascii="Times New Roman" w:hAnsi="Times New Roman"/>
                <w:b w:val="0"/>
                <w:i w:val="0"/>
                <w:sz w:val="17"/>
              </w:rPr>
              <w:t>7</w:t>
            </w:r>
          </w:p>
        </w:tc>
        <w:tc>
          <w:tcPr>
            <w:tcW w:type="dxa" w:w="648"/>
          </w:tcPr>
          <w:p>
            <w:pPr>
              <w:jc w:val="center"/>
            </w:pPr>
            <w:r/>
            <w:r>
              <w:rPr>
                <w:rFonts w:ascii="Times New Roman" w:hAnsi="Times New Roman"/>
                <w:b w:val="0"/>
                <w:i w:val="0"/>
                <w:sz w:val="17"/>
              </w:rPr>
              <w:t>103</w:t>
            </w:r>
          </w:p>
        </w:tc>
        <w:tc>
          <w:tcPr>
            <w:tcW w:type="dxa" w:w="1037"/>
          </w:tcPr>
          <w:p>
            <w:pPr>
              <w:jc w:val="center"/>
            </w:pPr>
            <w:r/>
            <w:r>
              <w:rPr>
                <w:rFonts w:ascii="Times New Roman" w:hAnsi="Times New Roman"/>
                <w:b w:val="0"/>
                <w:i w:val="0"/>
                <w:sz w:val="17"/>
              </w:rPr>
              <w:t>15</w:t>
            </w:r>
          </w:p>
        </w:tc>
        <w:tc>
          <w:tcPr>
            <w:tcW w:type="dxa" w:w="979"/>
          </w:tcPr>
          <w:p>
            <w:pPr>
              <w:jc w:val="center"/>
            </w:pPr>
            <w:r/>
            <w:r>
              <w:rPr>
                <w:rFonts w:ascii="Times New Roman" w:hAnsi="Times New Roman"/>
                <w:b w:val="0"/>
                <w:i w:val="0"/>
                <w:sz w:val="17"/>
              </w:rPr>
              <w:t>88</w:t>
            </w:r>
          </w:p>
        </w:tc>
      </w:tr>
    </w:tbl>
    <w:p>
      <w:pPr>
        <w:spacing w:after="120"/>
        <w:jc w:val="both"/>
      </w:pPr>
    </w:p>
    <w:p>
      <w:pPr>
        <w:spacing w:after="160"/>
        <w:jc w:val="both"/>
      </w:pPr>
      <w:r>
        <w:rPr>
          <w:rFonts w:ascii="Times New Roman" w:hAnsi="Times New Roman"/>
          <w:b w:val="0"/>
          <w:i w:val="0"/>
          <w:sz w:val="20"/>
        </w:rPr>
        <w:t>Chemistry and venue concentration complete the corpus profile. NMC-type cells anchor 54 of the 103 studies and LFP 15; the remainder split across LCO, lithium-metal, lithium–sulfur, mixed panels, and unspecified chemistries — a distribution that mirrors EV market share but leaves sodium-ion, solid-state, and high-temperature systems nearly absent from the ML-management literature. Venue concentration is equally marked: the Journal of Energy Storage (15 papers), Energy (13), and Applied Energy (9) head the corpus, with Journal of Power Sources, Energy Storage Materials, and Reliability Engineering &amp; System Safety following; IEEE venues account for 7 of the 103 papers, three of them in IEEE Transactions on Transportation Electrification. The pool shows the same shape — Journal of Energy Storage 103, Energy 61, and Batteries 45 of 799 records, with IEEE-prefixed venues at 9.0% — so for readers the practical consequence is that the ML-BMS literature’s center of gravity sits in energy-systems journals rather than in machine-learning venues: partly a statement about where this work is reviewed and indexed, and partly a Crossref-registry artifact (Section 2.2), rather than evidence about how impact is achieved in this field. A final measured cut matters specifically for readers working on transportation electrification: only about 2% of eligible records (n = 17) carry fleet- or cloud-orchestration-adjacent tags, and in the classified subset only 10 of the 88 primary papers use real vehicle or fleet data as their primary source, against 36 resting on laboratory cells. The classified literature is thus predominantly cell-level and laboratory-scale — one integration level below the pack- and vehicle-level questions that UN GTR 20, GB 38031, and ISO 26262 pose; Section 9.4 maps that mismatch requirement by requirement.</w:t>
      </w:r>
    </w:p>
    <w:p>
      <w:pPr>
        <w:keepNext/>
        <w:spacing w:after="80"/>
        <w:jc w:val="center"/>
      </w:pPr>
      <w:r>
        <w:drawing>
          <wp:inline xmlns:a="http://schemas.openxmlformats.org/drawingml/2006/main" xmlns:pic="http://schemas.openxmlformats.org/drawingml/2006/picture">
            <wp:extent cx="4480560" cy="2320290"/>
            <wp:docPr id="5" name="Picture 5"/>
            <wp:cNvGraphicFramePr>
              <a:graphicFrameLocks noChangeAspect="1"/>
            </wp:cNvGraphicFramePr>
            <a:graphic>
              <a:graphicData uri="http://schemas.openxmlformats.org/drawingml/2006/picture">
                <pic:pic>
                  <pic:nvPicPr>
                    <pic:cNvPr id="0" name="fig4_area_distribution.png"/>
                    <pic:cNvPicPr/>
                  </pic:nvPicPr>
                  <pic:blipFill>
                    <a:blip r:embed="rId13"/>
                    <a:stretch>
                      <a:fillRect/>
                    </a:stretch>
                  </pic:blipFill>
                  <pic:spPr>
                    <a:xfrm>
                      <a:off x="0" y="0"/>
                      <a:ext cx="4480560" cy="2320290"/>
                    </a:xfrm>
                    <a:prstGeom prst="rect"/>
                  </pic:spPr>
                </pic:pic>
              </a:graphicData>
            </a:graphic>
          </wp:inline>
        </w:drawing>
      </w:r>
    </w:p>
    <w:p>
      <w:pPr>
        <w:keepLines/>
        <w:spacing w:after="200"/>
        <w:jc w:val="both"/>
      </w:pPr>
      <w:r>
        <w:rPr>
          <w:rFonts w:ascii="Times New Roman" w:hAnsi="Times New Roman"/>
          <w:b w:val="0"/>
          <w:i w:val="0"/>
          <w:sz w:val="18"/>
        </w:rPr>
        <w:t>Fig. 5 Application-area distribution of the corpus (n = 103 classified studies; shares are conditioned by the Section 2.3 quotas — Box 1). The cross-cutting cluster includes reviews, physics-informed learning, interpretability, transfer learning, digital twins, cloud and fleet management, and foundation models.</w:t>
      </w:r>
    </w:p>
    <w:p>
      <w:pPr>
        <w:keepNext/>
        <w:spacing w:after="80"/>
        <w:jc w:val="left"/>
      </w:pPr>
      <w:r>
        <w:rPr>
          <w:rFonts w:ascii="Times New Roman" w:hAnsi="Times New Roman"/>
          <w:b/>
          <w:i w:val="0"/>
          <w:sz w:val="20"/>
        </w:rPr>
        <w:t>3.4 Data landscape and validation practice</w:t>
      </w:r>
    </w:p>
    <w:p>
      <w:pPr>
        <w:spacing w:after="160"/>
        <w:jc w:val="both"/>
      </w:pPr>
      <w:r>
        <w:rPr>
          <w:rFonts w:ascii="Times New Roman" w:hAnsi="Times New Roman"/>
          <w:b w:val="0"/>
          <w:i w:val="0"/>
          <w:sz w:val="20"/>
        </w:rPr>
        <w:t xml:space="preserve">The data underpinning the corpus are strikingly concentrated (Fig. 6, Table 4). Thirty-six papers rely primarily on laboratory cycling of the authors’ own cells; the public Severson/Toyota-MIT–Stanford (MATR) cycle-life dataset alone supports 11 papers, NASA and CALCE datasets support 6 each, and laboratory impedance spectroscopy 6; 10 papers use real vehicle or fleet data as their primary data source — a distinct measure from the 8 studies whose </w:t>
      </w:r>
      <w:r>
        <w:rPr>
          <w:rFonts w:ascii="Times New Roman" w:hAnsi="Times New Roman"/>
          <w:b w:val="0"/>
          <w:i/>
          <w:sz w:val="20"/>
        </w:rPr>
        <w:t>validation</w:t>
      </w:r>
      <w:r>
        <w:rPr>
          <w:rFonts w:ascii="Times New Roman" w:hAnsi="Times New Roman"/>
          <w:b w:val="0"/>
          <w:i w:val="0"/>
          <w:sz w:val="20"/>
        </w:rPr>
        <w:t xml:space="preserve"> is an online or real-vehicle demonstration (9.1%; Wilson 95% CI 4.7–16.9%); 12 are simulation-based; and 15 are reviews or perspectives that synthesize rather than generate data. Chemistry reporting is similarly skewed: 54 papers work on NMC-based cells, 15 on LFP, and the remainder on LCO, lithium-metal, lithium–sulfur, mixed panels, or unspecified chemistries.</w:t>
      </w:r>
    </w:p>
    <w:p>
      <w:pPr>
        <w:spacing w:after="160"/>
        <w:jc w:val="both"/>
      </w:pPr>
      <w:r>
        <w:rPr>
          <w:rFonts w:ascii="Times New Roman" w:hAnsi="Times New Roman"/>
          <w:b w:val="0"/>
          <w:i w:val="0"/>
          <w:sz w:val="20"/>
        </w:rPr>
        <w:t xml:space="preserve">Validation practice — arguably the field’s most consequential weakness — is summarized in Fig. 6 (right panel), and it is now defined and audited explicitly (Section 2.5). Under the protocol-only definition, the </w:t>
      </w:r>
      <w:r>
        <w:rPr>
          <w:rFonts w:ascii="Times New Roman" w:hAnsi="Times New Roman"/>
          <w:b w:val="0"/>
          <w:i/>
          <w:sz w:val="20"/>
        </w:rPr>
        <w:t>strong protocols</w:t>
      </w:r>
      <w:r>
        <w:rPr>
          <w:rFonts w:ascii="Times New Roman" w:hAnsi="Times New Roman"/>
          <w:b w:val="0"/>
          <w:i w:val="0"/>
          <w:sz w:val="20"/>
        </w:rPr>
        <w:t xml:space="preserve"> — cross-cell holdout (24 papers), cross-chemistry holdout (7), cross-domain holdout (3), and online or real-vehicle/fleet validation (8) — together cover 42 of the 88 primary-application papers (48%; Wilson 95% CI 37.6–58.0% — an interval over a curated subset, reflecting its selection as much as sampling). At the weaker end, 12 papers use within-cell splits (training and testing on interleaved segments of the same cell’s life), 5 use k-fold cross-validation without cross-cell isolation, and 15 are reviews without primary validation; the remaining 29 primary papers establish an operating environment (experimental hardware, 20; simulation or case-study evidence, 9) without a data-isolation protocol. The complete per-paper protocol assignment is released (protocol_audit.csv, and the valid field of papers.csv), so the 42-of-88 arithmetic can be verified row by row. The 30-paper blind re-coding of Section 2.5 is an abstract-level inter-coder agreement check on a sample that includes review-labelled papers — not an independent re-derivation of these assignments (the two coders’ bucket agreement with the released labels is κ = 0.22 and 0.42, Section 2.5). Because fleet-data </w:t>
      </w:r>
      <w:r>
        <w:rPr>
          <w:rFonts w:ascii="Times New Roman" w:hAnsi="Times New Roman"/>
          <w:b w:val="0"/>
          <w:i/>
          <w:sz w:val="20"/>
        </w:rPr>
        <w:t>use</w:t>
      </w:r>
      <w:r>
        <w:rPr>
          <w:rFonts w:ascii="Times New Roman" w:hAnsi="Times New Roman"/>
          <w:b w:val="0"/>
          <w:i w:val="0"/>
          <w:sz w:val="20"/>
        </w:rPr>
        <w:t xml:space="preserve"> and online </w:t>
      </w:r>
      <w:r>
        <w:rPr>
          <w:rFonts w:ascii="Times New Roman" w:hAnsi="Times New Roman"/>
          <w:b w:val="0"/>
          <w:i/>
          <w:sz w:val="20"/>
        </w:rPr>
        <w:t>validation</w:t>
      </w:r>
      <w:r>
        <w:rPr>
          <w:rFonts w:ascii="Times New Roman" w:hAnsi="Times New Roman"/>
          <w:b w:val="0"/>
          <w:i w:val="0"/>
          <w:sz w:val="20"/>
        </w:rPr>
        <w:t xml:space="preserve"> are different measures, Table 6 cross-tabulates them: of the 10 papers whose primary data are real-vehicle or fleet streams, 8 are online-validated and 2 are validated by cross-domain holdout or case-study protocols instead (a laboratory-data paper whose online claim was a desktop demonstration was recoded to experimental hardware after full-text re-check). This distribution quantifies a widely acknowledged but rarely measured problem: the majority of published accuracy claims are established under laboratory regimes that differ from deployment in chemistry coverage, temperature envelope, current-profile realism, and sensor quality — a gap that recurs throughout Sections 4–8.</w:t>
      </w:r>
    </w:p>
    <w:p>
      <w:pPr>
        <w:keepNext/>
        <w:spacing w:after="80"/>
        <w:jc w:val="center"/>
      </w:pPr>
      <w:r>
        <w:drawing>
          <wp:inline xmlns:a="http://schemas.openxmlformats.org/drawingml/2006/main" xmlns:pic="http://schemas.openxmlformats.org/drawingml/2006/picture">
            <wp:extent cx="4480560" cy="1844936"/>
            <wp:docPr id="6" name="Picture 6"/>
            <wp:cNvGraphicFramePr>
              <a:graphicFrameLocks noChangeAspect="1"/>
            </wp:cNvGraphicFramePr>
            <a:graphic>
              <a:graphicData uri="http://schemas.openxmlformats.org/drawingml/2006/picture">
                <pic:pic>
                  <pic:nvPicPr>
                    <pic:cNvPr id="0" name="fig5_data_validation.png"/>
                    <pic:cNvPicPr/>
                  </pic:nvPicPr>
                  <pic:blipFill>
                    <a:blip r:embed="rId14"/>
                    <a:stretch>
                      <a:fillRect/>
                    </a:stretch>
                  </pic:blipFill>
                  <pic:spPr>
                    <a:xfrm>
                      <a:off x="0" y="0"/>
                      <a:ext cx="4480560" cy="1844936"/>
                    </a:xfrm>
                    <a:prstGeom prst="rect"/>
                  </pic:spPr>
                </pic:pic>
              </a:graphicData>
            </a:graphic>
          </wp:inline>
        </w:drawing>
      </w:r>
    </w:p>
    <w:p>
      <w:pPr>
        <w:keepLines/>
        <w:spacing w:after="200"/>
        <w:jc w:val="both"/>
      </w:pPr>
      <w:r>
        <w:rPr>
          <w:rFonts w:ascii="Times New Roman" w:hAnsi="Times New Roman"/>
          <w:b w:val="0"/>
          <w:i w:val="0"/>
          <w:sz w:val="18"/>
        </w:rPr>
        <w:t>Fig. 6 Primary data sources (left) and validation approaches (right) across the corpus. Public-dataset reliance concentrates on the Severson/Toyota (MATR), NASA, and CALCE benchmarks; online or real-vehicle validation remains rare.</w:t>
      </w:r>
    </w:p>
    <w:p>
      <w:pPr>
        <w:keepNext/>
        <w:spacing w:after="80"/>
        <w:jc w:val="left"/>
      </w:pPr>
      <w:r>
        <w:rPr>
          <w:rFonts w:ascii="Times New Roman" w:hAnsi="Times New Roman"/>
          <w:b w:val="0"/>
          <w:i w:val="0"/>
          <w:sz w:val="18"/>
        </w:rPr>
        <w:t>Table 4 Benchmark datasets and data sources recurring across the corpus</w:t>
      </w:r>
    </w:p>
    <w:tbl>
      <w:tblPr>
        <w:tblStyle w:val="TableGrid"/>
        <w:tblW w:type="auto" w:w="0"/>
        <w:jc w:val="center"/>
        <w:tblLayout w:type="fixed"/>
        <w:tblLook w:firstColumn="1" w:firstRow="1" w:lastColumn="0" w:lastRow="0" w:noHBand="0" w:noVBand="1" w:val="04A0"/>
        <w:tblLayout w:type="fixed"/>
      </w:tblPr>
      <w:tblGrid>
        <w:gridCol w:w="2736"/>
        <w:gridCol w:w="864"/>
        <w:gridCol w:w="5616"/>
      </w:tblGrid>
      <w:tr>
        <w:trPr>
          <w:cantSplit/>
          <w:tblHeader/>
        </w:trPr>
        <w:tc>
          <w:tcPr>
            <w:tcW w:type="dxa" w:w="2736"/>
          </w:tcPr>
          <w:p>
            <w:pPr>
              <w:jc w:val="center"/>
            </w:pPr>
            <w:r/>
            <w:r>
              <w:rPr>
                <w:rFonts w:ascii="Times New Roman" w:hAnsi="Times New Roman"/>
                <w:b/>
                <w:sz w:val="17"/>
              </w:rPr>
              <w:t>Data source</w:t>
            </w:r>
          </w:p>
        </w:tc>
        <w:tc>
          <w:tcPr>
            <w:tcW w:type="dxa" w:w="864"/>
          </w:tcPr>
          <w:p>
            <w:pPr>
              <w:jc w:val="center"/>
            </w:pPr>
            <w:r/>
            <w:r>
              <w:rPr>
                <w:rFonts w:ascii="Times New Roman" w:hAnsi="Times New Roman"/>
                <w:b/>
                <w:sz w:val="17"/>
              </w:rPr>
              <w:t>Papers</w:t>
            </w:r>
          </w:p>
        </w:tc>
        <w:tc>
          <w:tcPr>
            <w:tcW w:type="dxa" w:w="5616"/>
          </w:tcPr>
          <w:p>
            <w:pPr>
              <w:jc w:val="center"/>
            </w:pPr>
            <w:r/>
            <w:r>
              <w:rPr>
                <w:rFonts w:ascii="Times New Roman" w:hAnsi="Times New Roman"/>
                <w:b/>
                <w:sz w:val="17"/>
              </w:rPr>
              <w:t>Typical use in corpus</w:t>
            </w:r>
          </w:p>
        </w:tc>
      </w:tr>
      <w:tr>
        <w:trPr>
          <w:cantSplit/>
        </w:trPr>
        <w:tc>
          <w:tcPr>
            <w:tcW w:type="dxa" w:w="2736"/>
          </w:tcPr>
          <w:p>
            <w:pPr>
              <w:jc w:val="left"/>
            </w:pPr>
            <w:r/>
            <w:r>
              <w:rPr>
                <w:rFonts w:ascii="Times New Roman" w:hAnsi="Times New Roman"/>
                <w:b w:val="0"/>
                <w:i w:val="0"/>
                <w:sz w:val="17"/>
              </w:rPr>
              <w:t>Own laboratory cycling</w:t>
            </w:r>
          </w:p>
        </w:tc>
        <w:tc>
          <w:tcPr>
            <w:tcW w:type="dxa" w:w="864"/>
          </w:tcPr>
          <w:p>
            <w:pPr>
              <w:jc w:val="center"/>
            </w:pPr>
            <w:r/>
            <w:r>
              <w:rPr>
                <w:rFonts w:ascii="Times New Roman" w:hAnsi="Times New Roman"/>
                <w:b w:val="0"/>
                <w:i w:val="0"/>
                <w:sz w:val="17"/>
              </w:rPr>
              <w:t>36</w:t>
            </w:r>
          </w:p>
        </w:tc>
        <w:tc>
          <w:tcPr>
            <w:tcW w:type="dxa" w:w="5616"/>
          </w:tcPr>
          <w:p>
            <w:r/>
            <w:r>
              <w:rPr>
                <w:rFonts w:ascii="Times New Roman" w:hAnsi="Times New Roman"/>
                <w:b w:val="0"/>
                <w:i w:val="0"/>
                <w:sz w:val="17"/>
              </w:rPr>
              <w:t>Primary training/testing data for estimators and protocols</w:t>
            </w:r>
          </w:p>
        </w:tc>
      </w:tr>
      <w:tr>
        <w:trPr>
          <w:cantSplit/>
        </w:trPr>
        <w:tc>
          <w:tcPr>
            <w:tcW w:type="dxa" w:w="2736"/>
          </w:tcPr>
          <w:p>
            <w:pPr>
              <w:jc w:val="left"/>
            </w:pPr>
            <w:r/>
            <w:r>
              <w:rPr>
                <w:rFonts w:ascii="Times New Roman" w:hAnsi="Times New Roman"/>
                <w:b w:val="0"/>
                <w:i w:val="0"/>
                <w:sz w:val="17"/>
              </w:rPr>
              <w:t>Severson/Toyota–MIT–Stanford (MATR)</w:t>
            </w:r>
          </w:p>
        </w:tc>
        <w:tc>
          <w:tcPr>
            <w:tcW w:type="dxa" w:w="864"/>
          </w:tcPr>
          <w:p>
            <w:pPr>
              <w:jc w:val="center"/>
            </w:pPr>
            <w:r/>
            <w:r>
              <w:rPr>
                <w:rFonts w:ascii="Times New Roman" w:hAnsi="Times New Roman"/>
                <w:b w:val="0"/>
                <w:i w:val="0"/>
                <w:sz w:val="17"/>
              </w:rPr>
              <w:t>11</w:t>
            </w:r>
          </w:p>
        </w:tc>
        <w:tc>
          <w:tcPr>
            <w:tcW w:type="dxa" w:w="5616"/>
          </w:tcPr>
          <w:p>
            <w:r/>
            <w:r>
              <w:rPr>
                <w:rFonts w:ascii="Times New Roman" w:hAnsi="Times New Roman"/>
                <w:b w:val="0"/>
                <w:i w:val="0"/>
                <w:sz w:val="17"/>
              </w:rPr>
              <w:t>Cycle-life and early-life prediction benchmarks</w:t>
            </w:r>
          </w:p>
        </w:tc>
      </w:tr>
      <w:tr>
        <w:trPr>
          <w:cantSplit/>
        </w:trPr>
        <w:tc>
          <w:tcPr>
            <w:tcW w:type="dxa" w:w="2736"/>
          </w:tcPr>
          <w:p>
            <w:pPr>
              <w:jc w:val="left"/>
            </w:pPr>
            <w:r/>
            <w:r>
              <w:rPr>
                <w:rFonts w:ascii="Times New Roman" w:hAnsi="Times New Roman"/>
                <w:b w:val="0"/>
                <w:i w:val="0"/>
                <w:sz w:val="17"/>
              </w:rPr>
              <w:t>NASA PCoE</w:t>
            </w:r>
          </w:p>
        </w:tc>
        <w:tc>
          <w:tcPr>
            <w:tcW w:type="dxa" w:w="864"/>
          </w:tcPr>
          <w:p>
            <w:pPr>
              <w:jc w:val="center"/>
            </w:pPr>
            <w:r/>
            <w:r>
              <w:rPr>
                <w:rFonts w:ascii="Times New Roman" w:hAnsi="Times New Roman"/>
                <w:b w:val="0"/>
                <w:i w:val="0"/>
                <w:sz w:val="17"/>
              </w:rPr>
              <w:t>6</w:t>
            </w:r>
          </w:p>
        </w:tc>
        <w:tc>
          <w:tcPr>
            <w:tcW w:type="dxa" w:w="5616"/>
          </w:tcPr>
          <w:p>
            <w:r/>
            <w:r>
              <w:rPr>
                <w:rFonts w:ascii="Times New Roman" w:hAnsi="Times New Roman"/>
                <w:b w:val="0"/>
                <w:i w:val="0"/>
                <w:sz w:val="17"/>
              </w:rPr>
              <w:t>Capacity-fade and RUL benchmarking</w:t>
            </w:r>
          </w:p>
        </w:tc>
      </w:tr>
      <w:tr>
        <w:trPr>
          <w:cantSplit/>
        </w:trPr>
        <w:tc>
          <w:tcPr>
            <w:tcW w:type="dxa" w:w="2736"/>
          </w:tcPr>
          <w:p>
            <w:pPr>
              <w:jc w:val="left"/>
            </w:pPr>
            <w:r/>
            <w:r>
              <w:rPr>
                <w:rFonts w:ascii="Times New Roman" w:hAnsi="Times New Roman"/>
                <w:b w:val="0"/>
                <w:i w:val="0"/>
                <w:sz w:val="17"/>
              </w:rPr>
              <w:t>CALCE</w:t>
            </w:r>
          </w:p>
        </w:tc>
        <w:tc>
          <w:tcPr>
            <w:tcW w:type="dxa" w:w="864"/>
          </w:tcPr>
          <w:p>
            <w:pPr>
              <w:jc w:val="center"/>
            </w:pPr>
            <w:r/>
            <w:r>
              <w:rPr>
                <w:rFonts w:ascii="Times New Roman" w:hAnsi="Times New Roman"/>
                <w:b w:val="0"/>
                <w:i w:val="0"/>
                <w:sz w:val="17"/>
              </w:rPr>
              <w:t>6</w:t>
            </w:r>
          </w:p>
        </w:tc>
        <w:tc>
          <w:tcPr>
            <w:tcW w:type="dxa" w:w="5616"/>
          </w:tcPr>
          <w:p>
            <w:r/>
            <w:r>
              <w:rPr>
                <w:rFonts w:ascii="Times New Roman" w:hAnsi="Times New Roman"/>
                <w:b w:val="0"/>
                <w:i w:val="0"/>
                <w:sz w:val="17"/>
              </w:rPr>
              <w:t>SOH estimation and degradation modeling</w:t>
            </w:r>
          </w:p>
        </w:tc>
      </w:tr>
      <w:tr>
        <w:trPr>
          <w:cantSplit/>
        </w:trPr>
        <w:tc>
          <w:tcPr>
            <w:tcW w:type="dxa" w:w="2736"/>
          </w:tcPr>
          <w:p>
            <w:pPr>
              <w:jc w:val="left"/>
            </w:pPr>
            <w:r/>
            <w:r>
              <w:rPr>
                <w:rFonts w:ascii="Times New Roman" w:hAnsi="Times New Roman"/>
                <w:b w:val="0"/>
                <w:i w:val="0"/>
                <w:sz w:val="17"/>
              </w:rPr>
              <w:t>Laboratory EIS</w:t>
            </w:r>
          </w:p>
        </w:tc>
        <w:tc>
          <w:tcPr>
            <w:tcW w:type="dxa" w:w="864"/>
          </w:tcPr>
          <w:p>
            <w:pPr>
              <w:jc w:val="center"/>
            </w:pPr>
            <w:r/>
            <w:r>
              <w:rPr>
                <w:rFonts w:ascii="Times New Roman" w:hAnsi="Times New Roman"/>
                <w:b w:val="0"/>
                <w:i w:val="0"/>
                <w:sz w:val="17"/>
              </w:rPr>
              <w:t>6</w:t>
            </w:r>
          </w:p>
        </w:tc>
        <w:tc>
          <w:tcPr>
            <w:tcW w:type="dxa" w:w="5616"/>
          </w:tcPr>
          <w:p>
            <w:r/>
            <w:r>
              <w:rPr>
                <w:rFonts w:ascii="Times New Roman" w:hAnsi="Times New Roman"/>
                <w:b w:val="0"/>
                <w:i w:val="0"/>
                <w:sz w:val="17"/>
              </w:rPr>
              <w:t>Impedance-based SOH/SOC and degradation-mode studies</w:t>
            </w:r>
          </w:p>
        </w:tc>
      </w:tr>
      <w:tr>
        <w:trPr>
          <w:cantSplit/>
        </w:trPr>
        <w:tc>
          <w:tcPr>
            <w:tcW w:type="dxa" w:w="2736"/>
          </w:tcPr>
          <w:p>
            <w:pPr>
              <w:jc w:val="left"/>
            </w:pPr>
            <w:r/>
            <w:r>
              <w:rPr>
                <w:rFonts w:ascii="Times New Roman" w:hAnsi="Times New Roman"/>
                <w:b w:val="0"/>
                <w:i w:val="0"/>
                <w:sz w:val="17"/>
              </w:rPr>
              <w:t>Real vehicle / fleet data</w:t>
            </w:r>
          </w:p>
        </w:tc>
        <w:tc>
          <w:tcPr>
            <w:tcW w:type="dxa" w:w="864"/>
          </w:tcPr>
          <w:p>
            <w:pPr>
              <w:jc w:val="center"/>
            </w:pPr>
            <w:r/>
            <w:r>
              <w:rPr>
                <w:rFonts w:ascii="Times New Roman" w:hAnsi="Times New Roman"/>
                <w:b w:val="0"/>
                <w:i w:val="0"/>
                <w:sz w:val="17"/>
              </w:rPr>
              <w:t>10</w:t>
            </w:r>
          </w:p>
        </w:tc>
        <w:tc>
          <w:tcPr>
            <w:tcW w:type="dxa" w:w="5616"/>
          </w:tcPr>
          <w:p>
            <w:r/>
            <w:r>
              <w:rPr>
                <w:rFonts w:ascii="Times New Roman" w:hAnsi="Times New Roman"/>
                <w:b w:val="0"/>
                <w:i w:val="0"/>
                <w:sz w:val="17"/>
              </w:rPr>
              <w:t>Online SOH, anomaly detection, cloud BMS</w:t>
            </w:r>
          </w:p>
        </w:tc>
      </w:tr>
      <w:tr>
        <w:trPr>
          <w:cantSplit/>
        </w:trPr>
        <w:tc>
          <w:tcPr>
            <w:tcW w:type="dxa" w:w="2736"/>
          </w:tcPr>
          <w:p>
            <w:pPr>
              <w:jc w:val="left"/>
            </w:pPr>
            <w:r/>
            <w:r>
              <w:rPr>
                <w:rFonts w:ascii="Times New Roman" w:hAnsi="Times New Roman"/>
                <w:b w:val="0"/>
                <w:i w:val="0"/>
                <w:sz w:val="17"/>
              </w:rPr>
              <w:t>Simulation (CFD/electrochemical)</w:t>
            </w:r>
          </w:p>
        </w:tc>
        <w:tc>
          <w:tcPr>
            <w:tcW w:type="dxa" w:w="864"/>
          </w:tcPr>
          <w:p>
            <w:pPr>
              <w:jc w:val="center"/>
            </w:pPr>
            <w:r/>
            <w:r>
              <w:rPr>
                <w:rFonts w:ascii="Times New Roman" w:hAnsi="Times New Roman"/>
                <w:b w:val="0"/>
                <w:i w:val="0"/>
                <w:sz w:val="17"/>
              </w:rPr>
              <w:t>12</w:t>
            </w:r>
          </w:p>
        </w:tc>
        <w:tc>
          <w:tcPr>
            <w:tcW w:type="dxa" w:w="5616"/>
          </w:tcPr>
          <w:p>
            <w:r/>
            <w:r>
              <w:rPr>
                <w:rFonts w:ascii="Times New Roman" w:hAnsi="Times New Roman"/>
                <w:b w:val="0"/>
                <w:i w:val="0"/>
                <w:sz w:val="17"/>
              </w:rPr>
              <w:t>Thermal design, charging optimization, runaway prediction</w:t>
            </w:r>
          </w:p>
        </w:tc>
      </w:tr>
      <w:tr>
        <w:trPr>
          <w:cantSplit/>
        </w:trPr>
        <w:tc>
          <w:tcPr>
            <w:tcW w:type="dxa" w:w="2736"/>
          </w:tcPr>
          <w:p>
            <w:pPr>
              <w:jc w:val="left"/>
            </w:pPr>
            <w:r/>
            <w:r>
              <w:rPr>
                <w:rFonts w:ascii="Times New Roman" w:hAnsi="Times New Roman"/>
                <w:b w:val="0"/>
                <w:i w:val="0"/>
                <w:sz w:val="17"/>
              </w:rPr>
              <w:t>Review synthesis (no primary data)</w:t>
            </w:r>
          </w:p>
        </w:tc>
        <w:tc>
          <w:tcPr>
            <w:tcW w:type="dxa" w:w="864"/>
          </w:tcPr>
          <w:p>
            <w:pPr>
              <w:jc w:val="center"/>
            </w:pPr>
            <w:r/>
            <w:r>
              <w:rPr>
                <w:rFonts w:ascii="Times New Roman" w:hAnsi="Times New Roman"/>
                <w:b w:val="0"/>
                <w:i w:val="0"/>
                <w:sz w:val="17"/>
              </w:rPr>
              <w:t>15</w:t>
            </w:r>
          </w:p>
        </w:tc>
        <w:tc>
          <w:tcPr>
            <w:tcW w:type="dxa" w:w="5616"/>
          </w:tcPr>
          <w:p>
            <w:r/>
            <w:r>
              <w:rPr>
                <w:rFonts w:ascii="Times New Roman" w:hAnsi="Times New Roman"/>
                <w:b w:val="0"/>
                <w:i w:val="0"/>
                <w:sz w:val="17"/>
              </w:rPr>
              <w:t>Methodological and thematic reviews</w:t>
            </w:r>
          </w:p>
        </w:tc>
      </w:tr>
      <w:tr>
        <w:trPr>
          <w:cantSplit/>
        </w:trPr>
        <w:tc>
          <w:tcPr>
            <w:tcW w:type="dxa" w:w="2736"/>
          </w:tcPr>
          <w:p>
            <w:pPr>
              <w:jc w:val="left"/>
            </w:pPr>
            <w:r/>
            <w:r>
              <w:rPr>
                <w:rFonts w:ascii="Times New Roman" w:hAnsi="Times New Roman"/>
                <w:b w:val="0"/>
                <w:i w:val="0"/>
                <w:sz w:val="17"/>
              </w:rPr>
              <w:t>Multiple datasets</w:t>
            </w:r>
          </w:p>
        </w:tc>
        <w:tc>
          <w:tcPr>
            <w:tcW w:type="dxa" w:w="864"/>
          </w:tcPr>
          <w:p>
            <w:pPr>
              <w:jc w:val="center"/>
            </w:pPr>
            <w:r/>
            <w:r>
              <w:rPr>
                <w:rFonts w:ascii="Times New Roman" w:hAnsi="Times New Roman"/>
                <w:b w:val="0"/>
                <w:i w:val="0"/>
                <w:sz w:val="17"/>
              </w:rPr>
              <w:t>1</w:t>
            </w:r>
          </w:p>
        </w:tc>
        <w:tc>
          <w:tcPr>
            <w:tcW w:type="dxa" w:w="5616"/>
          </w:tcPr>
          <w:p>
            <w:r/>
            <w:r>
              <w:rPr>
                <w:rFonts w:ascii="Times New Roman" w:hAnsi="Times New Roman"/>
                <w:b w:val="0"/>
                <w:i w:val="0"/>
                <w:sz w:val="17"/>
              </w:rPr>
              <w:t>Studies drawing on several of the above</w:t>
            </w:r>
          </w:p>
        </w:tc>
      </w:tr>
    </w:tbl>
    <w:p>
      <w:pPr>
        <w:spacing w:after="120"/>
        <w:jc w:val="both"/>
      </w:pPr>
    </w:p>
    <w:p>
      <w:pPr>
        <w:spacing w:after="160"/>
        <w:jc w:val="both"/>
      </w:pPr>
      <w:r>
        <w:rPr>
          <w:rFonts w:ascii="Times New Roman" w:hAnsi="Times New Roman"/>
          <w:b w:val="0"/>
          <w:i w:val="0"/>
          <w:sz w:val="20"/>
        </w:rPr>
        <w:t>Validation practice deserves its own cross-tabulation because it moderates every accuracy claim in the corpus (Table 5). Cross-cell holdout — training on some cells and testing on unseen siblings — is the strongest widely used laboratory protocol (24 papers), and the transfer protocols make the strictest demands (10 papers: 7 cross-chemistry, 3 cross-domain — the seven cross-chemistry validators are the studies behind the ‘validated across chemistries’ count of the preceding paragraph). At the weaker end, within-cell splits (12 papers) and unsupervised k-fold cross-validation (5 papers) leak trajectory information between train and test sets and can thereby produce optimistic errors that need not survive cell-to-cell variability; the review literature has long warned of this, and the corpus quantifies how prevalent such splits are. Experimental-hardware demonstrations (20 papers) and online or real-vehicle demonstrations (8 papers) anchor the deployment end of the spectrum, and it is these — not the largest architectures — that carry the field’s deployment evidence. Crossing validation practice with method family substantiates Section 3.2’s remark with numbers: 8 of the 22 physics-informed/hybrid primary papers (36%) use a strong protocol, against 34 of the 66 other primary papers (52%) — Fisher’s exact p = 0.32, odds ratio 0.54 (95% CI 0.21–1.46); under the broader definition of stringency (Section 2.5) that also counts experimental-hardware demonstrations, the contrast is 13 of 22 (59%) versus 49 of 66 (74%), p = 0.19. Neither difference is statistically significant, and neither should be read as equivalence: a minimum-detectable-effect analysis (released as power_analysis.py with its outputs) shows that with 22 versus 66 papers and a 51.5% baseline strong-protocol rate, 80% power at α = 0.05 requires a difference of roughly 30–35 percentage points (odds ratio ≤0.26 or ≥4.0), while the observed 15-point gap is detectable with only about 20–25% power, and the two arms’ Wilson intervals overlap almost completely (19.7–57.0% versus 39.7–63.2%). The honest statement is that no difference is detectable at this scale, and that meaningful differences in either direction — including a physics prior halving or doubling the odds of a strong protocol — remain compatible with these counts. To quantify how much these counts depend on the single-coder labels, a label-noise scenario analysis perturbs them directly. The analysis is a scenario envelope, not an error model. In each of 4,000 seeded Monte Carlo draws (seed 7), a label-flip rate is drawn from a Normal distribution centered on the observed coder-versus-label bucket error rate of the reliability study (0.37 and 0.27 for the two coders; mean 0.32) with standard deviation 0.02, truncated at zero; the drawn rate then flips strong/non-strong bucket labels across the 88 primary papers, and both the overall strong share and the physics-versus-other Fisher exact test are recomputed. Two readings are built into the design. Symmetric random flipping — in either direction, at the overall bucket error rate just defined — mechanically attenuates contrasts toward the null. The actually observed coder-label disagreements, however, are directional and concentrated on the strong labels: 16 of the 19 bucket disagreements have the coder assigning weak where the released label says strong (the declared conservative fallback of Section 2.5), 13 of the 30 sampled papers are strong-labelled, and each coder recoded 8 of those 13 weak — a strong-label-specific rate of 0.62 (16 of 26 pooled coder-labels). The second scenario therefore flips strong labels to weak only, at a rate drawn from a Normal centered on that strong-label-specific rate (same 0.02 standard deviation). Because the coders worked from abstracts under a declared weak-if-unreported rule, that rate is an upper bound on plausible label error, and this scenario is reported as a worst-case bound, not an estimate. Under the symmetric scenario the strong-protocol count spans 35–52 of the 88 primary papers (39.8–59.1%) and the family contrast remains non-significant in 94.4% of draws; under the strong-to-weak worst-case bound the count falls to about 16 of 88 (≈18%) at the observed recode rate, with a scenario envelope of 10–23 (11.4–26.1%), and the contrast remains non-significant in 97.6% of draws. Read together, the two scenarios bracket the single-coder counts around the documented disagreement structure — under either, the physics-versus-other contrast shows no detectable difference and remains underpowered in the sense just quantified — and the worst-case bound says only how low the strong-protocol count could sit if abstract-level recoding were taken at face value, not where it sits.</w:t>
      </w:r>
    </w:p>
    <w:p>
      <w:pPr>
        <w:keepNext/>
        <w:spacing w:after="80"/>
        <w:jc w:val="left"/>
      </w:pPr>
      <w:r>
        <w:rPr>
          <w:rFonts w:ascii="Times New Roman" w:hAnsi="Times New Roman"/>
          <w:b w:val="0"/>
          <w:i w:val="0"/>
          <w:sz w:val="18"/>
        </w:rPr>
        <w:t>Table 5 Validation practices across the corpus</w:t>
      </w:r>
    </w:p>
    <w:tbl>
      <w:tblPr>
        <w:tblStyle w:val="TableGrid"/>
        <w:tblW w:type="auto" w:w="0"/>
        <w:jc w:val="center"/>
        <w:tblLayout w:type="fixed"/>
        <w:tblLook w:firstColumn="1" w:firstRow="1" w:lastColumn="0" w:lastRow="0" w:noHBand="0" w:noVBand="1" w:val="04A0"/>
        <w:tblLayout w:type="fixed"/>
      </w:tblPr>
      <w:tblGrid>
        <w:gridCol w:w="2736"/>
        <w:gridCol w:w="864"/>
        <w:gridCol w:w="5616"/>
      </w:tblGrid>
      <w:tr>
        <w:trPr>
          <w:cantSplit/>
          <w:tblHeader/>
        </w:trPr>
        <w:tc>
          <w:tcPr>
            <w:tcW w:type="dxa" w:w="2736"/>
          </w:tcPr>
          <w:p>
            <w:pPr>
              <w:jc w:val="center"/>
            </w:pPr>
            <w:r/>
            <w:r>
              <w:rPr>
                <w:rFonts w:ascii="Times New Roman" w:hAnsi="Times New Roman"/>
                <w:b/>
                <w:sz w:val="17"/>
              </w:rPr>
              <w:t>Validation approach</w:t>
            </w:r>
          </w:p>
        </w:tc>
        <w:tc>
          <w:tcPr>
            <w:tcW w:type="dxa" w:w="864"/>
          </w:tcPr>
          <w:p>
            <w:pPr>
              <w:jc w:val="center"/>
            </w:pPr>
            <w:r/>
            <w:r>
              <w:rPr>
                <w:rFonts w:ascii="Times New Roman" w:hAnsi="Times New Roman"/>
                <w:b/>
                <w:sz w:val="17"/>
              </w:rPr>
              <w:t>Papers</w:t>
            </w:r>
          </w:p>
        </w:tc>
        <w:tc>
          <w:tcPr>
            <w:tcW w:type="dxa" w:w="5616"/>
          </w:tcPr>
          <w:p>
            <w:pPr>
              <w:jc w:val="center"/>
            </w:pPr>
            <w:r/>
            <w:r>
              <w:rPr>
                <w:rFonts w:ascii="Times New Roman" w:hAnsi="Times New Roman"/>
                <w:b/>
                <w:sz w:val="17"/>
              </w:rPr>
              <w:t>Interpretation</w:t>
            </w:r>
          </w:p>
        </w:tc>
      </w:tr>
      <w:tr>
        <w:trPr>
          <w:cantSplit/>
        </w:trPr>
        <w:tc>
          <w:tcPr>
            <w:tcW w:type="dxa" w:w="2736"/>
          </w:tcPr>
          <w:p>
            <w:pPr>
              <w:jc w:val="left"/>
            </w:pPr>
            <w:r/>
            <w:r>
              <w:rPr>
                <w:rFonts w:ascii="Times New Roman" w:hAnsi="Times New Roman"/>
                <w:b w:val="0"/>
                <w:i w:val="0"/>
                <w:sz w:val="17"/>
              </w:rPr>
              <w:t>Cross-cell holdout</w:t>
            </w:r>
          </w:p>
        </w:tc>
        <w:tc>
          <w:tcPr>
            <w:tcW w:type="dxa" w:w="864"/>
          </w:tcPr>
          <w:p>
            <w:pPr>
              <w:jc w:val="center"/>
            </w:pPr>
            <w:r/>
            <w:r>
              <w:rPr>
                <w:rFonts w:ascii="Times New Roman" w:hAnsi="Times New Roman"/>
                <w:b w:val="0"/>
                <w:i w:val="0"/>
                <w:sz w:val="17"/>
              </w:rPr>
              <w:t>24</w:t>
            </w:r>
          </w:p>
        </w:tc>
        <w:tc>
          <w:tcPr>
            <w:tcW w:type="dxa" w:w="5616"/>
          </w:tcPr>
          <w:p>
            <w:r/>
            <w:r>
              <w:rPr>
                <w:rFonts w:ascii="Times New Roman" w:hAnsi="Times New Roman"/>
                <w:b w:val="0"/>
                <w:i w:val="0"/>
                <w:sz w:val="17"/>
              </w:rPr>
              <w:t>Strongest common laboratory protocol; unseen sibling cells</w:t>
            </w:r>
          </w:p>
        </w:tc>
      </w:tr>
      <w:tr>
        <w:trPr>
          <w:cantSplit/>
        </w:trPr>
        <w:tc>
          <w:tcPr>
            <w:tcW w:type="dxa" w:w="2736"/>
          </w:tcPr>
          <w:p>
            <w:pPr>
              <w:jc w:val="left"/>
            </w:pPr>
            <w:r/>
            <w:r>
              <w:rPr>
                <w:rFonts w:ascii="Times New Roman" w:hAnsi="Times New Roman"/>
                <w:b w:val="0"/>
                <w:i w:val="0"/>
                <w:sz w:val="17"/>
              </w:rPr>
              <w:t>Experimental hardware</w:t>
            </w:r>
          </w:p>
        </w:tc>
        <w:tc>
          <w:tcPr>
            <w:tcW w:type="dxa" w:w="864"/>
          </w:tcPr>
          <w:p>
            <w:pPr>
              <w:jc w:val="center"/>
            </w:pPr>
            <w:r/>
            <w:r>
              <w:rPr>
                <w:rFonts w:ascii="Times New Roman" w:hAnsi="Times New Roman"/>
                <w:b w:val="0"/>
                <w:i w:val="0"/>
                <w:sz w:val="17"/>
              </w:rPr>
              <w:t>20</w:t>
            </w:r>
          </w:p>
        </w:tc>
        <w:tc>
          <w:tcPr>
            <w:tcW w:type="dxa" w:w="5616"/>
          </w:tcPr>
          <w:p>
            <w:r/>
            <w:r>
              <w:rPr>
                <w:rFonts w:ascii="Times New Roman" w:hAnsi="Times New Roman"/>
                <w:b w:val="0"/>
                <w:i w:val="0"/>
                <w:sz w:val="17"/>
              </w:rPr>
              <w:t>Physical validation of estimator or controller behavior</w:t>
            </w:r>
          </w:p>
        </w:tc>
      </w:tr>
      <w:tr>
        <w:trPr>
          <w:cantSplit/>
        </w:trPr>
        <w:tc>
          <w:tcPr>
            <w:tcW w:type="dxa" w:w="2736"/>
          </w:tcPr>
          <w:p>
            <w:pPr>
              <w:jc w:val="left"/>
            </w:pPr>
            <w:r/>
            <w:r>
              <w:rPr>
                <w:rFonts w:ascii="Times New Roman" w:hAnsi="Times New Roman"/>
                <w:b w:val="0"/>
                <w:i w:val="0"/>
                <w:sz w:val="17"/>
              </w:rPr>
              <w:t>Review synthesis</w:t>
            </w:r>
          </w:p>
        </w:tc>
        <w:tc>
          <w:tcPr>
            <w:tcW w:type="dxa" w:w="864"/>
          </w:tcPr>
          <w:p>
            <w:pPr>
              <w:jc w:val="center"/>
            </w:pPr>
            <w:r/>
            <w:r>
              <w:rPr>
                <w:rFonts w:ascii="Times New Roman" w:hAnsi="Times New Roman"/>
                <w:b w:val="0"/>
                <w:i w:val="0"/>
                <w:sz w:val="17"/>
              </w:rPr>
              <w:t>15</w:t>
            </w:r>
          </w:p>
        </w:tc>
        <w:tc>
          <w:tcPr>
            <w:tcW w:type="dxa" w:w="5616"/>
          </w:tcPr>
          <w:p>
            <w:r/>
            <w:r>
              <w:rPr>
                <w:rFonts w:ascii="Times New Roman" w:hAnsi="Times New Roman"/>
                <w:b w:val="0"/>
                <w:i w:val="0"/>
                <w:sz w:val="17"/>
              </w:rPr>
              <w:t>No primary validation applicable</w:t>
            </w:r>
          </w:p>
        </w:tc>
      </w:tr>
      <w:tr>
        <w:trPr>
          <w:cantSplit/>
        </w:trPr>
        <w:tc>
          <w:tcPr>
            <w:tcW w:type="dxa" w:w="2736"/>
          </w:tcPr>
          <w:p>
            <w:pPr>
              <w:jc w:val="left"/>
            </w:pPr>
            <w:r/>
            <w:r>
              <w:rPr>
                <w:rFonts w:ascii="Times New Roman" w:hAnsi="Times New Roman"/>
                <w:b w:val="0"/>
                <w:i w:val="0"/>
                <w:sz w:val="17"/>
              </w:rPr>
              <w:t>Within-cell split</w:t>
            </w:r>
          </w:p>
        </w:tc>
        <w:tc>
          <w:tcPr>
            <w:tcW w:type="dxa" w:w="864"/>
          </w:tcPr>
          <w:p>
            <w:pPr>
              <w:jc w:val="center"/>
            </w:pPr>
            <w:r/>
            <w:r>
              <w:rPr>
                <w:rFonts w:ascii="Times New Roman" w:hAnsi="Times New Roman"/>
                <w:b w:val="0"/>
                <w:i w:val="0"/>
                <w:sz w:val="17"/>
              </w:rPr>
              <w:t>12</w:t>
            </w:r>
          </w:p>
        </w:tc>
        <w:tc>
          <w:tcPr>
            <w:tcW w:type="dxa" w:w="5616"/>
          </w:tcPr>
          <w:p>
            <w:r/>
            <w:r>
              <w:rPr>
                <w:rFonts w:ascii="Times New Roman" w:hAnsi="Times New Roman"/>
                <w:b w:val="0"/>
                <w:i w:val="0"/>
                <w:sz w:val="17"/>
              </w:rPr>
              <w:t>Can be optimistic; trajectory leakage between train and test</w:t>
            </w:r>
          </w:p>
        </w:tc>
      </w:tr>
      <w:tr>
        <w:trPr>
          <w:cantSplit/>
        </w:trPr>
        <w:tc>
          <w:tcPr>
            <w:tcW w:type="dxa" w:w="2736"/>
          </w:tcPr>
          <w:p>
            <w:pPr>
              <w:jc w:val="left"/>
            </w:pPr>
            <w:r/>
            <w:r>
              <w:rPr>
                <w:rFonts w:ascii="Times New Roman" w:hAnsi="Times New Roman"/>
                <w:b w:val="0"/>
                <w:i w:val="0"/>
                <w:sz w:val="17"/>
              </w:rPr>
              <w:t>Online / real-vehicle</w:t>
            </w:r>
          </w:p>
        </w:tc>
        <w:tc>
          <w:tcPr>
            <w:tcW w:type="dxa" w:w="864"/>
          </w:tcPr>
          <w:p>
            <w:pPr>
              <w:jc w:val="center"/>
            </w:pPr>
            <w:r/>
            <w:r>
              <w:rPr>
                <w:rFonts w:ascii="Times New Roman" w:hAnsi="Times New Roman"/>
                <w:b w:val="0"/>
                <w:i w:val="0"/>
                <w:sz w:val="17"/>
              </w:rPr>
              <w:t>8</w:t>
            </w:r>
          </w:p>
        </w:tc>
        <w:tc>
          <w:tcPr>
            <w:tcW w:type="dxa" w:w="5616"/>
          </w:tcPr>
          <w:p>
            <w:r/>
            <w:r>
              <w:rPr>
                <w:rFonts w:ascii="Times New Roman" w:hAnsi="Times New Roman"/>
                <w:b w:val="0"/>
                <w:i w:val="0"/>
                <w:sz w:val="17"/>
              </w:rPr>
              <w:t>Deployment-relevant evidence; rarest strong protocol</w:t>
            </w:r>
          </w:p>
        </w:tc>
      </w:tr>
      <w:tr>
        <w:trPr>
          <w:cantSplit/>
        </w:trPr>
        <w:tc>
          <w:tcPr>
            <w:tcW w:type="dxa" w:w="2736"/>
          </w:tcPr>
          <w:p>
            <w:pPr>
              <w:jc w:val="left"/>
            </w:pPr>
            <w:r/>
            <w:r>
              <w:rPr>
                <w:rFonts w:ascii="Times New Roman" w:hAnsi="Times New Roman"/>
                <w:b w:val="0"/>
                <w:i w:val="0"/>
                <w:sz w:val="17"/>
              </w:rPr>
              <w:t>Cross-chemistry holdout</w:t>
            </w:r>
          </w:p>
        </w:tc>
        <w:tc>
          <w:tcPr>
            <w:tcW w:type="dxa" w:w="864"/>
          </w:tcPr>
          <w:p>
            <w:pPr>
              <w:jc w:val="center"/>
            </w:pPr>
            <w:r/>
            <w:r>
              <w:rPr>
                <w:rFonts w:ascii="Times New Roman" w:hAnsi="Times New Roman"/>
                <w:b w:val="0"/>
                <w:i w:val="0"/>
                <w:sz w:val="17"/>
              </w:rPr>
              <w:t>7</w:t>
            </w:r>
          </w:p>
        </w:tc>
        <w:tc>
          <w:tcPr>
            <w:tcW w:type="dxa" w:w="5616"/>
          </w:tcPr>
          <w:p>
            <w:r/>
            <w:r>
              <w:rPr>
                <w:rFonts w:ascii="Times New Roman" w:hAnsi="Times New Roman"/>
                <w:b w:val="0"/>
                <w:i w:val="0"/>
                <w:sz w:val="17"/>
              </w:rPr>
              <w:t>Strictest generalization demand in corpus</w:t>
            </w:r>
          </w:p>
        </w:tc>
      </w:tr>
      <w:tr>
        <w:trPr>
          <w:cantSplit/>
        </w:trPr>
        <w:tc>
          <w:tcPr>
            <w:tcW w:type="dxa" w:w="2736"/>
          </w:tcPr>
          <w:p>
            <w:pPr>
              <w:jc w:val="left"/>
            </w:pPr>
            <w:r/>
            <w:r>
              <w:rPr>
                <w:rFonts w:ascii="Times New Roman" w:hAnsi="Times New Roman"/>
                <w:b w:val="0"/>
                <w:i w:val="0"/>
                <w:sz w:val="17"/>
              </w:rPr>
              <w:t>k-fold cross-validation</w:t>
            </w:r>
          </w:p>
        </w:tc>
        <w:tc>
          <w:tcPr>
            <w:tcW w:type="dxa" w:w="864"/>
          </w:tcPr>
          <w:p>
            <w:pPr>
              <w:jc w:val="center"/>
            </w:pPr>
            <w:r/>
            <w:r>
              <w:rPr>
                <w:rFonts w:ascii="Times New Roman" w:hAnsi="Times New Roman"/>
                <w:b w:val="0"/>
                <w:i w:val="0"/>
                <w:sz w:val="17"/>
              </w:rPr>
              <w:t>5</w:t>
            </w:r>
          </w:p>
        </w:tc>
        <w:tc>
          <w:tcPr>
            <w:tcW w:type="dxa" w:w="5616"/>
          </w:tcPr>
          <w:p>
            <w:r/>
            <w:r>
              <w:rPr>
                <w:rFonts w:ascii="Times New Roman" w:hAnsi="Times New Roman"/>
                <w:b w:val="0"/>
                <w:i w:val="0"/>
                <w:sz w:val="17"/>
              </w:rPr>
              <w:t>Can be optimistic without cell-level isolation</w:t>
            </w:r>
          </w:p>
        </w:tc>
      </w:tr>
      <w:tr>
        <w:trPr>
          <w:cantSplit/>
        </w:trPr>
        <w:tc>
          <w:tcPr>
            <w:tcW w:type="dxa" w:w="2736"/>
          </w:tcPr>
          <w:p>
            <w:pPr>
              <w:jc w:val="left"/>
            </w:pPr>
            <w:r/>
            <w:r>
              <w:rPr>
                <w:rFonts w:ascii="Times New Roman" w:hAnsi="Times New Roman"/>
                <w:b w:val="0"/>
                <w:i w:val="0"/>
                <w:sz w:val="17"/>
              </w:rPr>
              <w:t>Simulation (+ hardware spot-check)</w:t>
            </w:r>
          </w:p>
        </w:tc>
        <w:tc>
          <w:tcPr>
            <w:tcW w:type="dxa" w:w="864"/>
          </w:tcPr>
          <w:p>
            <w:pPr>
              <w:jc w:val="center"/>
            </w:pPr>
            <w:r/>
            <w:r>
              <w:rPr>
                <w:rFonts w:ascii="Times New Roman" w:hAnsi="Times New Roman"/>
                <w:b w:val="0"/>
                <w:i w:val="0"/>
                <w:sz w:val="17"/>
              </w:rPr>
              <w:t>8</w:t>
            </w:r>
          </w:p>
        </w:tc>
        <w:tc>
          <w:tcPr>
            <w:tcW w:type="dxa" w:w="5616"/>
          </w:tcPr>
          <w:p>
            <w:r/>
            <w:r>
              <w:rPr>
                <w:rFonts w:ascii="Times New Roman" w:hAnsi="Times New Roman"/>
                <w:b w:val="0"/>
                <w:i w:val="0"/>
                <w:sz w:val="17"/>
              </w:rPr>
              <w:t>Model-fidelity dependent; strongest when hardware-checked</w:t>
            </w:r>
          </w:p>
        </w:tc>
      </w:tr>
      <w:tr>
        <w:trPr>
          <w:cantSplit/>
        </w:trPr>
        <w:tc>
          <w:tcPr>
            <w:tcW w:type="dxa" w:w="2736"/>
          </w:tcPr>
          <w:p>
            <w:pPr>
              <w:jc w:val="left"/>
            </w:pPr>
            <w:r/>
            <w:r>
              <w:rPr>
                <w:rFonts w:ascii="Times New Roman" w:hAnsi="Times New Roman"/>
                <w:b w:val="0"/>
                <w:i w:val="0"/>
                <w:sz w:val="17"/>
              </w:rPr>
              <w:t>Cross-domain holdout</w:t>
            </w:r>
          </w:p>
        </w:tc>
        <w:tc>
          <w:tcPr>
            <w:tcW w:type="dxa" w:w="864"/>
          </w:tcPr>
          <w:p>
            <w:pPr>
              <w:jc w:val="center"/>
            </w:pPr>
            <w:r/>
            <w:r>
              <w:rPr>
                <w:rFonts w:ascii="Times New Roman" w:hAnsi="Times New Roman"/>
                <w:b w:val="0"/>
                <w:i w:val="0"/>
                <w:sz w:val="17"/>
              </w:rPr>
              <w:t>3</w:t>
            </w:r>
          </w:p>
        </w:tc>
        <w:tc>
          <w:tcPr>
            <w:tcW w:type="dxa" w:w="5616"/>
          </w:tcPr>
          <w:p>
            <w:r/>
            <w:r>
              <w:rPr>
                <w:rFonts w:ascii="Times New Roman" w:hAnsi="Times New Roman"/>
                <w:b w:val="0"/>
                <w:i w:val="0"/>
                <w:sz w:val="17"/>
              </w:rPr>
              <w:t>Transfer-specific evidence</w:t>
            </w:r>
          </w:p>
        </w:tc>
      </w:tr>
      <w:tr>
        <w:trPr>
          <w:cantSplit/>
        </w:trPr>
        <w:tc>
          <w:tcPr>
            <w:tcW w:type="dxa" w:w="2736"/>
          </w:tcPr>
          <w:p>
            <w:pPr>
              <w:jc w:val="left"/>
            </w:pPr>
            <w:r/>
            <w:r>
              <w:rPr>
                <w:rFonts w:ascii="Times New Roman" w:hAnsi="Times New Roman"/>
                <w:b w:val="0"/>
                <w:i w:val="0"/>
                <w:sz w:val="17"/>
              </w:rPr>
              <w:t>Case study</w:t>
            </w:r>
          </w:p>
        </w:tc>
        <w:tc>
          <w:tcPr>
            <w:tcW w:type="dxa" w:w="864"/>
          </w:tcPr>
          <w:p>
            <w:pPr>
              <w:jc w:val="center"/>
            </w:pPr>
            <w:r/>
            <w:r>
              <w:rPr>
                <w:rFonts w:ascii="Times New Roman" w:hAnsi="Times New Roman"/>
                <w:b w:val="0"/>
                <w:i w:val="0"/>
                <w:sz w:val="17"/>
              </w:rPr>
              <w:t>1</w:t>
            </w:r>
          </w:p>
        </w:tc>
        <w:tc>
          <w:tcPr>
            <w:tcW w:type="dxa" w:w="5616"/>
          </w:tcPr>
          <w:p>
            <w:r/>
            <w:r>
              <w:rPr>
                <w:rFonts w:ascii="Times New Roman" w:hAnsi="Times New Roman"/>
                <w:b w:val="0"/>
                <w:i w:val="0"/>
                <w:sz w:val="17"/>
              </w:rPr>
              <w:t>Single-system demonstration</w:t>
            </w:r>
          </w:p>
        </w:tc>
      </w:tr>
    </w:tbl>
    <w:p>
      <w:pPr>
        <w:spacing w:after="120"/>
        <w:jc w:val="both"/>
      </w:pPr>
    </w:p>
    <w:p>
      <w:pPr>
        <w:keepNext/>
        <w:spacing w:after="80"/>
        <w:jc w:val="left"/>
      </w:pPr>
      <w:r>
        <w:rPr>
          <w:rFonts w:ascii="Times New Roman" w:hAnsi="Times New Roman"/>
          <w:b w:val="0"/>
          <w:i w:val="0"/>
          <w:sz w:val="18"/>
        </w:rPr>
        <w:t>Table 6 Cross-tabulation of fleet-data use against online validation (103 classified papers). Fleet-data use describes the primary data source; online validation describes the validation protocol; their overlap is 8 of 10 fleet-data papers. A laboratory-data online demonstration was recoded to experimental hardware after full-text re-check (per the codebook’s absorbing rule: each paper is credited with the strongest protocol its full text reports for its headline claim, and a stronger claim unsupported at full-text re-check absorbs into the weaker class that is evidenced — Box 2). The right-hand column pools the environment-only validation categories defined with the classification framework.</w:t>
      </w:r>
    </w:p>
    <w:tbl>
      <w:tblPr>
        <w:tblStyle w:val="TableGrid"/>
        <w:tblW w:type="auto" w:w="0"/>
        <w:jc w:val="center"/>
        <w:tblLayout w:type="fixed"/>
        <w:tblLook w:firstColumn="1" w:firstRow="1" w:lastColumn="0" w:lastRow="0" w:noHBand="0" w:noVBand="1" w:val="04A0"/>
        <w:tblLayout w:type="fixed"/>
      </w:tblPr>
      <w:tblGrid>
        <w:gridCol w:w="2340"/>
        <w:gridCol w:w="2340"/>
        <w:gridCol w:w="2340"/>
        <w:gridCol w:w="2340"/>
      </w:tblGrid>
      <w:tr>
        <w:trPr>
          <w:cantSplit/>
          <w:tblHeader/>
        </w:trPr>
        <w:tc>
          <w:tcPr>
            <w:tcW w:type="dxa" w:w="2340"/>
          </w:tcPr>
          <w:p>
            <w:pPr>
              <w:jc w:val="center"/>
            </w:pPr>
            <w:r/>
            <w:r>
              <w:rPr>
                <w:rFonts w:ascii="Times New Roman" w:hAnsi="Times New Roman"/>
                <w:b/>
                <w:sz w:val="17"/>
              </w:rPr>
            </w:r>
          </w:p>
        </w:tc>
        <w:tc>
          <w:tcPr>
            <w:tcW w:type="dxa" w:w="2340"/>
          </w:tcPr>
          <w:p>
            <w:pPr>
              <w:jc w:val="center"/>
            </w:pPr>
            <w:r/>
            <w:r>
              <w:rPr>
                <w:rFonts w:ascii="Times New Roman" w:hAnsi="Times New Roman"/>
                <w:b/>
                <w:sz w:val="17"/>
              </w:rPr>
              <w:t>Online / real-vehicle validation</w:t>
            </w:r>
          </w:p>
        </w:tc>
        <w:tc>
          <w:tcPr>
            <w:tcW w:type="dxa" w:w="2340"/>
          </w:tcPr>
          <w:p>
            <w:pPr>
              <w:jc w:val="center"/>
            </w:pPr>
            <w:r/>
            <w:r>
              <w:rPr>
                <w:rFonts w:ascii="Times New Roman" w:hAnsi="Times New Roman"/>
                <w:b/>
                <w:sz w:val="17"/>
              </w:rPr>
              <w:t>All other validation protocols</w:t>
            </w:r>
          </w:p>
        </w:tc>
        <w:tc>
          <w:tcPr>
            <w:tcW w:type="dxa" w:w="2340"/>
          </w:tcPr>
          <w:p>
            <w:pPr>
              <w:jc w:val="center"/>
            </w:pPr>
            <w:r/>
            <w:r>
              <w:rPr>
                <w:rFonts w:ascii="Times New Roman" w:hAnsi="Times New Roman"/>
                <w:b/>
                <w:sz w:val="17"/>
              </w:rPr>
              <w:t>Total papers</w:t>
            </w:r>
          </w:p>
        </w:tc>
      </w:tr>
      <w:tr>
        <w:trPr>
          <w:cantSplit/>
        </w:trPr>
        <w:tc>
          <w:tcPr>
            <w:tcW w:type="dxa" w:w="2340"/>
          </w:tcPr>
          <w:p>
            <w:pPr>
              <w:jc w:val="left"/>
            </w:pPr>
            <w:r/>
            <w:r>
              <w:rPr>
                <w:rFonts w:ascii="Times New Roman" w:hAnsi="Times New Roman"/>
                <w:b w:val="0"/>
                <w:i w:val="0"/>
                <w:sz w:val="17"/>
              </w:rPr>
              <w:t>Real-vehicle / fleet data</w:t>
            </w:r>
          </w:p>
        </w:tc>
        <w:tc>
          <w:tcPr>
            <w:tcW w:type="dxa" w:w="2340"/>
          </w:tcPr>
          <w:p>
            <w:pPr>
              <w:jc w:val="center"/>
            </w:pPr>
            <w:r/>
            <w:r>
              <w:rPr>
                <w:rFonts w:ascii="Times New Roman" w:hAnsi="Times New Roman"/>
                <w:b w:val="0"/>
                <w:i w:val="0"/>
                <w:sz w:val="17"/>
              </w:rPr>
              <w:t>8</w:t>
            </w:r>
          </w:p>
        </w:tc>
        <w:tc>
          <w:tcPr>
            <w:tcW w:type="dxa" w:w="2340"/>
          </w:tcPr>
          <w:p>
            <w:r/>
            <w:r>
              <w:rPr>
                <w:rFonts w:ascii="Times New Roman" w:hAnsi="Times New Roman"/>
                <w:b w:val="0"/>
                <w:i w:val="0"/>
                <w:sz w:val="17"/>
              </w:rPr>
              <w:t>2 (cross-domain holdout; case study)</w:t>
            </w:r>
          </w:p>
        </w:tc>
        <w:tc>
          <w:tcPr>
            <w:tcW w:type="dxa" w:w="2340"/>
          </w:tcPr>
          <w:p>
            <w:pPr>
              <w:jc w:val="center"/>
            </w:pPr>
            <w:r/>
            <w:r>
              <w:rPr>
                <w:rFonts w:ascii="Times New Roman" w:hAnsi="Times New Roman"/>
                <w:b w:val="0"/>
                <w:i w:val="0"/>
                <w:sz w:val="17"/>
              </w:rPr>
              <w:t>10</w:t>
            </w:r>
          </w:p>
        </w:tc>
      </w:tr>
      <w:tr>
        <w:trPr>
          <w:cantSplit/>
        </w:trPr>
        <w:tc>
          <w:tcPr>
            <w:tcW w:type="dxa" w:w="2340"/>
          </w:tcPr>
          <w:p>
            <w:pPr>
              <w:jc w:val="left"/>
            </w:pPr>
            <w:r/>
            <w:r>
              <w:rPr>
                <w:rFonts w:ascii="Times New Roman" w:hAnsi="Times New Roman"/>
                <w:b w:val="0"/>
                <w:i w:val="0"/>
                <w:sz w:val="17"/>
              </w:rPr>
              <w:t>Other data sources</w:t>
            </w:r>
          </w:p>
        </w:tc>
        <w:tc>
          <w:tcPr>
            <w:tcW w:type="dxa" w:w="2340"/>
          </w:tcPr>
          <w:p>
            <w:pPr>
              <w:jc w:val="center"/>
            </w:pPr>
            <w:r/>
            <w:r>
              <w:rPr>
                <w:rFonts w:ascii="Times New Roman" w:hAnsi="Times New Roman"/>
                <w:b w:val="0"/>
                <w:i w:val="0"/>
                <w:sz w:val="17"/>
              </w:rPr>
              <w:t>0</w:t>
            </w:r>
          </w:p>
        </w:tc>
        <w:tc>
          <w:tcPr>
            <w:tcW w:type="dxa" w:w="2340"/>
          </w:tcPr>
          <w:p>
            <w:pPr>
              <w:jc w:val="center"/>
            </w:pPr>
            <w:r/>
            <w:r>
              <w:rPr>
                <w:rFonts w:ascii="Times New Roman" w:hAnsi="Times New Roman"/>
                <w:b w:val="0"/>
                <w:i w:val="0"/>
                <w:sz w:val="17"/>
              </w:rPr>
              <w:t>93</w:t>
            </w:r>
          </w:p>
        </w:tc>
        <w:tc>
          <w:tcPr>
            <w:tcW w:type="dxa" w:w="2340"/>
          </w:tcPr>
          <w:p>
            <w:pPr>
              <w:jc w:val="center"/>
            </w:pPr>
            <w:r/>
            <w:r>
              <w:rPr>
                <w:rFonts w:ascii="Times New Roman" w:hAnsi="Times New Roman"/>
                <w:b w:val="0"/>
                <w:i w:val="0"/>
                <w:sz w:val="17"/>
              </w:rPr>
              <w:t>93</w:t>
            </w:r>
          </w:p>
        </w:tc>
      </w:tr>
      <w:tr>
        <w:trPr>
          <w:cantSplit/>
        </w:trPr>
        <w:tc>
          <w:tcPr>
            <w:tcW w:type="dxa" w:w="2340"/>
          </w:tcPr>
          <w:p>
            <w:pPr>
              <w:jc w:val="left"/>
            </w:pPr>
            <w:r/>
            <w:r>
              <w:rPr>
                <w:rFonts w:ascii="Times New Roman" w:hAnsi="Times New Roman"/>
                <w:b w:val="0"/>
                <w:i w:val="0"/>
                <w:sz w:val="17"/>
              </w:rPr>
              <w:t>Total</w:t>
            </w:r>
          </w:p>
        </w:tc>
        <w:tc>
          <w:tcPr>
            <w:tcW w:type="dxa" w:w="2340"/>
          </w:tcPr>
          <w:p>
            <w:pPr>
              <w:jc w:val="center"/>
            </w:pPr>
            <w:r/>
            <w:r>
              <w:rPr>
                <w:rFonts w:ascii="Times New Roman" w:hAnsi="Times New Roman"/>
                <w:b w:val="0"/>
                <w:i w:val="0"/>
                <w:sz w:val="17"/>
              </w:rPr>
              <w:t>8</w:t>
            </w:r>
          </w:p>
        </w:tc>
        <w:tc>
          <w:tcPr>
            <w:tcW w:type="dxa" w:w="2340"/>
          </w:tcPr>
          <w:p>
            <w:pPr>
              <w:jc w:val="center"/>
            </w:pPr>
            <w:r/>
            <w:r>
              <w:rPr>
                <w:rFonts w:ascii="Times New Roman" w:hAnsi="Times New Roman"/>
                <w:b w:val="0"/>
                <w:i w:val="0"/>
                <w:sz w:val="17"/>
              </w:rPr>
              <w:t>95</w:t>
            </w:r>
          </w:p>
        </w:tc>
        <w:tc>
          <w:tcPr>
            <w:tcW w:type="dxa" w:w="2340"/>
          </w:tcPr>
          <w:p>
            <w:pPr>
              <w:jc w:val="center"/>
            </w:pPr>
            <w:r/>
            <w:r>
              <w:rPr>
                <w:rFonts w:ascii="Times New Roman" w:hAnsi="Times New Roman"/>
                <w:b w:val="0"/>
                <w:i w:val="0"/>
                <w:sz w:val="17"/>
              </w:rPr>
              <w:t>103</w:t>
            </w:r>
          </w:p>
        </w:tc>
      </w:tr>
    </w:tbl>
    <w:p>
      <w:pPr>
        <w:spacing w:after="120"/>
        <w:jc w:val="both"/>
      </w:pPr>
    </w:p>
    <w:p>
      <w:pPr>
        <w:spacing w:after="160"/>
        <w:jc w:val="both"/>
      </w:pPr>
      <w:r>
        <w:rPr>
          <w:rFonts w:ascii="Times New Roman" w:hAnsi="Times New Roman"/>
          <w:b w:val="0"/>
          <w:i w:val="0"/>
          <w:sz w:val="20"/>
        </w:rPr>
        <w:t>Reading Fig. 6 and Tables 4 and 5 together yields the section’s headline: the field’s data supply is narrow, and its validation habits are calibrated to that narrowness. Public benchmarks made cumulative progress possible — the Severson dataset alone catalyzed a family of early-prediction methods — but they now also cap the credibility of reported generalization. The studies that escape this trap are precisely those that treat data sourcing and validation design as the research contribution: the multi-cell pipeline studies, the fleet-data health estimators, and the transfer-learning frameworks.</w:t>
      </w:r>
    </w:p>
    <w:p>
      <w:pPr>
        <w:spacing w:after="160"/>
        <w:jc w:val="both"/>
      </w:pPr>
      <w:r>
        <w:rPr>
          <w:rFonts w:ascii="Times New Roman" w:hAnsi="Times New Roman"/>
          <w:b w:val="0"/>
          <w:i w:val="0"/>
          <w:sz w:val="20"/>
        </w:rPr>
        <w:t>The concentration can be stated as a metric. Across 2019–2026, 23 primary papers — 26% of the 88 primary-application papers — rest on the same three public benchmarks (MATR, NASA, CALCE; Fig. 7). These benchmarks together contain on the order of a few hundred cells, while 36 further papers rest on private laboratory data that are rarely released: the empirical base is therefore not one benchmark monoculture but two poles — a small set of shared benchmarks onto which comparative claims crowd, and many unshared laboratory datasets over which accuracy claims cannot be audited at all. Output rose from single digits per year in 2019–2020 to 18–22 papers per year in 2023–2025, but benchmark reuse itself fluctuates between 1 and 7 papers per year with no trend, so no saturation dynamic is claimed; the structural finding is this two-pole data fragmentation, which inflates apparent comparability on the shared pole and precludes reproducibility on the private one.</w:t>
      </w:r>
    </w:p>
    <w:p>
      <w:pPr>
        <w:keepNext/>
        <w:spacing w:after="80"/>
        <w:jc w:val="center"/>
      </w:pPr>
      <w:r>
        <w:drawing>
          <wp:inline xmlns:a="http://schemas.openxmlformats.org/drawingml/2006/main" xmlns:pic="http://schemas.openxmlformats.org/drawingml/2006/picture">
            <wp:extent cx="4480560" cy="2757268"/>
            <wp:docPr id="7" name="Picture 7"/>
            <wp:cNvGraphicFramePr>
              <a:graphicFrameLocks noChangeAspect="1"/>
            </wp:cNvGraphicFramePr>
            <a:graphic>
              <a:graphicData uri="http://schemas.openxmlformats.org/drawingml/2006/picture">
                <pic:pic>
                  <pic:nvPicPr>
                    <pic:cNvPr id="0" name="fig7_dataset_saturation.png"/>
                    <pic:cNvPicPr/>
                  </pic:nvPicPr>
                  <pic:blipFill>
                    <a:blip r:embed="rId15"/>
                    <a:stretch>
                      <a:fillRect/>
                    </a:stretch>
                  </pic:blipFill>
                  <pic:spPr>
                    <a:xfrm>
                      <a:off x="0" y="0"/>
                      <a:ext cx="4480560" cy="2757268"/>
                    </a:xfrm>
                    <a:prstGeom prst="rect"/>
                  </pic:spPr>
                </pic:pic>
              </a:graphicData>
            </a:graphic>
          </wp:inline>
        </w:drawing>
      </w:r>
    </w:p>
    <w:p>
      <w:pPr>
        <w:keepLines/>
        <w:spacing w:after="200"/>
        <w:jc w:val="both"/>
      </w:pPr>
      <w:r>
        <w:rPr>
          <w:rFonts w:ascii="Times New Roman" w:hAnsi="Times New Roman"/>
          <w:b w:val="0"/>
          <w:i w:val="0"/>
          <w:sz w:val="18"/>
        </w:rPr>
        <w:t>Fig. 7 Benchmark reuse versus classified-subset output. Papers in the classified subset using the three dominant public benchmarks per year (stacked bars, left axis) against classified-subset papers per year (line, right axis). Both series describe the curated 103-study subset, not the eligible corpus; benchmark reuse fluctuates year to year rather than tracking output.</w:t>
      </w:r>
    </w:p>
    <w:p>
      <w:pPr>
        <w:spacing w:after="160"/>
        <w:jc w:val="both"/>
      </w:pPr>
      <w:r>
        <w:rPr>
          <w:rFonts w:ascii="Times New Roman" w:hAnsi="Times New Roman"/>
          <w:b w:val="0"/>
          <w:i w:val="0"/>
          <w:sz w:val="20"/>
        </w:rPr>
        <w:t>Two further audits bound what the subset statistic means. First, a representativeness probe asks whether the curated subset over-states validation evidence relative to the pool it was drawn from — at the one level where the 799-record pool is observable, its indexed abstracts. A seed-pinned uniform sample of 40 eligible records (released, with its codes, as abstract_probe.py and abstract_probe.json) yields 23 abstracts retrievable from public indexes (Elsevier-withheld abstracts dominate the 17 missing); coded under a three-value rubric — isolation or deployment protocol stated, evaluation stated without isolation, nothing stated — none of the 18 primary-looking pool records states an isolation or deployment protocol in its abstract (0 of 18), against 5 of the 38 abstract-screenable subset papers (13%); the difference is not significant (Fisher p = 0.16) and both rates are near zero. The probe’s finding is negative in a useful way: indexed abstracts almost never carry enough protocol information to code validation strength at pool scale, in either tier, so the 48% strong-protocol share cannot be promoted from a curated-subset statistic to a field estimate without full-text access — and the scarcity of protocol statements in abstracts is itself part of what the reporting checklist of Section 9.9 responds to. Second, the baseline-comparison screen (the seventh field of Section 2.5) asks the question this review had not audited of its own corpus: whether ML studies benchmark against model-based methods at all. Of the 38 abstract-screenable primary papers, 32 (84%) name no model-based or classical baseline, 2 name one without stating the comparison, and 4 (11%) state a same-data quantitative comparison — against an SVR, a 0.5C CCCV protocol, an equivalent-circuit/electrochemical model, and a rule-based controller, respectively. These are lower bounds on comparison practice (full texts may compare what abstracts omit) but exact measures of comparison visibility, and visibility is what a reader scanning the literature actually has: at abstract level, the field’s answer to ‘does the learned estimator beat the model-based baseline on the same data?’ is, four times in five, unstated.</w:t>
      </w:r>
    </w:p>
    <w:p>
      <w:pPr>
        <w:keepNext/>
        <w:spacing w:after="80"/>
        <w:jc w:val="left"/>
      </w:pPr>
      <w:r>
        <w:rPr>
          <w:rFonts w:ascii="Times New Roman" w:hAnsi="Times New Roman"/>
          <w:b/>
          <w:i w:val="0"/>
          <w:sz w:val="20"/>
        </w:rPr>
        <w:t>3.5 Conference-venue check (descriptive): does the journal-only corpus understate validation practice?</w:t>
      </w:r>
    </w:p>
    <w:p>
      <w:pPr>
        <w:spacing w:after="160"/>
        <w:jc w:val="both"/>
      </w:pPr>
      <w:r>
        <w:rPr>
          <w:rFonts w:ascii="Times New Roman" w:hAnsi="Times New Roman"/>
          <w:b w:val="0"/>
          <w:i w:val="0"/>
          <w:sz w:val="20"/>
        </w:rPr>
        <w:t>Because the corpus excludes conference proceedings — a major venue for control-oriented BMS work (CDC, ACC, IFAC, VPPC, ITEC) — the validation findings of Section 3.4 could in principle be an artifact of venue selection: if conference papers systematically demonstrate more hardware and hardware-in-the-loop validation than journals, the journal-only sample would understate the field’s actual practice. To test this, we curated a sensitivity set of 14 battery papers from six control and transportation-electrification venues (ACC, ECC, CCDC, APEC, VPPC, ITEC, 2019–2025), retrieved by venue-scoped Crossref queries, restricted to proceedings articles, ranked by citation count, and verified by the same DOI-resolution procedure as the main corpus (released in full as conference_sensitivity.csv). The comparison is descriptive and abstract-level throughout — indexed abstracts versus the full-text coding of the main corpus — so it is reported as a labelled descriptive check rather than a validated sensitivity analysis, and none of its counts enter the headline statistics of Section 3.4. A pre-stated inclusion rule was then applied mechanically to all retrieved proceedings papers (Table 7 lists all 14 with the rule's outcome): a paper enters the learning-path comparison only if machine learning is a substantive component of its contribution. Under this rule 8 of the 14 qualify; the remainder are conventional model-based estimators (Kalman-filter variants, multiple-model adaptive estimation, batch least squares), an EKF-critique, and one overview, and all 14 are released so that the rule can be audited rather than trusted. Validation practice was classified conservatively from the indexed abstracts into four classes: hardware/experimental stated, public dataset, simulation-level, and not stated.</w:t>
      </w:r>
    </w:p>
    <w:p>
      <w:pPr>
        <w:keepNext/>
        <w:spacing w:after="80"/>
        <w:jc w:val="left"/>
      </w:pPr>
      <w:r>
        <w:rPr>
          <w:rFonts w:ascii="Times New Roman" w:hAnsi="Times New Roman"/>
          <w:b w:val="0"/>
          <w:i w:val="0"/>
          <w:sz w:val="18"/>
        </w:rPr>
        <w:t>Table 7 Conference-path descriptive set: all 14 battery papers retrieved from control and transportation-electrification venues (2019–2025), Crossref-verified, with validation evidence stated in their indexed abstracts. The pre-stated inclusion rule (machine learning as a substantive component of the contribution) retains 8 of the 14 for the learning-path comparison; the remainder are conventional model-based estimators or an overview and are retained here for transparency.</w:t>
      </w:r>
    </w:p>
    <w:tbl>
      <w:tblPr>
        <w:tblStyle w:val="TableGrid"/>
        <w:tblW w:type="auto" w:w="0"/>
        <w:jc w:val="center"/>
        <w:tblLayout w:type="fixed"/>
        <w:tblLook w:firstColumn="1" w:firstRow="1" w:lastColumn="0" w:lastRow="0" w:noHBand="0" w:noVBand="1" w:val="04A0"/>
        <w:tblLayout w:type="fixed"/>
      </w:tblPr>
      <w:tblGrid>
        <w:gridCol w:w="1368"/>
        <w:gridCol w:w="1224"/>
        <w:gridCol w:w="2880"/>
        <w:gridCol w:w="1080"/>
        <w:gridCol w:w="2664"/>
      </w:tblGrid>
      <w:tr>
        <w:trPr>
          <w:cantSplit/>
          <w:tblHeader/>
        </w:trPr>
        <w:tc>
          <w:tcPr>
            <w:tcW w:type="dxa" w:w="1368"/>
          </w:tcPr>
          <w:p>
            <w:pPr>
              <w:jc w:val="center"/>
            </w:pPr>
            <w:r/>
            <w:r>
              <w:rPr>
                <w:rFonts w:ascii="Times New Roman" w:hAnsi="Times New Roman"/>
                <w:b/>
                <w:sz w:val="17"/>
              </w:rPr>
              <w:t>Venue (year)</w:t>
            </w:r>
          </w:p>
        </w:tc>
        <w:tc>
          <w:tcPr>
            <w:tcW w:type="dxa" w:w="1224"/>
          </w:tcPr>
          <w:p>
            <w:pPr>
              <w:jc w:val="center"/>
            </w:pPr>
            <w:r/>
            <w:r>
              <w:rPr>
                <w:rFonts w:ascii="Times New Roman" w:hAnsi="Times New Roman"/>
                <w:b/>
                <w:sz w:val="17"/>
              </w:rPr>
              <w:t>Function</w:t>
            </w:r>
          </w:p>
        </w:tc>
        <w:tc>
          <w:tcPr>
            <w:tcW w:type="dxa" w:w="2880"/>
          </w:tcPr>
          <w:p>
            <w:pPr>
              <w:jc w:val="center"/>
            </w:pPr>
            <w:r/>
            <w:r>
              <w:rPr>
                <w:rFonts w:ascii="Times New Roman" w:hAnsi="Times New Roman"/>
                <w:b/>
                <w:sz w:val="17"/>
              </w:rPr>
              <w:t>Method (short)</w:t>
            </w:r>
          </w:p>
        </w:tc>
        <w:tc>
          <w:tcPr>
            <w:tcW w:type="dxa" w:w="1080"/>
          </w:tcPr>
          <w:p>
            <w:pPr>
              <w:jc w:val="center"/>
            </w:pPr>
            <w:r/>
            <w:r>
              <w:rPr>
                <w:rFonts w:ascii="Times New Roman" w:hAnsi="Times New Roman"/>
                <w:b/>
                <w:sz w:val="17"/>
              </w:rPr>
              <w:t>Learning-based?</w:t>
            </w:r>
          </w:p>
        </w:tc>
        <w:tc>
          <w:tcPr>
            <w:tcW w:type="dxa" w:w="2664"/>
          </w:tcPr>
          <w:p>
            <w:pPr>
              <w:jc w:val="center"/>
            </w:pPr>
            <w:r/>
            <w:r>
              <w:rPr>
                <w:rFonts w:ascii="Times New Roman" w:hAnsi="Times New Roman"/>
                <w:b/>
                <w:sz w:val="17"/>
              </w:rPr>
              <w:t>Validation evidence stated in indexed abstract</w:t>
            </w:r>
          </w:p>
        </w:tc>
      </w:tr>
      <w:tr>
        <w:trPr>
          <w:cantSplit/>
        </w:trPr>
        <w:tc>
          <w:tcPr>
            <w:tcW w:type="dxa" w:w="1368"/>
          </w:tcPr>
          <w:p>
            <w:pPr>
              <w:jc w:val="left"/>
            </w:pPr>
            <w:r/>
            <w:r>
              <w:rPr>
                <w:rFonts w:ascii="Times New Roman" w:hAnsi="Times New Roman"/>
                <w:b w:val="0"/>
                <w:i w:val="0"/>
                <w:sz w:val="17"/>
              </w:rPr>
              <w:t>ITEC 2019</w:t>
            </w:r>
          </w:p>
        </w:tc>
        <w:tc>
          <w:tcPr>
            <w:tcW w:type="dxa" w:w="1224"/>
          </w:tcPr>
          <w:p>
            <w:pPr>
              <w:jc w:val="center"/>
            </w:pPr>
            <w:r/>
            <w:r>
              <w:rPr>
                <w:rFonts w:ascii="Times New Roman" w:hAnsi="Times New Roman"/>
                <w:b w:val="0"/>
                <w:i w:val="0"/>
                <w:sz w:val="17"/>
              </w:rPr>
              <w:t>SOC</w:t>
            </w:r>
          </w:p>
        </w:tc>
        <w:tc>
          <w:tcPr>
            <w:tcW w:type="dxa" w:w="2880"/>
          </w:tcPr>
          <w:p>
            <w:r/>
            <w:r>
              <w:rPr>
                <w:rFonts w:ascii="Times New Roman" w:hAnsi="Times New Roman"/>
                <w:b w:val="0"/>
                <w:i w:val="0"/>
                <w:sz w:val="17"/>
              </w:rPr>
              <w:t xml:space="preserve">LSTM recurrent network with transfer learning </w:t>
            </w:r>
            <w:r>
              <w:rPr>
                <w:rFonts w:ascii="Times New Roman" w:hAnsi="Times New Roman"/>
                <w:sz w:val="17"/>
              </w:rPr>
              <w:t>[32]</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Not stated</w:t>
            </w:r>
          </w:p>
        </w:tc>
      </w:tr>
      <w:tr>
        <w:trPr>
          <w:cantSplit/>
        </w:trPr>
        <w:tc>
          <w:tcPr>
            <w:tcW w:type="dxa" w:w="1368"/>
          </w:tcPr>
          <w:p>
            <w:pPr>
              <w:jc w:val="left"/>
            </w:pPr>
            <w:r/>
            <w:r>
              <w:rPr>
                <w:rFonts w:ascii="Times New Roman" w:hAnsi="Times New Roman"/>
                <w:b w:val="0"/>
                <w:i w:val="0"/>
                <w:sz w:val="17"/>
              </w:rPr>
              <w:t>VPPC 2019</w:t>
            </w:r>
          </w:p>
        </w:tc>
        <w:tc>
          <w:tcPr>
            <w:tcW w:type="dxa" w:w="1224"/>
          </w:tcPr>
          <w:p>
            <w:pPr>
              <w:jc w:val="center"/>
            </w:pPr>
            <w:r/>
            <w:r>
              <w:rPr>
                <w:rFonts w:ascii="Times New Roman" w:hAnsi="Times New Roman"/>
                <w:b w:val="0"/>
                <w:i w:val="0"/>
                <w:sz w:val="17"/>
              </w:rPr>
              <w:t>SOC</w:t>
            </w:r>
          </w:p>
        </w:tc>
        <w:tc>
          <w:tcPr>
            <w:tcW w:type="dxa" w:w="2880"/>
          </w:tcPr>
          <w:p>
            <w:r/>
            <w:r>
              <w:rPr>
                <w:rFonts w:ascii="Times New Roman" w:hAnsi="Times New Roman"/>
                <w:b w:val="0"/>
                <w:i w:val="0"/>
                <w:sz w:val="17"/>
              </w:rPr>
              <w:t xml:space="preserve">SVR + PCA with dual-polarization model </w:t>
            </w:r>
            <w:r>
              <w:rPr>
                <w:rFonts w:ascii="Times New Roman" w:hAnsi="Times New Roman"/>
                <w:sz w:val="17"/>
              </w:rPr>
              <w:t>[33]</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Not stated</w:t>
            </w:r>
          </w:p>
        </w:tc>
      </w:tr>
      <w:tr>
        <w:trPr>
          <w:cantSplit/>
        </w:trPr>
        <w:tc>
          <w:tcPr>
            <w:tcW w:type="dxa" w:w="1368"/>
          </w:tcPr>
          <w:p>
            <w:pPr>
              <w:jc w:val="left"/>
            </w:pPr>
            <w:r/>
            <w:r>
              <w:rPr>
                <w:rFonts w:ascii="Times New Roman" w:hAnsi="Times New Roman"/>
                <w:b w:val="0"/>
                <w:i w:val="0"/>
                <w:sz w:val="17"/>
              </w:rPr>
              <w:t>VPPC 2019</w:t>
            </w:r>
          </w:p>
        </w:tc>
        <w:tc>
          <w:tcPr>
            <w:tcW w:type="dxa" w:w="1224"/>
          </w:tcPr>
          <w:p>
            <w:pPr>
              <w:jc w:val="center"/>
            </w:pPr>
            <w:r/>
            <w:r>
              <w:rPr>
                <w:rFonts w:ascii="Times New Roman" w:hAnsi="Times New Roman"/>
                <w:b w:val="0"/>
                <w:i w:val="0"/>
                <w:sz w:val="17"/>
              </w:rPr>
              <w:t>SOC</w:t>
            </w:r>
          </w:p>
        </w:tc>
        <w:tc>
          <w:tcPr>
            <w:tcW w:type="dxa" w:w="2880"/>
          </w:tcPr>
          <w:p>
            <w:r/>
            <w:r>
              <w:rPr>
                <w:rFonts w:ascii="Times New Roman" w:hAnsi="Times New Roman"/>
                <w:b w:val="0"/>
                <w:i w:val="0"/>
                <w:sz w:val="17"/>
              </w:rPr>
              <w:t xml:space="preserve">Kalman filter on reduced electrochemical model </w:t>
            </w:r>
            <w:r>
              <w:rPr>
                <w:rFonts w:ascii="Times New Roman" w:hAnsi="Times New Roman"/>
                <w:sz w:val="17"/>
              </w:rPr>
              <w:t>[34]</w:t>
            </w:r>
          </w:p>
        </w:tc>
        <w:tc>
          <w:tcPr>
            <w:tcW w:type="dxa" w:w="1080"/>
          </w:tcPr>
          <w:p>
            <w:r/>
            <w:r>
              <w:rPr>
                <w:rFonts w:ascii="Times New Roman" w:hAnsi="Times New Roman"/>
                <w:b w:val="0"/>
                <w:i w:val="0"/>
                <w:sz w:val="17"/>
              </w:rPr>
              <w:t>No (model-based)</w:t>
            </w:r>
          </w:p>
        </w:tc>
        <w:tc>
          <w:tcPr>
            <w:tcW w:type="dxa" w:w="2664"/>
          </w:tcPr>
          <w:p>
            <w:r/>
            <w:r>
              <w:rPr>
                <w:rFonts w:ascii="Times New Roman" w:hAnsi="Times New Roman"/>
                <w:b w:val="0"/>
                <w:i w:val="0"/>
                <w:sz w:val="17"/>
              </w:rPr>
              <w:t>Simulation-level</w:t>
            </w:r>
          </w:p>
        </w:tc>
      </w:tr>
      <w:tr>
        <w:trPr>
          <w:cantSplit/>
        </w:trPr>
        <w:tc>
          <w:tcPr>
            <w:tcW w:type="dxa" w:w="1368"/>
          </w:tcPr>
          <w:p>
            <w:pPr>
              <w:jc w:val="left"/>
            </w:pPr>
            <w:r/>
            <w:r>
              <w:rPr>
                <w:rFonts w:ascii="Times New Roman" w:hAnsi="Times New Roman"/>
                <w:b w:val="0"/>
                <w:i w:val="0"/>
                <w:sz w:val="17"/>
              </w:rPr>
              <w:t>ACC 2021</w:t>
            </w:r>
          </w:p>
        </w:tc>
        <w:tc>
          <w:tcPr>
            <w:tcW w:type="dxa" w:w="1224"/>
          </w:tcPr>
          <w:p>
            <w:pPr>
              <w:jc w:val="center"/>
            </w:pPr>
            <w:r/>
            <w:r>
              <w:rPr>
                <w:rFonts w:ascii="Times New Roman" w:hAnsi="Times New Roman"/>
                <w:b w:val="0"/>
                <w:i w:val="0"/>
                <w:sz w:val="17"/>
              </w:rPr>
              <w:t>SOC</w:t>
            </w:r>
          </w:p>
        </w:tc>
        <w:tc>
          <w:tcPr>
            <w:tcW w:type="dxa" w:w="2880"/>
          </w:tcPr>
          <w:p>
            <w:r/>
            <w:r>
              <w:rPr>
                <w:rFonts w:ascii="Times New Roman" w:hAnsi="Times New Roman"/>
                <w:b w:val="0"/>
                <w:i w:val="0"/>
                <w:sz w:val="17"/>
              </w:rPr>
              <w:t xml:space="preserve">Multiple-model adaptive estimation </w:t>
            </w:r>
            <w:r>
              <w:rPr>
                <w:rFonts w:ascii="Times New Roman" w:hAnsi="Times New Roman"/>
                <w:sz w:val="17"/>
              </w:rPr>
              <w:t>[35]</w:t>
            </w:r>
          </w:p>
        </w:tc>
        <w:tc>
          <w:tcPr>
            <w:tcW w:type="dxa" w:w="1080"/>
          </w:tcPr>
          <w:p>
            <w:r/>
            <w:r>
              <w:rPr>
                <w:rFonts w:ascii="Times New Roman" w:hAnsi="Times New Roman"/>
                <w:b w:val="0"/>
                <w:i w:val="0"/>
                <w:sz w:val="17"/>
              </w:rPr>
              <w:t>No (model-based)</w:t>
            </w:r>
          </w:p>
        </w:tc>
        <w:tc>
          <w:tcPr>
            <w:tcW w:type="dxa" w:w="2664"/>
          </w:tcPr>
          <w:p>
            <w:r/>
            <w:r>
              <w:rPr>
                <w:rFonts w:ascii="Times New Roman" w:hAnsi="Times New Roman"/>
                <w:b w:val="0"/>
                <w:i w:val="0"/>
                <w:sz w:val="17"/>
              </w:rPr>
              <w:t>Simulation-level</w:t>
            </w:r>
          </w:p>
        </w:tc>
      </w:tr>
      <w:tr>
        <w:trPr>
          <w:cantSplit/>
        </w:trPr>
        <w:tc>
          <w:tcPr>
            <w:tcW w:type="dxa" w:w="1368"/>
          </w:tcPr>
          <w:p>
            <w:pPr>
              <w:jc w:val="left"/>
            </w:pPr>
            <w:r/>
            <w:r>
              <w:rPr>
                <w:rFonts w:ascii="Times New Roman" w:hAnsi="Times New Roman"/>
                <w:b w:val="0"/>
                <w:i w:val="0"/>
                <w:sz w:val="17"/>
              </w:rPr>
              <w:t>VPPC 2021</w:t>
            </w:r>
          </w:p>
        </w:tc>
        <w:tc>
          <w:tcPr>
            <w:tcW w:type="dxa" w:w="1224"/>
          </w:tcPr>
          <w:p>
            <w:pPr>
              <w:jc w:val="center"/>
            </w:pPr>
            <w:r/>
            <w:r>
              <w:rPr>
                <w:rFonts w:ascii="Times New Roman" w:hAnsi="Times New Roman"/>
                <w:b w:val="0"/>
                <w:i w:val="0"/>
                <w:sz w:val="17"/>
              </w:rPr>
              <w:t>SOC</w:t>
            </w:r>
          </w:p>
        </w:tc>
        <w:tc>
          <w:tcPr>
            <w:tcW w:type="dxa" w:w="2880"/>
          </w:tcPr>
          <w:p>
            <w:r/>
            <w:r>
              <w:rPr>
                <w:rFonts w:ascii="Times New Roman" w:hAnsi="Times New Roman"/>
                <w:b w:val="0"/>
                <w:i w:val="0"/>
                <w:sz w:val="17"/>
              </w:rPr>
              <w:t xml:space="preserve">Computationally efficient neural network </w:t>
            </w:r>
            <w:r>
              <w:rPr>
                <w:rFonts w:ascii="Times New Roman" w:hAnsi="Times New Roman"/>
                <w:sz w:val="17"/>
              </w:rPr>
              <w:t>[36]</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Simulation-level</w:t>
            </w:r>
          </w:p>
        </w:tc>
      </w:tr>
      <w:tr>
        <w:trPr>
          <w:cantSplit/>
        </w:trPr>
        <w:tc>
          <w:tcPr>
            <w:tcW w:type="dxa" w:w="1368"/>
          </w:tcPr>
          <w:p>
            <w:pPr>
              <w:jc w:val="left"/>
            </w:pPr>
            <w:r/>
            <w:r>
              <w:rPr>
                <w:rFonts w:ascii="Times New Roman" w:hAnsi="Times New Roman"/>
                <w:b w:val="0"/>
                <w:i w:val="0"/>
                <w:sz w:val="17"/>
              </w:rPr>
              <w:t>VPPC 2021</w:t>
            </w:r>
          </w:p>
        </w:tc>
        <w:tc>
          <w:tcPr>
            <w:tcW w:type="dxa" w:w="1224"/>
          </w:tcPr>
          <w:p>
            <w:pPr>
              <w:jc w:val="center"/>
            </w:pPr>
            <w:r/>
            <w:r>
              <w:rPr>
                <w:rFonts w:ascii="Times New Roman" w:hAnsi="Times New Roman"/>
                <w:b w:val="0"/>
                <w:i w:val="0"/>
                <w:sz w:val="17"/>
              </w:rPr>
              <w:t>SOH</w:t>
            </w:r>
          </w:p>
        </w:tc>
        <w:tc>
          <w:tcPr>
            <w:tcW w:type="dxa" w:w="2880"/>
          </w:tcPr>
          <w:p>
            <w:r/>
            <w:r>
              <w:rPr>
                <w:rFonts w:ascii="Times New Roman" w:hAnsi="Times New Roman"/>
                <w:b w:val="0"/>
                <w:i w:val="0"/>
                <w:sz w:val="17"/>
              </w:rPr>
              <w:t xml:space="preserve">ML ensemble </w:t>
            </w:r>
            <w:r>
              <w:rPr>
                <w:rFonts w:ascii="Times New Roman" w:hAnsi="Times New Roman"/>
                <w:sz w:val="17"/>
              </w:rPr>
              <w:t>[37]</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Public dataset</w:t>
            </w:r>
          </w:p>
        </w:tc>
      </w:tr>
      <w:tr>
        <w:trPr>
          <w:cantSplit/>
        </w:trPr>
        <w:tc>
          <w:tcPr>
            <w:tcW w:type="dxa" w:w="1368"/>
          </w:tcPr>
          <w:p>
            <w:pPr>
              <w:jc w:val="left"/>
            </w:pPr>
            <w:r/>
            <w:r>
              <w:rPr>
                <w:rFonts w:ascii="Times New Roman" w:hAnsi="Times New Roman"/>
                <w:b w:val="0"/>
                <w:i w:val="0"/>
                <w:sz w:val="17"/>
              </w:rPr>
              <w:t>ECC 2021</w:t>
            </w:r>
          </w:p>
        </w:tc>
        <w:tc>
          <w:tcPr>
            <w:tcW w:type="dxa" w:w="1224"/>
          </w:tcPr>
          <w:p>
            <w:pPr>
              <w:jc w:val="center"/>
            </w:pPr>
            <w:r/>
            <w:r>
              <w:rPr>
                <w:rFonts w:ascii="Times New Roman" w:hAnsi="Times New Roman"/>
                <w:b w:val="0"/>
                <w:i w:val="0"/>
                <w:sz w:val="17"/>
              </w:rPr>
              <w:t>SOH</w:t>
            </w:r>
          </w:p>
        </w:tc>
        <w:tc>
          <w:tcPr>
            <w:tcW w:type="dxa" w:w="2880"/>
          </w:tcPr>
          <w:p>
            <w:r/>
            <w:r>
              <w:rPr>
                <w:rFonts w:ascii="Times New Roman" w:hAnsi="Times New Roman"/>
                <w:b w:val="0"/>
                <w:i w:val="0"/>
                <w:sz w:val="17"/>
              </w:rPr>
              <w:t xml:space="preserve">Reinforcement learning + observer </w:t>
            </w:r>
            <w:r>
              <w:rPr>
                <w:rFonts w:ascii="Times New Roman" w:hAnsi="Times New Roman"/>
                <w:sz w:val="17"/>
              </w:rPr>
              <w:t>[38]</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Not stated</w:t>
            </w:r>
          </w:p>
        </w:tc>
      </w:tr>
      <w:tr>
        <w:trPr>
          <w:cantSplit/>
        </w:trPr>
        <w:tc>
          <w:tcPr>
            <w:tcW w:type="dxa" w:w="1368"/>
          </w:tcPr>
          <w:p>
            <w:pPr>
              <w:jc w:val="left"/>
            </w:pPr>
            <w:r/>
            <w:r>
              <w:rPr>
                <w:rFonts w:ascii="Times New Roman" w:hAnsi="Times New Roman"/>
                <w:b w:val="0"/>
                <w:i w:val="0"/>
                <w:sz w:val="17"/>
              </w:rPr>
              <w:t>CCDC 2022</w:t>
            </w:r>
          </w:p>
        </w:tc>
        <w:tc>
          <w:tcPr>
            <w:tcW w:type="dxa" w:w="1224"/>
          </w:tcPr>
          <w:p>
            <w:pPr>
              <w:jc w:val="center"/>
            </w:pPr>
            <w:r/>
            <w:r>
              <w:rPr>
                <w:rFonts w:ascii="Times New Roman" w:hAnsi="Times New Roman"/>
                <w:b w:val="0"/>
                <w:i w:val="0"/>
                <w:sz w:val="17"/>
              </w:rPr>
              <w:t>SOH</w:t>
            </w:r>
          </w:p>
        </w:tc>
        <w:tc>
          <w:tcPr>
            <w:tcW w:type="dxa" w:w="2880"/>
          </w:tcPr>
          <w:p>
            <w:r/>
            <w:r>
              <w:rPr>
                <w:rFonts w:ascii="Times New Roman" w:hAnsi="Times New Roman"/>
                <w:b w:val="0"/>
                <w:i w:val="0"/>
                <w:sz w:val="17"/>
              </w:rPr>
              <w:t xml:space="preserve">CNN-BiLSTM transfer learning </w:t>
            </w:r>
            <w:r>
              <w:rPr>
                <w:rFonts w:ascii="Times New Roman" w:hAnsi="Times New Roman"/>
                <w:sz w:val="17"/>
              </w:rPr>
              <w:t>[39]</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Hardware (stated); public data</w:t>
            </w:r>
          </w:p>
        </w:tc>
      </w:tr>
      <w:tr>
        <w:trPr>
          <w:cantSplit/>
        </w:trPr>
        <w:tc>
          <w:tcPr>
            <w:tcW w:type="dxa" w:w="1368"/>
          </w:tcPr>
          <w:p>
            <w:pPr>
              <w:jc w:val="left"/>
            </w:pPr>
            <w:r/>
            <w:r>
              <w:rPr>
                <w:rFonts w:ascii="Times New Roman" w:hAnsi="Times New Roman"/>
                <w:b w:val="0"/>
                <w:i w:val="0"/>
                <w:sz w:val="17"/>
              </w:rPr>
              <w:t>VPPC 2022</w:t>
            </w:r>
          </w:p>
        </w:tc>
        <w:tc>
          <w:tcPr>
            <w:tcW w:type="dxa" w:w="1224"/>
          </w:tcPr>
          <w:p>
            <w:r/>
            <w:r>
              <w:rPr>
                <w:rFonts w:ascii="Times New Roman" w:hAnsi="Times New Roman"/>
                <w:b w:val="0"/>
                <w:i w:val="0"/>
                <w:sz w:val="17"/>
              </w:rPr>
              <w:t>Prognostics</w:t>
            </w:r>
          </w:p>
        </w:tc>
        <w:tc>
          <w:tcPr>
            <w:tcW w:type="dxa" w:w="2880"/>
          </w:tcPr>
          <w:p>
            <w:r/>
            <w:r>
              <w:rPr>
                <w:rFonts w:ascii="Times New Roman" w:hAnsi="Times New Roman"/>
                <w:b w:val="0"/>
                <w:i w:val="0"/>
                <w:sz w:val="17"/>
              </w:rPr>
              <w:t xml:space="preserve">ML on aging data </w:t>
            </w:r>
            <w:r>
              <w:rPr>
                <w:rFonts w:ascii="Times New Roman" w:hAnsi="Times New Roman"/>
                <w:sz w:val="17"/>
              </w:rPr>
              <w:t>[40]</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Hardware (stated)</w:t>
            </w:r>
          </w:p>
        </w:tc>
      </w:tr>
      <w:tr>
        <w:trPr>
          <w:cantSplit/>
        </w:trPr>
        <w:tc>
          <w:tcPr>
            <w:tcW w:type="dxa" w:w="1368"/>
          </w:tcPr>
          <w:p>
            <w:pPr>
              <w:jc w:val="left"/>
            </w:pPr>
            <w:r/>
            <w:r>
              <w:rPr>
                <w:rFonts w:ascii="Times New Roman" w:hAnsi="Times New Roman"/>
                <w:b w:val="0"/>
                <w:i w:val="0"/>
                <w:sz w:val="17"/>
              </w:rPr>
              <w:t>ITEC 2022</w:t>
            </w:r>
          </w:p>
        </w:tc>
        <w:tc>
          <w:tcPr>
            <w:tcW w:type="dxa" w:w="1224"/>
          </w:tcPr>
          <w:p>
            <w:pPr>
              <w:jc w:val="center"/>
            </w:pPr>
            <w:r/>
            <w:r>
              <w:rPr>
                <w:rFonts w:ascii="Times New Roman" w:hAnsi="Times New Roman"/>
                <w:b w:val="0"/>
                <w:i w:val="0"/>
                <w:sz w:val="17"/>
              </w:rPr>
              <w:t>SOC+SOH</w:t>
            </w:r>
          </w:p>
        </w:tc>
        <w:tc>
          <w:tcPr>
            <w:tcW w:type="dxa" w:w="2880"/>
          </w:tcPr>
          <w:p>
            <w:r/>
            <w:r>
              <w:rPr>
                <w:rFonts w:ascii="Times New Roman" w:hAnsi="Times New Roman"/>
                <w:b w:val="0"/>
                <w:i w:val="0"/>
                <w:sz w:val="17"/>
              </w:rPr>
              <w:t xml:space="preserve">Dual extended Kalman filter </w:t>
            </w:r>
            <w:r>
              <w:rPr>
                <w:rFonts w:ascii="Times New Roman" w:hAnsi="Times New Roman"/>
                <w:sz w:val="17"/>
              </w:rPr>
              <w:t>[41]</w:t>
            </w:r>
          </w:p>
        </w:tc>
        <w:tc>
          <w:tcPr>
            <w:tcW w:type="dxa" w:w="1080"/>
          </w:tcPr>
          <w:p>
            <w:r/>
            <w:r>
              <w:rPr>
                <w:rFonts w:ascii="Times New Roman" w:hAnsi="Times New Roman"/>
                <w:b w:val="0"/>
                <w:i w:val="0"/>
                <w:sz w:val="17"/>
              </w:rPr>
              <w:t>No (model-based)</w:t>
            </w:r>
          </w:p>
        </w:tc>
        <w:tc>
          <w:tcPr>
            <w:tcW w:type="dxa" w:w="2664"/>
          </w:tcPr>
          <w:p>
            <w:r/>
            <w:r>
              <w:rPr>
                <w:rFonts w:ascii="Times New Roman" w:hAnsi="Times New Roman"/>
                <w:b w:val="0"/>
                <w:i w:val="0"/>
                <w:sz w:val="17"/>
              </w:rPr>
              <w:t>Not stated</w:t>
            </w:r>
          </w:p>
        </w:tc>
      </w:tr>
      <w:tr>
        <w:trPr>
          <w:cantSplit/>
        </w:trPr>
        <w:tc>
          <w:tcPr>
            <w:tcW w:type="dxa" w:w="1368"/>
          </w:tcPr>
          <w:p>
            <w:pPr>
              <w:jc w:val="left"/>
            </w:pPr>
            <w:r/>
            <w:r>
              <w:rPr>
                <w:rFonts w:ascii="Times New Roman" w:hAnsi="Times New Roman"/>
                <w:b w:val="0"/>
                <w:i w:val="0"/>
                <w:sz w:val="17"/>
              </w:rPr>
              <w:t>ACC 2023</w:t>
            </w:r>
          </w:p>
        </w:tc>
        <w:tc>
          <w:tcPr>
            <w:tcW w:type="dxa" w:w="1224"/>
          </w:tcPr>
          <w:p>
            <w:pPr>
              <w:jc w:val="center"/>
            </w:pPr>
            <w:r/>
            <w:r>
              <w:rPr>
                <w:rFonts w:ascii="Times New Roman" w:hAnsi="Times New Roman"/>
                <w:b w:val="0"/>
                <w:i w:val="0"/>
                <w:sz w:val="17"/>
              </w:rPr>
              <w:t>SOC+SOH</w:t>
            </w:r>
          </w:p>
        </w:tc>
        <w:tc>
          <w:tcPr>
            <w:tcW w:type="dxa" w:w="2880"/>
          </w:tcPr>
          <w:p>
            <w:r/>
            <w:r>
              <w:rPr>
                <w:rFonts w:ascii="Times New Roman" w:hAnsi="Times New Roman"/>
                <w:b w:val="0"/>
                <w:i w:val="0"/>
                <w:sz w:val="17"/>
              </w:rPr>
              <w:t xml:space="preserve">Real-time estimator + batch least squares </w:t>
            </w:r>
            <w:r>
              <w:rPr>
                <w:rFonts w:ascii="Times New Roman" w:hAnsi="Times New Roman"/>
                <w:sz w:val="17"/>
              </w:rPr>
              <w:t>[42]</w:t>
            </w:r>
          </w:p>
        </w:tc>
        <w:tc>
          <w:tcPr>
            <w:tcW w:type="dxa" w:w="1080"/>
          </w:tcPr>
          <w:p>
            <w:r/>
            <w:r>
              <w:rPr>
                <w:rFonts w:ascii="Times New Roman" w:hAnsi="Times New Roman"/>
                <w:b w:val="0"/>
                <w:i w:val="0"/>
                <w:sz w:val="17"/>
              </w:rPr>
              <w:t>No (model-based)</w:t>
            </w:r>
          </w:p>
        </w:tc>
        <w:tc>
          <w:tcPr>
            <w:tcW w:type="dxa" w:w="2664"/>
          </w:tcPr>
          <w:p>
            <w:r/>
            <w:r>
              <w:rPr>
                <w:rFonts w:ascii="Times New Roman" w:hAnsi="Times New Roman"/>
                <w:b w:val="0"/>
                <w:i w:val="0"/>
                <w:sz w:val="17"/>
              </w:rPr>
              <w:t>Not stated</w:t>
            </w:r>
          </w:p>
        </w:tc>
      </w:tr>
      <w:tr>
        <w:trPr>
          <w:cantSplit/>
        </w:trPr>
        <w:tc>
          <w:tcPr>
            <w:tcW w:type="dxa" w:w="1368"/>
          </w:tcPr>
          <w:p>
            <w:pPr>
              <w:jc w:val="left"/>
            </w:pPr>
            <w:r/>
            <w:r>
              <w:rPr>
                <w:rFonts w:ascii="Times New Roman" w:hAnsi="Times New Roman"/>
                <w:b w:val="0"/>
                <w:i w:val="0"/>
                <w:sz w:val="17"/>
              </w:rPr>
              <w:t>APEC 2023</w:t>
            </w:r>
          </w:p>
        </w:tc>
        <w:tc>
          <w:tcPr>
            <w:tcW w:type="dxa" w:w="1224"/>
          </w:tcPr>
          <w:p>
            <w:r/>
            <w:r>
              <w:rPr>
                <w:rFonts w:ascii="Times New Roman" w:hAnsi="Times New Roman"/>
                <w:b w:val="0"/>
                <w:i w:val="0"/>
                <w:sz w:val="17"/>
              </w:rPr>
              <w:t>Overview</w:t>
            </w:r>
          </w:p>
        </w:tc>
        <w:tc>
          <w:tcPr>
            <w:tcW w:type="dxa" w:w="2880"/>
          </w:tcPr>
          <w:p>
            <w:r/>
            <w:r>
              <w:rPr>
                <w:rFonts w:ascii="Times New Roman" w:hAnsi="Times New Roman"/>
                <w:b w:val="0"/>
                <w:i w:val="0"/>
                <w:sz w:val="17"/>
              </w:rPr>
              <w:t xml:space="preserve">Review of ML-enabled estimation </w:t>
            </w:r>
            <w:r>
              <w:rPr>
                <w:rFonts w:ascii="Times New Roman" w:hAnsi="Times New Roman"/>
                <w:sz w:val="17"/>
              </w:rPr>
              <w:t>[43]</w:t>
            </w:r>
          </w:p>
        </w:tc>
        <w:tc>
          <w:tcPr>
            <w:tcW w:type="dxa" w:w="1080"/>
          </w:tcPr>
          <w:p>
            <w:r/>
            <w:r>
              <w:rPr>
                <w:rFonts w:ascii="Times New Roman" w:hAnsi="Times New Roman"/>
                <w:b w:val="0"/>
                <w:i w:val="0"/>
                <w:sz w:val="17"/>
              </w:rPr>
              <w:t>Overview</w:t>
            </w:r>
          </w:p>
        </w:tc>
        <w:tc>
          <w:tcPr>
            <w:tcW w:type="dxa" w:w="2664"/>
          </w:tcPr>
          <w:p>
            <w:r/>
            <w:r>
              <w:rPr>
                <w:rFonts w:ascii="Times New Roman" w:hAnsi="Times New Roman"/>
                <w:b w:val="0"/>
                <w:i w:val="0"/>
                <w:sz w:val="17"/>
              </w:rPr>
              <w:t>Not applicable</w:t>
            </w:r>
          </w:p>
        </w:tc>
      </w:tr>
      <w:tr>
        <w:trPr>
          <w:cantSplit/>
        </w:trPr>
        <w:tc>
          <w:tcPr>
            <w:tcW w:type="dxa" w:w="1368"/>
          </w:tcPr>
          <w:p>
            <w:pPr>
              <w:jc w:val="left"/>
            </w:pPr>
            <w:r/>
            <w:r>
              <w:rPr>
                <w:rFonts w:ascii="Times New Roman" w:hAnsi="Times New Roman"/>
                <w:b w:val="0"/>
                <w:i w:val="0"/>
                <w:sz w:val="17"/>
              </w:rPr>
              <w:t>ITEC 2023</w:t>
            </w:r>
          </w:p>
        </w:tc>
        <w:tc>
          <w:tcPr>
            <w:tcW w:type="dxa" w:w="1224"/>
          </w:tcPr>
          <w:p>
            <w:pPr>
              <w:jc w:val="center"/>
            </w:pPr>
            <w:r/>
            <w:r>
              <w:rPr>
                <w:rFonts w:ascii="Times New Roman" w:hAnsi="Times New Roman"/>
                <w:b w:val="0"/>
                <w:i w:val="0"/>
                <w:sz w:val="17"/>
              </w:rPr>
              <w:t>SOH</w:t>
            </w:r>
          </w:p>
        </w:tc>
        <w:tc>
          <w:tcPr>
            <w:tcW w:type="dxa" w:w="2880"/>
          </w:tcPr>
          <w:p>
            <w:r/>
            <w:r>
              <w:rPr>
                <w:rFonts w:ascii="Times New Roman" w:hAnsi="Times New Roman"/>
                <w:b w:val="0"/>
                <w:i w:val="0"/>
                <w:sz w:val="17"/>
              </w:rPr>
              <w:t xml:space="preserve">Histogram data + PCA + regression </w:t>
            </w:r>
            <w:r>
              <w:rPr>
                <w:rFonts w:ascii="Times New Roman" w:hAnsi="Times New Roman"/>
                <w:sz w:val="17"/>
              </w:rPr>
              <w:t>[44]</w:t>
            </w:r>
          </w:p>
        </w:tc>
        <w:tc>
          <w:tcPr>
            <w:tcW w:type="dxa" w:w="1080"/>
          </w:tcPr>
          <w:p>
            <w:pPr>
              <w:jc w:val="center"/>
            </w:pPr>
            <w:r/>
            <w:r>
              <w:rPr>
                <w:rFonts w:ascii="Times New Roman" w:hAnsi="Times New Roman"/>
                <w:b w:val="0"/>
                <w:i w:val="0"/>
                <w:sz w:val="17"/>
              </w:rPr>
              <w:t>Yes</w:t>
            </w:r>
          </w:p>
        </w:tc>
        <w:tc>
          <w:tcPr>
            <w:tcW w:type="dxa" w:w="2664"/>
          </w:tcPr>
          <w:p>
            <w:r/>
            <w:r>
              <w:rPr>
                <w:rFonts w:ascii="Times New Roman" w:hAnsi="Times New Roman"/>
                <w:b w:val="0"/>
                <w:i w:val="0"/>
                <w:sz w:val="17"/>
              </w:rPr>
              <w:t>Public dataset</w:t>
            </w:r>
          </w:p>
        </w:tc>
      </w:tr>
      <w:tr>
        <w:trPr>
          <w:cantSplit/>
        </w:trPr>
        <w:tc>
          <w:tcPr>
            <w:tcW w:type="dxa" w:w="1368"/>
          </w:tcPr>
          <w:p>
            <w:pPr>
              <w:jc w:val="left"/>
            </w:pPr>
            <w:r/>
            <w:r>
              <w:rPr>
                <w:rFonts w:ascii="Times New Roman" w:hAnsi="Times New Roman"/>
                <w:b w:val="0"/>
                <w:i w:val="0"/>
                <w:sz w:val="17"/>
              </w:rPr>
              <w:t>ACC 2024</w:t>
            </w:r>
          </w:p>
        </w:tc>
        <w:tc>
          <w:tcPr>
            <w:tcW w:type="dxa" w:w="1224"/>
          </w:tcPr>
          <w:p>
            <w:pPr>
              <w:jc w:val="center"/>
            </w:pPr>
            <w:r/>
            <w:r>
              <w:rPr>
                <w:rFonts w:ascii="Times New Roman" w:hAnsi="Times New Roman"/>
                <w:b w:val="0"/>
                <w:i w:val="0"/>
                <w:sz w:val="17"/>
              </w:rPr>
              <w:t>SOC+SOH</w:t>
            </w:r>
          </w:p>
        </w:tc>
        <w:tc>
          <w:tcPr>
            <w:tcW w:type="dxa" w:w="2880"/>
          </w:tcPr>
          <w:p>
            <w:r/>
            <w:r>
              <w:rPr>
                <w:rFonts w:ascii="Times New Roman" w:hAnsi="Times New Roman"/>
                <w:b w:val="0"/>
                <w:i w:val="0"/>
                <w:sz w:val="17"/>
              </w:rPr>
              <w:t xml:space="preserve">EKF critique and improvement </w:t>
            </w:r>
            <w:r>
              <w:rPr>
                <w:rFonts w:ascii="Times New Roman" w:hAnsi="Times New Roman"/>
                <w:sz w:val="17"/>
              </w:rPr>
              <w:t>[45]</w:t>
            </w:r>
          </w:p>
        </w:tc>
        <w:tc>
          <w:tcPr>
            <w:tcW w:type="dxa" w:w="1080"/>
          </w:tcPr>
          <w:p>
            <w:r/>
            <w:r>
              <w:rPr>
                <w:rFonts w:ascii="Times New Roman" w:hAnsi="Times New Roman"/>
                <w:b w:val="0"/>
                <w:i w:val="0"/>
                <w:sz w:val="17"/>
              </w:rPr>
              <w:t>No (model-based)</w:t>
            </w:r>
          </w:p>
        </w:tc>
        <w:tc>
          <w:tcPr>
            <w:tcW w:type="dxa" w:w="2664"/>
          </w:tcPr>
          <w:p>
            <w:r/>
            <w:r>
              <w:rPr>
                <w:rFonts w:ascii="Times New Roman" w:hAnsi="Times New Roman"/>
                <w:b w:val="0"/>
                <w:i w:val="0"/>
                <w:sz w:val="17"/>
              </w:rPr>
              <w:t>Simulation-level</w:t>
            </w:r>
          </w:p>
        </w:tc>
      </w:tr>
    </w:tbl>
    <w:p>
      <w:pPr>
        <w:spacing w:after="120"/>
        <w:jc w:val="both"/>
      </w:pPr>
    </w:p>
    <w:p>
      <w:pPr>
        <w:spacing w:after="160"/>
        <w:jc w:val="both"/>
      </w:pPr>
      <w:r>
        <w:rPr>
          <w:rFonts w:ascii="Times New Roman" w:hAnsi="Times New Roman"/>
          <w:b w:val="0"/>
          <w:i w:val="0"/>
          <w:sz w:val="20"/>
        </w:rPr>
        <w:t>The comparison finds no evidence of a venue gap in stated validation evidence, and with eight abstracts on one side it cannot rule one out. Of the 8 learning-based conference papers, 2 state hardware or experimental validation in their indexed abstracts, 2 rest on public datasets, 1 describes simulation-level validation, and 3 state no validation basis at all, alongside 20 of the 88 primary-application journal papers with experimental-hardware demonstrations; at this scale the difference in stated-evidence rates between the two paths is not interpretable, so no percentages are read off it. Two caveats bound whatever reading is put on these counts: conference abstracts are frequently truncated in bibliographic indexes, so the comparison measures stated evidence rather than underlying practice; and the sensitivity set is a curated sample, not a census. The comparison therefore remains descriptive — eight truncated abstracts cannot carry an inference about venue populations — so the venue question stays open on this evidence, and the reporting standards proposed in Section 9.9 apply to journal and conference venues alike.</w:t>
      </w:r>
    </w:p>
    <w:p>
      <w:pPr>
        <w:keepNext/>
        <w:spacing w:after="120"/>
        <w:jc w:val="left"/>
      </w:pPr>
      <w:r>
        <w:rPr>
          <w:rFonts w:ascii="Times New Roman" w:hAnsi="Times New Roman"/>
          <w:b/>
          <w:i w:val="0"/>
          <w:sz w:val="20"/>
        </w:rPr>
        <w:t>4. Machine Learning for Battery State Estimation</w:t>
      </w:r>
    </w:p>
    <w:p>
      <w:pPr>
        <w:keepNext/>
        <w:spacing w:after="80"/>
        <w:jc w:val="left"/>
      </w:pPr>
      <w:r>
        <w:rPr>
          <w:rFonts w:ascii="Times New Roman" w:hAnsi="Times New Roman"/>
          <w:b/>
          <w:i w:val="0"/>
          <w:sz w:val="20"/>
        </w:rPr>
        <w:t>4.1 From filters to recurrent networks</w:t>
      </w:r>
    </w:p>
    <w:p>
      <w:pPr>
        <w:spacing w:after="160"/>
        <w:jc w:val="both"/>
      </w:pPr>
      <w:r>
        <w:rPr>
          <w:rFonts w:ascii="Times New Roman" w:hAnsi="Times New Roman"/>
          <w:b w:val="0"/>
          <w:i w:val="0"/>
          <w:sz w:val="20"/>
        </w:rPr>
        <w:t xml:space="preserve">SOC estimation remains the most mature BMS function, and the corpus shows how machine learning entered it. The early-corpus pattern pairs learning with classical state estimation: Gaussian process regression for pack-level SOC with native uncertainty quantification </w:t>
      </w:r>
      <w:r>
        <w:rPr>
          <w:rFonts w:ascii="Times New Roman" w:hAnsi="Times New Roman"/>
          <w:sz w:val="20"/>
        </w:rPr>
        <w:t>[46]</w:t>
      </w:r>
      <w:r>
        <w:rPr>
          <w:rFonts w:ascii="Times New Roman" w:hAnsi="Times New Roman"/>
          <w:b w:val="0"/>
          <w:i w:val="0"/>
          <w:sz w:val="20"/>
        </w:rPr>
        <w:t xml:space="preserve">, and — most influentially — recurrent networks embedded in unscented Kalman filters, where the LSTM supplies a learned observation model and the filter supplies recursive correction </w:t>
      </w:r>
      <w:r>
        <w:rPr>
          <w:rFonts w:ascii="Times New Roman" w:hAnsi="Times New Roman"/>
          <w:sz w:val="20"/>
        </w:rPr>
        <w:t>[5]</w:t>
      </w:r>
      <w:r>
        <w:rPr>
          <w:rFonts w:ascii="Times New Roman" w:hAnsi="Times New Roman"/>
          <w:b w:val="0"/>
          <w:i w:val="0"/>
          <w:sz w:val="20"/>
        </w:rPr>
        <w:t xml:space="preserve">. Pure data-driven branches developed in parallel: support vector and ensemble regressors on engineered features benchmarked under automotive drive cycles </w:t>
      </w:r>
      <w:r>
        <w:rPr>
          <w:rFonts w:ascii="Times New Roman" w:hAnsi="Times New Roman"/>
          <w:sz w:val="20"/>
        </w:rPr>
        <w:t>[47]</w:t>
      </w:r>
      <w:r>
        <w:rPr>
          <w:rFonts w:ascii="Times New Roman" w:hAnsi="Times New Roman"/>
          <w:b w:val="0"/>
          <w:i w:val="0"/>
          <w:sz w:val="20"/>
        </w:rPr>
        <w:t xml:space="preserve">, and simulation-informed training pipelines that substitute automotive-accurate simulated data for exhaustive cell testing </w:t>
      </w:r>
      <w:r>
        <w:rPr>
          <w:rFonts w:ascii="Times New Roman" w:hAnsi="Times New Roman"/>
          <w:sz w:val="20"/>
        </w:rPr>
        <w:t>[48]</w:t>
      </w:r>
      <w:r>
        <w:rPr>
          <w:rFonts w:ascii="Times New Roman" w:hAnsi="Times New Roman"/>
          <w:b w:val="0"/>
          <w:i w:val="0"/>
          <w:sz w:val="20"/>
        </w:rPr>
        <w:t xml:space="preserve">. Reviews of this first generation conclude that deep-learning SOC estimation is accurate on well-sampled data but suffers from weak interpretability and inconsistent benchmarking </w:t>
      </w:r>
      <w:r>
        <w:rPr>
          <w:rFonts w:ascii="Times New Roman" w:hAnsi="Times New Roman"/>
          <w:sz w:val="20"/>
        </w:rPr>
        <w:t>[17, 18]</w:t>
      </w:r>
      <w:r>
        <w:rPr>
          <w:rFonts w:ascii="Times New Roman" w:hAnsi="Times New Roman"/>
          <w:b w:val="0"/>
          <w:i w:val="0"/>
          <w:sz w:val="20"/>
        </w:rPr>
        <w:t>.</w:t>
      </w:r>
    </w:p>
    <w:p>
      <w:pPr>
        <w:spacing w:after="160"/>
        <w:jc w:val="both"/>
      </w:pPr>
      <w:r>
        <w:rPr>
          <w:rFonts w:ascii="Times New Roman" w:hAnsi="Times New Roman"/>
          <w:b w:val="0"/>
          <w:i w:val="0"/>
          <w:sz w:val="20"/>
        </w:rPr>
        <w:t xml:space="preserve">A second generation tuned network structure itself. Particle-swarm-optimized LSTM improved accuracy and current-noise robustness over vanilla recurrent baselines </w:t>
      </w:r>
      <w:r>
        <w:rPr>
          <w:rFonts w:ascii="Times New Roman" w:hAnsi="Times New Roman"/>
          <w:sz w:val="20"/>
        </w:rPr>
        <w:t>[49]</w:t>
      </w:r>
      <w:r>
        <w:rPr>
          <w:rFonts w:ascii="Times New Roman" w:hAnsi="Times New Roman"/>
          <w:b w:val="0"/>
          <w:i w:val="0"/>
          <w:sz w:val="20"/>
        </w:rPr>
        <w:t xml:space="preserve">, and evolutionary-assisted CNN–BiLSTM hybrids report sub-1% drive-cycle SOC errors </w:t>
      </w:r>
      <w:r>
        <w:rPr>
          <w:rFonts w:ascii="Times New Roman" w:hAnsi="Times New Roman"/>
          <w:sz w:val="20"/>
        </w:rPr>
        <w:t>[50]</w:t>
      </w:r>
      <w:r>
        <w:rPr>
          <w:rFonts w:ascii="Times New Roman" w:hAnsi="Times New Roman"/>
          <w:b w:val="0"/>
          <w:i w:val="0"/>
          <w:sz w:val="20"/>
        </w:rPr>
        <w:t xml:space="preserve">. This optimization-augmented family illustrates a recurring pattern of the corpus: gains are real but modest, and the meta-heuristic component is tuned offline while adding training cost — an investment that only pays at deployment if the estimator’s life is long. Robustness-oriented work addresses pack heterogeneity directly, jointly estimating pack SOC and cell inconsistency with balancing-aware formulations </w:t>
      </w:r>
      <w:r>
        <w:rPr>
          <w:rFonts w:ascii="Times New Roman" w:hAnsi="Times New Roman"/>
          <w:sz w:val="20"/>
        </w:rPr>
        <w:t>[51]</w:t>
      </w:r>
      <w:r>
        <w:rPr>
          <w:rFonts w:ascii="Times New Roman" w:hAnsi="Times New Roman"/>
          <w:b w:val="0"/>
          <w:i w:val="0"/>
          <w:sz w:val="20"/>
        </w:rPr>
        <w:t xml:space="preserve">, large-format applications extend estimation to containerized energy-storage strings with relaxed sensing </w:t>
      </w:r>
      <w:r>
        <w:rPr>
          <w:rFonts w:ascii="Times New Roman" w:hAnsi="Times New Roman"/>
          <w:sz w:val="20"/>
        </w:rPr>
        <w:t>[52]</w:t>
      </w:r>
      <w:r>
        <w:rPr>
          <w:rFonts w:ascii="Times New Roman" w:hAnsi="Times New Roman"/>
          <w:b w:val="0"/>
          <w:i w:val="0"/>
          <w:sz w:val="20"/>
        </w:rPr>
        <w:t xml:space="preserve">, unified frameworks estimate SOH and SOC jointly from partial charging data </w:t>
      </w:r>
      <w:r>
        <w:rPr>
          <w:rFonts w:ascii="Times New Roman" w:hAnsi="Times New Roman"/>
          <w:sz w:val="20"/>
        </w:rPr>
        <w:t>[53]</w:t>
      </w:r>
      <w:r>
        <w:rPr>
          <w:rFonts w:ascii="Times New Roman" w:hAnsi="Times New Roman"/>
          <w:b w:val="0"/>
          <w:i w:val="0"/>
          <w:sz w:val="20"/>
        </w:rPr>
        <w:t xml:space="preserve">, and comparative benchmarks weigh accuracy against the computational budget of electrified powertrains </w:t>
      </w:r>
      <w:r>
        <w:rPr>
          <w:rFonts w:ascii="Times New Roman" w:hAnsi="Times New Roman"/>
          <w:sz w:val="20"/>
        </w:rPr>
        <w:t>[54, 55]</w:t>
      </w:r>
      <w:r>
        <w:rPr>
          <w:rFonts w:ascii="Times New Roman" w:hAnsi="Times New Roman"/>
          <w:b w:val="0"/>
          <w:i w:val="0"/>
          <w:sz w:val="20"/>
        </w:rPr>
        <w:t>.</w:t>
      </w:r>
    </w:p>
    <w:p>
      <w:pPr>
        <w:spacing w:after="160"/>
        <w:jc w:val="both"/>
      </w:pPr>
      <w:r>
        <w:rPr>
          <w:rFonts w:ascii="Times New Roman" w:hAnsi="Times New Roman"/>
          <w:b w:val="0"/>
          <w:i w:val="0"/>
          <w:sz w:val="20"/>
        </w:rPr>
        <w:t xml:space="preserve">Two features of this cluster stand out against the rest of the corpus. First, it is the only function where classical estimation theory and machine learning have genuinely fused in published practice: the filter-embedded pattern </w:t>
      </w:r>
      <w:r>
        <w:rPr>
          <w:rFonts w:ascii="Times New Roman" w:hAnsi="Times New Roman"/>
          <w:sz w:val="20"/>
        </w:rPr>
        <w:t>[5]</w:t>
      </w:r>
      <w:r>
        <w:rPr>
          <w:rFonts w:ascii="Times New Roman" w:hAnsi="Times New Roman"/>
          <w:b w:val="0"/>
          <w:i w:val="0"/>
          <w:sz w:val="20"/>
        </w:rPr>
        <w:t xml:space="preserve"> recurs across the five-year window in increasingly sophisticated forms, whereas health estimation and prognostics largely abandoned hybrid filtering after their Gaussian-process phase. Second, SOC papers report the corpus’s most standardized evaluation — drive-cycle profiles at room temperature with RMSE or MAE in percent SOC — which makes their benchmarks legible even where the underlying datasets remain private. The cost of that legibility is convergence: with every paper evaluating on the same standard cycles, the marginal contribution of a new architecture is shrinking, and the cluster’s research attention is shifting toward robustness conditions — noise, sensor faults, temperature, and aging shift — where the standard benchmarks are silent.</w:t>
      </w:r>
    </w:p>
    <w:p>
      <w:pPr>
        <w:keepNext/>
        <w:spacing w:after="80"/>
        <w:jc w:val="left"/>
      </w:pPr>
      <w:r>
        <w:rPr>
          <w:rFonts w:ascii="Times New Roman" w:hAnsi="Times New Roman"/>
          <w:b/>
          <w:i w:val="0"/>
          <w:sz w:val="20"/>
        </w:rPr>
        <w:t>4.2 Hybrid and physics-informed estimation</w:t>
      </w:r>
    </w:p>
    <w:p>
      <w:pPr>
        <w:spacing w:after="160"/>
        <w:jc w:val="both"/>
      </w:pPr>
      <w:r>
        <w:rPr>
          <w:rFonts w:ascii="Times New Roman" w:hAnsi="Times New Roman"/>
          <w:b w:val="0"/>
          <w:i w:val="0"/>
          <w:sz w:val="20"/>
        </w:rPr>
        <w:t xml:space="preserve">The most substantive recent shift in SOC estimation is the move from purely learned estimators to hybrid schemes in which a filter, an equivalent-circuit model, or a physics prior constrains the learner. GA-optimized LSTM networks coupled with improved adaptive Kalman filtering reach low error under measurement noise that breaks pure-network estimators </w:t>
      </w:r>
      <w:r>
        <w:rPr>
          <w:rFonts w:ascii="Times New Roman" w:hAnsi="Times New Roman"/>
          <w:sz w:val="20"/>
        </w:rPr>
        <w:t>[56]</w:t>
      </w:r>
      <w:r>
        <w:rPr>
          <w:rFonts w:ascii="Times New Roman" w:hAnsi="Times New Roman"/>
          <w:b w:val="0"/>
          <w:i w:val="0"/>
          <w:sz w:val="20"/>
        </w:rPr>
        <w:t xml:space="preserve">; equivalent-circuit-informed ML on impedance features estimates SOC across temperatures </w:t>
      </w:r>
      <w:r>
        <w:rPr>
          <w:rFonts w:ascii="Times New Roman" w:hAnsi="Times New Roman"/>
          <w:sz w:val="20"/>
        </w:rPr>
        <w:t>[57]</w:t>
      </w:r>
      <w:r>
        <w:rPr>
          <w:rFonts w:ascii="Times New Roman" w:hAnsi="Times New Roman"/>
          <w:b w:val="0"/>
          <w:i w:val="0"/>
          <w:sz w:val="20"/>
        </w:rPr>
        <w:t xml:space="preserve">; and physics-informed recurrent structures embed battery dynamics directly into the network’s training objective </w:t>
      </w:r>
      <w:r>
        <w:rPr>
          <w:rFonts w:ascii="Times New Roman" w:hAnsi="Times New Roman"/>
          <w:sz w:val="20"/>
        </w:rPr>
        <w:t>[10]</w:t>
      </w:r>
      <w:r>
        <w:rPr>
          <w:rFonts w:ascii="Times New Roman" w:hAnsi="Times New Roman"/>
          <w:b w:val="0"/>
          <w:i w:val="0"/>
          <w:sz w:val="20"/>
        </w:rPr>
        <w:t>. These schemes trade engineering complexity for extrapolation behavior: because the physics component carries structure that does not need to be relearned, hybrid estimators degrade more gracefully outside their training envelope — the property that matters most onboard.</w:t>
      </w:r>
    </w:p>
    <w:p>
      <w:pPr>
        <w:keepNext/>
        <w:spacing w:after="80"/>
        <w:jc w:val="left"/>
      </w:pPr>
      <w:r>
        <w:rPr>
          <w:rFonts w:ascii="Times New Roman" w:hAnsi="Times New Roman"/>
          <w:b/>
          <w:i w:val="0"/>
          <w:sz w:val="20"/>
        </w:rPr>
        <w:t>4.3 Critical assessment</w:t>
      </w:r>
    </w:p>
    <w:p>
      <w:pPr>
        <w:spacing w:after="160"/>
        <w:jc w:val="both"/>
      </w:pPr>
      <w:r>
        <w:rPr>
          <w:rFonts w:ascii="Times New Roman" w:hAnsi="Times New Roman"/>
          <w:b w:val="0"/>
          <w:i w:val="0"/>
          <w:sz w:val="20"/>
        </w:rPr>
        <w:t xml:space="preserve">The SOC literature of the corpus is accurate but inward-looking. Reported errors are consistently low on the standard drive cycles, yet 12 of the 13 primary SOC papers rest on laboratory-scale data (11 on the authors' own cells, one on laboratory impedance measurements), 9 of the 13 on a single cathode chemistry (NMC), and the thirteenth — the cluster's only operation-scale demonstration — is a simulated stationary containerized storage system rather than a vehicle </w:t>
      </w:r>
      <w:r>
        <w:rPr>
          <w:rFonts w:ascii="Times New Roman" w:hAnsi="Times New Roman"/>
          <w:sz w:val="20"/>
        </w:rPr>
        <w:t>[52]</w:t>
      </w:r>
      <w:r>
        <w:rPr>
          <w:rFonts w:ascii="Times New Roman" w:hAnsi="Times New Roman"/>
          <w:b w:val="0"/>
          <w:i w:val="0"/>
          <w:sz w:val="20"/>
        </w:rPr>
        <w:t xml:space="preserve">. The review literature itself identifies the consequence: benchmark heterogeneity makes cross-paper comparison nearly meaningless, and generalization across temperature, chemistry, and aging state remains weakly evidenced </w:t>
      </w:r>
      <w:r>
        <w:rPr>
          <w:rFonts w:ascii="Times New Roman" w:hAnsi="Times New Roman"/>
          <w:sz w:val="20"/>
        </w:rPr>
        <w:t>[1]</w:t>
      </w:r>
      <w:r>
        <w:rPr>
          <w:rFonts w:ascii="Times New Roman" w:hAnsi="Times New Roman"/>
          <w:b w:val="0"/>
          <w:i w:val="0"/>
          <w:sz w:val="20"/>
        </w:rPr>
        <w:t>. The SOC function is, in other words, an area where the laboratory-regime estimation problem is, by reported metrics, effectively addressed — though those metrics are not comparable across papers (Section 5.6) — while the deployment problem — guaranteed accuracy on arbitrary packs over full aging — has not.</w:t>
      </w:r>
    </w:p>
    <w:p>
      <w:pPr>
        <w:spacing w:after="160"/>
        <w:jc w:val="both"/>
      </w:pPr>
      <w:r>
        <w:rPr>
          <w:rFonts w:ascii="Times New Roman" w:hAnsi="Times New Roman"/>
          <w:b w:val="0"/>
          <w:i w:val="0"/>
          <w:sz w:val="20"/>
        </w:rPr>
        <w:t xml:space="preserve">State estimation is also where the corpus’s two sensing-hardware threads meet the software thread. Impedance-based SOC estimation demonstrates that electrochemical information beyond terminal voltage can drive estimation when EIS is available </w:t>
      </w:r>
      <w:r>
        <w:rPr>
          <w:rFonts w:ascii="Times New Roman" w:hAnsi="Times New Roman"/>
          <w:sz w:val="20"/>
        </w:rPr>
        <w:t>[57]</w:t>
      </w:r>
      <w:r>
        <w:rPr>
          <w:rFonts w:ascii="Times New Roman" w:hAnsi="Times New Roman"/>
          <w:b w:val="0"/>
          <w:i w:val="0"/>
          <w:sz w:val="20"/>
        </w:rPr>
        <w:t xml:space="preserve">, while the ultrasonic-sensing line proposes non-electrical channels that could in principle be integrated into pack hardware at automotive cost </w:t>
      </w:r>
      <w:r>
        <w:rPr>
          <w:rFonts w:ascii="Times New Roman" w:hAnsi="Times New Roman"/>
          <w:sz w:val="20"/>
        </w:rPr>
        <w:t>[58]</w:t>
      </w:r>
      <w:r>
        <w:rPr>
          <w:rFonts w:ascii="Times New Roman" w:hAnsi="Times New Roman"/>
          <w:b w:val="0"/>
          <w:i w:val="0"/>
          <w:sz w:val="20"/>
        </w:rPr>
        <w:t>. Both remain laboratory-bound for cost and durability reasons, but they mark the boundaries of a design space — better software on existing sensors versus new sensors for better software — that the wider BMS industry is actively exploring.</w:t>
      </w:r>
    </w:p>
    <w:p>
      <w:pPr>
        <w:keepNext/>
        <w:spacing w:after="120"/>
        <w:jc w:val="left"/>
      </w:pPr>
      <w:r>
        <w:rPr>
          <w:rFonts w:ascii="Times New Roman" w:hAnsi="Times New Roman"/>
          <w:b/>
          <w:i w:val="0"/>
          <w:sz w:val="20"/>
        </w:rPr>
        <w:t>5. Machine Learning for Health Estimation and Prognostics</w:t>
      </w:r>
    </w:p>
    <w:p>
      <w:pPr>
        <w:keepNext/>
        <w:spacing w:after="80"/>
        <w:jc w:val="left"/>
      </w:pPr>
      <w:r>
        <w:rPr>
          <w:rFonts w:ascii="Times New Roman" w:hAnsi="Times New Roman"/>
          <w:b/>
          <w:i w:val="0"/>
          <w:sz w:val="20"/>
        </w:rPr>
        <w:t>5.1 Feature engineering and classical estimators</w:t>
      </w:r>
    </w:p>
    <w:p>
      <w:pPr>
        <w:spacing w:after="160"/>
        <w:jc w:val="both"/>
      </w:pPr>
      <w:r>
        <w:rPr>
          <w:rFonts w:ascii="Times New Roman" w:hAnsi="Times New Roman"/>
          <w:b w:val="0"/>
          <w:i w:val="0"/>
          <w:sz w:val="20"/>
        </w:rPr>
        <w:t xml:space="preserve">SOH estimation and RUL prediction form the largest functional block of the corpus (32 primary papers: 19 SOH, 13 RUL; 35 including review-labelled studies). The founding pattern is classical: extract health-sensitive features from partial charge or discharge curves, then regress with Gaussian process or similar shallow models. Incremental-capacity analysis with Gaussian process regression established the template with explicit uncertainty bounds </w:t>
      </w:r>
      <w:r>
        <w:rPr>
          <w:rFonts w:ascii="Times New Roman" w:hAnsi="Times New Roman"/>
          <w:sz w:val="20"/>
        </w:rPr>
        <w:t>[59]</w:t>
      </w:r>
      <w:r>
        <w:rPr>
          <w:rFonts w:ascii="Times New Roman" w:hAnsi="Times New Roman"/>
          <w:b w:val="0"/>
          <w:i w:val="0"/>
          <w:sz w:val="20"/>
        </w:rPr>
        <w:t xml:space="preserve">; differential thermal voltammetry extended the feature space to thermal signatures </w:t>
      </w:r>
      <w:r>
        <w:rPr>
          <w:rFonts w:ascii="Times New Roman" w:hAnsi="Times New Roman"/>
          <w:sz w:val="20"/>
        </w:rPr>
        <w:t>[60]</w:t>
      </w:r>
      <w:r>
        <w:rPr>
          <w:rFonts w:ascii="Times New Roman" w:hAnsi="Times New Roman"/>
          <w:b w:val="0"/>
          <w:i w:val="0"/>
          <w:sz w:val="20"/>
        </w:rPr>
        <w:t xml:space="preserve">; and deep Gaussian processes coupled capacity prognosis with degradation-mode identification </w:t>
      </w:r>
      <w:r>
        <w:rPr>
          <w:rFonts w:ascii="Times New Roman" w:hAnsi="Times New Roman"/>
          <w:sz w:val="20"/>
        </w:rPr>
        <w:t>[61]</w:t>
      </w:r>
      <w:r>
        <w:rPr>
          <w:rFonts w:ascii="Times New Roman" w:hAnsi="Times New Roman"/>
          <w:b w:val="0"/>
          <w:i w:val="0"/>
          <w:sz w:val="20"/>
        </w:rPr>
        <w:t xml:space="preserve">. Relaxations of the measurement burden followed: random partial charging data proved sufficient for accurate SOH </w:t>
      </w:r>
      <w:r>
        <w:rPr>
          <w:rFonts w:ascii="Times New Roman" w:hAnsi="Times New Roman"/>
          <w:sz w:val="20"/>
        </w:rPr>
        <w:t>[62]</w:t>
      </w:r>
      <w:r>
        <w:rPr>
          <w:rFonts w:ascii="Times New Roman" w:hAnsi="Times New Roman"/>
          <w:b w:val="0"/>
          <w:i w:val="0"/>
          <w:sz w:val="20"/>
        </w:rPr>
        <w:t xml:space="preserve">, and charging-segment adjustment refined features for vehicle-level use </w:t>
      </w:r>
      <w:r>
        <w:rPr>
          <w:rFonts w:ascii="Times New Roman" w:hAnsi="Times New Roman"/>
          <w:sz w:val="20"/>
        </w:rPr>
        <w:t>[63]</w:t>
      </w:r>
      <w:r>
        <w:rPr>
          <w:rFonts w:ascii="Times New Roman" w:hAnsi="Times New Roman"/>
          <w:b w:val="0"/>
          <w:i w:val="0"/>
          <w:sz w:val="20"/>
        </w:rPr>
        <w:t xml:space="preserve">. The landmark systematization of this generation is the 179-cell machine-learning pipeline of Roman et al., which showed that relaxed charge-curve features support accurate, uncertainty-quantified SOH estimation across a heterogeneous commercial-cell fleet </w:t>
      </w:r>
      <w:r>
        <w:rPr>
          <w:rFonts w:ascii="Times New Roman" w:hAnsi="Times New Roman"/>
          <w:sz w:val="20"/>
        </w:rPr>
        <w:t>[64]</w:t>
      </w:r>
      <w:r>
        <w:rPr>
          <w:rFonts w:ascii="Times New Roman" w:hAnsi="Times New Roman"/>
          <w:b w:val="0"/>
          <w:i w:val="0"/>
          <w:sz w:val="20"/>
        </w:rPr>
        <w:t>.</w:t>
      </w:r>
    </w:p>
    <w:p>
      <w:pPr>
        <w:spacing w:after="160"/>
        <w:jc w:val="both"/>
      </w:pPr>
      <w:r>
        <w:rPr>
          <w:rFonts w:ascii="Times New Roman" w:hAnsi="Times New Roman"/>
          <w:b w:val="0"/>
          <w:i w:val="0"/>
          <w:sz w:val="20"/>
        </w:rPr>
        <w:t xml:space="preserve">The feature taxonomy underlying this generation is worth making explicit because it explains both the cluster’s strengths and its brittleness. Incremental capacity and differential voltage features transform charge curves into peaks whose positions and areas track degradation mechanisms; differential thermal voltammetry adds the temperature dimension; and partial-charging features deliberately sacrifice completeness for practicality, accepting any sufficiently informative voltage window. The approach assumes that the feature-to-health mapping is stable across the cells used for training — an assumption that holds within a cell model and laboratory but weakens across manufacturers, formats, and field profiles. The 179-cell pipeline study is important precisely because it tested that assumption at fleet scale within one commercial technology, and its success should not be over-read as license to transfer features across technologies </w:t>
      </w:r>
      <w:r>
        <w:rPr>
          <w:rFonts w:ascii="Times New Roman" w:hAnsi="Times New Roman"/>
          <w:sz w:val="20"/>
        </w:rPr>
        <w:t>[64]</w:t>
      </w:r>
      <w:r>
        <w:rPr>
          <w:rFonts w:ascii="Times New Roman" w:hAnsi="Times New Roman"/>
          <w:b w:val="0"/>
          <w:i w:val="0"/>
          <w:sz w:val="20"/>
        </w:rPr>
        <w:t>.</w:t>
      </w:r>
    </w:p>
    <w:p>
      <w:pPr>
        <w:keepNext/>
        <w:spacing w:after="80"/>
        <w:jc w:val="left"/>
      </w:pPr>
      <w:r>
        <w:rPr>
          <w:rFonts w:ascii="Times New Roman" w:hAnsi="Times New Roman"/>
          <w:b/>
          <w:i w:val="0"/>
          <w:sz w:val="20"/>
        </w:rPr>
        <w:t>5.2 Deep sequence and cross-cell models</w:t>
      </w:r>
    </w:p>
    <w:p>
      <w:pPr>
        <w:spacing w:after="160"/>
        <w:jc w:val="both"/>
      </w:pPr>
      <w:r>
        <w:rPr>
          <w:rFonts w:ascii="Times New Roman" w:hAnsi="Times New Roman"/>
          <w:b w:val="0"/>
          <w:i w:val="0"/>
          <w:sz w:val="20"/>
        </w:rPr>
        <w:t xml:space="preserve">Deep architectures entered prognostics as sequence models over capacity-fade trajectories and as representation learners over raw curves. Graph convolutional networks fuse multiple health indicators for joint SOH/RUL prediction </w:t>
      </w:r>
      <w:r>
        <w:rPr>
          <w:rFonts w:ascii="Times New Roman" w:hAnsi="Times New Roman"/>
          <w:sz w:val="20"/>
        </w:rPr>
        <w:t>[7]</w:t>
      </w:r>
      <w:r>
        <w:rPr>
          <w:rFonts w:ascii="Times New Roman" w:hAnsi="Times New Roman"/>
          <w:b w:val="0"/>
          <w:i w:val="0"/>
          <w:sz w:val="20"/>
        </w:rPr>
        <w:t xml:space="preserve">; BiLSTM–Transformer hybrids track health under the specific stress of fast charging </w:t>
      </w:r>
      <w:r>
        <w:rPr>
          <w:rFonts w:ascii="Times New Roman" w:hAnsi="Times New Roman"/>
          <w:sz w:val="20"/>
        </w:rPr>
        <w:t>[8]</w:t>
      </w:r>
      <w:r>
        <w:rPr>
          <w:rFonts w:ascii="Times New Roman" w:hAnsi="Times New Roman"/>
          <w:b w:val="0"/>
          <w:i w:val="0"/>
          <w:sz w:val="20"/>
        </w:rPr>
        <w:t xml:space="preserve">; hybrid-fusion networks target real-time prediction streams </w:t>
      </w:r>
      <w:r>
        <w:rPr>
          <w:rFonts w:ascii="Times New Roman" w:hAnsi="Times New Roman"/>
          <w:sz w:val="20"/>
        </w:rPr>
        <w:t>[65]</w:t>
      </w:r>
      <w:r>
        <w:rPr>
          <w:rFonts w:ascii="Times New Roman" w:hAnsi="Times New Roman"/>
          <w:b w:val="0"/>
          <w:i w:val="0"/>
          <w:sz w:val="20"/>
        </w:rPr>
        <w:t xml:space="preserve">; graph neural networks over partial discharge curves improve cross-cell generalization </w:t>
      </w:r>
      <w:r>
        <w:rPr>
          <w:rFonts w:ascii="Times New Roman" w:hAnsi="Times New Roman"/>
          <w:sz w:val="20"/>
        </w:rPr>
        <w:t>[66]</w:t>
      </w:r>
      <w:r>
        <w:rPr>
          <w:rFonts w:ascii="Times New Roman" w:hAnsi="Times New Roman"/>
          <w:b w:val="0"/>
          <w:i w:val="0"/>
          <w:sz w:val="20"/>
        </w:rPr>
        <w:t xml:space="preserve">, and interpretable deep learning couples accuracy with transparency mechanisms </w:t>
      </w:r>
      <w:r>
        <w:rPr>
          <w:rFonts w:ascii="Times New Roman" w:hAnsi="Times New Roman"/>
          <w:sz w:val="20"/>
        </w:rPr>
        <w:t>[67]</w:t>
      </w:r>
      <w:r>
        <w:rPr>
          <w:rFonts w:ascii="Times New Roman" w:hAnsi="Times New Roman"/>
          <w:b w:val="0"/>
          <w:i w:val="0"/>
          <w:sz w:val="20"/>
        </w:rPr>
        <w:t xml:space="preserve">. A particularly important line uses real-world vehicle data rather than laboratory cycling, demonstrating that deep estimators can absorb field-data noise </w:t>
      </w:r>
      <w:r>
        <w:rPr>
          <w:rFonts w:ascii="Times New Roman" w:hAnsi="Times New Roman"/>
          <w:sz w:val="20"/>
        </w:rPr>
        <w:t>[6]</w:t>
      </w:r>
      <w:r>
        <w:rPr>
          <w:rFonts w:ascii="Times New Roman" w:hAnsi="Times New Roman"/>
          <w:b w:val="0"/>
          <w:i w:val="0"/>
          <w:sz w:val="20"/>
        </w:rPr>
        <w:t xml:space="preserve">, and pack-level fusion methods now estimate SOH directly from fleet charge streams </w:t>
      </w:r>
      <w:r>
        <w:rPr>
          <w:rFonts w:ascii="Times New Roman" w:hAnsi="Times New Roman"/>
          <w:sz w:val="20"/>
        </w:rPr>
        <w:t>[68]</w:t>
      </w:r>
      <w:r>
        <w:rPr>
          <w:rFonts w:ascii="Times New Roman" w:hAnsi="Times New Roman"/>
          <w:b w:val="0"/>
          <w:i w:val="0"/>
          <w:sz w:val="20"/>
        </w:rPr>
        <w:t xml:space="preserve">. At the field’s high end, a Nature Communications study showed that deep models can estimate SOH without additional degradation experiments by learning trajectory features that generalize across chemistries </w:t>
      </w:r>
      <w:r>
        <w:rPr>
          <w:rFonts w:ascii="Times New Roman" w:hAnsi="Times New Roman"/>
          <w:sz w:val="20"/>
        </w:rPr>
        <w:t>[69]</w:t>
      </w:r>
      <w:r>
        <w:rPr>
          <w:rFonts w:ascii="Times New Roman" w:hAnsi="Times New Roman"/>
          <w:b w:val="0"/>
          <w:i w:val="0"/>
          <w:sz w:val="20"/>
        </w:rPr>
        <w:t>.</w:t>
      </w:r>
    </w:p>
    <w:p>
      <w:pPr>
        <w:keepNext/>
        <w:spacing w:after="80"/>
        <w:jc w:val="left"/>
      </w:pPr>
      <w:r>
        <w:rPr>
          <w:rFonts w:ascii="Times New Roman" w:hAnsi="Times New Roman"/>
          <w:b/>
          <w:i w:val="0"/>
          <w:sz w:val="20"/>
        </w:rPr>
        <w:t>5.3 Early-life prediction</w:t>
      </w:r>
    </w:p>
    <w:p>
      <w:pPr>
        <w:spacing w:after="160"/>
        <w:jc w:val="both"/>
      </w:pPr>
      <w:r>
        <w:rPr>
          <w:rFonts w:ascii="Times New Roman" w:hAnsi="Times New Roman"/>
          <w:b w:val="0"/>
          <w:i w:val="0"/>
          <w:sz w:val="20"/>
        </w:rPr>
        <w:t xml:space="preserve">Early-life prediction — forecasting lifetime from the first cycles — is the corpus’s most consequential methodological export to practice, because it compresses test times from months to days. Beyond the founding study </w:t>
      </w:r>
      <w:r>
        <w:rPr>
          <w:rFonts w:ascii="Times New Roman" w:hAnsi="Times New Roman"/>
          <w:sz w:val="20"/>
        </w:rPr>
        <w:t>[3]</w:t>
      </w:r>
      <w:r>
        <w:rPr>
          <w:rFonts w:ascii="Times New Roman" w:hAnsi="Times New Roman"/>
          <w:b w:val="0"/>
          <w:i w:val="0"/>
          <w:sz w:val="20"/>
        </w:rPr>
        <w:t xml:space="preserve">, charge-process features predict cycle life across diverse duty cycles </w:t>
      </w:r>
      <w:r>
        <w:rPr>
          <w:rFonts w:ascii="Times New Roman" w:hAnsi="Times New Roman"/>
          <w:sz w:val="20"/>
        </w:rPr>
        <w:t>[70]</w:t>
      </w:r>
      <w:r>
        <w:rPr>
          <w:rFonts w:ascii="Times New Roman" w:hAnsi="Times New Roman"/>
          <w:b w:val="0"/>
          <w:i w:val="0"/>
          <w:sz w:val="20"/>
        </w:rPr>
        <w:t xml:space="preserve">, ML frameworks extract lifetime information from formation-style tests </w:t>
      </w:r>
      <w:r>
        <w:rPr>
          <w:rFonts w:ascii="Times New Roman" w:hAnsi="Times New Roman"/>
          <w:sz w:val="20"/>
        </w:rPr>
        <w:t>[71]</w:t>
      </w:r>
      <w:r>
        <w:rPr>
          <w:rFonts w:ascii="Times New Roman" w:hAnsi="Times New Roman"/>
          <w:b w:val="0"/>
          <w:i w:val="0"/>
          <w:sz w:val="20"/>
        </w:rPr>
        <w:t xml:space="preserve">, hybrid physics-plus-learned models give early RUL from limited cycles </w:t>
      </w:r>
      <w:r>
        <w:rPr>
          <w:rFonts w:ascii="Times New Roman" w:hAnsi="Times New Roman"/>
          <w:sz w:val="20"/>
        </w:rPr>
        <w:t>[72]</w:t>
      </w:r>
      <w:r>
        <w:rPr>
          <w:rFonts w:ascii="Times New Roman" w:hAnsi="Times New Roman"/>
          <w:b w:val="0"/>
          <w:i w:val="0"/>
          <w:sz w:val="20"/>
        </w:rPr>
        <w:t xml:space="preserve">, and discharge-voltage features extend the approach to lithium-metal chemistries </w:t>
      </w:r>
      <w:r>
        <w:rPr>
          <w:rFonts w:ascii="Times New Roman" w:hAnsi="Times New Roman"/>
          <w:sz w:val="20"/>
        </w:rPr>
        <w:t>[73]</w:t>
      </w:r>
      <w:r>
        <w:rPr>
          <w:rFonts w:ascii="Times New Roman" w:hAnsi="Times New Roman"/>
          <w:b w:val="0"/>
          <w:i w:val="0"/>
          <w:sz w:val="20"/>
        </w:rPr>
        <w:t xml:space="preserve">. Board-level implementations close the loop to hardware, predicting capacity and RUL on embedded platforms in real time </w:t>
      </w:r>
      <w:r>
        <w:rPr>
          <w:rFonts w:ascii="Times New Roman" w:hAnsi="Times New Roman"/>
          <w:sz w:val="20"/>
        </w:rPr>
        <w:t>[74]</w:t>
      </w:r>
      <w:r>
        <w:rPr>
          <w:rFonts w:ascii="Times New Roman" w:hAnsi="Times New Roman"/>
          <w:b w:val="0"/>
          <w:i w:val="0"/>
          <w:sz w:val="20"/>
        </w:rPr>
        <w:t>.</w:t>
      </w:r>
    </w:p>
    <w:p>
      <w:pPr>
        <w:spacing w:after="160"/>
        <w:jc w:val="both"/>
      </w:pPr>
      <w:r>
        <w:rPr>
          <w:rFonts w:ascii="Times New Roman" w:hAnsi="Times New Roman"/>
          <w:b w:val="0"/>
          <w:i w:val="0"/>
          <w:sz w:val="20"/>
        </w:rPr>
        <w:t>The economics of early-life prediction explain its rapid uptake: formation and initial cycling are already performed on every production cell, so early-prediction features are available for free at the point of manufacture, and warranty structuring, second-life triage, and cell matching all become data products. The methodological caveat is selection: cells that reach the secondary market, and cell batches that survive manufacturing screens, are conditioned samples whose early-cycle feature distributions differ from the training population. No corpus paper yet quantifies this survivorship effect, which makes it one of the more consequential open measurement problems in the cluster.</w:t>
      </w:r>
    </w:p>
    <w:p>
      <w:pPr>
        <w:keepNext/>
        <w:spacing w:after="80"/>
        <w:jc w:val="left"/>
      </w:pPr>
      <w:r>
        <w:rPr>
          <w:rFonts w:ascii="Times New Roman" w:hAnsi="Times New Roman"/>
          <w:b/>
          <w:i w:val="0"/>
          <w:sz w:val="20"/>
        </w:rPr>
        <w:t>5.4 Physics-informed and hybrid prognostics</w:t>
      </w:r>
    </w:p>
    <w:p>
      <w:pPr>
        <w:spacing w:after="160"/>
        <w:jc w:val="both"/>
      </w:pPr>
      <w:r>
        <w:rPr>
          <w:rFonts w:ascii="Times New Roman" w:hAnsi="Times New Roman"/>
          <w:b w:val="0"/>
          <w:i w:val="0"/>
          <w:sz w:val="20"/>
        </w:rPr>
        <w:t xml:space="preserve">The prognostics cluster shows the corpus’s most visible physics-informed turn. Physics-informed online degradation models support proactive health management by embedding degradation structure into learned models </w:t>
      </w:r>
      <w:r>
        <w:rPr>
          <w:rFonts w:ascii="Times New Roman" w:hAnsi="Times New Roman"/>
          <w:sz w:val="20"/>
        </w:rPr>
        <w:t>[75]</w:t>
      </w:r>
      <w:r>
        <w:rPr>
          <w:rFonts w:ascii="Times New Roman" w:hAnsi="Times New Roman"/>
          <w:b w:val="0"/>
          <w:i w:val="0"/>
          <w:sz w:val="20"/>
        </w:rPr>
        <w:t xml:space="preserve">; physics-informed hybrid reinforcement learning reduces the data demand of SOH estimation </w:t>
      </w:r>
      <w:r>
        <w:rPr>
          <w:rFonts w:ascii="Times New Roman" w:hAnsi="Times New Roman"/>
          <w:sz w:val="20"/>
        </w:rPr>
        <w:t>[76]</w:t>
      </w:r>
      <w:r>
        <w:rPr>
          <w:rFonts w:ascii="Times New Roman" w:hAnsi="Times New Roman"/>
          <w:b w:val="0"/>
          <w:i w:val="0"/>
          <w:sz w:val="20"/>
        </w:rPr>
        <w:t xml:space="preserve">; a generalizable PINN achieves cross-cell SOH estimation from limited early-cycle data </w:t>
      </w:r>
      <w:r>
        <w:rPr>
          <w:rFonts w:ascii="Times New Roman" w:hAnsi="Times New Roman"/>
          <w:sz w:val="20"/>
        </w:rPr>
        <w:t>[77]</w:t>
      </w:r>
      <w:r>
        <w:rPr>
          <w:rFonts w:ascii="Times New Roman" w:hAnsi="Times New Roman"/>
          <w:b w:val="0"/>
          <w:i w:val="0"/>
          <w:sz w:val="20"/>
        </w:rPr>
        <w:t xml:space="preserve">; EIS-informed physics-constrained networks estimate SOH from small impedance datasets </w:t>
      </w:r>
      <w:r>
        <w:rPr>
          <w:rFonts w:ascii="Times New Roman" w:hAnsi="Times New Roman"/>
          <w:sz w:val="20"/>
        </w:rPr>
        <w:t>[78]</w:t>
      </w:r>
      <w:r>
        <w:rPr>
          <w:rFonts w:ascii="Times New Roman" w:hAnsi="Times New Roman"/>
          <w:b w:val="0"/>
          <w:i w:val="0"/>
          <w:sz w:val="20"/>
        </w:rPr>
        <w:t xml:space="preserve">; and a generic physics-informed framework predicts RUL from small early-life samples across datasets </w:t>
      </w:r>
      <w:r>
        <w:rPr>
          <w:rFonts w:ascii="Times New Roman" w:hAnsi="Times New Roman"/>
          <w:sz w:val="20"/>
        </w:rPr>
        <w:t>[79]</w:t>
      </w:r>
      <w:r>
        <w:rPr>
          <w:rFonts w:ascii="Times New Roman" w:hAnsi="Times New Roman"/>
          <w:b w:val="0"/>
          <w:i w:val="0"/>
          <w:sz w:val="20"/>
        </w:rPr>
        <w:t xml:space="preserve">. Multi-feature hybrid schemes lift RUL accuracy across datasets </w:t>
      </w:r>
      <w:r>
        <w:rPr>
          <w:rFonts w:ascii="Times New Roman" w:hAnsi="Times New Roman"/>
          <w:sz w:val="20"/>
        </w:rPr>
        <w:t>[80]</w:t>
      </w:r>
      <w:r>
        <w:rPr>
          <w:rFonts w:ascii="Times New Roman" w:hAnsi="Times New Roman"/>
          <w:b w:val="0"/>
          <w:i w:val="0"/>
          <w:sz w:val="20"/>
        </w:rPr>
        <w:t xml:space="preserve">, signal-decomposition hybrids sharpen capacity-fade prediction on noisy series </w:t>
      </w:r>
      <w:r>
        <w:rPr>
          <w:rFonts w:ascii="Times New Roman" w:hAnsi="Times New Roman"/>
          <w:sz w:val="20"/>
        </w:rPr>
        <w:t>[81]</w:t>
      </w:r>
      <w:r>
        <w:rPr>
          <w:rFonts w:ascii="Times New Roman" w:hAnsi="Times New Roman"/>
          <w:b w:val="0"/>
          <w:i w:val="0"/>
          <w:sz w:val="20"/>
        </w:rPr>
        <w:t xml:space="preserve">, and deep reinforcement learning adaptively selects prognostic models along aging trajectories </w:t>
      </w:r>
      <w:r>
        <w:rPr>
          <w:rFonts w:ascii="Times New Roman" w:hAnsi="Times New Roman"/>
          <w:sz w:val="20"/>
        </w:rPr>
        <w:t>[13]</w:t>
      </w:r>
      <w:r>
        <w:rPr>
          <w:rFonts w:ascii="Times New Roman" w:hAnsi="Times New Roman"/>
          <w:b w:val="0"/>
          <w:i w:val="0"/>
          <w:sz w:val="20"/>
        </w:rPr>
        <w:t>. The shared motivation is clear: pure data-driven models extrapolate poorly past their training envelope, and physics priors are the cheapest available source of structure.</w:t>
      </w:r>
    </w:p>
    <w:p>
      <w:pPr>
        <w:keepNext/>
        <w:spacing w:after="80"/>
        <w:jc w:val="left"/>
      </w:pPr>
      <w:r>
        <w:rPr>
          <w:rFonts w:ascii="Times New Roman" w:hAnsi="Times New Roman"/>
          <w:b/>
          <w:i w:val="0"/>
          <w:sz w:val="20"/>
        </w:rPr>
        <w:t>5.5 Transfer learning and cross-domain generalization</w:t>
      </w:r>
    </w:p>
    <w:p>
      <w:pPr>
        <w:spacing w:after="160"/>
        <w:jc w:val="both"/>
      </w:pPr>
      <w:r>
        <w:rPr>
          <w:rFonts w:ascii="Times New Roman" w:hAnsi="Times New Roman"/>
          <w:b w:val="0"/>
          <w:i w:val="0"/>
          <w:sz w:val="20"/>
        </w:rPr>
        <w:t xml:space="preserve">Transfer learning addresses the corpus’s central weakness — generalization — directly. Domain-adversarial training adapts SOH estimators across operating conditions without target-domain labels </w:t>
      </w:r>
      <w:r>
        <w:rPr>
          <w:rFonts w:ascii="Times New Roman" w:hAnsi="Times New Roman"/>
          <w:sz w:val="20"/>
        </w:rPr>
        <w:t>[11]</w:t>
      </w:r>
      <w:r>
        <w:rPr>
          <w:rFonts w:ascii="Times New Roman" w:hAnsi="Times New Roman"/>
          <w:b w:val="0"/>
          <w:i w:val="0"/>
          <w:sz w:val="20"/>
        </w:rPr>
        <w:t xml:space="preserve">; deep transfer learning with partial charging curves carries capacity estimation across cell types </w:t>
      </w:r>
      <w:r>
        <w:rPr>
          <w:rFonts w:ascii="Times New Roman" w:hAnsi="Times New Roman"/>
          <w:sz w:val="20"/>
        </w:rPr>
        <w:t>[12]</w:t>
      </w:r>
      <w:r>
        <w:rPr>
          <w:rFonts w:ascii="Times New Roman" w:hAnsi="Times New Roman"/>
          <w:b w:val="0"/>
          <w:i w:val="0"/>
          <w:sz w:val="20"/>
        </w:rPr>
        <w:t xml:space="preserve">; transfer under fast-charging protocols extends the approach to protocol shift </w:t>
      </w:r>
      <w:r>
        <w:rPr>
          <w:rFonts w:ascii="Times New Roman" w:hAnsi="Times New Roman"/>
          <w:sz w:val="20"/>
        </w:rPr>
        <w:t>[82]</w:t>
      </w:r>
      <w:r>
        <w:rPr>
          <w:rFonts w:ascii="Times New Roman" w:hAnsi="Times New Roman"/>
          <w:b w:val="0"/>
          <w:i w:val="0"/>
          <w:sz w:val="20"/>
        </w:rPr>
        <w:t xml:space="preserve">; transfer-learning-based EIS estimation crosses chemistries </w:t>
      </w:r>
      <w:r>
        <w:rPr>
          <w:rFonts w:ascii="Times New Roman" w:hAnsi="Times New Roman"/>
          <w:sz w:val="20"/>
        </w:rPr>
        <w:t>[83]</w:t>
      </w:r>
      <w:r>
        <w:rPr>
          <w:rFonts w:ascii="Times New Roman" w:hAnsi="Times New Roman"/>
          <w:b w:val="0"/>
          <w:i w:val="0"/>
          <w:sz w:val="20"/>
        </w:rPr>
        <w:t xml:space="preserve">; and a general framework quantifies and manages the laboratory-to-fleet domain gap for trained estimators </w:t>
      </w:r>
      <w:r>
        <w:rPr>
          <w:rFonts w:ascii="Times New Roman" w:hAnsi="Times New Roman"/>
          <w:sz w:val="20"/>
        </w:rPr>
        <w:t>[84]</w:t>
      </w:r>
      <w:r>
        <w:rPr>
          <w:rFonts w:ascii="Times New Roman" w:hAnsi="Times New Roman"/>
          <w:b w:val="0"/>
          <w:i w:val="0"/>
          <w:sz w:val="20"/>
        </w:rPr>
        <w:t xml:space="preserve">. Framework-level work consolidates these threads: real-time online feature extraction from vehicle data </w:t>
      </w:r>
      <w:r>
        <w:rPr>
          <w:rFonts w:ascii="Times New Roman" w:hAnsi="Times New Roman"/>
          <w:sz w:val="20"/>
        </w:rPr>
        <w:t>[85]</w:t>
      </w:r>
      <w:r>
        <w:rPr>
          <w:rFonts w:ascii="Times New Roman" w:hAnsi="Times New Roman"/>
          <w:b w:val="0"/>
          <w:i w:val="0"/>
          <w:sz w:val="20"/>
        </w:rPr>
        <w:t xml:space="preserve"> and reviews charting non-probabilistic estimation techniques </w:t>
      </w:r>
      <w:r>
        <w:rPr>
          <w:rFonts w:ascii="Times New Roman" w:hAnsi="Times New Roman"/>
          <w:sz w:val="20"/>
        </w:rPr>
        <w:t>[19]</w:t>
      </w:r>
      <w:r>
        <w:rPr>
          <w:rFonts w:ascii="Times New Roman" w:hAnsi="Times New Roman"/>
          <w:b w:val="0"/>
          <w:i w:val="0"/>
          <w:sz w:val="20"/>
        </w:rPr>
        <w:t xml:space="preserve">, alongside joint SOH/RUL architectures that fuse multiple health indicators </w:t>
      </w:r>
      <w:r>
        <w:rPr>
          <w:rFonts w:ascii="Times New Roman" w:hAnsi="Times New Roman"/>
          <w:sz w:val="20"/>
        </w:rPr>
        <w:t>[7]</w:t>
      </w:r>
      <w:r>
        <w:rPr>
          <w:rFonts w:ascii="Times New Roman" w:hAnsi="Times New Roman"/>
          <w:b w:val="0"/>
          <w:i w:val="0"/>
          <w:sz w:val="20"/>
        </w:rPr>
        <w:t>.</w:t>
      </w:r>
    </w:p>
    <w:p>
      <w:pPr>
        <w:keepNext/>
        <w:spacing w:after="80"/>
        <w:jc w:val="left"/>
      </w:pPr>
      <w:r>
        <w:rPr>
          <w:rFonts w:ascii="Times New Roman" w:hAnsi="Times New Roman"/>
          <w:b/>
          <w:i w:val="0"/>
          <w:sz w:val="20"/>
        </w:rPr>
        <w:t>5.6 Critical assessment</w:t>
      </w:r>
    </w:p>
    <w:p>
      <w:pPr>
        <w:spacing w:after="160"/>
        <w:jc w:val="both"/>
      </w:pPr>
      <w:r>
        <w:rPr>
          <w:rFonts w:ascii="Times New Roman" w:hAnsi="Times New Roman"/>
          <w:b w:val="0"/>
          <w:i w:val="0"/>
          <w:sz w:val="20"/>
        </w:rPr>
        <w:t xml:space="preserve">Prognostics is where the corpus’s validation problem bites hardest. The cluster's accuracy claims are established overwhelmingly on public benchmark cells: the Severson-MATR dataset alone appears in 11 corpus papers, NASA and CALCE in 12 more. Within-cell splits and k-fold protocols — which leak trajectory information between train and test — account for 10 of the 32 primary studies in the health-prognostics complex, and for 17 of the 88 primary papers in total. The transfer-learning papers are the honest exception, in that their whole object is distribution shift; but they also reveal how much shift remains unaddressed, with negative transfer cases and per-protocol fine-tuning acknowledged but rarely resolved. The mature judgment is that SOH estimation under controlled conditions is approaching incremental returns, while the prognostics problem that matters — calibrated lifetime and safety margins for arbitrary packs in the field — remains open </w:t>
      </w:r>
      <w:r>
        <w:rPr>
          <w:rFonts w:ascii="Times New Roman" w:hAnsi="Times New Roman"/>
          <w:sz w:val="20"/>
        </w:rPr>
        <w:t>[2, 20]</w:t>
      </w:r>
      <w:r>
        <w:rPr>
          <w:rFonts w:ascii="Times New Roman" w:hAnsi="Times New Roman"/>
          <w:b w:val="0"/>
          <w:i w:val="0"/>
          <w:sz w:val="20"/>
        </w:rPr>
        <w:t>.</w:t>
      </w:r>
    </w:p>
    <w:p>
      <w:pPr>
        <w:spacing w:after="160"/>
        <w:jc w:val="both"/>
      </w:pPr>
      <w:r>
        <w:rPr>
          <w:rFonts w:ascii="Times New Roman" w:hAnsi="Times New Roman"/>
          <w:b w:val="0"/>
          <w:i w:val="0"/>
          <w:sz w:val="20"/>
        </w:rPr>
        <w:t>Metric heterogeneity compounds the validation problem. SOH papers report RMSE or MAE in percent capacity, sometimes normalized differently; RUL papers report cycle counts, percentages of true life, or knee-point errors defined against arbitrary end-of-life thresholds; charging papers report charge time, energy efficiency, and capacity retention after fixed cycle counts, which conflate estimation error with protocol quality. No two clusters share a metric, and within clusters the definitions vary enough that a quantitative meta-analysis of pooled accuracy — the trademark move of clinical meta-research — is not defensible for this literature. The qualitative synthesis of Sections 4–8 is therefore organized around method families, data regimes, and validation designs rather than around pooled effect sizes; this is a deliberate methodological choice, and readers should treat any cross-paper accuracy table with corresponding caution.</w:t>
      </w:r>
    </w:p>
    <w:p>
      <w:pPr>
        <w:keepNext/>
        <w:spacing w:after="120"/>
        <w:jc w:val="left"/>
      </w:pPr>
      <w:r>
        <w:rPr>
          <w:rFonts w:ascii="Times New Roman" w:hAnsi="Times New Roman"/>
          <w:b/>
          <w:i w:val="0"/>
          <w:sz w:val="20"/>
        </w:rPr>
        <w:t>6. Machine Learning for Charging Control and Optimization</w:t>
      </w:r>
    </w:p>
    <w:p>
      <w:pPr>
        <w:keepNext/>
        <w:spacing w:after="80"/>
        <w:jc w:val="left"/>
      </w:pPr>
      <w:r>
        <w:rPr>
          <w:rFonts w:ascii="Times New Roman" w:hAnsi="Times New Roman"/>
          <w:b/>
          <w:i w:val="0"/>
          <w:sz w:val="20"/>
        </w:rPr>
        <w:t>6.1 Closed-loop optimization of charging protocols</w:t>
      </w:r>
    </w:p>
    <w:p>
      <w:pPr>
        <w:spacing w:after="160"/>
        <w:jc w:val="both"/>
      </w:pPr>
      <w:r>
        <w:rPr>
          <w:rFonts w:ascii="Times New Roman" w:hAnsi="Times New Roman"/>
          <w:b w:val="0"/>
          <w:i w:val="0"/>
          <w:sz w:val="20"/>
        </w:rPr>
        <w:t xml:space="preserve">Charging control is the function where machine learning has changed experimental practice most directly, not merely what can be estimated. The defining result is Attia et al.: a Bayesian optimization loop over charging-protocol parameters, evaluating candidate protocols through continuous cycling, identified high-cycle-life protocols among 224 candidates in 16 days — against the more than 500 days an exhaustive search without early prediction would have taken </w:t>
      </w:r>
      <w:r>
        <w:rPr>
          <w:rFonts w:ascii="Times New Roman" w:hAnsi="Times New Roman"/>
          <w:sz w:val="20"/>
        </w:rPr>
        <w:t>[4]</w:t>
      </w:r>
      <w:r>
        <w:rPr>
          <w:rFonts w:ascii="Times New Roman" w:hAnsi="Times New Roman"/>
          <w:b w:val="0"/>
          <w:i w:val="0"/>
          <w:sz w:val="20"/>
        </w:rPr>
        <w:t xml:space="preserve">. The significance is methodological as much as practical: closed-loop learning converts protocol design from expert iteration into sample-efficient optimization. Subsequent work broadened the objective space. Ensemble surrogate models make model-based charging-strategy optimization tractable under multi-objective trade-offs </w:t>
      </w:r>
      <w:r>
        <w:rPr>
          <w:rFonts w:ascii="Times New Roman" w:hAnsi="Times New Roman"/>
          <w:sz w:val="20"/>
        </w:rPr>
        <w:t>[86]</w:t>
      </w:r>
      <w:r>
        <w:rPr>
          <w:rFonts w:ascii="Times New Roman" w:hAnsi="Times New Roman"/>
          <w:b w:val="0"/>
          <w:i w:val="0"/>
          <w:sz w:val="20"/>
        </w:rPr>
        <w:t xml:space="preserve">, and data-driven Bayesian fast-charging optimization reduces charge time under explicit degradation constraints </w:t>
      </w:r>
      <w:r>
        <w:rPr>
          <w:rFonts w:ascii="Times New Roman" w:hAnsi="Times New Roman"/>
          <w:sz w:val="20"/>
        </w:rPr>
        <w:t>[87]</w:t>
      </w:r>
      <w:r>
        <w:rPr>
          <w:rFonts w:ascii="Times New Roman" w:hAnsi="Times New Roman"/>
          <w:b w:val="0"/>
          <w:i w:val="0"/>
          <w:sz w:val="20"/>
        </w:rPr>
        <w:t>.</w:t>
      </w:r>
    </w:p>
    <w:p>
      <w:pPr>
        <w:keepNext/>
        <w:spacing w:after="80"/>
        <w:jc w:val="left"/>
      </w:pPr>
      <w:r>
        <w:rPr>
          <w:rFonts w:ascii="Times New Roman" w:hAnsi="Times New Roman"/>
          <w:b/>
          <w:i w:val="0"/>
          <w:sz w:val="20"/>
        </w:rPr>
        <w:t>6.2 Learning to charge around degradation physics</w:t>
      </w:r>
    </w:p>
    <w:p>
      <w:pPr>
        <w:spacing w:after="160"/>
        <w:jc w:val="both"/>
      </w:pPr>
      <w:r>
        <w:rPr>
          <w:rFonts w:ascii="Times New Roman" w:hAnsi="Times New Roman"/>
          <w:b w:val="0"/>
          <w:i w:val="0"/>
          <w:sz w:val="20"/>
        </w:rPr>
        <w:t xml:space="preserve">A second line embeds degradation mechanisms into the charging decision itself. Machine-learning fast charging that perceives and regulates internal lithium-plating onset enables plating-free rapid protocols that violate conventional voltage-safe schedules with impunity </w:t>
      </w:r>
      <w:r>
        <w:rPr>
          <w:rFonts w:ascii="Times New Roman" w:hAnsi="Times New Roman"/>
          <w:sz w:val="20"/>
        </w:rPr>
        <w:t>[88]</w:t>
      </w:r>
      <w:r>
        <w:rPr>
          <w:rFonts w:ascii="Times New Roman" w:hAnsi="Times New Roman"/>
          <w:b w:val="0"/>
          <w:i w:val="0"/>
          <w:sz w:val="20"/>
        </w:rPr>
        <w:t xml:space="preserve">. Adaptive multistage constant-current schemes adjust stage boundaries online against measured degradation </w:t>
      </w:r>
      <w:r>
        <w:rPr>
          <w:rFonts w:ascii="Times New Roman" w:hAnsi="Times New Roman"/>
          <w:sz w:val="20"/>
        </w:rPr>
        <w:t>[89]</w:t>
      </w:r>
      <w:r>
        <w:rPr>
          <w:rFonts w:ascii="Times New Roman" w:hAnsi="Times New Roman"/>
          <w:b w:val="0"/>
          <w:i w:val="0"/>
          <w:sz w:val="20"/>
        </w:rPr>
        <w:t xml:space="preserve">, and module-level optimization manages temperature gradients across packs during charging </w:t>
      </w:r>
      <w:r>
        <w:rPr>
          <w:rFonts w:ascii="Times New Roman" w:hAnsi="Times New Roman"/>
          <w:sz w:val="20"/>
        </w:rPr>
        <w:t>[90]</w:t>
      </w:r>
      <w:r>
        <w:rPr>
          <w:rFonts w:ascii="Times New Roman" w:hAnsi="Times New Roman"/>
          <w:b w:val="0"/>
          <w:i w:val="0"/>
          <w:sz w:val="20"/>
        </w:rPr>
        <w:t xml:space="preserve">. Pack-level extensions coordinate balance-aware charging for imbalanced strings </w:t>
      </w:r>
      <w:r>
        <w:rPr>
          <w:rFonts w:ascii="Times New Roman" w:hAnsi="Times New Roman"/>
          <w:sz w:val="20"/>
        </w:rPr>
        <w:t>[91]</w:t>
      </w:r>
      <w:r>
        <w:rPr>
          <w:rFonts w:ascii="Times New Roman" w:hAnsi="Times New Roman"/>
          <w:b w:val="0"/>
          <w:i w:val="0"/>
          <w:sz w:val="20"/>
        </w:rPr>
        <w:t xml:space="preserve"> and multi-objective meta-heuristic schemes negotiate charge time against temperature rise and aging </w:t>
      </w:r>
      <w:r>
        <w:rPr>
          <w:rFonts w:ascii="Times New Roman" w:hAnsi="Times New Roman"/>
          <w:sz w:val="20"/>
        </w:rPr>
        <w:t>[92]</w:t>
      </w:r>
      <w:r>
        <w:rPr>
          <w:rFonts w:ascii="Times New Roman" w:hAnsi="Times New Roman"/>
          <w:b w:val="0"/>
          <w:i w:val="0"/>
          <w:sz w:val="20"/>
        </w:rPr>
        <w:t>.</w:t>
      </w:r>
    </w:p>
    <w:p>
      <w:pPr>
        <w:spacing w:after="160"/>
        <w:jc w:val="both"/>
      </w:pPr>
      <w:r>
        <w:rPr>
          <w:rFonts w:ascii="Times New Roman" w:hAnsi="Times New Roman"/>
          <w:b w:val="0"/>
          <w:i w:val="0"/>
          <w:sz w:val="20"/>
        </w:rPr>
        <w:t xml:space="preserve">Scale effects are the cluster’s frontier. Cell-level protocols do not compose into pack-level schedules, because cell-to-cell variability makes the weakest cell the binding constraint; module-level optimization with temperature-gradient constraints </w:t>
      </w:r>
      <w:r>
        <w:rPr>
          <w:rFonts w:ascii="Times New Roman" w:hAnsi="Times New Roman"/>
          <w:sz w:val="20"/>
        </w:rPr>
        <w:t>[90]</w:t>
      </w:r>
      <w:r>
        <w:rPr>
          <w:rFonts w:ascii="Times New Roman" w:hAnsi="Times New Roman"/>
          <w:b w:val="0"/>
          <w:i w:val="0"/>
          <w:sz w:val="20"/>
        </w:rPr>
        <w:t xml:space="preserve"> and balance-aware pack charging </w:t>
      </w:r>
      <w:r>
        <w:rPr>
          <w:rFonts w:ascii="Times New Roman" w:hAnsi="Times New Roman"/>
          <w:sz w:val="20"/>
        </w:rPr>
        <w:t>[91]</w:t>
      </w:r>
      <w:r>
        <w:rPr>
          <w:rFonts w:ascii="Times New Roman" w:hAnsi="Times New Roman"/>
          <w:b w:val="0"/>
          <w:i w:val="0"/>
          <w:sz w:val="20"/>
        </w:rPr>
        <w:t xml:space="preserve"> are the corpus’s first responses. The control-theoretic gap is equally important: optimization produces open-loop schedules, while deployment wants closed-loop policies that react to measured state — which is precisely where the reinforcement-learning line, still under-represented in journal-grade hardware validation, is expected to grow.</w:t>
      </w:r>
    </w:p>
    <w:p>
      <w:pPr>
        <w:keepNext/>
        <w:spacing w:after="80"/>
        <w:jc w:val="left"/>
      </w:pPr>
      <w:r>
        <w:rPr>
          <w:rFonts w:ascii="Times New Roman" w:hAnsi="Times New Roman"/>
          <w:b/>
          <w:i w:val="0"/>
          <w:sz w:val="20"/>
        </w:rPr>
        <w:t>6.3 Critical assessment</w:t>
      </w:r>
    </w:p>
    <w:p>
      <w:pPr>
        <w:spacing w:after="160"/>
        <w:jc w:val="both"/>
      </w:pPr>
      <w:r>
        <w:rPr>
          <w:rFonts w:ascii="Times New Roman" w:hAnsi="Times New Roman"/>
          <w:b w:val="0"/>
          <w:i w:val="0"/>
          <w:sz w:val="20"/>
        </w:rPr>
        <w:t xml:space="preserve">Charging is also where the gap between demonstration and deployment is most concrete. The corpus contains eight charging papers; of these, one is a large-scale closed-loop hardware campaign </w:t>
      </w:r>
      <w:r>
        <w:rPr>
          <w:rFonts w:ascii="Times New Roman" w:hAnsi="Times New Roman"/>
          <w:sz w:val="20"/>
        </w:rPr>
        <w:t>[4]</w:t>
      </w:r>
      <w:r>
        <w:rPr>
          <w:rFonts w:ascii="Times New Roman" w:hAnsi="Times New Roman"/>
          <w:b w:val="0"/>
          <w:i w:val="0"/>
          <w:sz w:val="20"/>
        </w:rPr>
        <w:t xml:space="preserve">, three further papers validate on laboratory hardware, and the remaining four rest on simulation-level evidence (three simulation-only, one with hardware spot-checks). RL-based charging strategies — a substantial adjacent literature — are underrepresented here precisely because most are validated in simulation against electrochemical models. The unsolved problem is certifiable learning-based charging: a controller that adapts to cell-to-cell variability and aging in production vehicles must carry a safety argument that current model-free learners cannot yet make, which is why mechanism-aware schemes such as plating-perception control </w:t>
      </w:r>
      <w:r>
        <w:rPr>
          <w:rFonts w:ascii="Times New Roman" w:hAnsi="Times New Roman"/>
          <w:sz w:val="20"/>
        </w:rPr>
        <w:t>[88]</w:t>
      </w:r>
      <w:r>
        <w:rPr>
          <w:rFonts w:ascii="Times New Roman" w:hAnsi="Times New Roman"/>
          <w:b w:val="0"/>
          <w:i w:val="0"/>
          <w:sz w:val="20"/>
        </w:rPr>
        <w:t xml:space="preserve"> are the most deployment-relevant results in this cluster. Table 8 collects representative studies across functions and method families.</w:t>
      </w:r>
    </w:p>
    <w:p>
      <w:pPr>
        <w:keepNext/>
        <w:spacing w:after="80"/>
        <w:jc w:val="left"/>
      </w:pPr>
      <w:r>
        <w:rPr>
          <w:rFonts w:ascii="Times New Roman" w:hAnsi="Times New Roman"/>
          <w:b w:val="0"/>
          <w:i w:val="0"/>
          <w:sz w:val="18"/>
        </w:rPr>
        <w:t>Table 8 Representative classified-subset studies by management function and method family. Entries gloss each study as: study summary (data basis; headline contribution). References in brackets refer to the numbered list.</w:t>
      </w:r>
    </w:p>
    <w:tbl>
      <w:tblPr>
        <w:tblStyle w:val="TableGrid"/>
        <w:tblW w:type="auto" w:w="0"/>
        <w:jc w:val="center"/>
        <w:tblLayout w:type="fixed"/>
        <w:tblLook w:firstColumn="1" w:firstRow="1" w:lastColumn="0" w:lastRow="0" w:noHBand="0" w:noVBand="1" w:val="04A0"/>
        <w:tblLayout w:type="fixed"/>
      </w:tblPr>
      <w:tblGrid>
        <w:gridCol w:w="3120"/>
        <w:gridCol w:w="3120"/>
        <w:gridCol w:w="3120"/>
      </w:tblGrid>
      <w:tr>
        <w:trPr>
          <w:cantSplit/>
          <w:tblHeader/>
        </w:trPr>
        <w:tc>
          <w:tcPr>
            <w:tcW w:type="dxa" w:w="3120"/>
          </w:tcPr>
          <w:p>
            <w:pPr>
              <w:jc w:val="center"/>
            </w:pPr>
            <w:r/>
            <w:r>
              <w:rPr>
                <w:rFonts w:ascii="Times New Roman" w:hAnsi="Times New Roman"/>
                <w:b/>
                <w:sz w:val="17"/>
              </w:rPr>
              <w:t>Function</w:t>
            </w:r>
          </w:p>
        </w:tc>
        <w:tc>
          <w:tcPr>
            <w:tcW w:type="dxa" w:w="3120"/>
          </w:tcPr>
          <w:p>
            <w:pPr>
              <w:jc w:val="center"/>
            </w:pPr>
            <w:r/>
            <w:r>
              <w:rPr>
                <w:rFonts w:ascii="Times New Roman" w:hAnsi="Times New Roman"/>
                <w:b/>
                <w:sz w:val="17"/>
              </w:rPr>
              <w:t>Method family</w:t>
            </w:r>
          </w:p>
        </w:tc>
        <w:tc>
          <w:tcPr>
            <w:tcW w:type="dxa" w:w="3120"/>
          </w:tcPr>
          <w:p>
            <w:pPr>
              <w:jc w:val="center"/>
            </w:pPr>
            <w:r/>
            <w:r>
              <w:rPr>
                <w:rFonts w:ascii="Times New Roman" w:hAnsi="Times New Roman"/>
                <w:b/>
                <w:sz w:val="17"/>
              </w:rPr>
              <w:t>Representative studies (data; contribution)</w:t>
            </w:r>
          </w:p>
        </w:tc>
      </w:tr>
      <w:tr>
        <w:trPr>
          <w:cantSplit/>
        </w:trPr>
        <w:tc>
          <w:tcPr>
            <w:tcW w:type="dxa" w:w="3120"/>
          </w:tcPr>
          <w:p>
            <w:pPr>
              <w:jc w:val="left"/>
            </w:pPr>
            <w:r/>
            <w:r>
              <w:rPr>
                <w:rFonts w:ascii="Times New Roman" w:hAnsi="Times New Roman"/>
                <w:b w:val="0"/>
                <w:i w:val="0"/>
                <w:sz w:val="17"/>
              </w:rPr>
              <w:t>State estimation (SOC)</w:t>
            </w:r>
          </w:p>
        </w:tc>
        <w:tc>
          <w:tcPr>
            <w:tcW w:type="dxa" w:w="3120"/>
          </w:tcPr>
          <w:p>
            <w:r/>
            <w:r>
              <w:rPr>
                <w:rFonts w:ascii="Times New Roman" w:hAnsi="Times New Roman"/>
                <w:b w:val="0"/>
                <w:i w:val="0"/>
                <w:sz w:val="17"/>
              </w:rPr>
              <w:t>Filter-embedded learning; meta-heuristic DL</w:t>
            </w:r>
          </w:p>
        </w:tc>
        <w:tc>
          <w:tcPr>
            <w:tcW w:type="dxa" w:w="3120"/>
          </w:tcPr>
          <w:p>
            <w:r/>
            <w:r>
              <w:rPr>
                <w:rFonts w:ascii="Times New Roman" w:hAnsi="Times New Roman"/>
                <w:b w:val="0"/>
                <w:i w:val="0"/>
                <w:sz w:val="17"/>
              </w:rPr>
              <w:t xml:space="preserve">LSTM+UKF embedded estimator (laboratory cells; learned observation model in a UKF) </w:t>
            </w:r>
            <w:r>
              <w:rPr>
                <w:rFonts w:ascii="Times New Roman" w:hAnsi="Times New Roman"/>
                <w:sz w:val="17"/>
              </w:rPr>
              <w:t>[5]</w:t>
            </w:r>
            <w:r>
              <w:rPr>
                <w:rFonts w:ascii="Times New Roman" w:hAnsi="Times New Roman"/>
                <w:b w:val="0"/>
                <w:i w:val="0"/>
                <w:sz w:val="17"/>
              </w:rPr>
              <w:t xml:space="preserve">; PSO-LSTM (laboratory cells; meta-heuristically tuned recurrent SOC) </w:t>
            </w:r>
            <w:r>
              <w:rPr>
                <w:rFonts w:ascii="Times New Roman" w:hAnsi="Times New Roman"/>
                <w:sz w:val="17"/>
              </w:rPr>
              <w:t>[49]</w:t>
            </w:r>
            <w:r>
              <w:rPr>
                <w:rFonts w:ascii="Times New Roman" w:hAnsi="Times New Roman"/>
                <w:b w:val="0"/>
                <w:i w:val="0"/>
                <w:sz w:val="17"/>
              </w:rPr>
              <w:t xml:space="preserve">; GA-LSTM with adaptive Kalman filtering (laboratory cells; low error under noise) </w:t>
            </w:r>
            <w:r>
              <w:rPr>
                <w:rFonts w:ascii="Times New Roman" w:hAnsi="Times New Roman"/>
                <w:sz w:val="17"/>
              </w:rPr>
              <w:t>[56]</w:t>
            </w:r>
          </w:p>
        </w:tc>
      </w:tr>
      <w:tr>
        <w:trPr>
          <w:cantSplit/>
        </w:trPr>
        <w:tc>
          <w:tcPr>
            <w:tcW w:type="dxa" w:w="3120"/>
          </w:tcPr>
          <w:p>
            <w:pPr>
              <w:jc w:val="left"/>
            </w:pPr>
            <w:r/>
            <w:r>
              <w:rPr>
                <w:rFonts w:ascii="Times New Roman" w:hAnsi="Times New Roman"/>
                <w:b w:val="0"/>
                <w:i w:val="0"/>
                <w:sz w:val="17"/>
              </w:rPr>
              <w:t>Health estimation (SOH)</w:t>
            </w:r>
          </w:p>
        </w:tc>
        <w:tc>
          <w:tcPr>
            <w:tcW w:type="dxa" w:w="3120"/>
          </w:tcPr>
          <w:p>
            <w:r/>
            <w:r>
              <w:rPr>
                <w:rFonts w:ascii="Times New Roman" w:hAnsi="Times New Roman"/>
                <w:b w:val="0"/>
                <w:i w:val="0"/>
                <w:sz w:val="17"/>
              </w:rPr>
              <w:t>Classical ML; deep learning; transfer learning</w:t>
            </w:r>
          </w:p>
        </w:tc>
        <w:tc>
          <w:tcPr>
            <w:tcW w:type="dxa" w:w="3120"/>
          </w:tcPr>
          <w:p>
            <w:r/>
            <w:r>
              <w:rPr>
                <w:rFonts w:ascii="Times New Roman" w:hAnsi="Times New Roman"/>
                <w:b w:val="0"/>
                <w:i w:val="0"/>
                <w:sz w:val="17"/>
              </w:rPr>
              <w:t xml:space="preserve">ML pipeline over 179 cells (own cell fleet; relaxed charge-curve features) </w:t>
            </w:r>
            <w:r>
              <w:rPr>
                <w:rFonts w:ascii="Times New Roman" w:hAnsi="Times New Roman"/>
                <w:sz w:val="17"/>
              </w:rPr>
              <w:t>[64]</w:t>
            </w:r>
            <w:r>
              <w:rPr>
                <w:rFonts w:ascii="Times New Roman" w:hAnsi="Times New Roman"/>
                <w:b w:val="0"/>
                <w:i w:val="0"/>
                <w:sz w:val="17"/>
              </w:rPr>
              <w:t xml:space="preserve">; deep learning without extra degradation experiments (public MATR dataset; cross-chemistry generalization) </w:t>
            </w:r>
            <w:r>
              <w:rPr>
                <w:rFonts w:ascii="Times New Roman" w:hAnsi="Times New Roman"/>
                <w:sz w:val="17"/>
              </w:rPr>
              <w:t>[69]</w:t>
            </w:r>
            <w:r>
              <w:rPr>
                <w:rFonts w:ascii="Times New Roman" w:hAnsi="Times New Roman"/>
                <w:b w:val="0"/>
                <w:i w:val="0"/>
                <w:sz w:val="17"/>
              </w:rPr>
              <w:t xml:space="preserve">; real-world vehicle SOH (fleet data; field-noise robustness) </w:t>
            </w:r>
            <w:r>
              <w:rPr>
                <w:rFonts w:ascii="Times New Roman" w:hAnsi="Times New Roman"/>
                <w:sz w:val="17"/>
              </w:rPr>
              <w:t>[6]</w:t>
            </w:r>
          </w:p>
        </w:tc>
      </w:tr>
      <w:tr>
        <w:trPr>
          <w:cantSplit/>
        </w:trPr>
        <w:tc>
          <w:tcPr>
            <w:tcW w:type="dxa" w:w="3120"/>
          </w:tcPr>
          <w:p>
            <w:pPr>
              <w:jc w:val="left"/>
            </w:pPr>
            <w:r/>
            <w:r>
              <w:rPr>
                <w:rFonts w:ascii="Times New Roman" w:hAnsi="Times New Roman"/>
                <w:b w:val="0"/>
                <w:i w:val="0"/>
                <w:sz w:val="17"/>
              </w:rPr>
              <w:t>Prognostics (RUL)</w:t>
            </w:r>
          </w:p>
        </w:tc>
        <w:tc>
          <w:tcPr>
            <w:tcW w:type="dxa" w:w="3120"/>
          </w:tcPr>
          <w:p>
            <w:r/>
            <w:r>
              <w:rPr>
                <w:rFonts w:ascii="Times New Roman" w:hAnsi="Times New Roman"/>
                <w:b w:val="0"/>
                <w:i w:val="0"/>
                <w:sz w:val="17"/>
              </w:rPr>
              <w:t>Classical ML; physics-informed; RL</w:t>
            </w:r>
          </w:p>
        </w:tc>
        <w:tc>
          <w:tcPr>
            <w:tcW w:type="dxa" w:w="3120"/>
          </w:tcPr>
          <w:p>
            <w:r/>
            <w:r>
              <w:rPr>
                <w:rFonts w:ascii="Times New Roman" w:hAnsi="Times New Roman"/>
                <w:b w:val="0"/>
                <w:i w:val="0"/>
                <w:sz w:val="17"/>
              </w:rPr>
              <w:t xml:space="preserve">Early-life cycle prediction (public MATR dataset; about 9% median test error) </w:t>
            </w:r>
            <w:r>
              <w:rPr>
                <w:rFonts w:ascii="Times New Roman" w:hAnsi="Times New Roman"/>
                <w:sz w:val="17"/>
              </w:rPr>
              <w:t>[3]</w:t>
            </w:r>
            <w:r>
              <w:rPr>
                <w:rFonts w:ascii="Times New Roman" w:hAnsi="Times New Roman"/>
                <w:b w:val="0"/>
                <w:i w:val="0"/>
                <w:sz w:val="17"/>
              </w:rPr>
              <w:t xml:space="preserve">; physics-informed early-cycle RUL (multiple datasets; small-data prognosis) </w:t>
            </w:r>
            <w:r>
              <w:rPr>
                <w:rFonts w:ascii="Times New Roman" w:hAnsi="Times New Roman"/>
                <w:sz w:val="17"/>
              </w:rPr>
              <w:t>[79]</w:t>
            </w:r>
            <w:r>
              <w:rPr>
                <w:rFonts w:ascii="Times New Roman" w:hAnsi="Times New Roman"/>
                <w:b w:val="0"/>
                <w:i w:val="0"/>
                <w:sz w:val="17"/>
              </w:rPr>
              <w:t xml:space="preserve">; deep-RL prognostic model fusion (public NASA dataset; adaptive model selection) </w:t>
            </w:r>
            <w:r>
              <w:rPr>
                <w:rFonts w:ascii="Times New Roman" w:hAnsi="Times New Roman"/>
                <w:sz w:val="17"/>
              </w:rPr>
              <w:t>[13]</w:t>
            </w:r>
          </w:p>
        </w:tc>
      </w:tr>
      <w:tr>
        <w:trPr>
          <w:cantSplit/>
        </w:trPr>
        <w:tc>
          <w:tcPr>
            <w:tcW w:type="dxa" w:w="3120"/>
          </w:tcPr>
          <w:p>
            <w:pPr>
              <w:jc w:val="left"/>
            </w:pPr>
            <w:r/>
            <w:r>
              <w:rPr>
                <w:rFonts w:ascii="Times New Roman" w:hAnsi="Times New Roman"/>
                <w:b w:val="0"/>
                <w:i w:val="0"/>
                <w:sz w:val="17"/>
              </w:rPr>
              <w:t>Charging control</w:t>
            </w:r>
          </w:p>
        </w:tc>
        <w:tc>
          <w:tcPr>
            <w:tcW w:type="dxa" w:w="3120"/>
          </w:tcPr>
          <w:p>
            <w:r/>
            <w:r>
              <w:rPr>
                <w:rFonts w:ascii="Times New Roman" w:hAnsi="Times New Roman"/>
                <w:b w:val="0"/>
                <w:i w:val="0"/>
                <w:sz w:val="17"/>
              </w:rPr>
              <w:t>Bayesian optimization; mechanism-aware control</w:t>
            </w:r>
          </w:p>
        </w:tc>
        <w:tc>
          <w:tcPr>
            <w:tcW w:type="dxa" w:w="3120"/>
          </w:tcPr>
          <w:p>
            <w:r/>
            <w:r>
              <w:rPr>
                <w:rFonts w:ascii="Times New Roman" w:hAnsi="Times New Roman"/>
                <w:b w:val="0"/>
                <w:i w:val="0"/>
                <w:sz w:val="17"/>
              </w:rPr>
              <w:t xml:space="preserve">Closed-loop Bayesian protocol optimization (hardware prototype; 224 candidates in 16 days vs &gt;500 days of exhaustive search) </w:t>
            </w:r>
            <w:r>
              <w:rPr>
                <w:rFonts w:ascii="Times New Roman" w:hAnsi="Times New Roman"/>
                <w:sz w:val="17"/>
              </w:rPr>
              <w:t>[4]</w:t>
            </w:r>
            <w:r>
              <w:rPr>
                <w:rFonts w:ascii="Times New Roman" w:hAnsi="Times New Roman"/>
                <w:b w:val="0"/>
                <w:i w:val="0"/>
                <w:sz w:val="17"/>
              </w:rPr>
              <w:t xml:space="preserve">; plating-perceiving fast charging (hardware prototype; plating-free protocols) </w:t>
            </w:r>
            <w:r>
              <w:rPr>
                <w:rFonts w:ascii="Times New Roman" w:hAnsi="Times New Roman"/>
                <w:sz w:val="17"/>
              </w:rPr>
              <w:t>[88]</w:t>
            </w:r>
            <w:r>
              <w:rPr>
                <w:rFonts w:ascii="Times New Roman" w:hAnsi="Times New Roman"/>
                <w:b w:val="0"/>
                <w:i w:val="0"/>
                <w:sz w:val="17"/>
              </w:rPr>
              <w:t xml:space="preserve">; ensemble-surrogate charging optimization (laboratory cells; multi-objective strategies) </w:t>
            </w:r>
            <w:r>
              <w:rPr>
                <w:rFonts w:ascii="Times New Roman" w:hAnsi="Times New Roman"/>
                <w:sz w:val="17"/>
              </w:rPr>
              <w:t>[86]</w:t>
            </w:r>
          </w:p>
        </w:tc>
      </w:tr>
      <w:tr>
        <w:trPr>
          <w:cantSplit/>
        </w:trPr>
        <w:tc>
          <w:tcPr>
            <w:tcW w:type="dxa" w:w="3120"/>
          </w:tcPr>
          <w:p>
            <w:pPr>
              <w:jc w:val="left"/>
            </w:pPr>
            <w:r/>
            <w:r>
              <w:rPr>
                <w:rFonts w:ascii="Times New Roman" w:hAnsi="Times New Roman"/>
                <w:b w:val="0"/>
                <w:i w:val="0"/>
                <w:sz w:val="17"/>
              </w:rPr>
              <w:t>Thermal management</w:t>
            </w:r>
          </w:p>
        </w:tc>
        <w:tc>
          <w:tcPr>
            <w:tcW w:type="dxa" w:w="3120"/>
          </w:tcPr>
          <w:p>
            <w:r/>
            <w:r>
              <w:rPr>
                <w:rFonts w:ascii="Times New Roman" w:hAnsi="Times New Roman"/>
                <w:b w:val="0"/>
                <w:i w:val="0"/>
                <w:sz w:val="17"/>
              </w:rPr>
              <w:t>ANN surrogate; physics-informed; optimization</w:t>
            </w:r>
          </w:p>
        </w:tc>
        <w:tc>
          <w:tcPr>
            <w:tcW w:type="dxa" w:w="3120"/>
          </w:tcPr>
          <w:p>
            <w:r/>
            <w:r>
              <w:rPr>
                <w:rFonts w:ascii="Times New Roman" w:hAnsi="Times New Roman"/>
                <w:b w:val="0"/>
                <w:i w:val="0"/>
                <w:sz w:val="17"/>
              </w:rPr>
              <w:t xml:space="preserve">ANN temperature prediction (laboratory cells; low-error thermal model) </w:t>
            </w:r>
            <w:r>
              <w:rPr>
                <w:rFonts w:ascii="Times New Roman" w:hAnsi="Times New Roman"/>
                <w:sz w:val="17"/>
              </w:rPr>
              <w:t>[93]</w:t>
            </w:r>
            <w:r>
              <w:rPr>
                <w:rFonts w:ascii="Times New Roman" w:hAnsi="Times New Roman"/>
                <w:b w:val="0"/>
                <w:i w:val="0"/>
                <w:sz w:val="17"/>
              </w:rPr>
              <w:t xml:space="preserve">; PINN heat-generation estimation (simulation; embedded thermal physics) </w:t>
            </w:r>
            <w:r>
              <w:rPr>
                <w:rFonts w:ascii="Times New Roman" w:hAnsi="Times New Roman"/>
                <w:sz w:val="17"/>
              </w:rPr>
              <w:t>[9]</w:t>
            </w:r>
            <w:r>
              <w:rPr>
                <w:rFonts w:ascii="Times New Roman" w:hAnsi="Times New Roman"/>
                <w:b w:val="0"/>
                <w:i w:val="0"/>
                <w:sz w:val="17"/>
              </w:rPr>
              <w:t xml:space="preserve">; ML-assisted BTMS design (simulation; multi-objective cooling design) </w:t>
            </w:r>
            <w:r>
              <w:rPr>
                <w:rFonts w:ascii="Times New Roman" w:hAnsi="Times New Roman"/>
                <w:sz w:val="17"/>
              </w:rPr>
              <w:t>[94]</w:t>
            </w:r>
          </w:p>
        </w:tc>
      </w:tr>
      <w:tr>
        <w:trPr>
          <w:cantSplit/>
        </w:trPr>
        <w:tc>
          <w:tcPr>
            <w:tcW w:type="dxa" w:w="3120"/>
          </w:tcPr>
          <w:p>
            <w:pPr>
              <w:jc w:val="left"/>
            </w:pPr>
            <w:r/>
            <w:r>
              <w:rPr>
                <w:rFonts w:ascii="Times New Roman" w:hAnsi="Times New Roman"/>
                <w:b w:val="0"/>
                <w:i w:val="0"/>
                <w:sz w:val="17"/>
              </w:rPr>
              <w:t>Fault &amp; safety</w:t>
            </w:r>
          </w:p>
        </w:tc>
        <w:tc>
          <w:tcPr>
            <w:tcW w:type="dxa" w:w="3120"/>
          </w:tcPr>
          <w:p>
            <w:r/>
            <w:r>
              <w:rPr>
                <w:rFonts w:ascii="Times New Roman" w:hAnsi="Times New Roman"/>
                <w:b w:val="0"/>
                <w:i w:val="0"/>
                <w:sz w:val="17"/>
              </w:rPr>
              <w:t>Shallow ML; multiphysics + ML; transfer learning</w:t>
            </w:r>
          </w:p>
        </w:tc>
        <w:tc>
          <w:tcPr>
            <w:tcW w:type="dxa" w:w="3120"/>
          </w:tcPr>
          <w:p>
            <w:r/>
            <w:r>
              <w:rPr>
                <w:rFonts w:ascii="Times New Roman" w:hAnsi="Times New Roman"/>
                <w:b w:val="0"/>
                <w:i w:val="0"/>
                <w:sz w:val="17"/>
              </w:rPr>
              <w:t xml:space="preserve">SVM fault diagnosis (hardware prototype; sensor and connection faults) </w:t>
            </w:r>
            <w:r>
              <w:rPr>
                <w:rFonts w:ascii="Times New Roman" w:hAnsi="Times New Roman"/>
                <w:sz w:val="17"/>
              </w:rPr>
              <w:t>[95]</w:t>
            </w:r>
            <w:r>
              <w:rPr>
                <w:rFonts w:ascii="Times New Roman" w:hAnsi="Times New Roman"/>
                <w:b w:val="0"/>
                <w:i w:val="0"/>
                <w:sz w:val="17"/>
              </w:rPr>
              <w:t xml:space="preserve">; multiphysics-ML runaway prediction (simulation and hardware; module-level hazard) </w:t>
            </w:r>
            <w:r>
              <w:rPr>
                <w:rFonts w:ascii="Times New Roman" w:hAnsi="Times New Roman"/>
                <w:sz w:val="17"/>
              </w:rPr>
              <w:t>[96]</w:t>
            </w:r>
            <w:r>
              <w:rPr>
                <w:rFonts w:ascii="Times New Roman" w:hAnsi="Times New Roman"/>
                <w:b w:val="0"/>
                <w:i w:val="0"/>
                <w:sz w:val="17"/>
              </w:rPr>
              <w:t xml:space="preserve">; cross-fleet runaway-diagnosis transfer (fleet data; small-sample diagnosis) </w:t>
            </w:r>
            <w:r>
              <w:rPr>
                <w:rFonts w:ascii="Times New Roman" w:hAnsi="Times New Roman"/>
                <w:sz w:val="17"/>
              </w:rPr>
              <w:t>[97]</w:t>
            </w:r>
          </w:p>
        </w:tc>
      </w:tr>
      <w:tr>
        <w:trPr>
          <w:cantSplit/>
        </w:trPr>
        <w:tc>
          <w:tcPr>
            <w:tcW w:type="dxa" w:w="3120"/>
          </w:tcPr>
          <w:p>
            <w:pPr>
              <w:jc w:val="left"/>
            </w:pPr>
            <w:r/>
            <w:r>
              <w:rPr>
                <w:rFonts w:ascii="Times New Roman" w:hAnsi="Times New Roman"/>
                <w:b w:val="0"/>
                <w:i w:val="0"/>
                <w:sz w:val="17"/>
              </w:rPr>
              <w:t>Cross-cutting</w:t>
            </w:r>
          </w:p>
        </w:tc>
        <w:tc>
          <w:tcPr>
            <w:tcW w:type="dxa" w:w="3120"/>
          </w:tcPr>
          <w:p>
            <w:r/>
            <w:r>
              <w:rPr>
                <w:rFonts w:ascii="Times New Roman" w:hAnsi="Times New Roman"/>
                <w:b w:val="0"/>
                <w:i w:val="0"/>
                <w:sz w:val="17"/>
              </w:rPr>
              <w:t>Physics-informed; XAI; digital twin; LLM</w:t>
            </w:r>
          </w:p>
        </w:tc>
        <w:tc>
          <w:tcPr>
            <w:tcW w:type="dxa" w:w="3120"/>
          </w:tcPr>
          <w:p>
            <w:r/>
            <w:r>
              <w:rPr>
                <w:rFonts w:ascii="Times New Roman" w:hAnsi="Times New Roman"/>
                <w:b w:val="0"/>
                <w:i w:val="0"/>
                <w:sz w:val="17"/>
              </w:rPr>
              <w:t xml:space="preserve">EIS diagnostics PINN review (multiple studies; paradigm synthesis) </w:t>
            </w:r>
            <w:r>
              <w:rPr>
                <w:rFonts w:ascii="Times New Roman" w:hAnsi="Times New Roman"/>
                <w:sz w:val="17"/>
              </w:rPr>
              <w:t>[21]</w:t>
            </w:r>
            <w:r>
              <w:rPr>
                <w:rFonts w:ascii="Times New Roman" w:hAnsi="Times New Roman"/>
                <w:b w:val="0"/>
                <w:i w:val="0"/>
                <w:sz w:val="17"/>
              </w:rPr>
              <w:t xml:space="preserve">; uncertainty-aware early-life prediction (public MATR dataset; calibrated forecasts) </w:t>
            </w:r>
            <w:r>
              <w:rPr>
                <w:rFonts w:ascii="Times New Roman" w:hAnsi="Times New Roman"/>
                <w:sz w:val="17"/>
              </w:rPr>
              <w:t>[98]</w:t>
            </w:r>
            <w:r>
              <w:rPr>
                <w:rFonts w:ascii="Times New Roman" w:hAnsi="Times New Roman"/>
                <w:b w:val="0"/>
                <w:i w:val="0"/>
                <w:sz w:val="17"/>
              </w:rPr>
              <w:t xml:space="preserve">; LLM-based SOH estimation with uncertainty-aware fallback (field data; subset’s earliest LLM estimator — an earlier journal study was missed by the retrieval, Section 8.4) </w:t>
            </w:r>
            <w:r>
              <w:rPr>
                <w:rFonts w:ascii="Times New Roman" w:hAnsi="Times New Roman"/>
                <w:sz w:val="17"/>
              </w:rPr>
              <w:t>[15]</w:t>
            </w:r>
          </w:p>
        </w:tc>
      </w:tr>
    </w:tbl>
    <w:p>
      <w:pPr>
        <w:spacing w:after="120"/>
        <w:jc w:val="both"/>
      </w:pPr>
    </w:p>
    <w:p>
      <w:pPr>
        <w:keepNext/>
        <w:spacing w:after="120"/>
        <w:jc w:val="left"/>
      </w:pPr>
      <w:r>
        <w:rPr>
          <w:rFonts w:ascii="Times New Roman" w:hAnsi="Times New Roman"/>
          <w:b/>
          <w:i w:val="0"/>
          <w:sz w:val="20"/>
        </w:rPr>
        <w:t>7. Machine Learning for Thermal Management, Faults and Safety</w:t>
      </w:r>
    </w:p>
    <w:p>
      <w:pPr>
        <w:keepNext/>
        <w:spacing w:after="80"/>
        <w:jc w:val="left"/>
      </w:pPr>
      <w:r>
        <w:rPr>
          <w:rFonts w:ascii="Times New Roman" w:hAnsi="Times New Roman"/>
          <w:b/>
          <w:i w:val="0"/>
          <w:sz w:val="20"/>
        </w:rPr>
        <w:t>7.1 Thermal-state estimation and thermal management</w:t>
      </w:r>
    </w:p>
    <w:p>
      <w:pPr>
        <w:spacing w:after="160"/>
        <w:jc w:val="both"/>
      </w:pPr>
      <w:r>
        <w:rPr>
          <w:rFonts w:ascii="Times New Roman" w:hAnsi="Times New Roman"/>
          <w:b w:val="0"/>
          <w:i w:val="0"/>
          <w:sz w:val="20"/>
        </w:rPr>
        <w:t xml:space="preserve">Thermal management is the corpus’s smallest quantitative engineering cluster (7 primary papers; 8 including a review) but a disproportionately safety-critical one. Data-driven temperature estimation ranges from ANN models predicting cell temperature across operating conditions </w:t>
      </w:r>
      <w:r>
        <w:rPr>
          <w:rFonts w:ascii="Times New Roman" w:hAnsi="Times New Roman"/>
          <w:sz w:val="20"/>
        </w:rPr>
        <w:t>[93]</w:t>
      </w:r>
      <w:r>
        <w:rPr>
          <w:rFonts w:ascii="Times New Roman" w:hAnsi="Times New Roman"/>
          <w:b w:val="0"/>
          <w:i w:val="0"/>
          <w:sz w:val="20"/>
        </w:rPr>
        <w:t xml:space="preserve"> to internal-temperature sensing under ultrahigh-rate discharge, where surface measurement fails </w:t>
      </w:r>
      <w:r>
        <w:rPr>
          <w:rFonts w:ascii="Times New Roman" w:hAnsi="Times New Roman"/>
          <w:sz w:val="20"/>
        </w:rPr>
        <w:t>[99]</w:t>
      </w:r>
      <w:r>
        <w:rPr>
          <w:rFonts w:ascii="Times New Roman" w:hAnsi="Times New Roman"/>
          <w:b w:val="0"/>
          <w:i w:val="0"/>
          <w:sz w:val="20"/>
        </w:rPr>
        <w:t xml:space="preserve">. On the design and control side, ML-surrogate models accelerate liquid-cooling plate analysis and multi-objective optimization of BTMS geometry </w:t>
      </w:r>
      <w:r>
        <w:rPr>
          <w:rFonts w:ascii="Times New Roman" w:hAnsi="Times New Roman"/>
          <w:sz w:val="20"/>
        </w:rPr>
        <w:t>[94, 100]</w:t>
      </w:r>
      <w:r>
        <w:rPr>
          <w:rFonts w:ascii="Times New Roman" w:hAnsi="Times New Roman"/>
          <w:b w:val="0"/>
          <w:i w:val="0"/>
          <w:sz w:val="20"/>
        </w:rPr>
        <w:t xml:space="preserve">, experimentally validated parallel-liquid-cooling designs demonstrate the optimization loop end-to-end </w:t>
      </w:r>
      <w:r>
        <w:rPr>
          <w:rFonts w:ascii="Times New Roman" w:hAnsi="Times New Roman"/>
          <w:sz w:val="20"/>
        </w:rPr>
        <w:t>[101]</w:t>
      </w:r>
      <w:r>
        <w:rPr>
          <w:rFonts w:ascii="Times New Roman" w:hAnsi="Times New Roman"/>
          <w:b w:val="0"/>
          <w:i w:val="0"/>
          <w:sz w:val="20"/>
        </w:rPr>
        <w:t xml:space="preserve">, and ANN-controlled thermal management reduces cooling parasitic load while holding temperature limits </w:t>
      </w:r>
      <w:r>
        <w:rPr>
          <w:rFonts w:ascii="Times New Roman" w:hAnsi="Times New Roman"/>
          <w:sz w:val="20"/>
        </w:rPr>
        <w:t>[102]</w:t>
      </w:r>
      <w:r>
        <w:rPr>
          <w:rFonts w:ascii="Times New Roman" w:hAnsi="Times New Roman"/>
          <w:b w:val="0"/>
          <w:i w:val="0"/>
          <w:sz w:val="20"/>
        </w:rPr>
        <w:t xml:space="preserve">. Physics-informed heat-generation estimation embeds thermal physics priors into the learning problem </w:t>
      </w:r>
      <w:r>
        <w:rPr>
          <w:rFonts w:ascii="Times New Roman" w:hAnsi="Times New Roman"/>
          <w:sz w:val="20"/>
        </w:rPr>
        <w:t>[9]</w:t>
      </w:r>
      <w:r>
        <w:rPr>
          <w:rFonts w:ascii="Times New Roman" w:hAnsi="Times New Roman"/>
          <w:b w:val="0"/>
          <w:i w:val="0"/>
          <w:sz w:val="20"/>
        </w:rPr>
        <w:t xml:space="preserve">, and a state-of-the-art review consolidates the cluster </w:t>
      </w:r>
      <w:r>
        <w:rPr>
          <w:rFonts w:ascii="Times New Roman" w:hAnsi="Times New Roman"/>
          <w:sz w:val="20"/>
        </w:rPr>
        <w:t>[25]</w:t>
      </w:r>
      <w:r>
        <w:rPr>
          <w:rFonts w:ascii="Times New Roman" w:hAnsi="Times New Roman"/>
          <w:b w:val="0"/>
          <w:i w:val="0"/>
          <w:sz w:val="20"/>
        </w:rPr>
        <w:t>.</w:t>
      </w:r>
    </w:p>
    <w:p>
      <w:pPr>
        <w:spacing w:after="160"/>
        <w:jc w:val="both"/>
      </w:pPr>
      <w:r>
        <w:rPr>
          <w:rFonts w:ascii="Times New Roman" w:hAnsi="Times New Roman"/>
          <w:b w:val="0"/>
          <w:i w:val="0"/>
          <w:sz w:val="20"/>
        </w:rPr>
        <w:t xml:space="preserve">The thermal cluster’s papers divide cleanly by purpose, and the division clarifies where machine learning adds value. For </w:t>
      </w:r>
      <w:r>
        <w:rPr>
          <w:rFonts w:ascii="Times New Roman" w:hAnsi="Times New Roman"/>
          <w:b w:val="0"/>
          <w:i/>
          <w:sz w:val="20"/>
        </w:rPr>
        <w:t>estimation</w:t>
      </w:r>
      <w:r>
        <w:rPr>
          <w:rFonts w:ascii="Times New Roman" w:hAnsi="Times New Roman"/>
          <w:b w:val="0"/>
          <w:i w:val="0"/>
          <w:sz w:val="20"/>
        </w:rPr>
        <w:t xml:space="preserve"> purposes — predicting internal or surface temperature under load — learned models replace thermocouple instrumentation that no production pack can afford, and physics-informed variants regularize the extrapolation regime where data-driven thermal models are least trustworthy </w:t>
      </w:r>
      <w:r>
        <w:rPr>
          <w:rFonts w:ascii="Times New Roman" w:hAnsi="Times New Roman"/>
          <w:sz w:val="20"/>
        </w:rPr>
        <w:t>[9]</w:t>
      </w:r>
      <w:r>
        <w:rPr>
          <w:rFonts w:ascii="Times New Roman" w:hAnsi="Times New Roman"/>
          <w:b w:val="0"/>
          <w:i w:val="0"/>
          <w:sz w:val="20"/>
        </w:rPr>
        <w:t xml:space="preserve">. For </w:t>
      </w:r>
      <w:r>
        <w:rPr>
          <w:rFonts w:ascii="Times New Roman" w:hAnsi="Times New Roman"/>
          <w:b w:val="0"/>
          <w:i/>
          <w:sz w:val="20"/>
        </w:rPr>
        <w:t>design</w:t>
      </w:r>
      <w:r>
        <w:rPr>
          <w:rFonts w:ascii="Times New Roman" w:hAnsi="Times New Roman"/>
          <w:b w:val="0"/>
          <w:i w:val="0"/>
          <w:sz w:val="20"/>
        </w:rPr>
        <w:t xml:space="preserve"> purposes — sizing and arranging cooling hardware — ML surrogates amortize expensive CFD evaluation across optimization loops, turning weeks of simulation into tractable search </w:t>
      </w:r>
      <w:r>
        <w:rPr>
          <w:rFonts w:ascii="Times New Roman" w:hAnsi="Times New Roman"/>
          <w:sz w:val="20"/>
        </w:rPr>
        <w:t>[94, 100]</w:t>
      </w:r>
      <w:r>
        <w:rPr>
          <w:rFonts w:ascii="Times New Roman" w:hAnsi="Times New Roman"/>
          <w:b w:val="0"/>
          <w:i w:val="0"/>
          <w:sz w:val="20"/>
        </w:rPr>
        <w:t xml:space="preserve">. For </w:t>
      </w:r>
      <w:r>
        <w:rPr>
          <w:rFonts w:ascii="Times New Roman" w:hAnsi="Times New Roman"/>
          <w:b w:val="0"/>
          <w:i/>
          <w:sz w:val="20"/>
        </w:rPr>
        <w:t>control</w:t>
      </w:r>
      <w:r>
        <w:rPr>
          <w:rFonts w:ascii="Times New Roman" w:hAnsi="Times New Roman"/>
          <w:b w:val="0"/>
          <w:i w:val="0"/>
          <w:sz w:val="20"/>
        </w:rPr>
        <w:t xml:space="preserve"> purposes — modulating cooling effort online — ANN controllers demonstrate parasitic-load reductions in simulation </w:t>
      </w:r>
      <w:r>
        <w:rPr>
          <w:rFonts w:ascii="Times New Roman" w:hAnsi="Times New Roman"/>
          <w:sz w:val="20"/>
        </w:rPr>
        <w:t>[102]</w:t>
      </w:r>
      <w:r>
        <w:rPr>
          <w:rFonts w:ascii="Times New Roman" w:hAnsi="Times New Roman"/>
          <w:b w:val="0"/>
          <w:i w:val="0"/>
          <w:sz w:val="20"/>
        </w:rPr>
        <w:t>, but no subset paper yet closes this loop on hardware, leaving thermal control where charging control was five years ago.</w:t>
      </w:r>
    </w:p>
    <w:p>
      <w:pPr>
        <w:keepNext/>
        <w:spacing w:after="80"/>
        <w:jc w:val="left"/>
      </w:pPr>
      <w:r>
        <w:rPr>
          <w:rFonts w:ascii="Times New Roman" w:hAnsi="Times New Roman"/>
          <w:b/>
          <w:i w:val="0"/>
          <w:sz w:val="20"/>
        </w:rPr>
        <w:t>7.2 Fault diagnosis and anomaly detection</w:t>
      </w:r>
    </w:p>
    <w:p>
      <w:pPr>
        <w:spacing w:after="160"/>
        <w:jc w:val="both"/>
      </w:pPr>
      <w:r>
        <w:rPr>
          <w:rFonts w:ascii="Times New Roman" w:hAnsi="Times New Roman"/>
          <w:b w:val="0"/>
          <w:i w:val="0"/>
          <w:sz w:val="20"/>
        </w:rPr>
        <w:t xml:space="preserve">Fault and safety applications (7 primary papers; 9 including reviews) divide into diagnosis of realized faults and prediction of impending hazards. On the diagnosis side, grid-search-optimized support vector machines classify sensor and connection faults </w:t>
      </w:r>
      <w:r>
        <w:rPr>
          <w:rFonts w:ascii="Times New Roman" w:hAnsi="Times New Roman"/>
          <w:sz w:val="20"/>
        </w:rPr>
        <w:t>[95]</w:t>
      </w:r>
      <w:r>
        <w:rPr>
          <w:rFonts w:ascii="Times New Roman" w:hAnsi="Times New Roman"/>
          <w:b w:val="0"/>
          <w:i w:val="0"/>
          <w:sz w:val="20"/>
        </w:rPr>
        <w:t xml:space="preserve">, curvilinear-Manhattan-distance methods detect multiple pack fault types in operating fleets </w:t>
      </w:r>
      <w:r>
        <w:rPr>
          <w:rFonts w:ascii="Times New Roman" w:hAnsi="Times New Roman"/>
          <w:sz w:val="20"/>
        </w:rPr>
        <w:t>[103]</w:t>
      </w:r>
      <w:r>
        <w:rPr>
          <w:rFonts w:ascii="Times New Roman" w:hAnsi="Times New Roman"/>
          <w:b w:val="0"/>
          <w:i w:val="0"/>
          <w:sz w:val="20"/>
        </w:rPr>
        <w:t xml:space="preserve">, and multi-scenario deep anomaly detection covers real EV operating envelopes </w:t>
      </w:r>
      <w:r>
        <w:rPr>
          <w:rFonts w:ascii="Times New Roman" w:hAnsi="Times New Roman"/>
          <w:sz w:val="20"/>
        </w:rPr>
        <w:t>[104]</w:t>
      </w:r>
      <w:r>
        <w:rPr>
          <w:rFonts w:ascii="Times New Roman" w:hAnsi="Times New Roman"/>
          <w:b w:val="0"/>
          <w:i w:val="0"/>
          <w:sz w:val="20"/>
        </w:rPr>
        <w:t xml:space="preserve">. Manufacturing-side inspection applies force-signal deep learning to catch lithium-plating-type defects before cells ship </w:t>
      </w:r>
      <w:r>
        <w:rPr>
          <w:rFonts w:ascii="Times New Roman" w:hAnsi="Times New Roman"/>
          <w:sz w:val="20"/>
        </w:rPr>
        <w:t>[105]</w:t>
      </w:r>
      <w:r>
        <w:rPr>
          <w:rFonts w:ascii="Times New Roman" w:hAnsi="Times New Roman"/>
          <w:b w:val="0"/>
          <w:i w:val="0"/>
          <w:sz w:val="20"/>
        </w:rPr>
        <w:t xml:space="preserve">. The hazard-prediction side is increasingly model-based: multiphysics models coupled with ML predict module-level thermal-runaway progression </w:t>
      </w:r>
      <w:r>
        <w:rPr>
          <w:rFonts w:ascii="Times New Roman" w:hAnsi="Times New Roman"/>
          <w:sz w:val="20"/>
        </w:rPr>
        <w:t>[96]</w:t>
      </w:r>
      <w:r>
        <w:rPr>
          <w:rFonts w:ascii="Times New Roman" w:hAnsi="Times New Roman"/>
          <w:b w:val="0"/>
          <w:i w:val="0"/>
          <w:sz w:val="20"/>
        </w:rPr>
        <w:t xml:space="preserve">, a multiphysics-informed DeepONet predicts runaway using virtual data to augment scarce experimental events </w:t>
      </w:r>
      <w:r>
        <w:rPr>
          <w:rFonts w:ascii="Times New Roman" w:hAnsi="Times New Roman"/>
          <w:sz w:val="20"/>
        </w:rPr>
        <w:t>[106]</w:t>
      </w:r>
      <w:r>
        <w:rPr>
          <w:rFonts w:ascii="Times New Roman" w:hAnsi="Times New Roman"/>
          <w:b w:val="0"/>
          <w:i w:val="0"/>
          <w:sz w:val="20"/>
        </w:rPr>
        <w:t xml:space="preserve">, and multi-source domain transfer moves thermal-runaway diagnosis across vehicle fleets with small target samples </w:t>
      </w:r>
      <w:r>
        <w:rPr>
          <w:rFonts w:ascii="Times New Roman" w:hAnsi="Times New Roman"/>
          <w:sz w:val="20"/>
        </w:rPr>
        <w:t>[97]</w:t>
      </w:r>
      <w:r>
        <w:rPr>
          <w:rFonts w:ascii="Times New Roman" w:hAnsi="Times New Roman"/>
          <w:b w:val="0"/>
          <w:i w:val="0"/>
          <w:sz w:val="20"/>
        </w:rPr>
        <w:t>.</w:t>
      </w:r>
    </w:p>
    <w:p>
      <w:pPr>
        <w:keepNext/>
        <w:spacing w:after="80"/>
        <w:jc w:val="left"/>
      </w:pPr>
      <w:r>
        <w:rPr>
          <w:rFonts w:ascii="Times New Roman" w:hAnsi="Times New Roman"/>
          <w:b/>
          <w:i w:val="0"/>
          <w:sz w:val="20"/>
        </w:rPr>
        <w:t>7.3 Critical assessment</w:t>
      </w:r>
    </w:p>
    <w:p>
      <w:pPr>
        <w:spacing w:after="160"/>
        <w:jc w:val="both"/>
      </w:pPr>
      <w:r>
        <w:rPr>
          <w:rFonts w:ascii="Times New Roman" w:hAnsi="Times New Roman"/>
          <w:b w:val="0"/>
          <w:i w:val="0"/>
          <w:sz w:val="20"/>
        </w:rPr>
        <w:t xml:space="preserve">Safety applications carry the corpus’s highest stakes and its thinnest evidence base. Thermal-runaway events are rare and expensive to generate, so learning systems train on simulation or small laboratory campaigns; the DeepONet line’s virtual-data approach </w:t>
      </w:r>
      <w:r>
        <w:rPr>
          <w:rFonts w:ascii="Times New Roman" w:hAnsi="Times New Roman"/>
          <w:sz w:val="20"/>
        </w:rPr>
        <w:t>[106]</w:t>
      </w:r>
      <w:r>
        <w:rPr>
          <w:rFonts w:ascii="Times New Roman" w:hAnsi="Times New Roman"/>
          <w:b w:val="0"/>
          <w:i w:val="0"/>
          <w:sz w:val="20"/>
        </w:rPr>
        <w:t xml:space="preserve"> is a rational response, but it inherits the fidelity limits of the underlying multiphysics models. The reviews in this cluster are notably candid: laboratory fault diagnosis has historically failed to transfer to real vehicles because fault signatures are masked by pack-level averaging, sensor noise, and operating diversity </w:t>
      </w:r>
      <w:r>
        <w:rPr>
          <w:rFonts w:ascii="Times New Roman" w:hAnsi="Times New Roman"/>
          <w:sz w:val="20"/>
        </w:rPr>
        <w:t>[23, 24]</w:t>
      </w:r>
      <w:r>
        <w:rPr>
          <w:rFonts w:ascii="Times New Roman" w:hAnsi="Times New Roman"/>
          <w:b w:val="0"/>
          <w:i w:val="0"/>
          <w:sz w:val="20"/>
        </w:rPr>
        <w:t>. The fleet-data anomaly-detection studies are therefore the cluster’s most valuable trend, even though label scarcity for rare faults keeps evaluation largely qualitative.</w:t>
      </w:r>
    </w:p>
    <w:p>
      <w:pPr>
        <w:keepNext/>
        <w:spacing w:after="120"/>
        <w:jc w:val="left"/>
      </w:pPr>
      <w:r>
        <w:rPr>
          <w:rFonts w:ascii="Times New Roman" w:hAnsi="Times New Roman"/>
          <w:b/>
          <w:i w:val="0"/>
          <w:sz w:val="20"/>
        </w:rPr>
        <w:t>8. Cross-Cutting Directions</w:t>
      </w:r>
    </w:p>
    <w:p>
      <w:pPr>
        <w:keepNext/>
        <w:spacing w:after="80"/>
        <w:jc w:val="left"/>
      </w:pPr>
      <w:r>
        <w:rPr>
          <w:rFonts w:ascii="Times New Roman" w:hAnsi="Times New Roman"/>
          <w:b/>
          <w:i w:val="0"/>
          <w:sz w:val="20"/>
        </w:rPr>
        <w:t>8.1 Physics-informed learning</w:t>
      </w:r>
    </w:p>
    <w:p>
      <w:pPr>
        <w:spacing w:after="160"/>
        <w:jc w:val="both"/>
      </w:pPr>
      <w:r>
        <w:rPr>
          <w:rFonts w:ascii="Times New Roman" w:hAnsi="Times New Roman"/>
          <w:b w:val="0"/>
          <w:i w:val="0"/>
          <w:sz w:val="20"/>
        </w:rPr>
        <w:t xml:space="preserve">Within the classified subset, physics-informed and hybrid model–data learning is the most consistently rising methodological theme (24 family-coded papers across all functions; 22 of them primary applications; the only family with a monotonically non-decreasing primary trajectory within the subset — a pattern the eligible pool’s query-theme tags do not mirror, Section 3.2). Beyond the prognostics applications of Section 5.4, physics-informed structures appear in state estimation </w:t>
      </w:r>
      <w:r>
        <w:rPr>
          <w:rFonts w:ascii="Times New Roman" w:hAnsi="Times New Roman"/>
          <w:sz w:val="20"/>
        </w:rPr>
        <w:t>[10, 107]</w:t>
      </w:r>
      <w:r>
        <w:rPr>
          <w:rFonts w:ascii="Times New Roman" w:hAnsi="Times New Roman"/>
          <w:b w:val="0"/>
          <w:i w:val="0"/>
          <w:sz w:val="20"/>
        </w:rPr>
        <w:t xml:space="preserve">, heat-generation estimation </w:t>
      </w:r>
      <w:r>
        <w:rPr>
          <w:rFonts w:ascii="Times New Roman" w:hAnsi="Times New Roman"/>
          <w:sz w:val="20"/>
        </w:rPr>
        <w:t>[9]</w:t>
      </w:r>
      <w:r>
        <w:rPr>
          <w:rFonts w:ascii="Times New Roman" w:hAnsi="Times New Roman"/>
          <w:b w:val="0"/>
          <w:i w:val="0"/>
          <w:sz w:val="20"/>
        </w:rPr>
        <w:t xml:space="preserve">, and impedance-based diagnostics, where physics-informed deep learning over electrochemical impedance spectra is consolidating into a diagnostic paradigm of its own </w:t>
      </w:r>
      <w:r>
        <w:rPr>
          <w:rFonts w:ascii="Times New Roman" w:hAnsi="Times New Roman"/>
          <w:sz w:val="20"/>
        </w:rPr>
        <w:t>[21]</w:t>
      </w:r>
      <w:r>
        <w:rPr>
          <w:rFonts w:ascii="Times New Roman" w:hAnsi="Times New Roman"/>
          <w:b w:val="0"/>
          <w:i w:val="0"/>
          <w:sz w:val="20"/>
        </w:rPr>
        <w:t xml:space="preserve">. Physics-constrained autoencoders improve health prediction over purely learned counterparts </w:t>
      </w:r>
      <w:r>
        <w:rPr>
          <w:rFonts w:ascii="Times New Roman" w:hAnsi="Times New Roman"/>
          <w:sz w:val="20"/>
        </w:rPr>
        <w:t>[108]</w:t>
      </w:r>
      <w:r>
        <w:rPr>
          <w:rFonts w:ascii="Times New Roman" w:hAnsi="Times New Roman"/>
          <w:b w:val="0"/>
          <w:i w:val="0"/>
          <w:sz w:val="20"/>
        </w:rPr>
        <w:t xml:space="preserve">, and recurrent networks trained to anticipate uncertain future duty conditions address degradation prediction under distribution shift directly </w:t>
      </w:r>
      <w:r>
        <w:rPr>
          <w:rFonts w:ascii="Times New Roman" w:hAnsi="Times New Roman"/>
          <w:sz w:val="20"/>
        </w:rPr>
        <w:t>[109]</w:t>
      </w:r>
      <w:r>
        <w:rPr>
          <w:rFonts w:ascii="Times New Roman" w:hAnsi="Times New Roman"/>
          <w:b w:val="0"/>
          <w:i w:val="0"/>
          <w:sz w:val="20"/>
        </w:rPr>
        <w:t xml:space="preserve">. A parallel fusion literature combines physical and data-driven models for internal-state estimation generally </w:t>
      </w:r>
      <w:r>
        <w:rPr>
          <w:rFonts w:ascii="Times New Roman" w:hAnsi="Times New Roman"/>
          <w:sz w:val="20"/>
        </w:rPr>
        <w:t>[110]</w:t>
      </w:r>
      <w:r>
        <w:rPr>
          <w:rFonts w:ascii="Times New Roman" w:hAnsi="Times New Roman"/>
          <w:b w:val="0"/>
          <w:i w:val="0"/>
          <w:sz w:val="20"/>
        </w:rPr>
        <w:t xml:space="preserve">. The appeal is easy to state: physics priors supply exactly the extrapolation structure that pure learners lack. The corpus’s caution is that most physics-informed studies embed </w:t>
      </w:r>
      <w:r>
        <w:rPr>
          <w:rFonts w:ascii="Times New Roman" w:hAnsi="Times New Roman"/>
          <w:b w:val="0"/>
          <w:i/>
          <w:sz w:val="20"/>
        </w:rPr>
        <w:t>simplified</w:t>
      </w:r>
      <w:r>
        <w:rPr>
          <w:rFonts w:ascii="Times New Roman" w:hAnsi="Times New Roman"/>
          <w:b w:val="0"/>
          <w:i w:val="0"/>
          <w:sz w:val="20"/>
        </w:rPr>
        <w:t xml:space="preserve"> physics — equivalent-circuit or reduced electrochemical models — so the hybrid inherits model bias even as it gains structure.</w:t>
      </w:r>
    </w:p>
    <w:p>
      <w:pPr>
        <w:keepNext/>
        <w:spacing w:after="80"/>
        <w:jc w:val="left"/>
      </w:pPr>
      <w:r>
        <w:rPr>
          <w:rFonts w:ascii="Times New Roman" w:hAnsi="Times New Roman"/>
          <w:b/>
          <w:i w:val="0"/>
          <w:sz w:val="20"/>
        </w:rPr>
        <w:t>8.2 Interpretability and uncertainty</w:t>
      </w:r>
    </w:p>
    <w:p>
      <w:pPr>
        <w:spacing w:after="160"/>
        <w:jc w:val="both"/>
      </w:pPr>
      <w:r>
        <w:rPr>
          <w:rFonts w:ascii="Times New Roman" w:hAnsi="Times New Roman"/>
          <w:b w:val="0"/>
          <w:i w:val="0"/>
          <w:sz w:val="20"/>
        </w:rPr>
        <w:t xml:space="preserve">A smaller but consequential cluster makes learning systems inspectable. Explainability-driven feature selection improves SOH estimator robustness via SHAP analysis </w:t>
      </w:r>
      <w:r>
        <w:rPr>
          <w:rFonts w:ascii="Times New Roman" w:hAnsi="Times New Roman"/>
          <w:sz w:val="20"/>
        </w:rPr>
        <w:t>[111]</w:t>
      </w:r>
      <w:r>
        <w:rPr>
          <w:rFonts w:ascii="Times New Roman" w:hAnsi="Times New Roman"/>
          <w:b w:val="0"/>
          <w:i w:val="0"/>
          <w:sz w:val="20"/>
        </w:rPr>
        <w:t xml:space="preserve">; interpretable ML links manufacturing coating parameters to cell capacity, connecting management analytics to production </w:t>
      </w:r>
      <w:r>
        <w:rPr>
          <w:rFonts w:ascii="Times New Roman" w:hAnsi="Times New Roman"/>
          <w:sz w:val="20"/>
        </w:rPr>
        <w:t>[112]</w:t>
      </w:r>
      <w:r>
        <w:rPr>
          <w:rFonts w:ascii="Times New Roman" w:hAnsi="Times New Roman"/>
          <w:b w:val="0"/>
          <w:i w:val="0"/>
          <w:sz w:val="20"/>
        </w:rPr>
        <w:t xml:space="preserve">; interpretable hybrid ML untangles co-evolving degradation chemistries in lithium–sulfur cells </w:t>
      </w:r>
      <w:r>
        <w:rPr>
          <w:rFonts w:ascii="Times New Roman" w:hAnsi="Times New Roman"/>
          <w:sz w:val="20"/>
        </w:rPr>
        <w:t>[113]</w:t>
      </w:r>
      <w:r>
        <w:rPr>
          <w:rFonts w:ascii="Times New Roman" w:hAnsi="Times New Roman"/>
          <w:b w:val="0"/>
          <w:i w:val="0"/>
          <w:sz w:val="20"/>
        </w:rPr>
        <w:t xml:space="preserve">; and uncertainty-aware, explainable models deliver calibrated early-life predictions </w:t>
      </w:r>
      <w:r>
        <w:rPr>
          <w:rFonts w:ascii="Times New Roman" w:hAnsi="Times New Roman"/>
          <w:sz w:val="20"/>
        </w:rPr>
        <w:t>[98]</w:t>
      </w:r>
      <w:r>
        <w:rPr>
          <w:rFonts w:ascii="Times New Roman" w:hAnsi="Times New Roman"/>
          <w:b w:val="0"/>
          <w:i w:val="0"/>
          <w:sz w:val="20"/>
        </w:rPr>
        <w:t xml:space="preserve">. Review-level retrospectives of interpretable battery prognosis now chart the theme’s trajectory </w:t>
      </w:r>
      <w:r>
        <w:rPr>
          <w:rFonts w:ascii="Times New Roman" w:hAnsi="Times New Roman"/>
          <w:sz w:val="20"/>
        </w:rPr>
        <w:t>[22]</w:t>
      </w:r>
      <w:r>
        <w:rPr>
          <w:rFonts w:ascii="Times New Roman" w:hAnsi="Times New Roman"/>
          <w:b w:val="0"/>
          <w:i w:val="0"/>
          <w:sz w:val="20"/>
        </w:rPr>
        <w:t>. The state of practice remains, however, dominated by post-hoc explanation of otherwise black-box models — a necessary but not sufficient condition for the safety certification that onboard ML will eventually require.</w:t>
      </w:r>
    </w:p>
    <w:p>
      <w:pPr>
        <w:spacing w:after="160"/>
        <w:jc w:val="both"/>
      </w:pPr>
      <w:r>
        <w:rPr>
          <w:rFonts w:ascii="Times New Roman" w:hAnsi="Times New Roman"/>
          <w:b w:val="0"/>
          <w:i w:val="0"/>
          <w:sz w:val="20"/>
        </w:rPr>
        <w:t xml:space="preserve">The uncertainty thread deserves separate emphasis because it is the certification-relevant one. Gaussian-process lineages carry calibrated intervals as a first-class output </w:t>
      </w:r>
      <w:r>
        <w:rPr>
          <w:rFonts w:ascii="Times New Roman" w:hAnsi="Times New Roman"/>
          <w:sz w:val="20"/>
        </w:rPr>
        <w:t>[59]</w:t>
      </w:r>
      <w:r>
        <w:rPr>
          <w:rFonts w:ascii="Times New Roman" w:hAnsi="Times New Roman"/>
          <w:b w:val="0"/>
          <w:i w:val="0"/>
          <w:sz w:val="20"/>
        </w:rPr>
        <w:t xml:space="preserve">, the uncertainty-aware early-prediction study demonstrates calibrated lifetime distributions rather than point forecasts </w:t>
      </w:r>
      <w:r>
        <w:rPr>
          <w:rFonts w:ascii="Times New Roman" w:hAnsi="Times New Roman"/>
          <w:sz w:val="20"/>
        </w:rPr>
        <w:t>[98]</w:t>
      </w:r>
      <w:r>
        <w:rPr>
          <w:rFonts w:ascii="Times New Roman" w:hAnsi="Times New Roman"/>
          <w:b w:val="0"/>
          <w:i w:val="0"/>
          <w:sz w:val="20"/>
        </w:rPr>
        <w:t xml:space="preserve">, and conformal-style guarantees are beginning to appear in adjacent prognostics work. The interpretability thread, by contrast, remains dominated by post-hoc attribution (SHAP-style) analyses that explain </w:t>
      </w:r>
      <w:r>
        <w:rPr>
          <w:rFonts w:ascii="Times New Roman" w:hAnsi="Times New Roman"/>
          <w:b w:val="0"/>
          <w:i/>
          <w:sz w:val="20"/>
        </w:rPr>
        <w:t>which features mattered</w:t>
      </w:r>
      <w:r>
        <w:rPr>
          <w:rFonts w:ascii="Times New Roman" w:hAnsi="Times New Roman"/>
          <w:b w:val="0"/>
          <w:i w:val="0"/>
          <w:sz w:val="20"/>
        </w:rPr>
        <w:t xml:space="preserve"> without bounding </w:t>
      </w:r>
      <w:r>
        <w:rPr>
          <w:rFonts w:ascii="Times New Roman" w:hAnsi="Times New Roman"/>
          <w:b w:val="0"/>
          <w:i/>
          <w:sz w:val="20"/>
        </w:rPr>
        <w:t>what the model will do</w:t>
      </w:r>
      <w:r>
        <w:rPr>
          <w:rFonts w:ascii="Times New Roman" w:hAnsi="Times New Roman"/>
          <w:b w:val="0"/>
          <w:i w:val="0"/>
          <w:sz w:val="20"/>
        </w:rPr>
        <w:t xml:space="preserve"> on out-of-distribution inputs. For safety cases the two are not substitutes: attribution supports debugging and trust-building, while calibrated uncertainty supports decision rules — and only the latter has a route into certification argument.</w:t>
      </w:r>
    </w:p>
    <w:p>
      <w:pPr>
        <w:keepNext/>
        <w:spacing w:after="80"/>
        <w:jc w:val="left"/>
      </w:pPr>
      <w:r>
        <w:rPr>
          <w:rFonts w:ascii="Times New Roman" w:hAnsi="Times New Roman"/>
          <w:b/>
          <w:i w:val="0"/>
          <w:sz w:val="20"/>
        </w:rPr>
        <w:t>8.3 Digital twins, cloud BMS, and new sensing</w:t>
      </w:r>
    </w:p>
    <w:p>
      <w:pPr>
        <w:spacing w:after="160"/>
        <w:jc w:val="both"/>
      </w:pPr>
      <w:r>
        <w:rPr>
          <w:rFonts w:ascii="Times New Roman" w:hAnsi="Times New Roman"/>
          <w:b w:val="0"/>
          <w:i w:val="0"/>
          <w:sz w:val="20"/>
        </w:rPr>
        <w:t xml:space="preserve">System-level architecture is emerging as a research object in its own right. Digital-twin implementations track individual battery aging through incremental learning </w:t>
      </w:r>
      <w:r>
        <w:rPr>
          <w:rFonts w:ascii="Times New Roman" w:hAnsi="Times New Roman"/>
          <w:sz w:val="20"/>
        </w:rPr>
        <w:t>[114]</w:t>
      </w:r>
      <w:r>
        <w:rPr>
          <w:rFonts w:ascii="Times New Roman" w:hAnsi="Times New Roman"/>
          <w:b w:val="0"/>
          <w:i w:val="0"/>
          <w:sz w:val="20"/>
        </w:rPr>
        <w:t xml:space="preserve"> and couple LSTM surrogates with real-time thermal observation </w:t>
      </w:r>
      <w:r>
        <w:rPr>
          <w:rFonts w:ascii="Times New Roman" w:hAnsi="Times New Roman"/>
          <w:sz w:val="20"/>
        </w:rPr>
        <w:t>[115]</w:t>
      </w:r>
      <w:r>
        <w:rPr>
          <w:rFonts w:ascii="Times New Roman" w:hAnsi="Times New Roman"/>
          <w:b w:val="0"/>
          <w:i w:val="0"/>
          <w:sz w:val="20"/>
        </w:rPr>
        <w:t xml:space="preserve">; cloud-based platforms perform in-situ life prediction and classification at fleet scale from streaming charge data </w:t>
      </w:r>
      <w:r>
        <w:rPr>
          <w:rFonts w:ascii="Times New Roman" w:hAnsi="Times New Roman"/>
          <w:sz w:val="20"/>
        </w:rPr>
        <w:t>[116]</w:t>
      </w:r>
      <w:r>
        <w:rPr>
          <w:rFonts w:ascii="Times New Roman" w:hAnsi="Times New Roman"/>
          <w:b w:val="0"/>
          <w:i w:val="0"/>
          <w:sz w:val="20"/>
        </w:rPr>
        <w:t xml:space="preserve">; and second-life workflows use impedance-based accelerated SOH estimation to triage retired packs </w:t>
      </w:r>
      <w:r>
        <w:rPr>
          <w:rFonts w:ascii="Times New Roman" w:hAnsi="Times New Roman"/>
          <w:sz w:val="20"/>
        </w:rPr>
        <w:t>[117]</w:t>
      </w:r>
      <w:r>
        <w:rPr>
          <w:rFonts w:ascii="Times New Roman" w:hAnsi="Times New Roman"/>
          <w:b w:val="0"/>
          <w:i w:val="0"/>
          <w:sz w:val="20"/>
        </w:rPr>
        <w:t xml:space="preserve">. Non-electrical sensing broadens the measurement base: ultrasonic signatures processed with ML provide a SOC channel orthogonal to voltage sensing </w:t>
      </w:r>
      <w:r>
        <w:rPr>
          <w:rFonts w:ascii="Times New Roman" w:hAnsi="Times New Roman"/>
          <w:sz w:val="20"/>
        </w:rPr>
        <w:t>[58]</w:t>
      </w:r>
      <w:r>
        <w:rPr>
          <w:rFonts w:ascii="Times New Roman" w:hAnsi="Times New Roman"/>
          <w:b w:val="0"/>
          <w:i w:val="0"/>
          <w:sz w:val="20"/>
        </w:rPr>
        <w:t xml:space="preserve">, impedance-spectroscopy ML supports SOC and SOH estimation despite EIS’s onboard-cost problem </w:t>
      </w:r>
      <w:r>
        <w:rPr>
          <w:rFonts w:ascii="Times New Roman" w:hAnsi="Times New Roman"/>
          <w:sz w:val="20"/>
        </w:rPr>
        <w:t>[57, 118]</w:t>
      </w:r>
      <w:r>
        <w:rPr>
          <w:rFonts w:ascii="Times New Roman" w:hAnsi="Times New Roman"/>
          <w:b w:val="0"/>
          <w:i w:val="0"/>
          <w:sz w:val="20"/>
        </w:rPr>
        <w:t xml:space="preserve">, and battery state-of-power estimation combines learned models with numerical search for real-time capability prediction </w:t>
      </w:r>
      <w:r>
        <w:rPr>
          <w:rFonts w:ascii="Times New Roman" w:hAnsi="Times New Roman"/>
          <w:sz w:val="20"/>
        </w:rPr>
        <w:t>[119]</w:t>
      </w:r>
      <w:r>
        <w:rPr>
          <w:rFonts w:ascii="Times New Roman" w:hAnsi="Times New Roman"/>
          <w:b w:val="0"/>
          <w:i w:val="0"/>
          <w:sz w:val="20"/>
        </w:rPr>
        <w:t>.</w:t>
      </w:r>
    </w:p>
    <w:p>
      <w:pPr>
        <w:spacing w:after="160"/>
        <w:jc w:val="both"/>
      </w:pPr>
      <w:r>
        <w:rPr>
          <w:rFonts w:ascii="Times New Roman" w:hAnsi="Times New Roman"/>
          <w:b w:val="0"/>
          <w:i w:val="0"/>
          <w:sz w:val="20"/>
        </w:rPr>
        <w:t xml:space="preserve">The twin/cloud/second-life cluster carries the corpus’s most concrete systems implications. Digital-twin formulations reframe estimation as continual model maintenance — the incremental-learning requirement follows from pack heterogeneity and aging drift </w:t>
      </w:r>
      <w:r>
        <w:rPr>
          <w:rFonts w:ascii="Times New Roman" w:hAnsi="Times New Roman"/>
          <w:sz w:val="20"/>
        </w:rPr>
        <w:t>[114]</w:t>
      </w:r>
      <w:r>
        <w:rPr>
          <w:rFonts w:ascii="Times New Roman" w:hAnsi="Times New Roman"/>
          <w:b w:val="0"/>
          <w:i w:val="0"/>
          <w:sz w:val="20"/>
        </w:rPr>
        <w:t xml:space="preserve"> — and cloud architectures relocate heavy computation off-vehicle, at the price of connectivity dependence and data-volume engineering </w:t>
      </w:r>
      <w:r>
        <w:rPr>
          <w:rFonts w:ascii="Times New Roman" w:hAnsi="Times New Roman"/>
          <w:sz w:val="20"/>
        </w:rPr>
        <w:t>[116]</w:t>
      </w:r>
      <w:r>
        <w:rPr>
          <w:rFonts w:ascii="Times New Roman" w:hAnsi="Times New Roman"/>
          <w:b w:val="0"/>
          <w:i w:val="0"/>
          <w:sz w:val="20"/>
        </w:rPr>
        <w:t xml:space="preserve">. Second-life workflows invert the deployment direction: instead of bringing estimators to new cells, they bring cheap, accelerated assessment to aged, heterogeneous cells </w:t>
      </w:r>
      <w:r>
        <w:rPr>
          <w:rFonts w:ascii="Times New Roman" w:hAnsi="Times New Roman"/>
          <w:sz w:val="20"/>
        </w:rPr>
        <w:t>[117]</w:t>
      </w:r>
      <w:r>
        <w:rPr>
          <w:rFonts w:ascii="Times New Roman" w:hAnsi="Times New Roman"/>
          <w:b w:val="0"/>
          <w:i w:val="0"/>
          <w:sz w:val="20"/>
        </w:rPr>
        <w:t>, where classification-style decisions (deploy, repurpose, recycle) tolerate coarser resolution than onboard safety estimation. These three settings differ in latency budgets, error tolerance, and update cadence — and the corpus suggests the field is beginning to design for those differences rather than for a single notion of “the BMS.”</w:t>
      </w:r>
    </w:p>
    <w:p>
      <w:pPr>
        <w:keepNext/>
        <w:spacing w:after="80"/>
        <w:jc w:val="left"/>
      </w:pPr>
      <w:r>
        <w:rPr>
          <w:rFonts w:ascii="Times New Roman" w:hAnsi="Times New Roman"/>
          <w:b/>
          <w:i w:val="0"/>
          <w:sz w:val="20"/>
        </w:rPr>
        <w:t>8.4 Foundation models and LLM-based management</w:t>
      </w:r>
    </w:p>
    <w:p>
      <w:pPr>
        <w:spacing w:after="160"/>
        <w:jc w:val="both"/>
      </w:pPr>
      <w:r>
        <w:rPr>
          <w:rFonts w:ascii="Times New Roman" w:hAnsi="Times New Roman"/>
          <w:b w:val="0"/>
          <w:i w:val="0"/>
          <w:sz w:val="20"/>
        </w:rPr>
        <w:t xml:space="preserve">The classified subset’s youngest theme is generative, and its two studies divide the labor differently. Domain-specific large language models perform risk analysis of battery energy-storage incidents by synthesizing heterogeneous incident reports </w:t>
      </w:r>
      <w:r>
        <w:rPr>
          <w:rFonts w:ascii="Times New Roman" w:hAnsi="Times New Roman"/>
          <w:sz w:val="20"/>
        </w:rPr>
        <w:t>[14]</w:t>
      </w:r>
      <w:r>
        <w:rPr>
          <w:rFonts w:ascii="Times New Roman" w:hAnsi="Times New Roman"/>
          <w:b w:val="0"/>
          <w:i w:val="0"/>
          <w:sz w:val="20"/>
        </w:rPr>
        <w:t xml:space="preserve"> — a reasoning-and-synthesis role. The second study, HA-LLM </w:t>
      </w:r>
      <w:r>
        <w:rPr>
          <w:rFonts w:ascii="Times New Roman" w:hAnsi="Times New Roman"/>
          <w:sz w:val="20"/>
        </w:rPr>
        <w:t>[15]</w:t>
      </w:r>
      <w:r>
        <w:rPr>
          <w:rFonts w:ascii="Times New Roman" w:hAnsi="Times New Roman"/>
          <w:b w:val="0"/>
          <w:i w:val="0"/>
          <w:sz w:val="20"/>
        </w:rPr>
        <w:t xml:space="preserve">, is an LLM-based SOH estimator: it aligns resampled charging-current sequences with the LLM embedding space, injects battery degradation priors through prefix adaptation, and — most notably for safety — wraps the LLM in an uncertainty-aware module that estimates predictive uncertainty by Monte Carlo sampling and selectively substitutes a physics-consistent estimator when uncertainty is high. It is validated on one year of field data from 100 production vehicles on a vehicle-cloud platform, with an independent teardown and bench capacity calibration on an unseen vehicle model, and it remains robust in few-shot and zero-shot cross-vehicle evaluations. The published work therefore already spans both the orchestration seat and the estimator seat, and the estimator-seat study is instructive precisely because its authors treated hallucination risk as a design constraint: uncertainty-triggered fallback to a physics-consistent estimator is exactly the guardrail this review argues should be mandatory (Table 9). The appearance of both roles in mainstream energy journals in 2025–2026 marks a new phase: the management stack is beginning to absorb foundation-model components. Earliest-here claims are bounded by retrieval: a GPT-4-based health estimator by Poh et al. </w:t>
      </w:r>
      <w:r>
        <w:rPr>
          <w:rFonts w:ascii="Times New Roman" w:hAnsi="Times New Roman"/>
          <w:sz w:val="20"/>
        </w:rPr>
        <w:t>[120]</w:t>
      </w:r>
      <w:r>
        <w:rPr>
          <w:rFonts w:ascii="Times New Roman" w:hAnsi="Times New Roman"/>
          <w:b w:val="0"/>
          <w:i w:val="0"/>
          <w:sz w:val="20"/>
        </w:rPr>
        <w:t xml:space="preserve"> appeared in IEEE Transactions on Energy Conversion in 2025, predating both studies, and it appears nowhere in the released 1,550-record retrieval — a recall miss of the query design, not a venue exclusion. The recall audit of Section 2.2 shows such misses are structural rather than exceptional: the capped queries contain only 16–17% of the in-scope, 2020-onward literature cited by this review’s own included reviews, and the missed TEC paper is cited by none of those reviews either, so even a reference-list-driven search would not have surfaced it. Studies in this subset are therefore described as the earliest in the classified subset, not the first in the field.</w:t>
      </w:r>
    </w:p>
    <w:p>
      <w:pPr>
        <w:spacing w:after="160"/>
        <w:jc w:val="both"/>
      </w:pPr>
      <w:r>
        <w:rPr>
          <w:rFonts w:ascii="Times New Roman" w:hAnsi="Times New Roman"/>
          <w:b w:val="0"/>
          <w:i w:val="0"/>
          <w:sz w:val="20"/>
        </w:rPr>
        <w:t xml:space="preserve">Because BMS software is safety-critical, this review argues for an explicit division of labor before that absorption goes further, and Table 9 makes it concrete. The table contrasts established practice for classical and deep learning estimators with what the corpus’s two LLM studies actually demonstrate, and states the guardrails this review regards as mandatory before any LLM component touches a safety-relevant path. The right-hand column is normative guidance proposed here, not claims about the published studies. The notable point is that the subset’s earliest LLM estimator study </w:t>
      </w:r>
      <w:r>
        <w:rPr>
          <w:rFonts w:ascii="Times New Roman" w:hAnsi="Times New Roman"/>
          <w:sz w:val="20"/>
        </w:rPr>
        <w:t>[15]</w:t>
      </w:r>
      <w:r>
        <w:rPr>
          <w:rFonts w:ascii="Times New Roman" w:hAnsi="Times New Roman"/>
          <w:b w:val="0"/>
          <w:i w:val="0"/>
          <w:sz w:val="20"/>
        </w:rPr>
        <w:t xml:space="preserve"> already implements two of those guardrails — Monte-Carlo uncertainty gating and substitution by a physics-consistent estimator — while leaving direct cell-level safety authority undefined, which is where the line should stay for now.</w:t>
      </w:r>
    </w:p>
    <w:p>
      <w:pPr>
        <w:keepNext/>
        <w:spacing w:after="80"/>
        <w:jc w:val="left"/>
      </w:pPr>
      <w:r>
        <w:rPr>
          <w:rFonts w:ascii="Times New Roman" w:hAnsi="Times New Roman"/>
          <w:b w:val="0"/>
          <w:i w:val="0"/>
          <w:sz w:val="18"/>
        </w:rPr>
        <w:t>Table 9 Safety and verification taxonomy for foundation-model components in the BMS stack. The right-hand column is normative guidance proposed by this review, not claims about the published studies.</w:t>
      </w:r>
    </w:p>
    <w:tbl>
      <w:tblPr>
        <w:tblStyle w:val="TableGrid"/>
        <w:tblW w:type="auto" w:w="0"/>
        <w:jc w:val="center"/>
        <w:tblLayout w:type="fixed"/>
        <w:tblLook w:firstColumn="1" w:firstRow="1" w:lastColumn="0" w:lastRow="0" w:noHBand="0" w:noVBand="1" w:val="04A0"/>
        <w:tblLayout w:type="fixed"/>
      </w:tblPr>
      <w:tblGrid>
        <w:gridCol w:w="1440"/>
        <w:gridCol w:w="2736"/>
        <w:gridCol w:w="2592"/>
        <w:gridCol w:w="2592"/>
      </w:tblGrid>
      <w:tr>
        <w:trPr>
          <w:cantSplit/>
          <w:tblHeader/>
        </w:trPr>
        <w:tc>
          <w:tcPr>
            <w:tcW w:type="dxa" w:w="1440"/>
          </w:tcPr>
          <w:p>
            <w:pPr>
              <w:jc w:val="center"/>
            </w:pPr>
            <w:r/>
            <w:r>
              <w:rPr>
                <w:rFonts w:ascii="Times New Roman" w:hAnsi="Times New Roman"/>
                <w:b/>
                <w:sz w:val="17"/>
              </w:rPr>
              <w:t>Dimension</w:t>
            </w:r>
          </w:p>
        </w:tc>
        <w:tc>
          <w:tcPr>
            <w:tcW w:type="dxa" w:w="2736"/>
          </w:tcPr>
          <w:p>
            <w:pPr>
              <w:jc w:val="center"/>
            </w:pPr>
            <w:r/>
            <w:r>
              <w:rPr>
                <w:rFonts w:ascii="Times New Roman" w:hAnsi="Times New Roman"/>
                <w:b/>
                <w:sz w:val="17"/>
              </w:rPr>
              <w:t>Classical / deep ML estimators (established practice)</w:t>
            </w:r>
          </w:p>
        </w:tc>
        <w:tc>
          <w:tcPr>
            <w:tcW w:type="dxa" w:w="2592"/>
          </w:tcPr>
          <w:p>
            <w:pPr>
              <w:jc w:val="center"/>
            </w:pPr>
            <w:r/>
            <w:r>
              <w:rPr>
                <w:rFonts w:ascii="Times New Roman" w:hAnsi="Times New Roman"/>
                <w:b/>
                <w:sz w:val="17"/>
              </w:rPr>
              <w:t>Published LLM studies (2025–2026)</w:t>
            </w:r>
          </w:p>
        </w:tc>
        <w:tc>
          <w:tcPr>
            <w:tcW w:type="dxa" w:w="2592"/>
          </w:tcPr>
          <w:p>
            <w:pPr>
              <w:jc w:val="center"/>
            </w:pPr>
            <w:r/>
            <w:r>
              <w:rPr>
                <w:rFonts w:ascii="Times New Roman" w:hAnsi="Times New Roman"/>
                <w:b/>
                <w:sz w:val="17"/>
              </w:rPr>
              <w:t>Required guardrail (this review)</w:t>
            </w:r>
          </w:p>
        </w:tc>
      </w:tr>
      <w:tr>
        <w:trPr>
          <w:cantSplit/>
        </w:trPr>
        <w:tc>
          <w:tcPr>
            <w:tcW w:type="dxa" w:w="1440"/>
          </w:tcPr>
          <w:p>
            <w:pPr>
              <w:jc w:val="left"/>
            </w:pPr>
            <w:r/>
            <w:r>
              <w:rPr>
                <w:rFonts w:ascii="Times New Roman" w:hAnsi="Times New Roman"/>
                <w:b w:val="0"/>
                <w:i w:val="0"/>
                <w:sz w:val="17"/>
              </w:rPr>
              <w:t>Role in the stack</w:t>
            </w:r>
          </w:p>
        </w:tc>
        <w:tc>
          <w:tcPr>
            <w:tcW w:type="dxa" w:w="2736"/>
          </w:tcPr>
          <w:p>
            <w:r/>
            <w:r>
              <w:rPr>
                <w:rFonts w:ascii="Times New Roman" w:hAnsi="Times New Roman"/>
                <w:b w:val="0"/>
                <w:i w:val="0"/>
                <w:sz w:val="17"/>
              </w:rPr>
              <w:t>Calibrated numeric estimation and detection</w:t>
            </w:r>
          </w:p>
        </w:tc>
        <w:tc>
          <w:tcPr>
            <w:tcW w:type="dxa" w:w="2592"/>
          </w:tcPr>
          <w:p>
            <w:r/>
            <w:r>
              <w:rPr>
                <w:rFonts w:ascii="Times New Roman" w:hAnsi="Times New Roman"/>
                <w:b w:val="0"/>
                <w:i w:val="0"/>
                <w:sz w:val="17"/>
              </w:rPr>
              <w:t xml:space="preserve">Stationary-BESS incident risk analysis </w:t>
            </w:r>
            <w:r>
              <w:rPr>
                <w:rFonts w:ascii="Times New Roman" w:hAnsi="Times New Roman"/>
                <w:sz w:val="17"/>
              </w:rPr>
              <w:t>[14]</w:t>
            </w:r>
            <w:r>
              <w:rPr>
                <w:rFonts w:ascii="Times New Roman" w:hAnsi="Times New Roman"/>
                <w:b w:val="0"/>
                <w:i w:val="0"/>
                <w:sz w:val="17"/>
              </w:rPr>
              <w:t xml:space="preserve">; LLM-based SOH estimation with uncertainty-aware control on field vehicle data </w:t>
            </w:r>
            <w:r>
              <w:rPr>
                <w:rFonts w:ascii="Times New Roman" w:hAnsi="Times New Roman"/>
                <w:sz w:val="17"/>
              </w:rPr>
              <w:t>[15]</w:t>
            </w:r>
          </w:p>
        </w:tc>
        <w:tc>
          <w:tcPr>
            <w:tcW w:type="dxa" w:w="2592"/>
          </w:tcPr>
          <w:p>
            <w:r/>
            <w:r>
              <w:rPr>
                <w:rFonts w:ascii="Times New Roman" w:hAnsi="Times New Roman"/>
                <w:b w:val="0"/>
                <w:i w:val="0"/>
                <w:sz w:val="17"/>
              </w:rPr>
              <w:t xml:space="preserve">Estimation should belong to calibrated ML; the LLM SOH estimator of </w:t>
            </w:r>
            <w:r>
              <w:rPr>
                <w:rFonts w:ascii="Times New Roman" w:hAnsi="Times New Roman"/>
                <w:sz w:val="17"/>
              </w:rPr>
              <w:t>[15]</w:t>
            </w:r>
            <w:r>
              <w:rPr>
                <w:rFonts w:ascii="Times New Roman" w:hAnsi="Times New Roman"/>
                <w:b w:val="0"/>
                <w:i w:val="0"/>
                <w:sz w:val="17"/>
              </w:rPr>
              <w:t xml:space="preserve"> is the earliest in the classified subset — an earlier journal-published LLM estimator, missed by this review’s retrieval, is </w:t>
            </w:r>
            <w:r>
              <w:rPr>
                <w:rFonts w:ascii="Times New Roman" w:hAnsi="Times New Roman"/>
                <w:sz w:val="17"/>
              </w:rPr>
              <w:t>[120]</w:t>
            </w:r>
            <w:r>
              <w:rPr>
                <w:rFonts w:ascii="Times New Roman" w:hAnsi="Times New Roman"/>
                <w:b w:val="0"/>
                <w:i w:val="0"/>
                <w:sz w:val="17"/>
              </w:rPr>
              <w:t xml:space="preserve"> (Section 8.4) — and must show calibrated intervals before any actuation-adjacent role</w:t>
            </w:r>
          </w:p>
        </w:tc>
      </w:tr>
      <w:tr>
        <w:trPr>
          <w:cantSplit/>
        </w:trPr>
        <w:tc>
          <w:tcPr>
            <w:tcW w:type="dxa" w:w="1440"/>
          </w:tcPr>
          <w:p>
            <w:pPr>
              <w:jc w:val="left"/>
            </w:pPr>
            <w:r/>
            <w:r>
              <w:rPr>
                <w:rFonts w:ascii="Times New Roman" w:hAnsi="Times New Roman"/>
                <w:b w:val="0"/>
                <w:i w:val="0"/>
                <w:sz w:val="17"/>
              </w:rPr>
              <w:t>Grounding</w:t>
            </w:r>
          </w:p>
        </w:tc>
        <w:tc>
          <w:tcPr>
            <w:tcW w:type="dxa" w:w="2736"/>
          </w:tcPr>
          <w:p>
            <w:r/>
            <w:r>
              <w:rPr>
                <w:rFonts w:ascii="Times New Roman" w:hAnsi="Times New Roman"/>
                <w:b w:val="0"/>
                <w:i w:val="0"/>
                <w:sz w:val="17"/>
              </w:rPr>
              <w:t>Trained on domain cycling data</w:t>
            </w:r>
          </w:p>
        </w:tc>
        <w:tc>
          <w:tcPr>
            <w:tcW w:type="dxa" w:w="2592"/>
          </w:tcPr>
          <w:p>
            <w:r/>
            <w:r>
              <w:rPr>
                <w:rFonts w:ascii="Times New Roman" w:hAnsi="Times New Roman"/>
                <w:b w:val="0"/>
                <w:i w:val="0"/>
                <w:sz w:val="17"/>
              </w:rPr>
              <w:t>Domain-tuned corpora and knowledge-enhanced prompting</w:t>
            </w:r>
          </w:p>
        </w:tc>
        <w:tc>
          <w:tcPr>
            <w:tcW w:type="dxa" w:w="2592"/>
          </w:tcPr>
          <w:p>
            <w:r/>
            <w:r>
              <w:rPr>
                <w:rFonts w:ascii="Times New Roman" w:hAnsi="Times New Roman"/>
                <w:b w:val="0"/>
                <w:i w:val="0"/>
                <w:sz w:val="17"/>
              </w:rPr>
              <w:t>Retrieval over verified corpora with source citations; no ungrounded recall</w:t>
            </w:r>
          </w:p>
        </w:tc>
      </w:tr>
      <w:tr>
        <w:trPr>
          <w:cantSplit/>
        </w:trPr>
        <w:tc>
          <w:tcPr>
            <w:tcW w:type="dxa" w:w="1440"/>
          </w:tcPr>
          <w:p>
            <w:pPr>
              <w:jc w:val="left"/>
            </w:pPr>
            <w:r/>
            <w:r>
              <w:rPr>
                <w:rFonts w:ascii="Times New Roman" w:hAnsi="Times New Roman"/>
                <w:b w:val="0"/>
                <w:i w:val="0"/>
                <w:sz w:val="17"/>
              </w:rPr>
              <w:t>Dominant failure mode</w:t>
            </w:r>
          </w:p>
        </w:tc>
        <w:tc>
          <w:tcPr>
            <w:tcW w:type="dxa" w:w="2736"/>
          </w:tcPr>
          <w:p>
            <w:r/>
            <w:r>
              <w:rPr>
                <w:rFonts w:ascii="Times New Roman" w:hAnsi="Times New Roman"/>
                <w:b w:val="0"/>
                <w:i w:val="0"/>
                <w:sz w:val="17"/>
              </w:rPr>
              <w:t>Bounded numeric error under distribution shift</w:t>
            </w:r>
          </w:p>
        </w:tc>
        <w:tc>
          <w:tcPr>
            <w:tcW w:type="dxa" w:w="2592"/>
          </w:tcPr>
          <w:p>
            <w:r/>
            <w:r>
              <w:rPr>
                <w:rFonts w:ascii="Times New Roman" w:hAnsi="Times New Roman"/>
                <w:b w:val="0"/>
                <w:i w:val="0"/>
                <w:sz w:val="17"/>
              </w:rPr>
              <w:t>Open-ended hallucinated text</w:t>
            </w:r>
          </w:p>
        </w:tc>
        <w:tc>
          <w:tcPr>
            <w:tcW w:type="dxa" w:w="2592"/>
          </w:tcPr>
          <w:p>
            <w:r/>
            <w:r>
              <w:rPr>
                <w:rFonts w:ascii="Times New Roman" w:hAnsi="Times New Roman"/>
                <w:b w:val="0"/>
                <w:i w:val="0"/>
                <w:sz w:val="17"/>
              </w:rPr>
              <w:t>Outputs restricted to structured, checkable forms; never free text into protection logic</w:t>
            </w:r>
          </w:p>
        </w:tc>
      </w:tr>
      <w:tr>
        <w:trPr>
          <w:cantSplit/>
        </w:trPr>
        <w:tc>
          <w:tcPr>
            <w:tcW w:type="dxa" w:w="1440"/>
          </w:tcPr>
          <w:p>
            <w:pPr>
              <w:jc w:val="left"/>
            </w:pPr>
            <w:r/>
            <w:r>
              <w:rPr>
                <w:rFonts w:ascii="Times New Roman" w:hAnsi="Times New Roman"/>
                <w:b w:val="0"/>
                <w:i w:val="0"/>
                <w:sz w:val="17"/>
              </w:rPr>
              <w:t>Uncertainty</w:t>
            </w:r>
          </w:p>
        </w:tc>
        <w:tc>
          <w:tcPr>
            <w:tcW w:type="dxa" w:w="2736"/>
          </w:tcPr>
          <w:p>
            <w:r/>
            <w:r>
              <w:rPr>
                <w:rFonts w:ascii="Times New Roman" w:hAnsi="Times New Roman"/>
                <w:b w:val="0"/>
                <w:i w:val="0"/>
                <w:sz w:val="17"/>
              </w:rPr>
              <w:t>Gaussian-process / conformal intervals in a subset of studies</w:t>
            </w:r>
          </w:p>
        </w:tc>
        <w:tc>
          <w:tcPr>
            <w:tcW w:type="dxa" w:w="2592"/>
          </w:tcPr>
          <w:p>
            <w:r/>
            <w:r>
              <w:rPr>
                <w:rFonts w:ascii="Times New Roman" w:hAnsi="Times New Roman"/>
                <w:b w:val="0"/>
                <w:i w:val="0"/>
                <w:sz w:val="17"/>
              </w:rPr>
              <w:t xml:space="preserve">Not reported for incident risk analysis </w:t>
            </w:r>
            <w:r>
              <w:rPr>
                <w:rFonts w:ascii="Times New Roman" w:hAnsi="Times New Roman"/>
                <w:sz w:val="17"/>
              </w:rPr>
              <w:t>[14]</w:t>
            </w:r>
            <w:r>
              <w:rPr>
                <w:rFonts w:ascii="Times New Roman" w:hAnsi="Times New Roman"/>
                <w:b w:val="0"/>
                <w:i w:val="0"/>
                <w:sz w:val="17"/>
              </w:rPr>
              <w:t xml:space="preserve">; Monte-Carlo uncertainty estimates with selective physics-estimator substitution demonstrated in the SOH estimator </w:t>
            </w:r>
            <w:r>
              <w:rPr>
                <w:rFonts w:ascii="Times New Roman" w:hAnsi="Times New Roman"/>
                <w:sz w:val="17"/>
              </w:rPr>
              <w:t>[15]</w:t>
            </w:r>
          </w:p>
        </w:tc>
        <w:tc>
          <w:tcPr>
            <w:tcW w:type="dxa" w:w="2592"/>
          </w:tcPr>
          <w:p>
            <w:r/>
            <w:r>
              <w:rPr>
                <w:rFonts w:ascii="Times New Roman" w:hAnsi="Times New Roman"/>
                <w:b w:val="0"/>
                <w:i w:val="0"/>
                <w:sz w:val="17"/>
              </w:rPr>
              <w:t>Calibrated intervals mandatory before any actuation-adjacent role</w:t>
            </w:r>
          </w:p>
        </w:tc>
      </w:tr>
      <w:tr>
        <w:trPr>
          <w:cantSplit/>
        </w:trPr>
        <w:tc>
          <w:tcPr>
            <w:tcW w:type="dxa" w:w="1440"/>
          </w:tcPr>
          <w:p>
            <w:pPr>
              <w:jc w:val="left"/>
            </w:pPr>
            <w:r/>
            <w:r>
              <w:rPr>
                <w:rFonts w:ascii="Times New Roman" w:hAnsi="Times New Roman"/>
                <w:b w:val="0"/>
                <w:i w:val="0"/>
                <w:sz w:val="17"/>
              </w:rPr>
              <w:t>Latency and compute</w:t>
            </w:r>
          </w:p>
        </w:tc>
        <w:tc>
          <w:tcPr>
            <w:tcW w:type="dxa" w:w="2736"/>
          </w:tcPr>
          <w:p>
            <w:r/>
            <w:r>
              <w:rPr>
                <w:rFonts w:ascii="Times New Roman" w:hAnsi="Times New Roman"/>
                <w:b w:val="0"/>
                <w:i w:val="0"/>
                <w:sz w:val="17"/>
              </w:rPr>
              <w:t>Millisecond-class, onboard</w:t>
            </w:r>
          </w:p>
        </w:tc>
        <w:tc>
          <w:tcPr>
            <w:tcW w:type="dxa" w:w="2592"/>
          </w:tcPr>
          <w:p>
            <w:r/>
            <w:r>
              <w:rPr>
                <w:rFonts w:ascii="Times New Roman" w:hAnsi="Times New Roman"/>
                <w:b w:val="0"/>
                <w:i w:val="0"/>
                <w:sz w:val="17"/>
              </w:rPr>
              <w:t>Second-class, cloud-dependent</w:t>
            </w:r>
          </w:p>
        </w:tc>
        <w:tc>
          <w:tcPr>
            <w:tcW w:type="dxa" w:w="2592"/>
          </w:tcPr>
          <w:p>
            <w:r/>
            <w:r>
              <w:rPr>
                <w:rFonts w:ascii="Times New Roman" w:hAnsi="Times New Roman"/>
                <w:b w:val="0"/>
                <w:i w:val="0"/>
                <w:sz w:val="17"/>
              </w:rPr>
              <w:t>Offline analysis and planning only unless real-time evidence is shown</w:t>
            </w:r>
          </w:p>
        </w:tc>
      </w:tr>
      <w:tr>
        <w:trPr>
          <w:cantSplit/>
        </w:trPr>
        <w:tc>
          <w:tcPr>
            <w:tcW w:type="dxa" w:w="1440"/>
          </w:tcPr>
          <w:p>
            <w:pPr>
              <w:jc w:val="left"/>
            </w:pPr>
            <w:r/>
            <w:r>
              <w:rPr>
                <w:rFonts w:ascii="Times New Roman" w:hAnsi="Times New Roman"/>
                <w:b w:val="0"/>
                <w:i w:val="0"/>
                <w:sz w:val="17"/>
              </w:rPr>
              <w:t>Safety authority</w:t>
            </w:r>
          </w:p>
        </w:tc>
        <w:tc>
          <w:tcPr>
            <w:tcW w:type="dxa" w:w="2736"/>
          </w:tcPr>
          <w:p>
            <w:r/>
            <w:r>
              <w:rPr>
                <w:rFonts w:ascii="Times New Roman" w:hAnsi="Times New Roman"/>
                <w:b w:val="0"/>
                <w:i w:val="0"/>
                <w:sz w:val="17"/>
              </w:rPr>
              <w:t>Bounded by physics envelopes and thresholds</w:t>
            </w:r>
          </w:p>
        </w:tc>
        <w:tc>
          <w:tcPr>
            <w:tcW w:type="dxa" w:w="2592"/>
          </w:tcPr>
          <w:p>
            <w:r/>
            <w:r>
              <w:rPr>
                <w:rFonts w:ascii="Times New Roman" w:hAnsi="Times New Roman"/>
                <w:b w:val="0"/>
                <w:i w:val="0"/>
                <w:sz w:val="17"/>
              </w:rPr>
              <w:t>Undefined in published studies</w:t>
            </w:r>
          </w:p>
        </w:tc>
        <w:tc>
          <w:tcPr>
            <w:tcW w:type="dxa" w:w="2592"/>
          </w:tcPr>
          <w:p>
            <w:r/>
            <w:r>
              <w:rPr>
                <w:rFonts w:ascii="Times New Roman" w:hAnsi="Times New Roman"/>
                <w:b w:val="0"/>
                <w:i w:val="0"/>
                <w:sz w:val="17"/>
              </w:rPr>
              <w:t>LLM components must never hold direct cell-level protection authority</w:t>
            </w:r>
          </w:p>
        </w:tc>
      </w:tr>
    </w:tbl>
    <w:p>
      <w:pPr>
        <w:spacing w:after="120"/>
        <w:jc w:val="both"/>
      </w:pPr>
    </w:p>
    <w:p>
      <w:pPr>
        <w:keepNext/>
        <w:spacing w:after="80"/>
        <w:jc w:val="left"/>
      </w:pPr>
      <w:r>
        <w:rPr>
          <w:rFonts w:ascii="Times New Roman" w:hAnsi="Times New Roman"/>
          <w:b/>
          <w:i w:val="0"/>
          <w:sz w:val="20"/>
        </w:rPr>
        <w:t>8.5 Manufacturing analytics and system-level synthesis</w:t>
      </w:r>
    </w:p>
    <w:p>
      <w:pPr>
        <w:spacing w:after="160"/>
        <w:jc w:val="both"/>
      </w:pPr>
      <w:r>
        <w:rPr>
          <w:rFonts w:ascii="Times New Roman" w:hAnsi="Times New Roman"/>
          <w:b w:val="0"/>
          <w:i w:val="0"/>
          <w:sz w:val="20"/>
        </w:rPr>
        <w:t xml:space="preserve">Two further cross-cutting threads connect management to the wider battery value chain. Cell-production mapping studies chart ML use across manufacturing stages from mixing to formation </w:t>
      </w:r>
      <w:r>
        <w:rPr>
          <w:rFonts w:ascii="Times New Roman" w:hAnsi="Times New Roman"/>
          <w:sz w:val="20"/>
        </w:rPr>
        <w:t>[121]</w:t>
      </w:r>
      <w:r>
        <w:rPr>
          <w:rFonts w:ascii="Times New Roman" w:hAnsi="Times New Roman"/>
          <w:b w:val="0"/>
          <w:i w:val="0"/>
          <w:sz w:val="20"/>
        </w:rPr>
        <w:t xml:space="preserve">, complementing the coating-quality interpretability work </w:t>
      </w:r>
      <w:r>
        <w:rPr>
          <w:rFonts w:ascii="Times New Roman" w:hAnsi="Times New Roman"/>
          <w:sz w:val="20"/>
        </w:rPr>
        <w:t>[112]</w:t>
      </w:r>
      <w:r>
        <w:rPr>
          <w:rFonts w:ascii="Times New Roman" w:hAnsi="Times New Roman"/>
          <w:b w:val="0"/>
          <w:i w:val="0"/>
          <w:sz w:val="20"/>
        </w:rPr>
        <w:t xml:space="preserve"> and manufacturing defect detection </w:t>
      </w:r>
      <w:r>
        <w:rPr>
          <w:rFonts w:ascii="Times New Roman" w:hAnsi="Times New Roman"/>
          <w:sz w:val="20"/>
        </w:rPr>
        <w:t>[105]</w:t>
      </w:r>
      <w:r>
        <w:rPr>
          <w:rFonts w:ascii="Times New Roman" w:hAnsi="Times New Roman"/>
          <w:b w:val="0"/>
          <w:i w:val="0"/>
          <w:sz w:val="20"/>
        </w:rPr>
        <w:t xml:space="preserve"> — the management implication being that cell quality information is itself a BMS input. And the pack-level insight that routine cell balancing can be eliminated in well-managed packs, reducing hazardous lithium-plating side reactions, shows learned analysis reshaping a function (balancing) that classical control had considered settled </w:t>
      </w:r>
      <w:r>
        <w:rPr>
          <w:rFonts w:ascii="Times New Roman" w:hAnsi="Times New Roman"/>
          <w:sz w:val="20"/>
        </w:rPr>
        <w:t>[31]</w:t>
      </w:r>
      <w:r>
        <w:rPr>
          <w:rFonts w:ascii="Times New Roman" w:hAnsi="Times New Roman"/>
          <w:b w:val="0"/>
          <w:i w:val="0"/>
          <w:sz w:val="20"/>
        </w:rPr>
        <w:t xml:space="preserve">, while ML mappings from equivalent-circuit parameters to electrochemical properties give classical BMS models a physically interpretable learned layer </w:t>
      </w:r>
      <w:r>
        <w:rPr>
          <w:rFonts w:ascii="Times New Roman" w:hAnsi="Times New Roman"/>
          <w:sz w:val="20"/>
        </w:rPr>
        <w:t>[122]</w:t>
      </w:r>
      <w:r>
        <w:rPr>
          <w:rFonts w:ascii="Times New Roman" w:hAnsi="Times New Roman"/>
          <w:b w:val="0"/>
          <w:i w:val="0"/>
          <w:sz w:val="20"/>
        </w:rPr>
        <w:t>.</w:t>
      </w:r>
    </w:p>
    <w:p>
      <w:pPr>
        <w:keepNext/>
        <w:spacing w:after="120"/>
        <w:jc w:val="left"/>
      </w:pPr>
      <w:r>
        <w:rPr>
          <w:rFonts w:ascii="Times New Roman" w:hAnsi="Times New Roman"/>
          <w:b/>
          <w:i w:val="0"/>
          <w:sz w:val="20"/>
        </w:rPr>
        <w:t>9. Research Gaps and Future Directions</w:t>
      </w:r>
    </w:p>
    <w:p>
      <w:pPr>
        <w:spacing w:after="160"/>
        <w:jc w:val="both"/>
      </w:pPr>
      <w:r>
        <w:rPr>
          <w:rFonts w:ascii="Times New Roman" w:hAnsi="Times New Roman"/>
          <w:b w:val="0"/>
          <w:i w:val="0"/>
          <w:sz w:val="20"/>
        </w:rPr>
        <w:t>Cross-referencing the bibliometric analysis of Section 3 with the function-level reviews of Sections 4–8 yields six structural gaps, discussed in Sections 9.1–9.6, summarized in Table 11, previewed against the field's milestones in Fig. 8, and then operationalized into a concrete reporting checklist in Section 9.9.</w:t>
      </w:r>
    </w:p>
    <w:p>
      <w:pPr>
        <w:keepNext/>
        <w:spacing w:after="80"/>
        <w:jc w:val="left"/>
      </w:pPr>
      <w:r>
        <w:rPr>
          <w:rFonts w:ascii="Times New Roman" w:hAnsi="Times New Roman"/>
          <w:b/>
          <w:i w:val="0"/>
          <w:sz w:val="20"/>
        </w:rPr>
        <w:t>9.1 Validation and benchmarking standards</w:t>
      </w:r>
    </w:p>
    <w:p>
      <w:pPr>
        <w:spacing w:after="160"/>
        <w:jc w:val="both"/>
      </w:pPr>
      <w:r>
        <w:rPr>
          <w:rFonts w:ascii="Times New Roman" w:hAnsi="Times New Roman"/>
          <w:b w:val="0"/>
          <w:i w:val="0"/>
          <w:sz w:val="20"/>
        </w:rPr>
        <w:t xml:space="preserve">The corpus’s validation data are unambiguous: 17 of the 88 primary papers use within-cell splits or unsupervised k-folds, and only 8 of the 88 demonstrate their systems online or on real fleets. Until cross-cell, cross-temperature, and cross-protocol holdout protocols become reporting norms, published accuracy figures will continue to carry a systematic risk of overstating deployable performance. The most valuable near-term contribution the community can make is standardized transfer protocols — train-on-chemistry-A/test-on-chemistry-B, train-on-lab/test-on-fleet — reported alongside headline accuracy, as already practiced by the transfer-learning and general-framework studies </w:t>
      </w:r>
      <w:r>
        <w:rPr>
          <w:rFonts w:ascii="Times New Roman" w:hAnsi="Times New Roman"/>
          <w:sz w:val="20"/>
        </w:rPr>
        <w:t>[83, 84]</w:t>
      </w:r>
      <w:r>
        <w:rPr>
          <w:rFonts w:ascii="Times New Roman" w:hAnsi="Times New Roman"/>
          <w:b w:val="0"/>
          <w:i w:val="0"/>
          <w:sz w:val="20"/>
        </w:rPr>
        <w:t>.</w:t>
      </w:r>
    </w:p>
    <w:p>
      <w:pPr>
        <w:spacing w:after="160"/>
        <w:jc w:val="both"/>
      </w:pPr>
      <w:r>
        <w:rPr>
          <w:rFonts w:ascii="Times New Roman" w:hAnsi="Times New Roman"/>
          <w:b w:val="0"/>
          <w:i w:val="0"/>
          <w:sz w:val="20"/>
        </w:rPr>
        <w:t>A second standardization target is reporting itself. In our full-text reading of the corpus we did not routinely encounter disclosed split definitions, random seeds, or compute budgets; only the validation, data-source, and artifact items were systematically score-counted (Section 9.9), so this is a qualitative observation rather than a measured rate. Either way, such omissions make independent replication laborious and meta-analysis impossible (Section 5.6). A community-endorsed reporting checklist — dataset identity and version, split protocol, uncertainty quantification, and hardware context — would cost little and would let the synthesis literature do its job.</w:t>
      </w:r>
    </w:p>
    <w:p>
      <w:pPr>
        <w:keepNext/>
        <w:spacing w:after="80"/>
        <w:jc w:val="left"/>
      </w:pPr>
      <w:r>
        <w:rPr>
          <w:rFonts w:ascii="Times New Roman" w:hAnsi="Times New Roman"/>
          <w:b/>
          <w:i w:val="0"/>
          <w:sz w:val="20"/>
        </w:rPr>
        <w:t>9.2 Data sharing and benchmark concentration</w:t>
      </w:r>
    </w:p>
    <w:p>
      <w:pPr>
        <w:spacing w:after="160"/>
        <w:jc w:val="both"/>
      </w:pPr>
      <w:r>
        <w:rPr>
          <w:rFonts w:ascii="Times New Roman" w:hAnsi="Times New Roman"/>
          <w:b w:val="0"/>
          <w:i w:val="0"/>
          <w:sz w:val="20"/>
        </w:rPr>
        <w:t xml:space="preserve">Twenty-three primary papers rest on the same three public benchmarks (Severson-MATR 11, NASA 6, CALCE 6), and 36 use private laboratory cells whose data are not released. This two-pole fragmentation inflates apparent comparability on the shared benchmarks and hides dataset-specific failure modes, while precluding audit altogether on the private pole. Federated learning over fleet data, standardized anonymized fleet-data releases, and multi-institution cycling campaigns — in the spirit of the 179-cell pipeline </w:t>
      </w:r>
      <w:r>
        <w:rPr>
          <w:rFonts w:ascii="Times New Roman" w:hAnsi="Times New Roman"/>
          <w:sz w:val="20"/>
        </w:rPr>
        <w:t>[64]</w:t>
      </w:r>
      <w:r>
        <w:rPr>
          <w:rFonts w:ascii="Times New Roman" w:hAnsi="Times New Roman"/>
          <w:b w:val="0"/>
          <w:i w:val="0"/>
          <w:sz w:val="20"/>
        </w:rPr>
        <w:t xml:space="preserve"> — would diversify the evidence base at modest incremental cost.</w:t>
      </w:r>
    </w:p>
    <w:p>
      <w:pPr>
        <w:spacing w:after="160"/>
        <w:jc w:val="both"/>
      </w:pPr>
      <w:r>
        <w:rPr>
          <w:rFonts w:ascii="Times New Roman" w:hAnsi="Times New Roman"/>
          <w:b w:val="0"/>
          <w:i w:val="0"/>
          <w:sz w:val="20"/>
        </w:rPr>
        <w:t xml:space="preserve">The economics argument strengthens the technical one. A fleet operator’s marginal value from a percentage point of SOH accuracy is measured in warranty provisions and residual-value pricing, which justifies onboard compute budgets that academic prototypes routinely ignore. Quantized and pruned recurrent models, event-driven inference triggered by charge sessions rather than continuous streams, and asymmetric architectures — lightweight onboard estimators with cloud-side retraining — are the concrete design patterns emerging from the corpus’s edge-aware minority </w:t>
      </w:r>
      <w:r>
        <w:rPr>
          <w:rFonts w:ascii="Times New Roman" w:hAnsi="Times New Roman"/>
          <w:sz w:val="20"/>
        </w:rPr>
        <w:t>[74, 85]</w:t>
      </w:r>
      <w:r>
        <w:rPr>
          <w:rFonts w:ascii="Times New Roman" w:hAnsi="Times New Roman"/>
          <w:b w:val="0"/>
          <w:i w:val="0"/>
          <w:sz w:val="20"/>
        </w:rPr>
        <w:t>.</w:t>
      </w:r>
    </w:p>
    <w:p>
      <w:pPr>
        <w:keepNext/>
        <w:spacing w:after="80"/>
        <w:jc w:val="left"/>
      </w:pPr>
      <w:r>
        <w:rPr>
          <w:rFonts w:ascii="Times New Roman" w:hAnsi="Times New Roman"/>
          <w:b/>
          <w:i w:val="0"/>
          <w:sz w:val="20"/>
        </w:rPr>
        <w:t>9.3 Edge deployment and onboard constraints</w:t>
      </w:r>
    </w:p>
    <w:p>
      <w:pPr>
        <w:spacing w:after="160"/>
        <w:jc w:val="both"/>
      </w:pPr>
      <w:r>
        <w:rPr>
          <w:rFonts w:ascii="Times New Roman" w:hAnsi="Times New Roman"/>
          <w:b w:val="0"/>
          <w:i w:val="0"/>
          <w:sz w:val="20"/>
        </w:rPr>
        <w:t xml:space="preserve">Only a handful of corpus works treat onboard compute, memory, or latency as first-class design constraints, notably the board-level RUL implementation </w:t>
      </w:r>
      <w:r>
        <w:rPr>
          <w:rFonts w:ascii="Times New Roman" w:hAnsi="Times New Roman"/>
          <w:sz w:val="20"/>
        </w:rPr>
        <w:t>[74]</w:t>
      </w:r>
      <w:r>
        <w:rPr>
          <w:rFonts w:ascii="Times New Roman" w:hAnsi="Times New Roman"/>
          <w:b w:val="0"/>
          <w:i w:val="0"/>
          <w:sz w:val="20"/>
        </w:rPr>
        <w:t xml:space="preserve"> and real-time feature-extraction studies </w:t>
      </w:r>
      <w:r>
        <w:rPr>
          <w:rFonts w:ascii="Times New Roman" w:hAnsi="Times New Roman"/>
          <w:sz w:val="20"/>
        </w:rPr>
        <w:t>[85]</w:t>
      </w:r>
      <w:r>
        <w:rPr>
          <w:rFonts w:ascii="Times New Roman" w:hAnsi="Times New Roman"/>
          <w:b w:val="0"/>
          <w:i w:val="0"/>
          <w:sz w:val="20"/>
        </w:rPr>
        <w:t xml:space="preserve">. The gap is widening as models grow: transformer and PINN architectures trained on workstations must eventually run beside BMS microcontrollers. Quantization-aware training, neural architecture search under resource constraints, and hybrid designs that place heavy learners in the cloud and lightweight correction layers onboard are the natural research program here </w:t>
      </w:r>
      <w:r>
        <w:rPr>
          <w:rFonts w:ascii="Times New Roman" w:hAnsi="Times New Roman"/>
          <w:sz w:val="20"/>
        </w:rPr>
        <w:t>[15]</w:t>
      </w:r>
      <w:r>
        <w:rPr>
          <w:rFonts w:ascii="Times New Roman" w:hAnsi="Times New Roman"/>
          <w:b w:val="0"/>
          <w:i w:val="0"/>
          <w:sz w:val="20"/>
        </w:rPr>
        <w:t>.</w:t>
      </w:r>
    </w:p>
    <w:p>
      <w:pPr>
        <w:keepNext/>
        <w:spacing w:after="80"/>
        <w:jc w:val="left"/>
      </w:pPr>
      <w:r>
        <w:rPr>
          <w:rFonts w:ascii="Times New Roman" w:hAnsi="Times New Roman"/>
          <w:b/>
          <w:i w:val="0"/>
          <w:sz w:val="20"/>
        </w:rPr>
        <w:t>9.4 Trust, uncertainty, and safety standards</w:t>
      </w:r>
    </w:p>
    <w:p>
      <w:pPr>
        <w:spacing w:after="160"/>
        <w:jc w:val="both"/>
      </w:pPr>
      <w:r>
        <w:rPr>
          <w:rFonts w:ascii="Times New Roman" w:hAnsi="Times New Roman"/>
          <w:b w:val="0"/>
          <w:i w:val="0"/>
          <w:sz w:val="20"/>
        </w:rPr>
        <w:t xml:space="preserve">Estimates that guide protection and charging decisions need calibrated uncertainty and auditable reasoning. The corpus’s uncertainty-aware </w:t>
      </w:r>
      <w:r>
        <w:rPr>
          <w:rFonts w:ascii="Times New Roman" w:hAnsi="Times New Roman"/>
          <w:sz w:val="20"/>
        </w:rPr>
        <w:t>[98]</w:t>
      </w:r>
      <w:r>
        <w:rPr>
          <w:rFonts w:ascii="Times New Roman" w:hAnsi="Times New Roman"/>
          <w:b w:val="0"/>
          <w:i w:val="0"/>
          <w:sz w:val="20"/>
        </w:rPr>
        <w:t xml:space="preserve">, explainability-driven </w:t>
      </w:r>
      <w:r>
        <w:rPr>
          <w:rFonts w:ascii="Times New Roman" w:hAnsi="Times New Roman"/>
          <w:sz w:val="20"/>
        </w:rPr>
        <w:t>[111]</w:t>
      </w:r>
      <w:r>
        <w:rPr>
          <w:rFonts w:ascii="Times New Roman" w:hAnsi="Times New Roman"/>
          <w:b w:val="0"/>
          <w:i w:val="0"/>
          <w:sz w:val="20"/>
        </w:rPr>
        <w:t xml:space="preserve">, and Gaussian-process lineages </w:t>
      </w:r>
      <w:r>
        <w:rPr>
          <w:rFonts w:ascii="Times New Roman" w:hAnsi="Times New Roman"/>
          <w:sz w:val="20"/>
        </w:rPr>
        <w:t>[59]</w:t>
      </w:r>
      <w:r>
        <w:rPr>
          <w:rFonts w:ascii="Times New Roman" w:hAnsi="Times New Roman"/>
          <w:b w:val="0"/>
          <w:i w:val="0"/>
          <w:sz w:val="20"/>
        </w:rPr>
        <w:t xml:space="preserve"> point the way, but certification-grade ML — models whose failure modes are enumerated and bounded — remains beyond the published state of the art. Hybrid physics–data architectures are the most credible certification path because part of their behavior is analytically specified; making that argument rigorous is an open task for the PINN community.</w:t>
      </w:r>
    </w:p>
    <w:p>
      <w:pPr>
        <w:spacing w:after="160"/>
        <w:jc w:val="both"/>
      </w:pPr>
      <w:r>
        <w:rPr>
          <w:rFonts w:ascii="Times New Roman" w:hAnsi="Times New Roman"/>
          <w:b w:val="0"/>
          <w:i w:val="0"/>
          <w:sz w:val="20"/>
        </w:rPr>
        <w:t xml:space="preserve">The safety standards invoked in the introduction — UN GTR No. 20 on electric-vehicle safety (established in the UN Global Registry in 2018 </w:t>
      </w:r>
      <w:r>
        <w:rPr>
          <w:rFonts w:ascii="Times New Roman" w:hAnsi="Times New Roman"/>
          <w:sz w:val="20"/>
        </w:rPr>
        <w:t>[28]</w:t>
      </w:r>
      <w:r>
        <w:rPr>
          <w:rFonts w:ascii="Times New Roman" w:hAnsi="Times New Roman"/>
          <w:b w:val="0"/>
          <w:i w:val="0"/>
          <w:sz w:val="20"/>
        </w:rPr>
        <w:t xml:space="preserve">; its Amendment 1, adding thermal-propagation requirements with two compliance options — a physical propagation test or a documented risk-management approach — was submitted by the European Commission on behalf of the Informal Working Group on Electric Vehicle Safety as formal document ECE/TRANS/WP.29/GRSP/2026/4, alongside the working group’s status report ECE/TRANS/WP.29/GRSP/2026/3 </w:t>
      </w:r>
      <w:r>
        <w:rPr>
          <w:rFonts w:ascii="Times New Roman" w:hAnsi="Times New Roman"/>
          <w:sz w:val="20"/>
        </w:rPr>
        <w:t>[123]</w:t>
      </w:r>
      <w:r>
        <w:rPr>
          <w:rFonts w:ascii="Times New Roman" w:hAnsi="Times New Roman"/>
          <w:b w:val="0"/>
          <w:i w:val="0"/>
          <w:sz w:val="20"/>
        </w:rPr>
        <w:t xml:space="preserve">; it was considered at the 79th session of the Working Party on Passive Safety (GRSP, June 2026) and stood, at this review’s 18 October 2026 finalization date, pending before WP.29 with adoption listed for its 17–20 November 2026 session), GB 38031 (GB 38031-2020, superseded for new type approvals by GB 38031-2025 from July 2026, with existing models transitioning through July 2027; GB 38031-2025 requires that, once single-cell thermal runaway is triggered, the pack or system neither fire nor explode throughout a two-hour observation window, that a thermal-event alarm still be issued, and that smoke not harm occupants — superseding GB 38031-2020’s criterion of an alarm at least five minutes before any fire or explosion — and adds bottom-impact and 300-cycle fast-charge safety tests </w:t>
      </w:r>
      <w:r>
        <w:rPr>
          <w:rFonts w:ascii="Times New Roman" w:hAnsi="Times New Roman"/>
          <w:sz w:val="20"/>
        </w:rPr>
        <w:t>[29]</w:t>
      </w:r>
      <w:r>
        <w:rPr>
          <w:rFonts w:ascii="Times New Roman" w:hAnsi="Times New Roman"/>
          <w:b w:val="0"/>
          <w:i w:val="0"/>
          <w:sz w:val="20"/>
        </w:rPr>
        <w:t xml:space="preserve">), ISO 26262:2018 (functional safety of road-vehicle E/E systems </w:t>
      </w:r>
      <w:r>
        <w:rPr>
          <w:rFonts w:ascii="Times New Roman" w:hAnsi="Times New Roman"/>
          <w:sz w:val="20"/>
        </w:rPr>
        <w:t>[30]</w:t>
      </w:r>
      <w:r>
        <w:rPr>
          <w:rFonts w:ascii="Times New Roman" w:hAnsi="Times New Roman"/>
          <w:b w:val="0"/>
          <w:i w:val="0"/>
          <w:sz w:val="20"/>
        </w:rPr>
        <w:t xml:space="preserve">), ISO/PAS 8800:2024 (safety and artificial intelligence — the road-vehicle extension of ISO 26262 and ISO 21448 to learned components </w:t>
      </w:r>
      <w:r>
        <w:rPr>
          <w:rFonts w:ascii="Times New Roman" w:hAnsi="Times New Roman"/>
          <w:sz w:val="20"/>
        </w:rPr>
        <w:t>[124]</w:t>
      </w:r>
      <w:r>
        <w:rPr>
          <w:rFonts w:ascii="Times New Roman" w:hAnsi="Times New Roman"/>
          <w:b w:val="0"/>
          <w:i w:val="0"/>
          <w:sz w:val="20"/>
        </w:rPr>
        <w:t xml:space="preserve">), and ISO 21448 (SOTIF </w:t>
      </w:r>
      <w:r>
        <w:rPr>
          <w:rFonts w:ascii="Times New Roman" w:hAnsi="Times New Roman"/>
          <w:sz w:val="20"/>
        </w:rPr>
        <w:t>[125]</w:t>
      </w:r>
      <w:r>
        <w:rPr>
          <w:rFonts w:ascii="Times New Roman" w:hAnsi="Times New Roman"/>
          <w:b w:val="0"/>
          <w:i w:val="0"/>
          <w:sz w:val="20"/>
        </w:rPr>
        <w:t xml:space="preserve">) — do not prescribe estimation algorithms, but they define what a deployed estimator or controller must be able to evidence, and Table 10 translates the subset’s gaps into those terms. The mapping is this review’s synthesis at requirement level rather than clause level, and it is stated so that it can be checked against the standards texts themselves: the point is not legal advice but that a validation protocol reported in a paper corresponds, or does not, to evidence a safety case can use. The inference rule behind every ‘supports a standards argument’ statement in this section is explicit: a paper’s evidence can support such an argument only if it demonstrates performance on at least one held-out integration unit (a cross-cell holdout or stronger isolation protocol, Section 2.5) and reports the environment in which that evidence was obtained; by construction, within-cell and k-fold evidence cannot support the argument, because the safety case is about unseen cells and unseen duty. Three consequences stand out for automotive deployment. Within-cell and k-fold validation (17 primary papers) cannot support an ISO 26262 argument, because the safety case is about unseen cells and unseen duty and the protocol never tests an unseen unit; a standards argument must therefore be </w:t>
      </w:r>
      <w:r>
        <w:rPr>
          <w:rFonts w:ascii="Times New Roman" w:hAnsi="Times New Roman"/>
          <w:b w:val="0"/>
          <w:i/>
          <w:sz w:val="20"/>
        </w:rPr>
        <w:t>argued</w:t>
      </w:r>
      <w:r>
        <w:rPr>
          <w:rFonts w:ascii="Times New Roman" w:hAnsi="Times New Roman"/>
          <w:b w:val="0"/>
          <w:i w:val="0"/>
          <w:sz w:val="20"/>
        </w:rPr>
        <w:t xml:space="preserve"> from the isolation evidence, not </w:t>
      </w:r>
      <w:r>
        <w:rPr>
          <w:rFonts w:ascii="Times New Roman" w:hAnsi="Times New Roman"/>
          <w:b w:val="0"/>
          <w:i/>
          <w:sz w:val="20"/>
        </w:rPr>
        <w:t>asserted</w:t>
      </w:r>
      <w:r>
        <w:rPr>
          <w:rFonts w:ascii="Times New Roman" w:hAnsi="Times New Roman"/>
          <w:b w:val="0"/>
          <w:i w:val="0"/>
          <w:sz w:val="20"/>
        </w:rPr>
        <w:t xml:space="preserve"> from headline accuracy. Thermal-propagation early-warning latency is a timing requirement, so fault-detection papers evaluated on curated laboratory windows under-report both the false-alarm rate and the detection-delay distribution that the GB 38031-2025 / GTR-20 escape window needs. And charging or thermal control strategies validated only in simulation lack the hardware-in-the-loop evidence base an automotive release process expects. The reporting checklist of Section 9.9 is deliberately aligned with this mapping — reporting an isolation argument and a validation environment is the minimum on which any standards conversation can start.</w:t>
      </w:r>
    </w:p>
    <w:p>
      <w:pPr>
        <w:keepNext/>
        <w:spacing w:after="80"/>
        <w:jc w:val="left"/>
      </w:pPr>
      <w:r>
        <w:rPr>
          <w:rFonts w:ascii="Times New Roman" w:hAnsi="Times New Roman"/>
          <w:b w:val="0"/>
          <w:i w:val="0"/>
          <w:sz w:val="18"/>
        </w:rPr>
        <w:t>Table 10 Mapping BMS functions to requirements in UN GTR 20 (Amendment 1 thermal-propagation provisions, ECE/TRANS/WP.29/GRSP/2026/4), GB 38031-2020/2025, ISO 26262:2018 with ISO/PAS 8800:2024, and ISO 21448 (SOTIF): what deployed ML components must be able to evidence. Regulatory statuses are stated as of 18 October 2026; throughout the table, a ‘strong protocol’ means the protocol-only definition of Section 2.5 (cross-cell, cross-chemistry, or cross-domain holdout, or online/real-vehicle demonstration). The mapping is this review’s synthesis at requirement level (not clause-level legal citation); the right-hand column gives the corresponding classified-subset primary-paper counts from Section 3.4.</w:t>
      </w:r>
    </w:p>
    <w:tbl>
      <w:tblPr>
        <w:tblStyle w:val="TableGrid"/>
        <w:tblW w:type="auto" w:w="0"/>
        <w:jc w:val="center"/>
        <w:tblLayout w:type="fixed"/>
        <w:tblLook w:firstColumn="1" w:firstRow="1" w:lastColumn="0" w:lastRow="0" w:noHBand="0" w:noVBand="1" w:val="04A0"/>
        <w:tblLayout w:type="fixed"/>
      </w:tblPr>
      <w:tblGrid>
        <w:gridCol w:w="1440"/>
        <w:gridCol w:w="3024"/>
        <w:gridCol w:w="2736"/>
      </w:tblGrid>
      <w:tr>
        <w:trPr>
          <w:cantSplit/>
          <w:tblHeader/>
        </w:trPr>
        <w:tc>
          <w:tcPr>
            <w:tcW w:type="dxa" w:w="1440"/>
          </w:tcPr>
          <w:p>
            <w:pPr>
              <w:jc w:val="center"/>
            </w:pPr>
            <w:r/>
            <w:r>
              <w:rPr>
                <w:rFonts w:ascii="Times New Roman" w:hAnsi="Times New Roman"/>
                <w:b/>
                <w:sz w:val="17"/>
              </w:rPr>
              <w:t>BMS function</w:t>
            </w:r>
          </w:p>
        </w:tc>
        <w:tc>
          <w:tcPr>
            <w:tcW w:type="dxa" w:w="3024"/>
          </w:tcPr>
          <w:p>
            <w:pPr>
              <w:jc w:val="center"/>
            </w:pPr>
            <w:r/>
            <w:r>
              <w:rPr>
                <w:rFonts w:ascii="Times New Roman" w:hAnsi="Times New Roman"/>
                <w:b/>
                <w:sz w:val="17"/>
              </w:rPr>
              <w:t>What the standard demands of a deployed function</w:t>
            </w:r>
          </w:p>
        </w:tc>
        <w:tc>
          <w:tcPr>
            <w:tcW w:type="dxa" w:w="2736"/>
          </w:tcPr>
          <w:p>
            <w:pPr>
              <w:jc w:val="center"/>
            </w:pPr>
            <w:r/>
            <w:r>
              <w:rPr>
                <w:rFonts w:ascii="Times New Roman" w:hAnsi="Times New Roman"/>
                <w:b/>
                <w:sz w:val="17"/>
              </w:rPr>
              <w:t>Current subset status</w:t>
            </w:r>
          </w:p>
        </w:tc>
      </w:tr>
      <w:tr>
        <w:trPr>
          <w:cantSplit/>
        </w:trPr>
        <w:tc>
          <w:tcPr>
            <w:tcW w:type="dxa" w:w="1440"/>
          </w:tcPr>
          <w:p>
            <w:pPr>
              <w:jc w:val="left"/>
            </w:pPr>
            <w:r/>
            <w:r>
              <w:rPr>
                <w:rFonts w:ascii="Times New Roman" w:hAnsi="Times New Roman"/>
                <w:b w:val="0"/>
                <w:i w:val="0"/>
                <w:sz w:val="17"/>
              </w:rPr>
              <w:t>SOC estimation</w:t>
            </w:r>
          </w:p>
        </w:tc>
        <w:tc>
          <w:tcPr>
            <w:tcW w:type="dxa" w:w="3024"/>
          </w:tcPr>
          <w:p>
            <w:r/>
            <w:r>
              <w:rPr>
                <w:rFonts w:ascii="Times New Roman" w:hAnsi="Times New Roman"/>
                <w:b w:val="0"/>
                <w:i w:val="0"/>
                <w:sz w:val="17"/>
              </w:rPr>
              <w:t xml:space="preserve">ISO 26262:2018 treats estimation error that can enable overcharge/overdischarge as an E/E-system safety hazard to be handled through the safety lifecycle; ISO/PAS 8800:2024 extends this to learned elements (assurance argument over data, model, and known insufficiencies); UN GTR 20 / GB 38031-2025 treat overcharge as an abuse-protection requirement </w:t>
            </w:r>
            <w:r>
              <w:rPr>
                <w:rFonts w:ascii="Times New Roman" w:hAnsi="Times New Roman"/>
                <w:sz w:val="17"/>
              </w:rPr>
              <w:t>[28]</w:t>
            </w:r>
            <w:r>
              <w:rPr>
                <w:rFonts w:ascii="Times New Roman" w:hAnsi="Times New Roman"/>
                <w:sz w:val="17"/>
              </w:rPr>
              <w:t>[29]</w:t>
            </w:r>
            <w:r>
              <w:rPr>
                <w:rFonts w:ascii="Times New Roman" w:hAnsi="Times New Roman"/>
                <w:sz w:val="17"/>
              </w:rPr>
              <w:t>[30]</w:t>
            </w:r>
          </w:p>
        </w:tc>
        <w:tc>
          <w:tcPr>
            <w:tcW w:type="dxa" w:w="2736"/>
          </w:tcPr>
          <w:p>
            <w:r/>
            <w:r>
              <w:rPr>
                <w:rFonts w:ascii="Times New Roman" w:hAnsi="Times New Roman"/>
                <w:b w:val="0"/>
                <w:i w:val="0"/>
                <w:sz w:val="17"/>
              </w:rPr>
              <w:t>3 of 13 SOC primary papers use a strong isolation protocol; none validate on real-vehicle data; 12 rest on laboratory-scale data</w:t>
            </w:r>
          </w:p>
        </w:tc>
      </w:tr>
      <w:tr>
        <w:trPr>
          <w:cantSplit/>
        </w:trPr>
        <w:tc>
          <w:tcPr>
            <w:tcW w:type="dxa" w:w="1440"/>
          </w:tcPr>
          <w:p>
            <w:pPr>
              <w:jc w:val="left"/>
            </w:pPr>
            <w:r/>
            <w:r>
              <w:rPr>
                <w:rFonts w:ascii="Times New Roman" w:hAnsi="Times New Roman"/>
                <w:b w:val="0"/>
                <w:i w:val="0"/>
                <w:sz w:val="17"/>
              </w:rPr>
              <w:t>SOH / RUL prognosis</w:t>
            </w:r>
          </w:p>
        </w:tc>
        <w:tc>
          <w:tcPr>
            <w:tcW w:type="dxa" w:w="3024"/>
          </w:tcPr>
          <w:p>
            <w:r/>
            <w:r>
              <w:rPr>
                <w:rFonts w:ascii="Times New Roman" w:hAnsi="Times New Roman"/>
                <w:b w:val="0"/>
                <w:i w:val="0"/>
                <w:sz w:val="17"/>
              </w:rPr>
              <w:t xml:space="preserve">Capacity and power fade margins underpin thermal-propagation early warning and end-of-service decisions; degradation assumptions must hold across chemistry, duty, and environment (ISO 26262 hazard analysis; ISO 21448 for performance limitations </w:t>
            </w:r>
            <w:r>
              <w:rPr>
                <w:rFonts w:ascii="Times New Roman" w:hAnsi="Times New Roman"/>
                <w:sz w:val="17"/>
              </w:rPr>
              <w:t>[125]</w:t>
            </w:r>
            <w:r>
              <w:rPr>
                <w:rFonts w:ascii="Times New Roman" w:hAnsi="Times New Roman"/>
                <w:b w:val="0"/>
                <w:i w:val="0"/>
                <w:sz w:val="17"/>
              </w:rPr>
              <w:t>)</w:t>
            </w:r>
          </w:p>
        </w:tc>
        <w:tc>
          <w:tcPr>
            <w:tcW w:type="dxa" w:w="2736"/>
          </w:tcPr>
          <w:p>
            <w:r/>
            <w:r>
              <w:rPr>
                <w:rFonts w:ascii="Times New Roman" w:hAnsi="Times New Roman"/>
                <w:b w:val="0"/>
                <w:i w:val="0"/>
                <w:sz w:val="17"/>
              </w:rPr>
              <w:t>20 of 32 SOH/RUL primary papers use a strong protocol; 4 use real-vehicle data; accuracy claims rest mostly on three public benchmarks (23 primary papers in the subset)</w:t>
            </w:r>
          </w:p>
        </w:tc>
      </w:tr>
      <w:tr>
        <w:trPr>
          <w:cantSplit/>
        </w:trPr>
        <w:tc>
          <w:tcPr>
            <w:tcW w:type="dxa" w:w="1440"/>
          </w:tcPr>
          <w:p>
            <w:pPr>
              <w:jc w:val="left"/>
            </w:pPr>
            <w:r/>
            <w:r>
              <w:rPr>
                <w:rFonts w:ascii="Times New Roman" w:hAnsi="Times New Roman"/>
                <w:b w:val="0"/>
                <w:i w:val="0"/>
                <w:sz w:val="17"/>
              </w:rPr>
              <w:t>Fault detection</w:t>
            </w:r>
          </w:p>
        </w:tc>
        <w:tc>
          <w:tcPr>
            <w:tcW w:type="dxa" w:w="3024"/>
          </w:tcPr>
          <w:p>
            <w:r/>
            <w:r>
              <w:rPr>
                <w:rFonts w:ascii="Times New Roman" w:hAnsi="Times New Roman"/>
                <w:b w:val="0"/>
                <w:i w:val="0"/>
                <w:sz w:val="17"/>
              </w:rPr>
              <w:t xml:space="preserve">Thermal-propagation containment and early warning must both be evidenced: GB 38031-2025 requires that after single-cell thermal runaway the pack or system neither fire nor explode over a two-hour observation window, that a thermal-event alarm still be issued, and that smoke not harm occupants — superseding GB 38031-2020’s five-minute pre-fire alarm; the GTR 20 Amendment 1 proposal (ECE/TRANS/WP.29/GRSP/2026/4) carries a ≥5-min advance-warning requirement before cabin hazards, with test or risk-management compliance options </w:t>
            </w:r>
            <w:r>
              <w:rPr>
                <w:rFonts w:ascii="Times New Roman" w:hAnsi="Times New Roman"/>
                <w:sz w:val="17"/>
              </w:rPr>
              <w:t>[123]</w:t>
            </w:r>
            <w:r>
              <w:rPr>
                <w:rFonts w:ascii="Times New Roman" w:hAnsi="Times New Roman"/>
                <w:b w:val="0"/>
                <w:i w:val="0"/>
                <w:sz w:val="17"/>
              </w:rPr>
              <w:t xml:space="preserve">; coverage must be argued and audited (ISO/PAS 8800 assurance argument </w:t>
            </w:r>
            <w:r>
              <w:rPr>
                <w:rFonts w:ascii="Times New Roman" w:hAnsi="Times New Roman"/>
                <w:sz w:val="17"/>
              </w:rPr>
              <w:t>[124]</w:t>
            </w:r>
            <w:r>
              <w:rPr>
                <w:rFonts w:ascii="Times New Roman" w:hAnsi="Times New Roman"/>
                <w:b w:val="0"/>
                <w:i w:val="0"/>
                <w:sz w:val="17"/>
              </w:rPr>
              <w:t>)</w:t>
            </w:r>
          </w:p>
        </w:tc>
        <w:tc>
          <w:tcPr>
            <w:tcW w:type="dxa" w:w="2736"/>
          </w:tcPr>
          <w:p>
            <w:r/>
            <w:r>
              <w:rPr>
                <w:rFonts w:ascii="Times New Roman" w:hAnsi="Times New Roman"/>
                <w:b w:val="0"/>
                <w:i w:val="0"/>
                <w:sz w:val="17"/>
              </w:rPr>
              <w:t>2 of 7 fault/safety primary papers validate online on fleet data; detection-latency and false-alarm distributions are rarely reported</w:t>
            </w:r>
          </w:p>
        </w:tc>
      </w:tr>
      <w:tr>
        <w:trPr>
          <w:cantSplit/>
        </w:trPr>
        <w:tc>
          <w:tcPr>
            <w:tcW w:type="dxa" w:w="1440"/>
          </w:tcPr>
          <w:p>
            <w:pPr>
              <w:jc w:val="left"/>
            </w:pPr>
            <w:r/>
            <w:r>
              <w:rPr>
                <w:rFonts w:ascii="Times New Roman" w:hAnsi="Times New Roman"/>
                <w:b w:val="0"/>
                <w:i w:val="0"/>
                <w:sz w:val="17"/>
              </w:rPr>
              <w:t>Charging control</w:t>
            </w:r>
          </w:p>
        </w:tc>
        <w:tc>
          <w:tcPr>
            <w:tcW w:type="dxa" w:w="3024"/>
          </w:tcPr>
          <w:p>
            <w:r/>
            <w:r>
              <w:rPr>
                <w:rFonts w:ascii="Times New Roman" w:hAnsi="Times New Roman"/>
                <w:b w:val="0"/>
                <w:i w:val="0"/>
                <w:sz w:val="17"/>
              </w:rPr>
              <w:t>Overcharge, over-temperature, and thermal-cycling limits are hard constraints under GB 38031-2020/2025; adaptive strategies must be bounded by protection envelopes and argued in the safety case</w:t>
            </w:r>
          </w:p>
        </w:tc>
        <w:tc>
          <w:tcPr>
            <w:tcW w:type="dxa" w:w="2736"/>
          </w:tcPr>
          <w:p>
            <w:r/>
            <w:r>
              <w:rPr>
                <w:rFonts w:ascii="Times New Roman" w:hAnsi="Times New Roman"/>
                <w:b w:val="0"/>
                <w:i w:val="0"/>
                <w:sz w:val="17"/>
              </w:rPr>
              <w:t>0 of 8 charging primary papers use a strong protocol; 4 demonstrate on laboratory hardware, none online</w:t>
            </w:r>
          </w:p>
        </w:tc>
      </w:tr>
      <w:tr>
        <w:trPr>
          <w:cantSplit/>
        </w:trPr>
        <w:tc>
          <w:tcPr>
            <w:tcW w:type="dxa" w:w="1440"/>
          </w:tcPr>
          <w:p>
            <w:pPr>
              <w:jc w:val="left"/>
            </w:pPr>
            <w:r/>
            <w:r>
              <w:rPr>
                <w:rFonts w:ascii="Times New Roman" w:hAnsi="Times New Roman"/>
                <w:b w:val="0"/>
                <w:i w:val="0"/>
                <w:sz w:val="17"/>
              </w:rPr>
              <w:t>Thermal management</w:t>
            </w:r>
          </w:p>
        </w:tc>
        <w:tc>
          <w:tcPr>
            <w:tcW w:type="dxa" w:w="3024"/>
          </w:tcPr>
          <w:p>
            <w:r/>
            <w:r>
              <w:rPr>
                <w:rFonts w:ascii="Times New Roman" w:hAnsi="Times New Roman"/>
                <w:b w:val="0"/>
                <w:i w:val="0"/>
                <w:sz w:val="17"/>
              </w:rPr>
              <w:t>Temperature-gradient and propagation-containment requirements after fast-charge or abuse (GB 38031-2025 thermal diffusion, bottom-impact, fast-charge-cycle tests); the cooling function must be verified on hardware</w:t>
            </w:r>
          </w:p>
        </w:tc>
        <w:tc>
          <w:tcPr>
            <w:tcW w:type="dxa" w:w="2736"/>
          </w:tcPr>
          <w:p>
            <w:r/>
            <w:r>
              <w:rPr>
                <w:rFonts w:ascii="Times New Roman" w:hAnsi="Times New Roman"/>
                <w:b w:val="0"/>
                <w:i w:val="0"/>
                <w:sz w:val="17"/>
              </w:rPr>
              <w:t>0 of 7 thermal primary papers use a strong protocol; 2 exercise laboratory hardware; no learned control loop is validated on hardware</w:t>
            </w:r>
          </w:p>
        </w:tc>
      </w:tr>
    </w:tbl>
    <w:p>
      <w:pPr>
        <w:spacing w:after="120"/>
        <w:jc w:val="both"/>
      </w:pPr>
    </w:p>
    <w:p>
      <w:pPr>
        <w:keepNext/>
        <w:spacing w:after="80"/>
        <w:jc w:val="left"/>
      </w:pPr>
      <w:r>
        <w:rPr>
          <w:rFonts w:ascii="Times New Roman" w:hAnsi="Times New Roman"/>
          <w:b/>
          <w:i w:val="0"/>
          <w:sz w:val="20"/>
        </w:rPr>
        <w:t>9.5 Foundation-model integration</w:t>
      </w:r>
    </w:p>
    <w:p>
      <w:pPr>
        <w:spacing w:after="160"/>
        <w:jc w:val="both"/>
      </w:pPr>
      <w:r>
        <w:rPr>
          <w:rFonts w:ascii="Times New Roman" w:hAnsi="Times New Roman"/>
          <w:b w:val="0"/>
          <w:i w:val="0"/>
          <w:sz w:val="20"/>
        </w:rPr>
        <w:t xml:space="preserve">The corpus's first LLM-based management studies (2025–2026, with LLM-based estimation prior art that this review’s retrieval missed — Section 8.4) </w:t>
      </w:r>
      <w:r>
        <w:rPr>
          <w:rFonts w:ascii="Times New Roman" w:hAnsi="Times New Roman"/>
          <w:sz w:val="20"/>
        </w:rPr>
        <w:t>[14, 15]</w:t>
      </w:r>
      <w:r>
        <w:rPr>
          <w:rFonts w:ascii="Times New Roman" w:hAnsi="Times New Roman"/>
          <w:b w:val="0"/>
          <w:i w:val="0"/>
          <w:sz w:val="20"/>
        </w:rPr>
        <w:t xml:space="preserve"> suggest a division of labor worth formalizing — with the caveat that HA-LLM </w:t>
      </w:r>
      <w:r>
        <w:rPr>
          <w:rFonts w:ascii="Times New Roman" w:hAnsi="Times New Roman"/>
          <w:sz w:val="20"/>
        </w:rPr>
        <w:t>[15]</w:t>
      </w:r>
      <w:r>
        <w:rPr>
          <w:rFonts w:ascii="Times New Roman" w:hAnsi="Times New Roman"/>
          <w:b w:val="0"/>
          <w:i w:val="0"/>
          <w:sz w:val="20"/>
        </w:rPr>
        <w:t xml:space="preserve"> already occupies the estimator seat under exactly the guardrails proposed here: foundation models as reasoning, orchestration, and human-interface layers, and as estimators only where uncertainty-gated and protected by physics-fallback substitution; conventional ML as calibrated estimators; physics models as safety envelopes. Research is needed on grounding (preventing hallucinated battery knowledge), latency, and the division of safety authority between learned and non-learned components. Battery-domain foundation models pretrained on cycling corpora are a plausible medium-term development.</w:t>
      </w:r>
    </w:p>
    <w:p>
      <w:pPr>
        <w:keepNext/>
        <w:spacing w:after="80"/>
        <w:jc w:val="left"/>
      </w:pPr>
      <w:r>
        <w:rPr>
          <w:rFonts w:ascii="Times New Roman" w:hAnsi="Times New Roman"/>
          <w:b/>
          <w:i w:val="0"/>
          <w:sz w:val="20"/>
        </w:rPr>
        <w:t>9.6 Under-served functions</w:t>
      </w:r>
    </w:p>
    <w:p>
      <w:pPr>
        <w:spacing w:after="160"/>
        <w:jc w:val="both"/>
      </w:pPr>
      <w:r>
        <w:rPr>
          <w:rFonts w:ascii="Times New Roman" w:hAnsi="Times New Roman"/>
          <w:b w:val="0"/>
          <w:i w:val="0"/>
          <w:sz w:val="20"/>
        </w:rPr>
        <w:t xml:space="preserve">Finally, the function distribution itself signals opportunity — read at both levels of the evidence base. Cell balancing is the smallest core function both in the curated subset (2 papers) and in the quota-free eligible pool (38 of 799 tagged records, Section 3.3), so its under-representation is a property of the retrieved literature rather than of the quotas; ML has so far contributed mainly at the level of pack-level insight rather than as a balancing controller </w:t>
      </w:r>
      <w:r>
        <w:rPr>
          <w:rFonts w:ascii="Times New Roman" w:hAnsi="Times New Roman"/>
          <w:sz w:val="20"/>
        </w:rPr>
        <w:t>[31]</w:t>
      </w:r>
      <w:r>
        <w:rPr>
          <w:rFonts w:ascii="Times New Roman" w:hAnsi="Times New Roman"/>
          <w:b w:val="0"/>
          <w:i w:val="0"/>
          <w:sz w:val="20"/>
        </w:rPr>
        <w:t xml:space="preserve">. Thermal management is not scarce as a theme in the pool (99 tagged records), but closed-loop thermal control has not yet been demonstrated on hardware in the subset, and the cluster remains simulation-dominated </w:t>
      </w:r>
      <w:r>
        <w:rPr>
          <w:rFonts w:ascii="Times New Roman" w:hAnsi="Times New Roman"/>
          <w:sz w:val="20"/>
        </w:rPr>
        <w:t>[25]</w:t>
      </w:r>
      <w:r>
        <w:rPr>
          <w:rFonts w:ascii="Times New Roman" w:hAnsi="Times New Roman"/>
          <w:b w:val="0"/>
          <w:i w:val="0"/>
          <w:sz w:val="20"/>
        </w:rPr>
        <w:t xml:space="preserve"> — the deficit is evidential, not topical. Charging control needs certifiable adaptive protocols. These functions share a property that explains the pattern: they are </w:t>
      </w:r>
      <w:r>
        <w:rPr>
          <w:rFonts w:ascii="Times New Roman" w:hAnsi="Times New Roman"/>
          <w:b w:val="0"/>
          <w:i/>
          <w:sz w:val="20"/>
        </w:rPr>
        <w:t>control</w:t>
      </w:r>
      <w:r>
        <w:rPr>
          <w:rFonts w:ascii="Times New Roman" w:hAnsi="Times New Roman"/>
          <w:b w:val="0"/>
          <w:i w:val="0"/>
          <w:sz w:val="20"/>
        </w:rPr>
        <w:t xml:space="preserve"> problems, where errors act on the battery rather than merely reporting on it, and where the evidence bar is correspondingly higher. Closing them will require the safety-case machinery of Section 9.4 as much as new algorithms.</w:t>
      </w:r>
    </w:p>
    <w:p>
      <w:pPr>
        <w:keepNext/>
        <w:spacing w:after="80"/>
        <w:jc w:val="left"/>
      </w:pPr>
      <w:r>
        <w:rPr>
          <w:rFonts w:ascii="Times New Roman" w:hAnsi="Times New Roman"/>
          <w:b w:val="0"/>
          <w:i w:val="0"/>
          <w:sz w:val="18"/>
        </w:rPr>
        <w:t>Table 11 Structural research gaps and corresponding future directions</w:t>
      </w:r>
    </w:p>
    <w:tbl>
      <w:tblPr>
        <w:tblStyle w:val="TableGrid"/>
        <w:tblW w:type="auto" w:w="0"/>
        <w:jc w:val="center"/>
        <w:tblLayout w:type="fixed"/>
        <w:tblLook w:firstColumn="1" w:firstRow="1" w:lastColumn="0" w:lastRow="0" w:noHBand="0" w:noVBand="1" w:val="04A0"/>
        <w:tblLayout w:type="fixed"/>
      </w:tblPr>
      <w:tblGrid>
        <w:gridCol w:w="1655"/>
        <w:gridCol w:w="3671"/>
        <w:gridCol w:w="3888"/>
      </w:tblGrid>
      <w:tr>
        <w:trPr>
          <w:cantSplit/>
          <w:tblHeader/>
        </w:trPr>
        <w:tc>
          <w:tcPr>
            <w:tcW w:type="dxa" w:w="1656"/>
          </w:tcPr>
          <w:p>
            <w:pPr>
              <w:jc w:val="center"/>
            </w:pPr>
            <w:r/>
            <w:r>
              <w:rPr>
                <w:rFonts w:ascii="Times New Roman" w:hAnsi="Times New Roman"/>
                <w:b/>
                <w:sz w:val="17"/>
              </w:rPr>
              <w:t>Gap</w:t>
            </w:r>
          </w:p>
        </w:tc>
        <w:tc>
          <w:tcPr>
            <w:tcW w:type="dxa" w:w="3672"/>
          </w:tcPr>
          <w:p>
            <w:pPr>
              <w:jc w:val="center"/>
            </w:pPr>
            <w:r/>
            <w:r>
              <w:rPr>
                <w:rFonts w:ascii="Times New Roman" w:hAnsi="Times New Roman"/>
                <w:b/>
                <w:sz w:val="17"/>
              </w:rPr>
              <w:t>Evidence in corpus</w:t>
            </w:r>
          </w:p>
        </w:tc>
        <w:tc>
          <w:tcPr>
            <w:tcW w:type="dxa" w:w="3888"/>
          </w:tcPr>
          <w:p>
            <w:pPr>
              <w:jc w:val="center"/>
            </w:pPr>
            <w:r/>
            <w:r>
              <w:rPr>
                <w:rFonts w:ascii="Times New Roman" w:hAnsi="Times New Roman"/>
                <w:b/>
                <w:sz w:val="17"/>
              </w:rPr>
              <w:t>Future direction</w:t>
            </w:r>
          </w:p>
        </w:tc>
      </w:tr>
      <w:tr>
        <w:trPr>
          <w:cantSplit/>
        </w:trPr>
        <w:tc>
          <w:tcPr>
            <w:tcW w:type="dxa" w:w="1656"/>
          </w:tcPr>
          <w:p>
            <w:pPr>
              <w:jc w:val="left"/>
            </w:pPr>
            <w:r/>
            <w:r>
              <w:rPr>
                <w:rFonts w:ascii="Times New Roman" w:hAnsi="Times New Roman"/>
                <w:b w:val="0"/>
                <w:i w:val="0"/>
                <w:sz w:val="17"/>
              </w:rPr>
              <w:t>Validation practice</w:t>
            </w:r>
          </w:p>
        </w:tc>
        <w:tc>
          <w:tcPr>
            <w:tcW w:type="dxa" w:w="3672"/>
          </w:tcPr>
          <w:p>
            <w:r/>
            <w:r>
              <w:rPr>
                <w:rFonts w:ascii="Times New Roman" w:hAnsi="Times New Roman"/>
                <w:b w:val="0"/>
                <w:i w:val="0"/>
                <w:sz w:val="17"/>
              </w:rPr>
              <w:t>17 of 88 primary papers use within-cell or k-fold validation; 8 of 88 primary papers demonstrate online or fleet use</w:t>
            </w:r>
          </w:p>
        </w:tc>
        <w:tc>
          <w:tcPr>
            <w:tcW w:type="dxa" w:w="3888"/>
          </w:tcPr>
          <w:p>
            <w:r/>
            <w:r>
              <w:rPr>
                <w:rFonts w:ascii="Times New Roman" w:hAnsi="Times New Roman"/>
                <w:b w:val="0"/>
                <w:i w:val="0"/>
                <w:sz w:val="17"/>
              </w:rPr>
              <w:t>Standardized cross-cell, cross-chemistry, lab-to-fleet transfer protocols as reporting norms</w:t>
            </w:r>
          </w:p>
        </w:tc>
      </w:tr>
      <w:tr>
        <w:trPr>
          <w:cantSplit/>
        </w:trPr>
        <w:tc>
          <w:tcPr>
            <w:tcW w:type="dxa" w:w="1656"/>
          </w:tcPr>
          <w:p>
            <w:pPr>
              <w:jc w:val="left"/>
            </w:pPr>
            <w:r/>
            <w:r>
              <w:rPr>
                <w:rFonts w:ascii="Times New Roman" w:hAnsi="Times New Roman"/>
                <w:b w:val="0"/>
                <w:i w:val="0"/>
                <w:sz w:val="17"/>
              </w:rPr>
              <w:t>Two-pole data fragmentation</w:t>
            </w:r>
          </w:p>
        </w:tc>
        <w:tc>
          <w:tcPr>
            <w:tcW w:type="dxa" w:w="3672"/>
          </w:tcPr>
          <w:p>
            <w:r/>
            <w:r>
              <w:rPr>
                <w:rFonts w:ascii="Times New Roman" w:hAnsi="Times New Roman"/>
                <w:b w:val="0"/>
                <w:i w:val="0"/>
                <w:sz w:val="17"/>
              </w:rPr>
              <w:t>23 primary papers on three public benchmarks; 36 on rarely released private laboratory cells</w:t>
            </w:r>
          </w:p>
        </w:tc>
        <w:tc>
          <w:tcPr>
            <w:tcW w:type="dxa" w:w="3888"/>
          </w:tcPr>
          <w:p>
            <w:r/>
            <w:r>
              <w:rPr>
                <w:rFonts w:ascii="Times New Roman" w:hAnsi="Times New Roman"/>
                <w:b w:val="0"/>
                <w:i w:val="0"/>
                <w:sz w:val="17"/>
              </w:rPr>
              <w:t>Federated learning, anonymized fleet-data releases, multi-institution cycling campaigns</w:t>
            </w:r>
          </w:p>
        </w:tc>
      </w:tr>
      <w:tr>
        <w:trPr>
          <w:cantSplit/>
        </w:trPr>
        <w:tc>
          <w:tcPr>
            <w:tcW w:type="dxa" w:w="1656"/>
          </w:tcPr>
          <w:p>
            <w:pPr>
              <w:jc w:val="left"/>
            </w:pPr>
            <w:r/>
            <w:r>
              <w:rPr>
                <w:rFonts w:ascii="Times New Roman" w:hAnsi="Times New Roman"/>
                <w:b w:val="0"/>
                <w:i w:val="0"/>
                <w:sz w:val="17"/>
              </w:rPr>
              <w:t>Onboard deployment</w:t>
            </w:r>
          </w:p>
        </w:tc>
        <w:tc>
          <w:tcPr>
            <w:tcW w:type="dxa" w:w="3672"/>
          </w:tcPr>
          <w:p>
            <w:r/>
            <w:r>
              <w:rPr>
                <w:rFonts w:ascii="Times New Roman" w:hAnsi="Times New Roman"/>
                <w:b w:val="0"/>
                <w:i w:val="0"/>
                <w:sz w:val="17"/>
              </w:rPr>
              <w:t>Few studies treat compute/memory/latency as design constraints</w:t>
            </w:r>
          </w:p>
        </w:tc>
        <w:tc>
          <w:tcPr>
            <w:tcW w:type="dxa" w:w="3888"/>
          </w:tcPr>
          <w:p>
            <w:r/>
            <w:r>
              <w:rPr>
                <w:rFonts w:ascii="Times New Roman" w:hAnsi="Times New Roman"/>
                <w:b w:val="0"/>
                <w:i w:val="0"/>
                <w:sz w:val="17"/>
              </w:rPr>
              <w:t>Quantization-aware training, resource-constrained NAS, cloud–edge hybrid estimation</w:t>
            </w:r>
          </w:p>
        </w:tc>
      </w:tr>
      <w:tr>
        <w:trPr>
          <w:cantSplit/>
        </w:trPr>
        <w:tc>
          <w:tcPr>
            <w:tcW w:type="dxa" w:w="1656"/>
          </w:tcPr>
          <w:p>
            <w:pPr>
              <w:jc w:val="left"/>
            </w:pPr>
            <w:r/>
            <w:r>
              <w:rPr>
                <w:rFonts w:ascii="Times New Roman" w:hAnsi="Times New Roman"/>
                <w:b w:val="0"/>
                <w:i w:val="0"/>
                <w:sz w:val="17"/>
              </w:rPr>
              <w:t>Trust and certification</w:t>
            </w:r>
          </w:p>
        </w:tc>
        <w:tc>
          <w:tcPr>
            <w:tcW w:type="dxa" w:w="3672"/>
          </w:tcPr>
          <w:p>
            <w:r/>
            <w:r>
              <w:rPr>
                <w:rFonts w:ascii="Times New Roman" w:hAnsi="Times New Roman"/>
                <w:b w:val="0"/>
                <w:i w:val="0"/>
                <w:sz w:val="17"/>
              </w:rPr>
              <w:t>Interpretability mostly post-hoc; uncertainty rarely calibrated</w:t>
            </w:r>
          </w:p>
        </w:tc>
        <w:tc>
          <w:tcPr>
            <w:tcW w:type="dxa" w:w="3888"/>
          </w:tcPr>
          <w:p>
            <w:r/>
            <w:r>
              <w:rPr>
                <w:rFonts w:ascii="Times New Roman" w:hAnsi="Times New Roman"/>
                <w:b w:val="0"/>
                <w:i w:val="0"/>
                <w:sz w:val="17"/>
              </w:rPr>
              <w:t>Calibrated uncertainty, analytically specified hybrid architectures, safety-case methodology</w:t>
            </w:r>
          </w:p>
        </w:tc>
      </w:tr>
      <w:tr>
        <w:trPr>
          <w:cantSplit/>
        </w:trPr>
        <w:tc>
          <w:tcPr>
            <w:tcW w:type="dxa" w:w="1656"/>
          </w:tcPr>
          <w:p>
            <w:pPr>
              <w:jc w:val="left"/>
            </w:pPr>
            <w:r/>
            <w:r>
              <w:rPr>
                <w:rFonts w:ascii="Times New Roman" w:hAnsi="Times New Roman"/>
                <w:b w:val="0"/>
                <w:i w:val="0"/>
                <w:sz w:val="17"/>
              </w:rPr>
              <w:t>Foundation-model integration</w:t>
            </w:r>
          </w:p>
        </w:tc>
        <w:tc>
          <w:tcPr>
            <w:tcW w:type="dxa" w:w="3672"/>
          </w:tcPr>
          <w:p>
            <w:r/>
            <w:r>
              <w:rPr>
                <w:rFonts w:ascii="Times New Roman" w:hAnsi="Times New Roman"/>
                <w:b w:val="0"/>
                <w:i w:val="0"/>
                <w:sz w:val="17"/>
              </w:rPr>
              <w:t>First two LLM-based studies appear 2025–2026 in the subset</w:t>
            </w:r>
          </w:p>
        </w:tc>
        <w:tc>
          <w:tcPr>
            <w:tcW w:type="dxa" w:w="3888"/>
          </w:tcPr>
          <w:p>
            <w:r/>
            <w:r>
              <w:rPr>
                <w:rFonts w:ascii="Times New Roman" w:hAnsi="Times New Roman"/>
                <w:b w:val="0"/>
                <w:i w:val="0"/>
                <w:sz w:val="17"/>
              </w:rPr>
              <w:t>Grounded LLM orchestration layers; domain foundation models; division of safety authority</w:t>
            </w:r>
          </w:p>
        </w:tc>
      </w:tr>
      <w:tr>
        <w:trPr>
          <w:cantSplit/>
        </w:trPr>
        <w:tc>
          <w:tcPr>
            <w:tcW w:type="dxa" w:w="1656"/>
          </w:tcPr>
          <w:p>
            <w:pPr>
              <w:jc w:val="left"/>
            </w:pPr>
            <w:r/>
            <w:r>
              <w:rPr>
                <w:rFonts w:ascii="Times New Roman" w:hAnsi="Times New Roman"/>
                <w:b w:val="0"/>
                <w:i w:val="0"/>
                <w:sz w:val="17"/>
              </w:rPr>
              <w:t>Under-served functions</w:t>
            </w:r>
          </w:p>
        </w:tc>
        <w:tc>
          <w:tcPr>
            <w:tcW w:type="dxa" w:w="3672"/>
          </w:tcPr>
          <w:p>
            <w:r/>
            <w:r>
              <w:rPr>
                <w:rFonts w:ascii="Times New Roman" w:hAnsi="Times New Roman"/>
                <w:b w:val="0"/>
                <w:i w:val="0"/>
                <w:sz w:val="17"/>
              </w:rPr>
              <w:t>Balancing: smallest core function in subset (2 papers) and pool (38 of 799 tagged); closed-loop thermal control not yet shown on hardware</w:t>
            </w:r>
          </w:p>
        </w:tc>
        <w:tc>
          <w:tcPr>
            <w:tcW w:type="dxa" w:w="3888"/>
          </w:tcPr>
          <w:p>
            <w:r/>
            <w:r>
              <w:rPr>
                <w:rFonts w:ascii="Times New Roman" w:hAnsi="Times New Roman"/>
                <w:b w:val="0"/>
                <w:i w:val="0"/>
                <w:sz w:val="17"/>
              </w:rPr>
              <w:t>Certifiable adaptive control with mechanism-aware safety envelopes</w:t>
            </w:r>
          </w:p>
        </w:tc>
      </w:tr>
    </w:tbl>
    <w:p>
      <w:pPr>
        <w:spacing w:after="120"/>
        <w:jc w:val="both"/>
      </w:pPr>
    </w:p>
    <w:p>
      <w:pPr>
        <w:keepNext/>
        <w:spacing w:after="80"/>
        <w:jc w:val="left"/>
      </w:pPr>
      <w:r>
        <w:rPr>
          <w:rFonts w:ascii="Times New Roman" w:hAnsi="Times New Roman"/>
          <w:b/>
          <w:i w:val="0"/>
          <w:sz w:val="20"/>
        </w:rPr>
        <w:t>9.7 Position relative to prior reviews</w:t>
      </w:r>
    </w:p>
    <w:p>
      <w:pPr>
        <w:spacing w:after="160"/>
        <w:jc w:val="both"/>
      </w:pPr>
      <w:r>
        <w:rPr>
          <w:rFonts w:ascii="Times New Roman" w:hAnsi="Times New Roman"/>
          <w:b w:val="0"/>
          <w:i w:val="0"/>
          <w:sz w:val="20"/>
        </w:rPr>
        <w:t xml:space="preserve">Section 1.3 situated this review against the function-specific and method-specific reviews that dominate the field; the positioning deserves its own statement because reviewers and readers routinely ask what a new review adds when several exist. The closest in scope among recent cross-functional reviews is the performance-centric review of Prasanna et al. </w:t>
      </w:r>
      <w:r>
        <w:rPr>
          <w:rFonts w:ascii="Times New Roman" w:hAnsi="Times New Roman"/>
          <w:sz w:val="20"/>
        </w:rPr>
        <w:t>[27]</w:t>
      </w:r>
      <w:r>
        <w:rPr>
          <w:rFonts w:ascii="Times New Roman" w:hAnsi="Times New Roman"/>
          <w:b w:val="0"/>
          <w:i w:val="0"/>
          <w:sz w:val="20"/>
        </w:rPr>
        <w:t xml:space="preserve"> (240 studies, included from 361 screened records, across the EV powertrain, aggregating reported RMSE and R²); adjacent cross-functional surveys exist for degradation and estimation methods. This review is distinguished by what those studies do not attempt, and Table 12 states the comparison axis by axis: a two-tier corpus with record-level screening provenance (799 eligible records released in full, 103 classified in depth); a within-corpus measurement of validation-protocol strength across functions, with per-paper assignments released and method-family contrasts tested rather than asserted; a requirement-level mapping onto UN GTR 20, GB 38031, and ISO 26262; and a released, re-runnable analysis pipeline behind every count and figure. Where prior reviews ask </w:t>
      </w:r>
      <w:r>
        <w:rPr>
          <w:rFonts w:ascii="Times New Roman" w:hAnsi="Times New Roman"/>
          <w:b w:val="0"/>
          <w:i/>
          <w:sz w:val="20"/>
        </w:rPr>
        <w:t>which method works best for function X</w:t>
      </w:r>
      <w:r>
        <w:rPr>
          <w:rFonts w:ascii="Times New Roman" w:hAnsi="Times New Roman"/>
          <w:b w:val="0"/>
          <w:i w:val="0"/>
          <w:sz w:val="20"/>
        </w:rPr>
        <w:t xml:space="preserve">, this review asks </w:t>
      </w:r>
      <w:r>
        <w:rPr>
          <w:rFonts w:ascii="Times New Roman" w:hAnsi="Times New Roman"/>
          <w:b w:val="0"/>
          <w:i/>
          <w:sz w:val="20"/>
        </w:rPr>
        <w:t>which claims can actually be checked — and what it would cost the reader to trust them</w:t>
      </w:r>
      <w:r>
        <w:rPr>
          <w:rFonts w:ascii="Times New Roman" w:hAnsi="Times New Roman"/>
          <w:b w:val="0"/>
          <w:i w:val="0"/>
          <w:sz w:val="20"/>
        </w:rPr>
        <w:t xml:space="preserve"> — which is the question a scoping review with a curated classified subset is positioned to answer, and the question that performance-centric aggregation cannot ask of itself.</w:t>
      </w:r>
    </w:p>
    <w:p>
      <w:pPr>
        <w:keepNext/>
        <w:spacing w:after="80"/>
        <w:jc w:val="left"/>
      </w:pPr>
      <w:r>
        <w:rPr>
          <w:rFonts w:ascii="Times New Roman" w:hAnsi="Times New Roman"/>
          <w:b w:val="0"/>
          <w:i w:val="0"/>
          <w:sz w:val="18"/>
        </w:rPr>
        <w:t>Table 12 Position relative to prior reviews. “Prasanna 2026” denotes the 2026 performance-centric ML review of EV powertrains with BMS and charging scope (240 studies, included from 361 screened records; aggregated reported RMSE/R²). The function-specific and method-specific reviews named in Section 1.3 cover single functions or methods, so none of them, to our knowledge, addresses the axes below; the comparison is per axis, not per review. This review differs most in the validation measurement (within a curated subset), standards linkage, and released record-level artifacts.</w:t>
      </w:r>
    </w:p>
    <w:tbl>
      <w:tblPr>
        <w:tblStyle w:val="TableGrid"/>
        <w:tblW w:type="auto" w:w="0"/>
        <w:jc w:val="center"/>
        <w:tblLayout w:type="fixed"/>
        <w:tblLook w:firstColumn="1" w:firstRow="1" w:lastColumn="0" w:lastRow="0" w:noHBand="0" w:noVBand="1" w:val="04A0"/>
        <w:tblLayout w:type="fixed"/>
      </w:tblPr>
      <w:tblGrid>
        <w:gridCol w:w="1296"/>
        <w:gridCol w:w="2808"/>
        <w:gridCol w:w="3096"/>
      </w:tblGrid>
      <w:tr>
        <w:trPr>
          <w:cantSplit/>
          <w:tblHeader/>
        </w:trPr>
        <w:tc>
          <w:tcPr>
            <w:tcW w:type="dxa" w:w="1296"/>
          </w:tcPr>
          <w:p>
            <w:pPr>
              <w:jc w:val="center"/>
            </w:pPr>
            <w:r/>
            <w:r>
              <w:rPr>
                <w:rFonts w:ascii="Times New Roman" w:hAnsi="Times New Roman"/>
                <w:b/>
                <w:sz w:val="17"/>
              </w:rPr>
              <w:t>Axis</w:t>
            </w:r>
          </w:p>
        </w:tc>
        <w:tc>
          <w:tcPr>
            <w:tcW w:type="dxa" w:w="2808"/>
          </w:tcPr>
          <w:p>
            <w:pPr>
              <w:jc w:val="center"/>
            </w:pPr>
            <w:r/>
            <w:r>
              <w:rPr>
                <w:rFonts w:ascii="Times New Roman" w:hAnsi="Times New Roman"/>
                <w:b/>
                <w:sz w:val="17"/>
              </w:rPr>
              <w:t>This review</w:t>
            </w:r>
          </w:p>
        </w:tc>
        <w:tc>
          <w:tcPr>
            <w:tcW w:type="dxa" w:w="3096"/>
          </w:tcPr>
          <w:p>
            <w:pPr>
              <w:jc w:val="center"/>
            </w:pPr>
            <w:r/>
            <w:r>
              <w:rPr>
                <w:rFonts w:ascii="Times New Roman" w:hAnsi="Times New Roman"/>
                <w:b/>
                <w:sz w:val="17"/>
              </w:rPr>
              <w:t>Prior cross-functional / powertrain reviews</w:t>
            </w:r>
          </w:p>
        </w:tc>
      </w:tr>
      <w:tr>
        <w:trPr>
          <w:cantSplit/>
        </w:trPr>
        <w:tc>
          <w:tcPr>
            <w:tcW w:type="dxa" w:w="1296"/>
          </w:tcPr>
          <w:p>
            <w:pPr>
              <w:jc w:val="left"/>
            </w:pPr>
            <w:r/>
            <w:r>
              <w:rPr>
                <w:rFonts w:ascii="Times New Roman" w:hAnsi="Times New Roman"/>
                <w:b w:val="0"/>
                <w:i w:val="0"/>
                <w:sz w:val="17"/>
              </w:rPr>
              <w:t>Corpus</w:t>
            </w:r>
          </w:p>
        </w:tc>
        <w:tc>
          <w:tcPr>
            <w:tcW w:type="dxa" w:w="2808"/>
          </w:tcPr>
          <w:p>
            <w:r/>
            <w:r>
              <w:rPr>
                <w:rFonts w:ascii="Times New Roman" w:hAnsi="Times New Roman"/>
                <w:b w:val="0"/>
                <w:i w:val="0"/>
                <w:sz w:val="17"/>
              </w:rPr>
              <w:t>Two-tier: 799 rule-based eligible records + 103 classified subset</w:t>
            </w:r>
          </w:p>
        </w:tc>
        <w:tc>
          <w:tcPr>
            <w:tcW w:type="dxa" w:w="3096"/>
          </w:tcPr>
          <w:p>
            <w:r/>
            <w:r>
              <w:rPr>
                <w:rFonts w:ascii="Times New Roman" w:hAnsi="Times New Roman"/>
                <w:b w:val="0"/>
                <w:i w:val="0"/>
                <w:sz w:val="17"/>
              </w:rPr>
              <w:t>Fixed study lists; no record-level selection provenance in the works we examined</w:t>
            </w:r>
          </w:p>
        </w:tc>
      </w:tr>
      <w:tr>
        <w:trPr>
          <w:cantSplit/>
        </w:trPr>
        <w:tc>
          <w:tcPr>
            <w:tcW w:type="dxa" w:w="1296"/>
          </w:tcPr>
          <w:p>
            <w:pPr>
              <w:jc w:val="left"/>
            </w:pPr>
            <w:r/>
            <w:r>
              <w:rPr>
                <w:rFonts w:ascii="Times New Roman" w:hAnsi="Times New Roman"/>
                <w:b w:val="0"/>
                <w:i w:val="0"/>
                <w:sz w:val="17"/>
              </w:rPr>
              <w:t>Validation analysis</w:t>
            </w:r>
          </w:p>
        </w:tc>
        <w:tc>
          <w:tcPr>
            <w:tcW w:type="dxa" w:w="2808"/>
          </w:tcPr>
          <w:p>
            <w:r/>
            <w:r>
              <w:rPr>
                <w:rFonts w:ascii="Times New Roman" w:hAnsi="Times New Roman"/>
                <w:b w:val="0"/>
                <w:i w:val="0"/>
                <w:sz w:val="17"/>
              </w:rPr>
              <w:t>Protocol classes defined, per-paper assignments released, method-family contrast tested with sensitivity ranges; within-corpus measurement, not a field census</w:t>
            </w:r>
          </w:p>
        </w:tc>
        <w:tc>
          <w:tcPr>
            <w:tcW w:type="dxa" w:w="3096"/>
          </w:tcPr>
          <w:p>
            <w:r/>
            <w:r>
              <w:rPr>
                <w:rFonts w:ascii="Times New Roman" w:hAnsi="Times New Roman"/>
                <w:b w:val="0"/>
                <w:i w:val="0"/>
                <w:sz w:val="17"/>
              </w:rPr>
              <w:t>Narrative remarks on data scarcity; protocol strength not quantified, to our knowledge</w:t>
            </w:r>
          </w:p>
        </w:tc>
      </w:tr>
      <w:tr>
        <w:trPr>
          <w:cantSplit/>
        </w:trPr>
        <w:tc>
          <w:tcPr>
            <w:tcW w:type="dxa" w:w="1296"/>
          </w:tcPr>
          <w:p>
            <w:pPr>
              <w:jc w:val="left"/>
            </w:pPr>
            <w:r/>
            <w:r>
              <w:rPr>
                <w:rFonts w:ascii="Times New Roman" w:hAnsi="Times New Roman"/>
                <w:b w:val="0"/>
                <w:i w:val="0"/>
                <w:sz w:val="17"/>
              </w:rPr>
              <w:t>Standards linkage</w:t>
            </w:r>
          </w:p>
        </w:tc>
        <w:tc>
          <w:tcPr>
            <w:tcW w:type="dxa" w:w="2808"/>
          </w:tcPr>
          <w:p>
            <w:r/>
            <w:r>
              <w:rPr>
                <w:rFonts w:ascii="Times New Roman" w:hAnsi="Times New Roman"/>
                <w:b w:val="0"/>
                <w:i w:val="0"/>
                <w:sz w:val="17"/>
              </w:rPr>
              <w:t>Function-to-requirement mapping vs. UN GTR 20, GB 38031-2020/2025, ISO 26262:2018, ISO/PAS 8800:2024</w:t>
            </w:r>
          </w:p>
        </w:tc>
        <w:tc>
          <w:tcPr>
            <w:tcW w:type="dxa" w:w="3096"/>
          </w:tcPr>
          <w:p>
            <w:r/>
            <w:r>
              <w:rPr>
                <w:rFonts w:ascii="Times New Roman" w:hAnsi="Times New Roman"/>
                <w:b w:val="0"/>
                <w:i w:val="0"/>
                <w:sz w:val="17"/>
              </w:rPr>
              <w:t>Not addressed or addressed qualitatively</w:t>
            </w:r>
          </w:p>
        </w:tc>
      </w:tr>
      <w:tr>
        <w:trPr>
          <w:cantSplit/>
        </w:trPr>
        <w:tc>
          <w:tcPr>
            <w:tcW w:type="dxa" w:w="1296"/>
          </w:tcPr>
          <w:p>
            <w:pPr>
              <w:jc w:val="left"/>
            </w:pPr>
            <w:r/>
            <w:r>
              <w:rPr>
                <w:rFonts w:ascii="Times New Roman" w:hAnsi="Times New Roman"/>
                <w:b w:val="0"/>
                <w:i w:val="0"/>
                <w:sz w:val="17"/>
              </w:rPr>
              <w:t>Recommendations</w:t>
            </w:r>
          </w:p>
        </w:tc>
        <w:tc>
          <w:tcPr>
            <w:tcW w:type="dxa" w:w="2808"/>
          </w:tcPr>
          <w:p>
            <w:r/>
            <w:r>
              <w:rPr>
                <w:rFonts w:ascii="Times New Roman" w:hAnsi="Times New Roman"/>
                <w:b w:val="0"/>
                <w:i w:val="0"/>
                <w:sz w:val="17"/>
              </w:rPr>
              <w:t>Twelve-item reporting checklist (BMS-ML-RC) + six research directions</w:t>
            </w:r>
          </w:p>
        </w:tc>
        <w:tc>
          <w:tcPr>
            <w:tcW w:type="dxa" w:w="3096"/>
          </w:tcPr>
          <w:p>
            <w:r/>
            <w:r>
              <w:rPr>
                <w:rFonts w:ascii="Times New Roman" w:hAnsi="Times New Roman"/>
                <w:b w:val="0"/>
                <w:i w:val="0"/>
                <w:sz w:val="17"/>
              </w:rPr>
              <w:t>General future-work statements</w:t>
            </w:r>
          </w:p>
        </w:tc>
      </w:tr>
      <w:tr>
        <w:trPr>
          <w:cantSplit/>
        </w:trPr>
        <w:tc>
          <w:tcPr>
            <w:tcW w:type="dxa" w:w="1296"/>
          </w:tcPr>
          <w:p>
            <w:pPr>
              <w:jc w:val="left"/>
            </w:pPr>
            <w:r/>
            <w:r>
              <w:rPr>
                <w:rFonts w:ascii="Times New Roman" w:hAnsi="Times New Roman"/>
                <w:b w:val="0"/>
                <w:i w:val="0"/>
                <w:sz w:val="17"/>
              </w:rPr>
              <w:t>Reproducibility</w:t>
            </w:r>
          </w:p>
        </w:tc>
        <w:tc>
          <w:tcPr>
            <w:tcW w:type="dxa" w:w="2808"/>
          </w:tcPr>
          <w:p>
            <w:r/>
            <w:r>
              <w:rPr>
                <w:rFonts w:ascii="Times New Roman" w:hAnsi="Times New Roman"/>
                <w:b w:val="0"/>
                <w:i w:val="0"/>
                <w:sz w:val="17"/>
              </w:rPr>
              <w:t>Released papers.csv, screening provenance, codebook, and statistics scripts</w:t>
            </w:r>
          </w:p>
        </w:tc>
        <w:tc>
          <w:tcPr>
            <w:tcW w:type="dxa" w:w="3096"/>
          </w:tcPr>
          <w:p>
            <w:r/>
            <w:r>
              <w:rPr>
                <w:rFonts w:ascii="Times New Roman" w:hAnsi="Times New Roman"/>
                <w:b w:val="0"/>
                <w:i w:val="0"/>
                <w:sz w:val="17"/>
              </w:rPr>
              <w:t>No released record-level dataset that we could locate</w:t>
            </w:r>
          </w:p>
        </w:tc>
      </w:tr>
    </w:tbl>
    <w:p>
      <w:pPr>
        <w:spacing w:after="120"/>
        <w:jc w:val="both"/>
      </w:pPr>
    </w:p>
    <w:p>
      <w:pPr>
        <w:keepNext/>
        <w:spacing w:after="80"/>
        <w:jc w:val="left"/>
      </w:pPr>
      <w:r>
        <w:rPr>
          <w:rFonts w:ascii="Times New Roman" w:hAnsi="Times New Roman"/>
          <w:b/>
          <w:i w:val="0"/>
          <w:sz w:val="20"/>
        </w:rPr>
        <w:t>9.8 Outlook: what the next revision cycle of this literature should produce</w:t>
      </w:r>
    </w:p>
    <w:p>
      <w:pPr>
        <w:spacing w:after="160"/>
        <w:jc w:val="both"/>
      </w:pPr>
      <w:r>
        <w:rPr>
          <w:rFonts w:ascii="Times New Roman" w:hAnsi="Times New Roman"/>
          <w:b w:val="0"/>
          <w:i w:val="0"/>
          <w:sz w:val="20"/>
        </w:rPr>
        <w:t xml:space="preserve">Concretely, and tied to the gaps above, the highest-value near-term work falls in six directions. (a) </w:t>
      </w:r>
      <w:r>
        <w:rPr>
          <w:rFonts w:ascii="Times New Roman" w:hAnsi="Times New Roman"/>
          <w:b w:val="0"/>
          <w:i/>
          <w:sz w:val="20"/>
        </w:rPr>
        <w:t>Duty-cycle-aware validation</w:t>
      </w:r>
      <w:r>
        <w:rPr>
          <w:rFonts w:ascii="Times New Roman" w:hAnsi="Times New Roman"/>
          <w:b w:val="0"/>
          <w:i w:val="0"/>
          <w:sz w:val="20"/>
        </w:rPr>
        <w:t xml:space="preserve">: public cross-cell benchmarks that pair cycling data with recorded EV drive profiles, so that cross-chemistry and cross-domain generalization can be tested against transportation duty rather than laboratory schedules. (b) </w:t>
      </w:r>
      <w:r>
        <w:rPr>
          <w:rFonts w:ascii="Times New Roman" w:hAnsi="Times New Roman"/>
          <w:b w:val="0"/>
          <w:i/>
          <w:sz w:val="20"/>
        </w:rPr>
        <w:t>Federated fleet evidence</w:t>
      </w:r>
      <w:r>
        <w:rPr>
          <w:rFonts w:ascii="Times New Roman" w:hAnsi="Times New Roman"/>
          <w:b w:val="0"/>
          <w:i w:val="0"/>
          <w:sz w:val="20"/>
        </w:rPr>
        <w:t xml:space="preserve">: privacy-preserving SOH/SOC studies over live fleets (about 2% of the eligible corpus today), with the 179-cell pipeline </w:t>
      </w:r>
      <w:r>
        <w:rPr>
          <w:rFonts w:ascii="Times New Roman" w:hAnsi="Times New Roman"/>
          <w:sz w:val="20"/>
        </w:rPr>
        <w:t>[64]</w:t>
      </w:r>
      <w:r>
        <w:rPr>
          <w:rFonts w:ascii="Times New Roman" w:hAnsi="Times New Roman"/>
          <w:b w:val="0"/>
          <w:i w:val="0"/>
          <w:sz w:val="20"/>
        </w:rPr>
        <w:t xml:space="preserve"> as the template. (c) </w:t>
      </w:r>
      <w:r>
        <w:rPr>
          <w:rFonts w:ascii="Times New Roman" w:hAnsi="Times New Roman"/>
          <w:b w:val="0"/>
          <w:i/>
          <w:sz w:val="20"/>
        </w:rPr>
        <w:t>Benchmark diversification</w:t>
      </w:r>
      <w:r>
        <w:rPr>
          <w:rFonts w:ascii="Times New Roman" w:hAnsi="Times New Roman"/>
          <w:b w:val="0"/>
          <w:i w:val="0"/>
          <w:sz w:val="20"/>
        </w:rPr>
        <w:t xml:space="preserve">: multi-institution cycling campaigns two orders of magnitude larger than MATR/NASA/CALCE and released with DOI-backed artifacts, addressing the two-pole fragmentation of Section 3.4. (d) </w:t>
      </w:r>
      <w:r>
        <w:rPr>
          <w:rFonts w:ascii="Times New Roman" w:hAnsi="Times New Roman"/>
          <w:b w:val="0"/>
          <w:i/>
          <w:sz w:val="20"/>
        </w:rPr>
        <w:t>Pack- and vehicle-level ML</w:t>
      </w:r>
      <w:r>
        <w:rPr>
          <w:rFonts w:ascii="Times New Roman" w:hAnsi="Times New Roman"/>
          <w:b w:val="0"/>
          <w:i w:val="0"/>
          <w:sz w:val="20"/>
        </w:rPr>
        <w:t xml:space="preserve">: estimation validated at the integration level where UN GTR 20 and GB 38031 requirements bite, instead of cell-level evidence transplanted upward. (e) </w:t>
      </w:r>
      <w:r>
        <w:rPr>
          <w:rFonts w:ascii="Times New Roman" w:hAnsi="Times New Roman"/>
          <w:b w:val="0"/>
          <w:i/>
          <w:sz w:val="20"/>
        </w:rPr>
        <w:t>Functionally safe learning</w:t>
      </w:r>
      <w:r>
        <w:rPr>
          <w:rFonts w:ascii="Times New Roman" w:hAnsi="Times New Roman"/>
          <w:b w:val="0"/>
          <w:i w:val="0"/>
          <w:sz w:val="20"/>
        </w:rPr>
        <w:t xml:space="preserve">: ML estimators whose uncertainty handling and assurance arguments are specified against ISO 26262 safety goals and ISO/PAS 8800, with ISO 21448/SOTIF reasoning for capability limitations, making certifiable charging and thermal control reachable. And (f) </w:t>
      </w:r>
      <w:r>
        <w:rPr>
          <w:rFonts w:ascii="Times New Roman" w:hAnsi="Times New Roman"/>
          <w:b w:val="0"/>
          <w:i/>
          <w:sz w:val="20"/>
        </w:rPr>
        <w:t>honest foundation-model integration</w:t>
      </w:r>
      <w:r>
        <w:rPr>
          <w:rFonts w:ascii="Times New Roman" w:hAnsi="Times New Roman"/>
          <w:b w:val="0"/>
          <w:i w:val="0"/>
          <w:sz w:val="20"/>
        </w:rPr>
        <w:t xml:space="preserve">: retrieval-grounded LLM agents with published latency and calibration budgets, capable of the coordination role while estimation authority stays with calibrated numeric models — extending, not contradicting, the corpus’s LLM estimator </w:t>
      </w:r>
      <w:r>
        <w:rPr>
          <w:rFonts w:ascii="Times New Roman" w:hAnsi="Times New Roman"/>
          <w:sz w:val="20"/>
        </w:rPr>
        <w:t>[15]</w:t>
      </w:r>
      <w:r>
        <w:rPr>
          <w:rFonts w:ascii="Times New Roman" w:hAnsi="Times New Roman"/>
          <w:b w:val="0"/>
          <w:i w:val="0"/>
          <w:sz w:val="20"/>
        </w:rPr>
        <w:t>. A guardrail on all six directions: the BMS-ML-RC checklist of Section 9.9 is designed to be attached to a paper at submission, so that the next revision cycle of this literature arrives auditable by construction.</w:t>
      </w:r>
    </w:p>
    <w:p>
      <w:pPr>
        <w:keepNext/>
        <w:spacing w:after="80"/>
        <w:jc w:val="left"/>
      </w:pPr>
      <w:r>
        <w:rPr>
          <w:rFonts w:ascii="Times New Roman" w:hAnsi="Times New Roman"/>
          <w:b/>
          <w:i w:val="0"/>
          <w:sz w:val="20"/>
        </w:rPr>
        <w:t>9.9 A reporting checklist for machine-learning BMS studies</w:t>
      </w:r>
    </w:p>
    <w:p>
      <w:pPr>
        <w:spacing w:after="160"/>
        <w:jc w:val="both"/>
      </w:pPr>
      <w:r>
        <w:rPr>
          <w:rFonts w:ascii="Times New Roman" w:hAnsi="Times New Roman"/>
          <w:b w:val="0"/>
          <w:i w:val="0"/>
          <w:sz w:val="20"/>
        </w:rPr>
        <w:t>The most concrete artifact this review can offer is procedural. Modeled on the CONSORT and PRISMA checklists that transformed reporting in clinical and review literature, Table 13 proposes a twelve-item BMS-ML reporting checklist: the minimum metadata a study should disclose for its accuracy claims to be comparable, reproducible, and poolable in future syntheses. None of the items is onerous. Items 4, 5, and 11 operationalize the validation-protocol classes that the corpus analysis measured directly (Section 3.4); the remaining items respond to reporting omissions observed qualitatively across Sections 3–8 — undisclosed splits, uncalibrated uncertainty, unnamed datasets, unquantified compute — but only the validation, data-source, and artifact items are score-measured in this corpus, and the checklist has not been applied as an audit to all 103 studies. We suggest journals adopt it as a submission checklist and that authors attach it to their released datasets.</w:t>
      </w:r>
    </w:p>
    <w:p>
      <w:pPr>
        <w:keepNext/>
        <w:spacing w:after="80"/>
        <w:jc w:val="left"/>
      </w:pPr>
      <w:r>
        <w:rPr>
          <w:rFonts w:ascii="Times New Roman" w:hAnsi="Times New Roman"/>
          <w:b w:val="0"/>
          <w:i w:val="0"/>
          <w:sz w:val="18"/>
        </w:rPr>
        <w:t>Table 13 Proposed BMS-ML reporting checklist (BMS-ML-RC), modeled on CONSORT/PRISMA reporting standards.</w:t>
      </w:r>
    </w:p>
    <w:tbl>
      <w:tblPr>
        <w:tblStyle w:val="TableGrid"/>
        <w:tblW w:type="auto" w:w="0"/>
        <w:jc w:val="center"/>
        <w:tblLayout w:type="fixed"/>
        <w:tblLook w:firstColumn="1" w:firstRow="1" w:lastColumn="0" w:lastRow="0" w:noHBand="0" w:noVBand="1" w:val="04A0"/>
        <w:tblLayout w:type="fixed"/>
      </w:tblPr>
      <w:tblGrid>
        <w:gridCol w:w="503"/>
        <w:gridCol w:w="2664"/>
        <w:gridCol w:w="6192"/>
      </w:tblGrid>
      <w:tr>
        <w:trPr>
          <w:cantSplit/>
          <w:tblHeader/>
        </w:trPr>
        <w:tc>
          <w:tcPr>
            <w:tcW w:type="dxa" w:w="504"/>
          </w:tcPr>
          <w:p>
            <w:pPr>
              <w:jc w:val="center"/>
            </w:pPr>
            <w:r/>
            <w:r>
              <w:rPr>
                <w:rFonts w:ascii="Times New Roman" w:hAnsi="Times New Roman"/>
                <w:b/>
                <w:sz w:val="17"/>
              </w:rPr>
              <w:t>#</w:t>
            </w:r>
          </w:p>
        </w:tc>
        <w:tc>
          <w:tcPr>
            <w:tcW w:type="dxa" w:w="2664"/>
          </w:tcPr>
          <w:p>
            <w:pPr>
              <w:jc w:val="center"/>
            </w:pPr>
            <w:r/>
            <w:r>
              <w:rPr>
                <w:rFonts w:ascii="Times New Roman" w:hAnsi="Times New Roman"/>
                <w:b/>
                <w:sz w:val="17"/>
              </w:rPr>
              <w:t>Reporting item</w:t>
            </w:r>
          </w:p>
        </w:tc>
        <w:tc>
          <w:tcPr>
            <w:tcW w:type="dxa" w:w="6192"/>
          </w:tcPr>
          <w:p>
            <w:pPr>
              <w:jc w:val="center"/>
            </w:pPr>
            <w:r/>
            <w:r>
              <w:rPr>
                <w:rFonts w:ascii="Times New Roman" w:hAnsi="Times New Roman"/>
                <w:b/>
                <w:sz w:val="17"/>
              </w:rPr>
              <w:t>What must be reported</w:t>
            </w:r>
          </w:p>
        </w:tc>
      </w:tr>
      <w:tr>
        <w:trPr>
          <w:cantSplit/>
        </w:trPr>
        <w:tc>
          <w:tcPr>
            <w:tcW w:type="dxa" w:w="504"/>
          </w:tcPr>
          <w:p>
            <w:pPr>
              <w:jc w:val="left"/>
            </w:pPr>
            <w:r/>
            <w:r>
              <w:rPr>
                <w:rFonts w:ascii="Times New Roman" w:hAnsi="Times New Roman"/>
                <w:b w:val="0"/>
                <w:i w:val="0"/>
                <w:sz w:val="17"/>
              </w:rPr>
              <w:t>1</w:t>
            </w:r>
          </w:p>
        </w:tc>
        <w:tc>
          <w:tcPr>
            <w:tcW w:type="dxa" w:w="2664"/>
          </w:tcPr>
          <w:p>
            <w:r/>
            <w:r>
              <w:rPr>
                <w:rFonts w:ascii="Times New Roman" w:hAnsi="Times New Roman"/>
                <w:b w:val="0"/>
                <w:i w:val="0"/>
                <w:sz w:val="17"/>
              </w:rPr>
              <w:t>Dataset identity</w:t>
            </w:r>
          </w:p>
        </w:tc>
        <w:tc>
          <w:tcPr>
            <w:tcW w:type="dxa" w:w="6192"/>
          </w:tcPr>
          <w:p>
            <w:r/>
            <w:r>
              <w:rPr>
                <w:rFonts w:ascii="Times New Roman" w:hAnsi="Times New Roman"/>
                <w:b w:val="0"/>
                <w:i w:val="0"/>
                <w:sz w:val="17"/>
              </w:rPr>
              <w:t>Exact name and version of every dataset (e.g., Severson-MATR, NASA, CALCE); download source</w:t>
            </w:r>
          </w:p>
        </w:tc>
      </w:tr>
      <w:tr>
        <w:trPr>
          <w:cantSplit/>
        </w:trPr>
        <w:tc>
          <w:tcPr>
            <w:tcW w:type="dxa" w:w="504"/>
          </w:tcPr>
          <w:p>
            <w:pPr>
              <w:jc w:val="left"/>
            </w:pPr>
            <w:r/>
            <w:r>
              <w:rPr>
                <w:rFonts w:ascii="Times New Roman" w:hAnsi="Times New Roman"/>
                <w:b w:val="0"/>
                <w:i w:val="0"/>
                <w:sz w:val="17"/>
              </w:rPr>
              <w:t>2</w:t>
            </w:r>
          </w:p>
        </w:tc>
        <w:tc>
          <w:tcPr>
            <w:tcW w:type="dxa" w:w="2664"/>
          </w:tcPr>
          <w:p>
            <w:r/>
            <w:r>
              <w:rPr>
                <w:rFonts w:ascii="Times New Roman" w:hAnsi="Times New Roman"/>
                <w:b w:val="0"/>
                <w:i w:val="0"/>
                <w:sz w:val="17"/>
              </w:rPr>
              <w:t>Cell population</w:t>
            </w:r>
          </w:p>
        </w:tc>
        <w:tc>
          <w:tcPr>
            <w:tcW w:type="dxa" w:w="6192"/>
          </w:tcPr>
          <w:p>
            <w:r/>
            <w:r>
              <w:rPr>
                <w:rFonts w:ascii="Times New Roman" w:hAnsi="Times New Roman"/>
                <w:b w:val="0"/>
                <w:i w:val="0"/>
                <w:sz w:val="17"/>
              </w:rPr>
              <w:t>Number of cells, chemistry, manufacturer, format, and batch for every training and test set</w:t>
            </w:r>
          </w:p>
        </w:tc>
      </w:tr>
      <w:tr>
        <w:trPr>
          <w:cantSplit/>
        </w:trPr>
        <w:tc>
          <w:tcPr>
            <w:tcW w:type="dxa" w:w="504"/>
          </w:tcPr>
          <w:p>
            <w:pPr>
              <w:jc w:val="left"/>
            </w:pPr>
            <w:r/>
            <w:r>
              <w:rPr>
                <w:rFonts w:ascii="Times New Roman" w:hAnsi="Times New Roman"/>
                <w:b w:val="0"/>
                <w:i w:val="0"/>
                <w:sz w:val="17"/>
              </w:rPr>
              <w:t>3</w:t>
            </w:r>
          </w:p>
        </w:tc>
        <w:tc>
          <w:tcPr>
            <w:tcW w:type="dxa" w:w="2664"/>
          </w:tcPr>
          <w:p>
            <w:r/>
            <w:r>
              <w:rPr>
                <w:rFonts w:ascii="Times New Roman" w:hAnsi="Times New Roman"/>
                <w:b w:val="0"/>
                <w:i w:val="0"/>
                <w:sz w:val="17"/>
              </w:rPr>
              <w:t>Sensor and sampling context</w:t>
            </w:r>
          </w:p>
        </w:tc>
        <w:tc>
          <w:tcPr>
            <w:tcW w:type="dxa" w:w="6192"/>
          </w:tcPr>
          <w:p>
            <w:r/>
            <w:r>
              <w:rPr>
                <w:rFonts w:ascii="Times New Roman" w:hAnsi="Times New Roman"/>
                <w:b w:val="0"/>
                <w:i w:val="0"/>
                <w:sz w:val="17"/>
              </w:rPr>
              <w:t>Measured channels, sampling rate, sensor class, and temperature conditions</w:t>
            </w:r>
          </w:p>
        </w:tc>
      </w:tr>
      <w:tr>
        <w:trPr>
          <w:cantSplit/>
        </w:trPr>
        <w:tc>
          <w:tcPr>
            <w:tcW w:type="dxa" w:w="504"/>
          </w:tcPr>
          <w:p>
            <w:pPr>
              <w:jc w:val="left"/>
            </w:pPr>
            <w:r/>
            <w:r>
              <w:rPr>
                <w:rFonts w:ascii="Times New Roman" w:hAnsi="Times New Roman"/>
                <w:b w:val="0"/>
                <w:i w:val="0"/>
                <w:sz w:val="17"/>
              </w:rPr>
              <w:t>4</w:t>
            </w:r>
          </w:p>
        </w:tc>
        <w:tc>
          <w:tcPr>
            <w:tcW w:type="dxa" w:w="2664"/>
          </w:tcPr>
          <w:p>
            <w:r/>
            <w:r>
              <w:rPr>
                <w:rFonts w:ascii="Times New Roman" w:hAnsi="Times New Roman"/>
                <w:b w:val="0"/>
                <w:i w:val="0"/>
                <w:sz w:val="17"/>
              </w:rPr>
              <w:t>Split protocol</w:t>
            </w:r>
          </w:p>
        </w:tc>
        <w:tc>
          <w:tcPr>
            <w:tcW w:type="dxa" w:w="6192"/>
          </w:tcPr>
          <w:p>
            <w:r/>
            <w:r>
              <w:rPr>
                <w:rFonts w:ascii="Times New Roman" w:hAnsi="Times New Roman"/>
                <w:b w:val="0"/>
                <w:i w:val="0"/>
                <w:sz w:val="17"/>
              </w:rPr>
              <w:t>Split type (within-cell / cross-cell / cross-chemistry / cross-domain) and isolation argument; within-cell splits must be flagged as such</w:t>
            </w:r>
          </w:p>
        </w:tc>
      </w:tr>
      <w:tr>
        <w:trPr>
          <w:cantSplit/>
        </w:trPr>
        <w:tc>
          <w:tcPr>
            <w:tcW w:type="dxa" w:w="504"/>
          </w:tcPr>
          <w:p>
            <w:pPr>
              <w:jc w:val="left"/>
            </w:pPr>
            <w:r/>
            <w:r>
              <w:rPr>
                <w:rFonts w:ascii="Times New Roman" w:hAnsi="Times New Roman"/>
                <w:b w:val="0"/>
                <w:i w:val="0"/>
                <w:sz w:val="17"/>
              </w:rPr>
              <w:t>5</w:t>
            </w:r>
          </w:p>
        </w:tc>
        <w:tc>
          <w:tcPr>
            <w:tcW w:type="dxa" w:w="2664"/>
          </w:tcPr>
          <w:p>
            <w:r/>
            <w:r>
              <w:rPr>
                <w:rFonts w:ascii="Times New Roman" w:hAnsi="Times New Roman"/>
                <w:b w:val="0"/>
                <w:i w:val="0"/>
                <w:sz w:val="17"/>
              </w:rPr>
              <w:t>Out-of-distribution evaluation</w:t>
            </w:r>
          </w:p>
        </w:tc>
        <w:tc>
          <w:tcPr>
            <w:tcW w:type="dxa" w:w="6192"/>
          </w:tcPr>
          <w:p>
            <w:r/>
            <w:r>
              <w:rPr>
                <w:rFonts w:ascii="Times New Roman" w:hAnsi="Times New Roman"/>
                <w:b w:val="0"/>
                <w:i w:val="0"/>
                <w:sz w:val="17"/>
              </w:rPr>
              <w:t>At least one protocol under which test conditions differ from training (chemistry, temperature, protocol, or source)</w:t>
            </w:r>
          </w:p>
        </w:tc>
      </w:tr>
      <w:tr>
        <w:trPr>
          <w:cantSplit/>
        </w:trPr>
        <w:tc>
          <w:tcPr>
            <w:tcW w:type="dxa" w:w="504"/>
          </w:tcPr>
          <w:p>
            <w:pPr>
              <w:jc w:val="left"/>
            </w:pPr>
            <w:r/>
            <w:r>
              <w:rPr>
                <w:rFonts w:ascii="Times New Roman" w:hAnsi="Times New Roman"/>
                <w:b w:val="0"/>
                <w:i w:val="0"/>
                <w:sz w:val="17"/>
              </w:rPr>
              <w:t>6</w:t>
            </w:r>
          </w:p>
        </w:tc>
        <w:tc>
          <w:tcPr>
            <w:tcW w:type="dxa" w:w="2664"/>
          </w:tcPr>
          <w:p>
            <w:r/>
            <w:r>
              <w:rPr>
                <w:rFonts w:ascii="Times New Roman" w:hAnsi="Times New Roman"/>
                <w:b w:val="0"/>
                <w:i w:val="0"/>
                <w:sz w:val="17"/>
              </w:rPr>
              <w:t>Baselines</w:t>
            </w:r>
          </w:p>
        </w:tc>
        <w:tc>
          <w:tcPr>
            <w:tcW w:type="dxa" w:w="6192"/>
          </w:tcPr>
          <w:p>
            <w:r/>
            <w:r>
              <w:rPr>
                <w:rFonts w:ascii="Times New Roman" w:hAnsi="Times New Roman"/>
                <w:b w:val="0"/>
                <w:i w:val="0"/>
                <w:sz w:val="17"/>
              </w:rPr>
              <w:t>At least one classical baseline alongside the proposed architecture, with identical data</w:t>
            </w:r>
          </w:p>
        </w:tc>
      </w:tr>
      <w:tr>
        <w:trPr>
          <w:cantSplit/>
        </w:trPr>
        <w:tc>
          <w:tcPr>
            <w:tcW w:type="dxa" w:w="504"/>
          </w:tcPr>
          <w:p>
            <w:pPr>
              <w:jc w:val="left"/>
            </w:pPr>
            <w:r/>
            <w:r>
              <w:rPr>
                <w:rFonts w:ascii="Times New Roman" w:hAnsi="Times New Roman"/>
                <w:b w:val="0"/>
                <w:i w:val="0"/>
                <w:sz w:val="17"/>
              </w:rPr>
              <w:t>7</w:t>
            </w:r>
          </w:p>
        </w:tc>
        <w:tc>
          <w:tcPr>
            <w:tcW w:type="dxa" w:w="2664"/>
          </w:tcPr>
          <w:p>
            <w:r/>
            <w:r>
              <w:rPr>
                <w:rFonts w:ascii="Times New Roman" w:hAnsi="Times New Roman"/>
                <w:b w:val="0"/>
                <w:i w:val="0"/>
                <w:sz w:val="17"/>
              </w:rPr>
              <w:t>Randomness control</w:t>
            </w:r>
          </w:p>
        </w:tc>
        <w:tc>
          <w:tcPr>
            <w:tcW w:type="dxa" w:w="6192"/>
          </w:tcPr>
          <w:p>
            <w:r/>
            <w:r>
              <w:rPr>
                <w:rFonts w:ascii="Times New Roman" w:hAnsi="Times New Roman"/>
                <w:b w:val="0"/>
                <w:i w:val="0"/>
                <w:sz w:val="17"/>
              </w:rPr>
              <w:t>Seeds or repeated-run statistics for every stochastic training result</w:t>
            </w:r>
          </w:p>
        </w:tc>
      </w:tr>
      <w:tr>
        <w:trPr>
          <w:cantSplit/>
        </w:trPr>
        <w:tc>
          <w:tcPr>
            <w:tcW w:type="dxa" w:w="504"/>
          </w:tcPr>
          <w:p>
            <w:pPr>
              <w:jc w:val="left"/>
            </w:pPr>
            <w:r/>
            <w:r>
              <w:rPr>
                <w:rFonts w:ascii="Times New Roman" w:hAnsi="Times New Roman"/>
                <w:b w:val="0"/>
                <w:i w:val="0"/>
                <w:sz w:val="17"/>
              </w:rPr>
              <w:t>8</w:t>
            </w:r>
          </w:p>
        </w:tc>
        <w:tc>
          <w:tcPr>
            <w:tcW w:type="dxa" w:w="2664"/>
          </w:tcPr>
          <w:p>
            <w:r/>
            <w:r>
              <w:rPr>
                <w:rFonts w:ascii="Times New Roman" w:hAnsi="Times New Roman"/>
                <w:b w:val="0"/>
                <w:i w:val="0"/>
                <w:sz w:val="17"/>
              </w:rPr>
              <w:t>Uncertainty</w:t>
            </w:r>
          </w:p>
        </w:tc>
        <w:tc>
          <w:tcPr>
            <w:tcW w:type="dxa" w:w="6192"/>
          </w:tcPr>
          <w:p>
            <w:r/>
            <w:r>
              <w:rPr>
                <w:rFonts w:ascii="Times New Roman" w:hAnsi="Times New Roman"/>
                <w:b w:val="0"/>
                <w:i w:val="0"/>
                <w:sz w:val="17"/>
              </w:rPr>
              <w:t>Calibrated uncertainty or error bars for headline claims, not point estimates alone</w:t>
            </w:r>
          </w:p>
        </w:tc>
      </w:tr>
      <w:tr>
        <w:trPr>
          <w:cantSplit/>
        </w:trPr>
        <w:tc>
          <w:tcPr>
            <w:tcW w:type="dxa" w:w="504"/>
          </w:tcPr>
          <w:p>
            <w:pPr>
              <w:jc w:val="left"/>
            </w:pPr>
            <w:r/>
            <w:r>
              <w:rPr>
                <w:rFonts w:ascii="Times New Roman" w:hAnsi="Times New Roman"/>
                <w:b w:val="0"/>
                <w:i w:val="0"/>
                <w:sz w:val="17"/>
              </w:rPr>
              <w:t>9</w:t>
            </w:r>
          </w:p>
        </w:tc>
        <w:tc>
          <w:tcPr>
            <w:tcW w:type="dxa" w:w="2664"/>
          </w:tcPr>
          <w:p>
            <w:r/>
            <w:r>
              <w:rPr>
                <w:rFonts w:ascii="Times New Roman" w:hAnsi="Times New Roman"/>
                <w:b w:val="0"/>
                <w:i w:val="0"/>
                <w:sz w:val="17"/>
              </w:rPr>
              <w:t>Compute budget</w:t>
            </w:r>
          </w:p>
        </w:tc>
        <w:tc>
          <w:tcPr>
            <w:tcW w:type="dxa" w:w="6192"/>
          </w:tcPr>
          <w:p>
            <w:r/>
            <w:r>
              <w:rPr>
                <w:rFonts w:ascii="Times New Roman" w:hAnsi="Times New Roman"/>
                <w:b w:val="0"/>
                <w:i w:val="0"/>
                <w:sz w:val="17"/>
              </w:rPr>
              <w:t>Training compute and inference latency/memory on the target (or a stated reference) platform</w:t>
            </w:r>
          </w:p>
        </w:tc>
      </w:tr>
      <w:tr>
        <w:trPr>
          <w:cantSplit/>
        </w:trPr>
        <w:tc>
          <w:tcPr>
            <w:tcW w:type="dxa" w:w="504"/>
          </w:tcPr>
          <w:p>
            <w:pPr>
              <w:jc w:val="left"/>
            </w:pPr>
            <w:r/>
            <w:r>
              <w:rPr>
                <w:rFonts w:ascii="Times New Roman" w:hAnsi="Times New Roman"/>
                <w:b w:val="0"/>
                <w:i w:val="0"/>
                <w:sz w:val="17"/>
              </w:rPr>
              <w:t>10</w:t>
            </w:r>
          </w:p>
        </w:tc>
        <w:tc>
          <w:tcPr>
            <w:tcW w:type="dxa" w:w="2664"/>
          </w:tcPr>
          <w:p>
            <w:r/>
            <w:r>
              <w:rPr>
                <w:rFonts w:ascii="Times New Roman" w:hAnsi="Times New Roman"/>
                <w:b w:val="0"/>
                <w:i w:val="0"/>
                <w:sz w:val="17"/>
              </w:rPr>
              <w:t>Failure analysis</w:t>
            </w:r>
          </w:p>
        </w:tc>
        <w:tc>
          <w:tcPr>
            <w:tcW w:type="dxa" w:w="6192"/>
          </w:tcPr>
          <w:p>
            <w:r/>
            <w:r>
              <w:rPr>
                <w:rFonts w:ascii="Times New Roman" w:hAnsi="Times New Roman"/>
                <w:b w:val="0"/>
                <w:i w:val="0"/>
                <w:sz w:val="17"/>
              </w:rPr>
              <w:t>At least one documented failure mode and its distribution (where the model is worst)</w:t>
            </w:r>
          </w:p>
        </w:tc>
      </w:tr>
      <w:tr>
        <w:trPr>
          <w:cantSplit/>
        </w:trPr>
        <w:tc>
          <w:tcPr>
            <w:tcW w:type="dxa" w:w="504"/>
          </w:tcPr>
          <w:p>
            <w:pPr>
              <w:jc w:val="left"/>
            </w:pPr>
            <w:r/>
            <w:r>
              <w:rPr>
                <w:rFonts w:ascii="Times New Roman" w:hAnsi="Times New Roman"/>
                <w:b w:val="0"/>
                <w:i w:val="0"/>
                <w:sz w:val="17"/>
              </w:rPr>
              <w:t>11</w:t>
            </w:r>
          </w:p>
        </w:tc>
        <w:tc>
          <w:tcPr>
            <w:tcW w:type="dxa" w:w="2664"/>
          </w:tcPr>
          <w:p>
            <w:r/>
            <w:r>
              <w:rPr>
                <w:rFonts w:ascii="Times New Roman" w:hAnsi="Times New Roman"/>
                <w:b w:val="0"/>
                <w:i w:val="0"/>
                <w:sz w:val="17"/>
              </w:rPr>
              <w:t>Validation environment</w:t>
            </w:r>
          </w:p>
        </w:tc>
        <w:tc>
          <w:tcPr>
            <w:tcW w:type="dxa" w:w="6192"/>
          </w:tcPr>
          <w:p>
            <w:r/>
            <w:r>
              <w:rPr>
                <w:rFonts w:ascii="Times New Roman" w:hAnsi="Times New Roman"/>
                <w:b w:val="0"/>
                <w:i w:val="0"/>
                <w:sz w:val="17"/>
              </w:rPr>
              <w:t>Which of the following applies: simulation, laboratory cycling, hardware prototype, online/fleet</w:t>
            </w:r>
          </w:p>
        </w:tc>
      </w:tr>
      <w:tr>
        <w:trPr>
          <w:cantSplit/>
        </w:trPr>
        <w:tc>
          <w:tcPr>
            <w:tcW w:type="dxa" w:w="504"/>
          </w:tcPr>
          <w:p>
            <w:pPr>
              <w:jc w:val="left"/>
            </w:pPr>
            <w:r/>
            <w:r>
              <w:rPr>
                <w:rFonts w:ascii="Times New Roman" w:hAnsi="Times New Roman"/>
                <w:b w:val="0"/>
                <w:i w:val="0"/>
                <w:sz w:val="17"/>
              </w:rPr>
              <w:t>12</w:t>
            </w:r>
          </w:p>
        </w:tc>
        <w:tc>
          <w:tcPr>
            <w:tcW w:type="dxa" w:w="2664"/>
          </w:tcPr>
          <w:p>
            <w:r/>
            <w:r>
              <w:rPr>
                <w:rFonts w:ascii="Times New Roman" w:hAnsi="Times New Roman"/>
                <w:b w:val="0"/>
                <w:i w:val="0"/>
                <w:sz w:val="17"/>
              </w:rPr>
              <w:t>Artifact availability</w:t>
            </w:r>
          </w:p>
        </w:tc>
        <w:tc>
          <w:tcPr>
            <w:tcW w:type="dxa" w:w="6192"/>
          </w:tcPr>
          <w:p>
            <w:r/>
            <w:r>
              <w:rPr>
                <w:rFonts w:ascii="Times New Roman" w:hAnsi="Times New Roman"/>
                <w:b w:val="0"/>
                <w:i w:val="0"/>
                <w:sz w:val="17"/>
              </w:rPr>
              <w:t>Data and code deposit (DOI-backed) or an explicit stated exemption</w:t>
            </w:r>
          </w:p>
        </w:tc>
      </w:tr>
    </w:tbl>
    <w:p>
      <w:pPr>
        <w:spacing w:after="120"/>
        <w:jc w:val="both"/>
      </w:pPr>
    </w:p>
    <w:p>
      <w:pPr>
        <w:keepNext/>
        <w:spacing w:after="80"/>
        <w:jc w:val="center"/>
      </w:pPr>
      <w:r>
        <w:drawing>
          <wp:inline xmlns:a="http://schemas.openxmlformats.org/drawingml/2006/main" xmlns:pic="http://schemas.openxmlformats.org/drawingml/2006/picture">
            <wp:extent cx="5852160" cy="2610964"/>
            <wp:docPr id="8" name="Picture 8"/>
            <wp:cNvGraphicFramePr>
              <a:graphicFrameLocks noChangeAspect="1"/>
            </wp:cNvGraphicFramePr>
            <a:graphic>
              <a:graphicData uri="http://schemas.openxmlformats.org/drawingml/2006/picture">
                <pic:pic>
                  <pic:nvPicPr>
                    <pic:cNvPr id="0" name="fig6_timeline.png"/>
                    <pic:cNvPicPr/>
                  </pic:nvPicPr>
                  <pic:blipFill>
                    <a:blip r:embed="rId16"/>
                    <a:stretch>
                      <a:fillRect/>
                    </a:stretch>
                  </pic:blipFill>
                  <pic:spPr>
                    <a:xfrm>
                      <a:off x="0" y="0"/>
                      <a:ext cx="5852160" cy="2610964"/>
                    </a:xfrm>
                    <a:prstGeom prst="rect"/>
                  </pic:spPr>
                </pic:pic>
              </a:graphicData>
            </a:graphic>
          </wp:inline>
        </w:drawing>
      </w:r>
    </w:p>
    <w:p>
      <w:pPr>
        <w:keepLines/>
        <w:spacing w:after="200"/>
        <w:jc w:val="both"/>
      </w:pPr>
      <w:r>
        <w:rPr>
          <w:rFonts w:ascii="Times New Roman" w:hAnsi="Times New Roman"/>
          <w:b w:val="0"/>
          <w:i w:val="0"/>
          <w:sz w:val="18"/>
        </w:rPr>
        <w:t xml:space="preserve">Fig. 8 Milestones of machine learning in battery management, 2019–2026, drawn from the corpus; dating follows the cited studies’ publication years and is therefore citation- and retrieval-conditioned (Sections 2.2 and 3.1): early-life cycle prediction </w:t>
      </w:r>
      <w:r>
        <w:rPr>
          <w:rFonts w:ascii="Times New Roman" w:hAnsi="Times New Roman"/>
          <w:sz w:val="18"/>
        </w:rPr>
        <w:t>[3]</w:t>
      </w:r>
      <w:r>
        <w:rPr>
          <w:rFonts w:ascii="Times New Roman" w:hAnsi="Times New Roman"/>
          <w:b w:val="0"/>
          <w:i w:val="0"/>
          <w:sz w:val="18"/>
        </w:rPr>
        <w:t xml:space="preserve">, closed-loop Bayesian fast charging </w:t>
      </w:r>
      <w:r>
        <w:rPr>
          <w:rFonts w:ascii="Times New Roman" w:hAnsi="Times New Roman"/>
          <w:sz w:val="18"/>
        </w:rPr>
        <w:t>[4]</w:t>
      </w:r>
      <w:r>
        <w:rPr>
          <w:rFonts w:ascii="Times New Roman" w:hAnsi="Times New Roman"/>
          <w:b w:val="0"/>
          <w:i w:val="0"/>
          <w:sz w:val="18"/>
        </w:rPr>
        <w:t xml:space="preserve">, fleet-scale SOH pipelines </w:t>
      </w:r>
      <w:r>
        <w:rPr>
          <w:rFonts w:ascii="Times New Roman" w:hAnsi="Times New Roman"/>
          <w:sz w:val="18"/>
        </w:rPr>
        <w:t>[64]</w:t>
      </w:r>
      <w:r>
        <w:rPr>
          <w:rFonts w:ascii="Times New Roman" w:hAnsi="Times New Roman"/>
          <w:b w:val="0"/>
          <w:i w:val="0"/>
          <w:sz w:val="18"/>
        </w:rPr>
        <w:t xml:space="preserve">, the physics-informed wave </w:t>
      </w:r>
      <w:r>
        <w:rPr>
          <w:rFonts w:ascii="Times New Roman" w:hAnsi="Times New Roman"/>
          <w:sz w:val="18"/>
        </w:rPr>
        <w:t>[9]</w:t>
      </w:r>
      <w:r>
        <w:rPr>
          <w:rFonts w:ascii="Times New Roman" w:hAnsi="Times New Roman"/>
          <w:b w:val="0"/>
          <w:i w:val="0"/>
          <w:sz w:val="18"/>
        </w:rPr>
        <w:t xml:space="preserve">, cross-domain health estimation and cloud BMS </w:t>
      </w:r>
      <w:r>
        <w:rPr>
          <w:rFonts w:ascii="Times New Roman" w:hAnsi="Times New Roman"/>
          <w:sz w:val="18"/>
        </w:rPr>
        <w:t>[12, 116]</w:t>
      </w:r>
      <w:r>
        <w:rPr>
          <w:rFonts w:ascii="Times New Roman" w:hAnsi="Times New Roman"/>
          <w:b w:val="0"/>
          <w:i w:val="0"/>
          <w:sz w:val="18"/>
        </w:rPr>
        <w:t xml:space="preserve">, optimization-augmented and transfer learning </w:t>
      </w:r>
      <w:r>
        <w:rPr>
          <w:rFonts w:ascii="Times New Roman" w:hAnsi="Times New Roman"/>
          <w:sz w:val="18"/>
        </w:rPr>
        <w:t>[87, 97]</w:t>
      </w:r>
      <w:r>
        <w:rPr>
          <w:rFonts w:ascii="Times New Roman" w:hAnsi="Times New Roman"/>
          <w:b w:val="0"/>
          <w:i w:val="0"/>
          <w:sz w:val="18"/>
        </w:rPr>
        <w:t xml:space="preserve">, deep-RL prognostics </w:t>
      </w:r>
      <w:r>
        <w:rPr>
          <w:rFonts w:ascii="Times New Roman" w:hAnsi="Times New Roman"/>
          <w:sz w:val="18"/>
        </w:rPr>
        <w:t>[13]</w:t>
      </w:r>
      <w:r>
        <w:rPr>
          <w:rFonts w:ascii="Times New Roman" w:hAnsi="Times New Roman"/>
          <w:b w:val="0"/>
          <w:i w:val="0"/>
          <w:sz w:val="18"/>
        </w:rPr>
        <w:t xml:space="preserve">, and the first corpus foundation-model studies </w:t>
      </w:r>
      <w:r>
        <w:rPr>
          <w:rFonts w:ascii="Times New Roman" w:hAnsi="Times New Roman"/>
          <w:sz w:val="18"/>
        </w:rPr>
        <w:t>[15]</w:t>
      </w:r>
      <w:r>
        <w:rPr>
          <w:rFonts w:ascii="Times New Roman" w:hAnsi="Times New Roman"/>
          <w:b w:val="0"/>
          <w:i w:val="0"/>
          <w:sz w:val="18"/>
        </w:rPr>
        <w:t>.</w:t>
      </w:r>
    </w:p>
    <w:p>
      <w:pPr>
        <w:keepNext/>
        <w:spacing w:after="120"/>
        <w:jc w:val="left"/>
      </w:pPr>
      <w:r>
        <w:rPr>
          <w:rFonts w:ascii="Times New Roman" w:hAnsi="Times New Roman"/>
          <w:b/>
          <w:i w:val="0"/>
          <w:sz w:val="20"/>
        </w:rPr>
        <w:t>10. Conclusion</w:t>
      </w:r>
    </w:p>
    <w:p>
      <w:pPr>
        <w:spacing w:after="160"/>
        <w:jc w:val="both"/>
      </w:pPr>
      <w:r>
        <w:rPr>
          <w:rFonts w:ascii="Times New Roman" w:hAnsi="Times New Roman"/>
          <w:b w:val="0"/>
          <w:i w:val="0"/>
          <w:sz w:val="20"/>
        </w:rPr>
        <w:t>This review has examined machine learning in battery management on a two-tier evidence base: a rule-based eligible corpus of 799 journal articles from which field-level shares are measured within a documented capped retrieval, and an in-depth classified subset of 103 studies through which method, data, and validation practice are examined with a blind 30-paper reliability check and label-noise sensitivity ranges. Three conclusions stand out. First, and most critically, the subset’s published accuracy claims have outpaced the validation evidence behind them: online or fleet-level demonstration appears in fewer than one primary study in ten, 17 of 88 primary papers use isolation-weakened splits, benchmark concentration and private-data fragmentation distort the apparent state of the art, and the favored remedy — physics-informed architecture — shows no detectable substitution for validation rigor in these counts: physics-informed papers use strong protocols at rates statistically indistinguishable from data-driven peers (36% versus 52% under the protocol-only definition, p = 0.32; 59% versus 74% under the broader definition, p = 0.19), a contrast too underpowered to rule out meaningful differences in either direction (Section 3.4), and therefore retained as an open hypothesis rather than a settled result. Second, the center of gravity of application remains estimation (state, health, lifetime): measured as shares of the eligible corpus, the SOC–SOH–prognostics union tags 366 of 799 records (45.8% — about half), where learning systems report laboratory-regime success — on metrics that this review argues cannot be pooled across papers (Section 5.6) — while control functions (charging, thermal, balancing) remain demonstrably transformable but under-evidenced for deployment, and vehicle- and pack-level practice stays thin relative to the level at which UN GTR 20, GB 38031, and ISO 26262 pose their requirements (Section 9.4). Third, within the classified subset the method families stratify by period — classical feature-based learners gave way to deep sequence models, which are now themselves being displaced at the research frontier by physics-informed hybrids, optimization-augmented learning, transfer-learning regimes, and, at the very edge of the window, foundation-model components — a within-subset sequence that the eligible pool’s method-theme tags do not mirror, so no field-level family rise is measurable at either tier (Section 3.2).</w:t>
      </w:r>
    </w:p>
    <w:p>
      <w:pPr>
        <w:spacing w:after="160"/>
        <w:jc w:val="both"/>
      </w:pPr>
      <w:r>
        <w:rPr>
          <w:rFonts w:ascii="Times New Roman" w:hAnsi="Times New Roman"/>
          <w:b w:val="0"/>
          <w:i w:val="0"/>
          <w:sz w:val="20"/>
        </w:rPr>
        <w:t>The near-term agenda follows directly: standardized cross-domain validation protocols; diversified and shareable fleet data; edge-deployable architectures designed under onboard constraints; calibrated uncertainty and interpretability as certification prerequisites; and a principled division of labor between foundation models, calibrated estimators, and physics-based safety envelopes. If the last five years were about discovering what machine learning can estimate about a battery, the next five will be decided by what it can be trusted to do — onboard, at fleet scale, across chemistries, and over full cell lifetimes.</w:t>
      </w:r>
    </w:p>
    <w:p>
      <w:pPr>
        <w:spacing w:after="120"/>
        <w:jc w:val="left"/>
      </w:pPr>
      <w:r>
        <w:rPr>
          <w:rFonts w:ascii="Times New Roman" w:hAnsi="Times New Roman"/>
          <w:b/>
          <w:i w:val="0"/>
          <w:sz w:val="20"/>
        </w:rPr>
        <w:t>Declarations</w:t>
      </w:r>
    </w:p>
    <w:p>
      <w:pPr>
        <w:spacing w:after="80"/>
        <w:jc w:val="both"/>
      </w:pPr>
      <w:r>
        <w:rPr>
          <w:rFonts w:ascii="Times New Roman" w:hAnsi="Times New Roman"/>
          <w:b/>
          <w:sz w:val="20"/>
        </w:rPr>
        <w:t xml:space="preserve">Funding. </w:t>
      </w:r>
      <w:r>
        <w:rPr>
          <w:rFonts w:ascii="Times New Roman" w:hAnsi="Times New Roman"/>
          <w:sz w:val="20"/>
        </w:rPr>
        <w:t>The authors received no specific funding for this work.</w:t>
      </w:r>
    </w:p>
    <w:p>
      <w:pPr>
        <w:spacing w:after="80"/>
        <w:jc w:val="both"/>
      </w:pPr>
      <w:r>
        <w:rPr>
          <w:rFonts w:ascii="Times New Roman" w:hAnsi="Times New Roman"/>
          <w:b/>
          <w:sz w:val="20"/>
        </w:rPr>
        <w:t xml:space="preserve">Conflicts of interest. </w:t>
      </w:r>
      <w:r>
        <w:rPr>
          <w:rFonts w:ascii="Times New Roman" w:hAnsi="Times New Roman"/>
          <w:sz w:val="20"/>
        </w:rPr>
        <w:t>The authors declare no competing interests.</w:t>
      </w:r>
    </w:p>
    <w:p>
      <w:pPr>
        <w:spacing w:after="80"/>
        <w:jc w:val="both"/>
      </w:pPr>
      <w:r>
        <w:rPr>
          <w:rFonts w:ascii="Times New Roman" w:hAnsi="Times New Roman"/>
          <w:b/>
          <w:sz w:val="20"/>
        </w:rPr>
        <w:t xml:space="preserve">Author contributions. </w:t>
      </w:r>
      <w:r>
        <w:rPr>
          <w:rFonts w:ascii="Times New Roman" w:hAnsi="Times New Roman"/>
          <w:sz w:val="20"/>
        </w:rPr>
        <w:t>H.T.S. conceived the study, designed and executed the search, screening, and verification pipeline, performed the full-text classification and analysis, coded the released labels, and drafted the manuscript. S.S.I.A. and J.I.C. performed the blind 30-paper re-coding of the reliability study (coders B and C, Section 2.5) before any verification work, and contributed to corpus curation, verification of classifications and counts, and manuscript revision. All authors read and approved the final manuscript.</w:t>
      </w:r>
    </w:p>
    <w:p>
      <w:pPr>
        <w:spacing w:after="80"/>
        <w:jc w:val="both"/>
      </w:pPr>
      <w:r>
        <w:rPr>
          <w:rFonts w:ascii="Times New Roman" w:hAnsi="Times New Roman"/>
          <w:b/>
          <w:sz w:val="20"/>
        </w:rPr>
        <w:t xml:space="preserve">Data availability. </w:t>
      </w:r>
      <w:r>
        <w:rPr>
          <w:rFonts w:ascii="Times New Roman" w:hAnsi="Times New Roman"/>
          <w:sz w:val="20"/>
        </w:rPr>
        <w:t>The complete evidence base is deposited at Zenodo, DOI 10.5281/zenodo.23436202 (deposit of record; the GitHub repository of the same name is a development mirror). The deposit includes: the classified 103-study dataset (papers.csv, papers_final.json) with per-paper citation counts; the 799-record rule-based eligible pool (eligible_corpus.json, pool.csv) with per-record query-theme tags; the record-level screening log (screening_log.csv); the per-paper validation-protocol audit (protocol_audit.csv); the codebook and coding protocol (codebook.md, coding_protocol.md); the locked blind coder sheets, agreement report, itemized disagreements, and hash-tracked reliability log (corpus/reliability/); the conference sensitivity set with all 14 retrieved papers and the pre-stated inclusion rule (conference_sensitivity.csv); the withheld released labels for the reliability sample (gold_labels_30.csv); the label-noise sensitivity script and outputs (sensitivity_label_noise.py/.json); the Crossref verification audit trail (final_audit.json, external_verified.json, conference_verified.json); the seed-study register (seeds.json); the screening statistics (stats.json); the recall audit with its cached Crossref responses (recall_audit.py, recall_audit.json, raw_cache/); the minimum-detectable-effect analysis (power_analysis.py, power_analysis.json); and the abstract-level probes with their codes and rubric (abstract_probe.py, abstract_probe_raw.json, abstract_probe_codes.py, abstract_probe.json). One registry-metadata note: the Crossref record for one reference (DOI 10.1016/j.jechem.2023.03.026) deposits two author names with the given and family fields transposed and the surname ‘Store’ for ‘Stroe’; the reference list normalizes them to the published forms (Vilsen, S. B.; Stroe, D. I.), and all other bibliographic metadata is reproduced exactly as deposited.</w:t>
      </w:r>
    </w:p>
    <w:p>
      <w:pPr>
        <w:spacing w:after="80"/>
        <w:jc w:val="both"/>
      </w:pPr>
      <w:r>
        <w:rPr>
          <w:rFonts w:ascii="Times New Roman" w:hAnsi="Times New Roman"/>
          <w:b/>
          <w:sz w:val="20"/>
        </w:rPr>
        <w:t xml:space="preserve">Code availability. </w:t>
      </w:r>
      <w:r>
        <w:rPr>
          <w:rFonts w:ascii="Times New Roman" w:hAnsi="Times New Roman"/>
          <w:sz w:val="20"/>
        </w:rPr>
        <w:t>All search, screening, selection, verification, classification, reliability, sensitivity, statistics, figure-generation, and manuscript-build scripts are included in the same Zenodo deposit (DOI 10.5281/zenodo.23436202), so that every figure and every count in Sections 3 and 3.5 can be regenerated deterministically from the released data.</w:t>
      </w:r>
    </w:p>
    <w:p>
      <w:pPr>
        <w:spacing w:after="80"/>
        <w:jc w:val="both"/>
      </w:pPr>
      <w:r>
        <w:rPr>
          <w:rFonts w:ascii="Times New Roman" w:hAnsi="Times New Roman"/>
          <w:b/>
          <w:sz w:val="20"/>
        </w:rPr>
        <w:t xml:space="preserve">Ethics approval. </w:t>
      </w:r>
      <w:r>
        <w:rPr>
          <w:rFonts w:ascii="Times New Roman" w:hAnsi="Times New Roman"/>
          <w:sz w:val="20"/>
        </w:rPr>
        <w:t>Not applicable. This study did not involve human participants or animals.</w:t>
      </w:r>
    </w:p>
    <w:p>
      <w:pPr>
        <w:spacing w:after="80"/>
        <w:jc w:val="both"/>
      </w:pPr>
      <w:r>
        <w:rPr>
          <w:rFonts w:ascii="Times New Roman" w:hAnsi="Times New Roman"/>
          <w:b/>
          <w:sz w:val="20"/>
        </w:rPr>
        <w:t xml:space="preserve">Consent to participate / for publication. </w:t>
      </w:r>
      <w:r>
        <w:rPr>
          <w:rFonts w:ascii="Times New Roman" w:hAnsi="Times New Roman"/>
          <w:sz w:val="20"/>
        </w:rPr>
        <w:t>Not applicable.</w:t>
      </w:r>
    </w:p>
    <w:p>
      <w:pPr>
        <w:spacing w:after="80"/>
        <w:jc w:val="both"/>
      </w:pPr>
      <w:r>
        <w:rPr>
          <w:rFonts w:ascii="Times New Roman" w:hAnsi="Times New Roman"/>
          <w:b/>
          <w:sz w:val="20"/>
        </w:rPr>
        <w:t xml:space="preserve">Use of artificial intelligence. </w:t>
      </w:r>
      <w:r>
        <w:rPr>
          <w:rFonts w:ascii="Times New Roman" w:hAnsi="Times New Roman"/>
          <w:sz w:val="20"/>
        </w:rPr>
        <w:t>During the preparation of this manuscript the authors used the following tools, each for a stated purpose: an AI language model (GLM, Z.ai) assisted in drafting and adapting the literature-pooling, analysis, and figure-generation scripts; OpenAI ChatGPT, Grammarly, and QuillBot were used for language editing (grammar, readability, and sentence restructuring). No AI tool decided study inclusion, and no AI tool assigned or altered any classification label: all screening decisions and all released labels were made by the authors (Section 2.5 documents who coded what, and the reliability files release the coding evidence). All included references were verified against the Crossref registry by direct DOI resolution, all counts and figures were regenerated programmatically from the released dataset, and the authors reviewed and take full responsibility for the content of the published article.</w:t>
      </w:r>
    </w:p>
    <w:p>
      <w:pPr>
        <w:spacing w:after="120"/>
        <w:jc w:val="left"/>
      </w:pPr>
      <w:r>
        <w:rPr>
          <w:rFonts w:ascii="Times New Roman" w:hAnsi="Times New Roman"/>
          <w:b/>
          <w:i w:val="0"/>
          <w:sz w:val="20"/>
        </w:rPr>
        <w:t>References</w:t>
      </w:r>
    </w:p>
    <w:p>
      <w:pPr>
        <w:spacing w:after="60"/>
        <w:ind w:left="360" w:hanging="360"/>
        <w:jc w:val="both"/>
      </w:pPr>
      <w:r>
        <w:rPr>
          <w:rFonts w:ascii="Times New Roman" w:hAnsi="Times New Roman"/>
          <w:sz w:val="18"/>
        </w:rPr>
        <w:t xml:space="preserve">1. </w:t>
      </w:r>
      <w:r>
        <w:rPr>
          <w:rFonts w:ascii="Times New Roman" w:hAnsi="Times New Roman"/>
          <w:sz w:val="18"/>
        </w:rPr>
        <w:t>Yao, J., Kowal, J., “Towards a smarter battery management system: A critical review on deep learning-based state of charge estimation of lithium-ion batteries,” Energy and AI, vol. 21, 100585, 2025, doi: 10.1016/j.egyai.2025.100585.</w:t>
      </w:r>
    </w:p>
    <w:p>
      <w:pPr>
        <w:spacing w:after="60"/>
        <w:ind w:left="360" w:hanging="360"/>
        <w:jc w:val="both"/>
      </w:pPr>
      <w:r>
        <w:rPr>
          <w:rFonts w:ascii="Times New Roman" w:hAnsi="Times New Roman"/>
          <w:sz w:val="18"/>
        </w:rPr>
        <w:t xml:space="preserve">2. </w:t>
      </w:r>
      <w:r>
        <w:rPr>
          <w:rFonts w:ascii="Times New Roman" w:hAnsi="Times New Roman"/>
          <w:sz w:val="18"/>
        </w:rPr>
        <w:t>Hu, X., Xu, L., Lin, X., Pecht, M., “Battery Lifetime Prognostics,” Joule, vol. 4, 310-346, 2020, doi: 10.1016/j.joule.2019.11.018.</w:t>
      </w:r>
    </w:p>
    <w:p>
      <w:pPr>
        <w:spacing w:after="60"/>
        <w:ind w:left="360" w:hanging="360"/>
        <w:jc w:val="both"/>
      </w:pPr>
      <w:r>
        <w:rPr>
          <w:rFonts w:ascii="Times New Roman" w:hAnsi="Times New Roman"/>
          <w:sz w:val="18"/>
        </w:rPr>
        <w:t xml:space="preserve">3. </w:t>
      </w:r>
      <w:r>
        <w:rPr>
          <w:rFonts w:ascii="Times New Roman" w:hAnsi="Times New Roman"/>
          <w:sz w:val="18"/>
        </w:rPr>
        <w:t>Severson, K. A., Attia, P. M., Jin, N., Perkins, N., Jiang, B., Yang, Z., et al., “Data-driven prediction of battery cycle life before capacity degradation,” Nature Energy, vol. 4, 383-391, 2019, doi: 10.1038/s41560-019-0356-8.</w:t>
      </w:r>
    </w:p>
    <w:p>
      <w:pPr>
        <w:spacing w:after="60"/>
        <w:ind w:left="360" w:hanging="360"/>
        <w:jc w:val="both"/>
      </w:pPr>
      <w:r>
        <w:rPr>
          <w:rFonts w:ascii="Times New Roman" w:hAnsi="Times New Roman"/>
          <w:sz w:val="18"/>
        </w:rPr>
        <w:t xml:space="preserve">4. </w:t>
      </w:r>
      <w:r>
        <w:rPr>
          <w:rFonts w:ascii="Times New Roman" w:hAnsi="Times New Roman"/>
          <w:sz w:val="18"/>
        </w:rPr>
        <w:t>Attia, P. M., Grover, A., Jin, N., Severson, K. A., Markov, T. M., Liao, Y. H., et al., “Closed-loop optimization of fast-charging protocols for batteries with machine learning,” Nature, vol. 578, 397-402, 2020, doi: 10.1038/s41586-020-1994-5.</w:t>
      </w:r>
    </w:p>
    <w:p>
      <w:pPr>
        <w:spacing w:after="60"/>
        <w:ind w:left="360" w:hanging="360"/>
        <w:jc w:val="both"/>
      </w:pPr>
      <w:r>
        <w:rPr>
          <w:rFonts w:ascii="Times New Roman" w:hAnsi="Times New Roman"/>
          <w:sz w:val="18"/>
        </w:rPr>
        <w:t xml:space="preserve">5. </w:t>
      </w:r>
      <w:r>
        <w:rPr>
          <w:rFonts w:ascii="Times New Roman" w:hAnsi="Times New Roman"/>
          <w:sz w:val="18"/>
        </w:rPr>
        <w:t>Yang, F., Zhang, S., Li, W., Miao, Q., “State-of-charge estimation of lithium-ion batteries using LSTM and UKF,” Energy, vol. 201, 117664, 2020, doi: 10.1016/j.energy.2020.117664.</w:t>
      </w:r>
    </w:p>
    <w:p>
      <w:pPr>
        <w:spacing w:after="60"/>
        <w:ind w:left="360" w:hanging="360"/>
        <w:jc w:val="both"/>
      </w:pPr>
      <w:r>
        <w:rPr>
          <w:rFonts w:ascii="Times New Roman" w:hAnsi="Times New Roman"/>
          <w:sz w:val="18"/>
        </w:rPr>
        <w:t xml:space="preserve">6. </w:t>
      </w:r>
      <w:r>
        <w:rPr>
          <w:rFonts w:ascii="Times New Roman" w:hAnsi="Times New Roman"/>
          <w:sz w:val="18"/>
        </w:rPr>
        <w:t>Tian, J., Liu, X., Li, S., Wei, Z., Zhang, X., Xiao, G., et al., “Lithium-ion battery health estimation with real-world data for electric vehicles,” Energy, vol. 270, 126855, 2023, doi: 10.1016/j.energy.2023.126855.</w:t>
      </w:r>
    </w:p>
    <w:p>
      <w:pPr>
        <w:spacing w:after="60"/>
        <w:ind w:left="360" w:hanging="360"/>
        <w:jc w:val="both"/>
      </w:pPr>
      <w:r>
        <w:rPr>
          <w:rFonts w:ascii="Times New Roman" w:hAnsi="Times New Roman"/>
          <w:sz w:val="18"/>
        </w:rPr>
        <w:t xml:space="preserve">7. </w:t>
      </w:r>
      <w:r>
        <w:rPr>
          <w:rFonts w:ascii="Times New Roman" w:hAnsi="Times New Roman"/>
          <w:sz w:val="18"/>
        </w:rPr>
        <w:t>Wei, Y., Wu, D., “Prediction of state of health and remaining useful life of lithium-ion battery using graph convolutional network with dual attention mechanisms,” Reliability Engineering &amp; System Safety, vol. 230, 108947, 2023, doi: 10.1016/j.ress.2022.108947.</w:t>
      </w:r>
    </w:p>
    <w:p>
      <w:pPr>
        <w:spacing w:after="60"/>
        <w:ind w:left="360" w:hanging="360"/>
        <w:jc w:val="both"/>
      </w:pPr>
      <w:r>
        <w:rPr>
          <w:rFonts w:ascii="Times New Roman" w:hAnsi="Times New Roman"/>
          <w:sz w:val="18"/>
        </w:rPr>
        <w:t xml:space="preserve">8. </w:t>
      </w:r>
      <w:r>
        <w:rPr>
          <w:rFonts w:ascii="Times New Roman" w:hAnsi="Times New Roman"/>
          <w:sz w:val="18"/>
        </w:rPr>
        <w:t>Li, Z., Zhang, X., Gao, W., “State of health estimation of lithium-ion battery during fast charging process based on BiLSTM-Transformer,” Energy, vol. 311, 133418, 2024, doi: 10.1016/j.energy.2024.133418.</w:t>
      </w:r>
    </w:p>
    <w:p>
      <w:pPr>
        <w:spacing w:after="60"/>
        <w:ind w:left="360" w:hanging="360"/>
        <w:jc w:val="both"/>
      </w:pPr>
      <w:r>
        <w:rPr>
          <w:rFonts w:ascii="Times New Roman" w:hAnsi="Times New Roman"/>
          <w:sz w:val="18"/>
        </w:rPr>
        <w:t xml:space="preserve">9. </w:t>
      </w:r>
      <w:r>
        <w:rPr>
          <w:rFonts w:ascii="Times New Roman" w:hAnsi="Times New Roman"/>
          <w:sz w:val="18"/>
        </w:rPr>
        <w:t>Pang, H., Wu, L., Liu, J., Liu, X., Liu, K., “Physics-informed neural network approach for heat generation rate estimation of lithium-ion battery under various driving conditions,” Journal of Energy Chemistry, vol. 78, 1-12, 2023, doi: 10.1016/j.jechem.2022.11.036.</w:t>
      </w:r>
    </w:p>
    <w:p>
      <w:pPr>
        <w:spacing w:after="60"/>
        <w:ind w:left="360" w:hanging="360"/>
        <w:jc w:val="both"/>
      </w:pPr>
      <w:r>
        <w:rPr>
          <w:rFonts w:ascii="Times New Roman" w:hAnsi="Times New Roman"/>
          <w:sz w:val="18"/>
        </w:rPr>
        <w:t xml:space="preserve">10. </w:t>
      </w:r>
      <w:r>
        <w:rPr>
          <w:rFonts w:ascii="Times New Roman" w:hAnsi="Times New Roman"/>
          <w:sz w:val="18"/>
        </w:rPr>
        <w:t>Wang, Y., Han, X., Guo, D., Lu, L., Chen, Y., Ouyang, M., “Physics-Informed Recurrent Neural Network With Fractional-Order Gradients for State-of-Charge Estimation of Lithium-Ion Battery,” IEEE Journal of Radio Frequency Identification, vol. 6, 968-971, 2022, doi: 10.1109/jrfid.2022.3211841. Note: lithium-ion battery state-of-charge estimation study published in an identification-technology venue (IEEE Journal of Radio Frequency Identification); retained on DOI-verified method content, venue notwithstanding.</w:t>
      </w:r>
    </w:p>
    <w:p>
      <w:pPr>
        <w:spacing w:after="60"/>
        <w:ind w:left="360" w:hanging="360"/>
        <w:jc w:val="both"/>
      </w:pPr>
      <w:r>
        <w:rPr>
          <w:rFonts w:ascii="Times New Roman" w:hAnsi="Times New Roman"/>
          <w:sz w:val="18"/>
        </w:rPr>
        <w:t xml:space="preserve">11. </w:t>
      </w:r>
      <w:r>
        <w:rPr>
          <w:rFonts w:ascii="Times New Roman" w:hAnsi="Times New Roman"/>
          <w:sz w:val="18"/>
        </w:rPr>
        <w:t>Ye, Z., Yu, J., “State-of-Health Estimation for Lithium-Ion Batteries Using Domain Adversarial Transfer Learning,” IEEE Transactions on Power Electronics, vol. 37, 3528-3543, 2022, doi: 10.1109/tpel.2021.3117788.</w:t>
      </w:r>
    </w:p>
    <w:p>
      <w:pPr>
        <w:spacing w:after="60"/>
        <w:ind w:left="360" w:hanging="360"/>
        <w:jc w:val="both"/>
      </w:pPr>
      <w:r>
        <w:rPr>
          <w:rFonts w:ascii="Times New Roman" w:hAnsi="Times New Roman"/>
          <w:sz w:val="18"/>
        </w:rPr>
        <w:t xml:space="preserve">12. </w:t>
      </w:r>
      <w:r>
        <w:rPr>
          <w:rFonts w:ascii="Times New Roman" w:hAnsi="Times New Roman"/>
          <w:sz w:val="18"/>
        </w:rPr>
        <w:t>Yao, J., Han, T., “Data-driven lithium-ion batteries capacity estimation based on deep transfer learning using partial segment of charging/discharging data,” Energy, vol. 271, 127033, 2023, doi: 10.1016/j.energy.2023.127033.</w:t>
      </w:r>
    </w:p>
    <w:p>
      <w:pPr>
        <w:spacing w:after="60"/>
        <w:ind w:left="360" w:hanging="360"/>
        <w:jc w:val="both"/>
      </w:pPr>
      <w:r>
        <w:rPr>
          <w:rFonts w:ascii="Times New Roman" w:hAnsi="Times New Roman"/>
          <w:sz w:val="18"/>
        </w:rPr>
        <w:t xml:space="preserve">13. </w:t>
      </w:r>
      <w:r>
        <w:rPr>
          <w:rFonts w:ascii="Times New Roman" w:hAnsi="Times New Roman"/>
          <w:sz w:val="18"/>
        </w:rPr>
        <w:t>Du, M., Zhang, Y., Miao, Q., “Remaining useful life prediction of lithium battery based on deep reinforcement learning fusion network,” Reliability Engineering &amp; System Safety, vol. 264, 111392, 2025, doi: 10.1016/j.ress.2025.111392.</w:t>
      </w:r>
    </w:p>
    <w:p>
      <w:pPr>
        <w:spacing w:after="60"/>
        <w:ind w:left="360" w:hanging="360"/>
        <w:jc w:val="both"/>
      </w:pPr>
      <w:r>
        <w:rPr>
          <w:rFonts w:ascii="Times New Roman" w:hAnsi="Times New Roman"/>
          <w:sz w:val="18"/>
        </w:rPr>
        <w:t xml:space="preserve">14. </w:t>
      </w:r>
      <w:r>
        <w:rPr>
          <w:rFonts w:ascii="Times New Roman" w:hAnsi="Times New Roman"/>
          <w:sz w:val="18"/>
        </w:rPr>
        <w:t>Liang, J., Meng, H., Mu, Y., “Domain-specific large language model-driven risk analysis of battery energy storage systems,” Reliability Engineering &amp; System Safety, vol. 274, 112416, 2026, doi: 10.1016/j.ress.2026.112416.</w:t>
      </w:r>
    </w:p>
    <w:p>
      <w:pPr>
        <w:spacing w:after="60"/>
        <w:ind w:left="360" w:hanging="360"/>
        <w:jc w:val="both"/>
      </w:pPr>
      <w:r>
        <w:rPr>
          <w:rFonts w:ascii="Times New Roman" w:hAnsi="Times New Roman"/>
          <w:sz w:val="18"/>
        </w:rPr>
        <w:t xml:space="preserve">15. </w:t>
      </w:r>
      <w:r>
        <w:rPr>
          <w:rFonts w:ascii="Times New Roman" w:hAnsi="Times New Roman"/>
          <w:sz w:val="18"/>
        </w:rPr>
        <w:t>Cai, S., Chen, J., Hu, J., Huang, R., Liao, J., Wei, M., et al., “HA-LLM: A domain knowledge-enhanced large language model for vehicle-cloud collaborative battery health awareness,” Energy Storage Materials, vol. 86, 104983, 2026, doi: 10.1016/j.ensm.2026.104983.</w:t>
      </w:r>
    </w:p>
    <w:p>
      <w:pPr>
        <w:spacing w:after="60"/>
        <w:ind w:left="360" w:hanging="360"/>
        <w:jc w:val="both"/>
      </w:pPr>
      <w:r>
        <w:rPr>
          <w:rFonts w:ascii="Times New Roman" w:hAnsi="Times New Roman"/>
          <w:sz w:val="18"/>
        </w:rPr>
        <w:t xml:space="preserve">16. </w:t>
      </w:r>
      <w:r>
        <w:rPr>
          <w:rFonts w:ascii="Times New Roman" w:hAnsi="Times New Roman"/>
          <w:sz w:val="18"/>
        </w:rPr>
        <w:t>Ng, M. F., Zhao, J., Yan, Q., Conduit, G. J., Seh, Z. W., “Predicting the state of charge and health of batteries using data-driven machine learning,” Nature Machine Intelligence, vol. 2, 161-170, 2020, doi: 10.1038/s42256-020-0156-7.</w:t>
      </w:r>
    </w:p>
    <w:p>
      <w:pPr>
        <w:spacing w:after="60"/>
        <w:ind w:left="360" w:hanging="360"/>
        <w:jc w:val="both"/>
      </w:pPr>
      <w:r>
        <w:rPr>
          <w:rFonts w:ascii="Times New Roman" w:hAnsi="Times New Roman"/>
          <w:sz w:val="18"/>
        </w:rPr>
        <w:t xml:space="preserve">17. </w:t>
      </w:r>
      <w:r>
        <w:rPr>
          <w:rFonts w:ascii="Times New Roman" w:hAnsi="Times New Roman"/>
          <w:sz w:val="18"/>
        </w:rPr>
        <w:t>Liu, Y., He, Y., Bian, H., Guo, W., Zhang, X., “A review of lithium-ion battery state of charge estimation based on deep learning: Directions for improvement and future trends,” Journal of Energy Storage, vol. 52, 104664, 2022, doi: 10.1016/j.est.2022.104664.</w:t>
      </w:r>
    </w:p>
    <w:p>
      <w:pPr>
        <w:spacing w:after="60"/>
        <w:ind w:left="360" w:hanging="360"/>
        <w:jc w:val="both"/>
      </w:pPr>
      <w:r>
        <w:rPr>
          <w:rFonts w:ascii="Times New Roman" w:hAnsi="Times New Roman"/>
          <w:sz w:val="18"/>
        </w:rPr>
        <w:t xml:space="preserve">18. </w:t>
      </w:r>
      <w:r>
        <w:rPr>
          <w:rFonts w:ascii="Times New Roman" w:hAnsi="Times New Roman"/>
          <w:sz w:val="18"/>
        </w:rPr>
        <w:t>Wu, Y., Bai, D., Zhang, K., Li, Y., Yang, F., “Advancements in the estimation of the state of charge of lithium-ion battery: a comprehensive review of traditional and deep learning approaches,” Journal of Materials Informatics, vol. 5, 2025, doi: 10.20517/jmi.2024.84.</w:t>
      </w:r>
    </w:p>
    <w:p>
      <w:pPr>
        <w:spacing w:after="60"/>
        <w:ind w:left="360" w:hanging="360"/>
        <w:jc w:val="both"/>
      </w:pPr>
      <w:r>
        <w:rPr>
          <w:rFonts w:ascii="Times New Roman" w:hAnsi="Times New Roman"/>
          <w:sz w:val="18"/>
        </w:rPr>
        <w:t xml:space="preserve">19. </w:t>
      </w:r>
      <w:r>
        <w:rPr>
          <w:rFonts w:ascii="Times New Roman" w:hAnsi="Times New Roman"/>
          <w:sz w:val="18"/>
        </w:rPr>
        <w:t>Sui, X., He, S., Vilsen, S. B., Meng, J., Teodorescu, R., Stroe, D. I., “A review of non-probabilistic machine learning-based state of health estimation techniques for Lithium-ion battery,” Applied Energy, vol. 300, 117346, 2021, doi: 10.1016/j.apenergy.2021.117346.</w:t>
      </w:r>
    </w:p>
    <w:p>
      <w:pPr>
        <w:spacing w:after="60"/>
        <w:ind w:left="360" w:hanging="360"/>
        <w:jc w:val="both"/>
      </w:pPr>
      <w:r>
        <w:rPr>
          <w:rFonts w:ascii="Times New Roman" w:hAnsi="Times New Roman"/>
          <w:sz w:val="18"/>
        </w:rPr>
        <w:t xml:space="preserve">20. </w:t>
      </w:r>
      <w:r>
        <w:rPr>
          <w:rFonts w:ascii="Times New Roman" w:hAnsi="Times New Roman"/>
          <w:sz w:val="18"/>
        </w:rPr>
        <w:t>Li, X., Yu, D., Vilsen, S. B., Stroe, D. I., “The development of machine learning-based remaining useful life prediction for lithium-ion batteries,” Journal of Energy Chemistry, vol. 82, 103-121, 2023, doi: 10.1016/j.jechem.2023.03.026.</w:t>
      </w:r>
    </w:p>
    <w:p>
      <w:pPr>
        <w:spacing w:after="60"/>
        <w:ind w:left="360" w:hanging="360"/>
        <w:jc w:val="both"/>
      </w:pPr>
      <w:r>
        <w:rPr>
          <w:rFonts w:ascii="Times New Roman" w:hAnsi="Times New Roman"/>
          <w:sz w:val="18"/>
        </w:rPr>
        <w:t xml:space="preserve">21. </w:t>
      </w:r>
      <w:r>
        <w:rPr>
          <w:rFonts w:ascii="Times New Roman" w:hAnsi="Times New Roman"/>
          <w:sz w:val="18"/>
        </w:rPr>
        <w:t>Lin, Y. H., Ruan, S. J., Chen, Y. X., Li, Y. F., “Physics-informed deep learning for lithium-ion battery diagnostics using electrochemical impedance spectroscopy,” Renewable and Sustainable Energy Reviews, vol. 188, 113807, 2023, doi: 10.1016/j.rser.2023.113807.</w:t>
      </w:r>
    </w:p>
    <w:p>
      <w:pPr>
        <w:spacing w:after="60"/>
        <w:ind w:left="360" w:hanging="360"/>
        <w:jc w:val="both"/>
      </w:pPr>
      <w:r>
        <w:rPr>
          <w:rFonts w:ascii="Times New Roman" w:hAnsi="Times New Roman"/>
          <w:sz w:val="18"/>
        </w:rPr>
        <w:t xml:space="preserve">22. </w:t>
      </w:r>
      <w:r>
        <w:rPr>
          <w:rFonts w:ascii="Times New Roman" w:hAnsi="Times New Roman"/>
          <w:sz w:val="18"/>
        </w:rPr>
        <w:t>Wang, T., Liu, K., Peng, H., Liu, X., “Interpretable Machine Learning for Battery Prognosis: Retrospect and Prospect,” Advanced Energy Materials, vol. 15, Art. no. e03067, 2025, doi: 10.1002/aenm.202503067.</w:t>
      </w:r>
    </w:p>
    <w:p>
      <w:pPr>
        <w:spacing w:after="60"/>
        <w:ind w:left="360" w:hanging="360"/>
        <w:jc w:val="both"/>
      </w:pPr>
      <w:r>
        <w:rPr>
          <w:rFonts w:ascii="Times New Roman" w:hAnsi="Times New Roman"/>
          <w:sz w:val="18"/>
        </w:rPr>
        <w:t xml:space="preserve">23. </w:t>
      </w:r>
      <w:r>
        <w:rPr>
          <w:rFonts w:ascii="Times New Roman" w:hAnsi="Times New Roman"/>
          <w:sz w:val="18"/>
        </w:rPr>
        <w:t>Samanta, A., Chowdhuri, S., Williamson, S. S., “Machine Learning-Based Data-Driven Fault Detection/Diagnosis of Lithium-Ion Battery: A Critical Review,” Electronics, vol. 10, 1309, 2021, doi: 10.3390/electronics10111309.</w:t>
      </w:r>
    </w:p>
    <w:p>
      <w:pPr>
        <w:spacing w:after="60"/>
        <w:ind w:left="360" w:hanging="360"/>
        <w:jc w:val="both"/>
      </w:pPr>
      <w:r>
        <w:rPr>
          <w:rFonts w:ascii="Times New Roman" w:hAnsi="Times New Roman"/>
          <w:sz w:val="18"/>
        </w:rPr>
        <w:t xml:space="preserve">24. </w:t>
      </w:r>
      <w:r>
        <w:rPr>
          <w:rFonts w:ascii="Times New Roman" w:hAnsi="Times New Roman"/>
          <w:sz w:val="18"/>
        </w:rPr>
        <w:t>Yu, Q., Wang, C., Li, J., Xiong, R., Pecht, M., “Challenges and outlook for lithium-ion battery fault diagnosis methods from the laboratory to real world applications,” eTransportation, vol. 17, 100254, 2023, doi: 10.1016/j.etran.2023.100254.</w:t>
      </w:r>
    </w:p>
    <w:p>
      <w:pPr>
        <w:spacing w:after="60"/>
        <w:ind w:left="360" w:hanging="360"/>
        <w:jc w:val="both"/>
      </w:pPr>
      <w:r>
        <w:rPr>
          <w:rFonts w:ascii="Times New Roman" w:hAnsi="Times New Roman"/>
          <w:sz w:val="18"/>
        </w:rPr>
        <w:t xml:space="preserve">25. </w:t>
      </w:r>
      <w:r>
        <w:rPr>
          <w:rFonts w:ascii="Times New Roman" w:hAnsi="Times New Roman"/>
          <w:sz w:val="18"/>
        </w:rPr>
        <w:t>Li, A., Weng, J., Yuen, A. C. Y., Wang, W., Liu, H., Lee, E. W. M., et al., “Machine learning assisted advanced battery thermal management system: A state-of-the-art review,” Journal of Energy Storage, vol. 60, 106688, 2023, doi: 10.1016/j.est.2023.106688.</w:t>
      </w:r>
    </w:p>
    <w:p>
      <w:pPr>
        <w:spacing w:after="60"/>
        <w:ind w:left="360" w:hanging="360"/>
        <w:jc w:val="both"/>
      </w:pPr>
      <w:r>
        <w:rPr>
          <w:rFonts w:ascii="Times New Roman" w:hAnsi="Times New Roman"/>
          <w:sz w:val="18"/>
        </w:rPr>
        <w:t xml:space="preserve">26. </w:t>
      </w:r>
      <w:r>
        <w:rPr>
          <w:rFonts w:ascii="Times New Roman" w:hAnsi="Times New Roman"/>
          <w:sz w:val="18"/>
        </w:rPr>
        <w:t>Rahman, T., Alharbi, T., “Exploring Lithium-Ion Battery Degradation: A Concise Review of Critical Factors, Impacts, Data-Driven Degradation Estimation Techniques, and Sustainable Directions for Energy Storage Systems,” Batteries, vol. 10, 220, 2024, doi: 10.3390/batteries10070220.</w:t>
      </w:r>
    </w:p>
    <w:p>
      <w:pPr>
        <w:spacing w:after="60"/>
        <w:ind w:left="360" w:hanging="360"/>
        <w:jc w:val="both"/>
      </w:pPr>
      <w:r>
        <w:rPr>
          <w:rFonts w:ascii="Times New Roman" w:hAnsi="Times New Roman"/>
          <w:sz w:val="18"/>
        </w:rPr>
        <w:t xml:space="preserve">27. </w:t>
      </w:r>
      <w:r>
        <w:rPr>
          <w:rFonts w:ascii="Times New Roman" w:hAnsi="Times New Roman"/>
          <w:sz w:val="18"/>
        </w:rPr>
        <w:t>Prasanna, R., Kumar, R. S., Bhuvaneswari, N. S., Karthik, C., “Performance centric review of machine learning techniques for electric vehicle powertrain with battery management and charging systems,” Discover Artificial Intelligence, vol. 6, Art. no. 141, 2026, doi: 10.1007/s44163-025-00721-y.</w:t>
      </w:r>
    </w:p>
    <w:p>
      <w:pPr>
        <w:spacing w:after="60"/>
        <w:ind w:left="360" w:hanging="360"/>
        <w:jc w:val="both"/>
      </w:pPr>
      <w:r>
        <w:rPr>
          <w:rFonts w:ascii="Times New Roman" w:hAnsi="Times New Roman"/>
          <w:sz w:val="18"/>
        </w:rPr>
        <w:t xml:space="preserve">28. </w:t>
      </w:r>
      <w:r>
        <w:rPr>
          <w:rFonts w:ascii="Times New Roman" w:hAnsi="Times New Roman"/>
          <w:sz w:val="18"/>
        </w:rPr>
        <w:t>United Nations Economic Commission for Europe, “Global technical regulation No. 20: Electric vehicle safety (EVS),” UN Global Registry, ECE/TRANS/180/Add.20, 2018. Established in the Global Registry on 13 June 2018. [Online]. Available: https://unece.org/transport/standards/transport/vehicle-regulations-wp29/global-technical-regulations-gtrs</w:t>
      </w:r>
    </w:p>
    <w:p>
      <w:pPr>
        <w:spacing w:after="60"/>
        <w:ind w:left="360" w:hanging="360"/>
        <w:jc w:val="both"/>
      </w:pPr>
      <w:r>
        <w:rPr>
          <w:rFonts w:ascii="Times New Roman" w:hAnsi="Times New Roman"/>
          <w:sz w:val="18"/>
        </w:rPr>
        <w:t xml:space="preserve">29. </w:t>
      </w:r>
      <w:r>
        <w:rPr>
          <w:rFonts w:ascii="Times New Roman" w:hAnsi="Times New Roman"/>
          <w:sz w:val="18"/>
        </w:rPr>
        <w:t>State Administration for Market Regulation, Standardization Administration of China, “Safety requirements for power batteries for electric vehicles,” GB 38031-2025, 2025. Published 28 March 2025; effective 1 July 2026 for new type approvals and 1 July 2027 for existing models; supersedes GB 38031-2020.</w:t>
      </w:r>
    </w:p>
    <w:p>
      <w:pPr>
        <w:spacing w:after="60"/>
        <w:ind w:left="360" w:hanging="360"/>
        <w:jc w:val="both"/>
      </w:pPr>
      <w:r>
        <w:rPr>
          <w:rFonts w:ascii="Times New Roman" w:hAnsi="Times New Roman"/>
          <w:sz w:val="18"/>
        </w:rPr>
        <w:t xml:space="preserve">30. </w:t>
      </w:r>
      <w:r>
        <w:rPr>
          <w:rFonts w:ascii="Times New Roman" w:hAnsi="Times New Roman"/>
          <w:sz w:val="18"/>
        </w:rPr>
        <w:t>International Organization for Standardization, “Road vehicles — Functional safety,” ISO 26262:2018, 2018.</w:t>
      </w:r>
    </w:p>
    <w:p>
      <w:pPr>
        <w:spacing w:after="60"/>
        <w:ind w:left="360" w:hanging="360"/>
        <w:jc w:val="both"/>
      </w:pPr>
      <w:r>
        <w:rPr>
          <w:rFonts w:ascii="Times New Roman" w:hAnsi="Times New Roman"/>
          <w:sz w:val="18"/>
        </w:rPr>
        <w:t xml:space="preserve">31. </w:t>
      </w:r>
      <w:r>
        <w:rPr>
          <w:rFonts w:ascii="Times New Roman" w:hAnsi="Times New Roman"/>
          <w:sz w:val="18"/>
        </w:rPr>
        <w:t>Hardy, J., Steggall, J., Hardy, P., “Rethinking lithium-ion battery management: Eliminating routine cell balancing enhances hazardous fault detection,” Journal of Energy Storage, vol. 63, 106931, 2023, doi: 10.1016/j.est.2023.106931.</w:t>
      </w:r>
    </w:p>
    <w:p>
      <w:pPr>
        <w:spacing w:after="60"/>
        <w:ind w:left="360" w:hanging="360"/>
        <w:jc w:val="both"/>
      </w:pPr>
      <w:r>
        <w:rPr>
          <w:rFonts w:ascii="Times New Roman" w:hAnsi="Times New Roman"/>
          <w:sz w:val="18"/>
        </w:rPr>
        <w:t xml:space="preserve">32. </w:t>
      </w:r>
      <w:r>
        <w:rPr>
          <w:rFonts w:ascii="Times New Roman" w:hAnsi="Times New Roman"/>
          <w:sz w:val="18"/>
        </w:rPr>
        <w:t>Vidal, C., Kollmeyer, P., Chemali, E., Emadi, A., “Li-ion Battery State of Charge Estimation Using Long Short-Term Memory Recurrent Neural Network with Transfer Learning,” 2019 IEEE Transportation Electrification Conference and Expo (ITEC), 1-6, 2019, doi: 10.1109/itec.2019.8790543.</w:t>
      </w:r>
    </w:p>
    <w:p>
      <w:pPr>
        <w:spacing w:after="60"/>
        <w:ind w:left="360" w:hanging="360"/>
        <w:jc w:val="both"/>
      </w:pPr>
      <w:r>
        <w:rPr>
          <w:rFonts w:ascii="Times New Roman" w:hAnsi="Times New Roman"/>
          <w:sz w:val="18"/>
        </w:rPr>
        <w:t xml:space="preserve">33. </w:t>
      </w:r>
      <w:r>
        <w:rPr>
          <w:rFonts w:ascii="Times New Roman" w:hAnsi="Times New Roman"/>
          <w:sz w:val="18"/>
        </w:rPr>
        <w:t>Gruosso, G., Gajani, G. S., Valladolid, J. D., Patino, D., Ruiz, F., “State of Charge Estimation of LiFePO4 Battery Used in Electric Vehicles Using Support Vector Regression, PCA and DP Battery Model,” 2019 IEEE Vehicle Power and Propulsion Conference (VPPC), 1-5, 2019, doi: 10.1109/vppc46532.2019.8952458.</w:t>
      </w:r>
    </w:p>
    <w:p>
      <w:pPr>
        <w:spacing w:after="60"/>
        <w:ind w:left="360" w:hanging="360"/>
        <w:jc w:val="both"/>
      </w:pPr>
      <w:r>
        <w:rPr>
          <w:rFonts w:ascii="Times New Roman" w:hAnsi="Times New Roman"/>
          <w:sz w:val="18"/>
        </w:rPr>
        <w:t xml:space="preserve">34. </w:t>
      </w:r>
      <w:r>
        <w:rPr>
          <w:rFonts w:ascii="Times New Roman" w:hAnsi="Times New Roman"/>
          <w:sz w:val="18"/>
        </w:rPr>
        <w:t>Fan, C., Higgins, M. D., Widanage, W. D., “Real-Time State of Charge Estimation of Electrochemical Model for Lithium-Ion Battery,” 2019 IEEE Vehicle Power and Propulsion Conference (VPPC), 1-6, 2019, doi: 10.1109/vppc46532.2019.8952284.</w:t>
      </w:r>
    </w:p>
    <w:p>
      <w:pPr>
        <w:spacing w:after="60"/>
        <w:ind w:left="360" w:hanging="360"/>
        <w:jc w:val="both"/>
      </w:pPr>
      <w:r>
        <w:rPr>
          <w:rFonts w:ascii="Times New Roman" w:hAnsi="Times New Roman"/>
          <w:sz w:val="18"/>
        </w:rPr>
        <w:t xml:space="preserve">35. </w:t>
      </w:r>
      <w:r>
        <w:rPr>
          <w:rFonts w:ascii="Times New Roman" w:hAnsi="Times New Roman"/>
          <w:sz w:val="18"/>
        </w:rPr>
        <w:t>Su, J., Schneider, S., Yaz, E., Josse, F., “Online State of Charge Estimation of Lithium-ion Battery Cells: A Multiple Model Adaptive Estimation Approach,” 2021 American Control Conference (ACC), 4447-4452, 2021, doi: 10.23919/acc50511.2021.9482734.</w:t>
      </w:r>
    </w:p>
    <w:p>
      <w:pPr>
        <w:spacing w:after="60"/>
        <w:ind w:left="360" w:hanging="360"/>
        <w:jc w:val="both"/>
      </w:pPr>
      <w:r>
        <w:rPr>
          <w:rFonts w:ascii="Times New Roman" w:hAnsi="Times New Roman"/>
          <w:sz w:val="18"/>
        </w:rPr>
        <w:t xml:space="preserve">36. </w:t>
      </w:r>
      <w:r>
        <w:rPr>
          <w:rFonts w:ascii="Times New Roman" w:hAnsi="Times New Roman"/>
          <w:sz w:val="18"/>
        </w:rPr>
        <w:t>Monteiro, P., Araujo, R. E., Pinto, C., Matz, S., “Li-ion battery State-of-Charge estimation using computationally efficient neural network models,” 2021 IEEE Vehicle Power and Propulsion Conference (VPPC), 1-6, 2021, doi: 10.1109/vppc53923.2021.9699201.</w:t>
      </w:r>
    </w:p>
    <w:p>
      <w:pPr>
        <w:spacing w:after="60"/>
        <w:ind w:left="360" w:hanging="360"/>
        <w:jc w:val="both"/>
      </w:pPr>
      <w:r>
        <w:rPr>
          <w:rFonts w:ascii="Times New Roman" w:hAnsi="Times New Roman"/>
          <w:sz w:val="18"/>
        </w:rPr>
        <w:t xml:space="preserve">37. </w:t>
      </w:r>
      <w:r>
        <w:rPr>
          <w:rFonts w:ascii="Times New Roman" w:hAnsi="Times New Roman"/>
          <w:sz w:val="18"/>
        </w:rPr>
        <w:t>Bandara, T. T. A., Anton, J. A., Gonzalez, M., Anseana, D., Viera, J., “State of Health Estimation using Machine Learning for Li-ion battery on Electric Vehicles,” 2021 IEEE Vehicle Power and Propulsion Conference (VPPC), 1-4, 2021, doi: 10.1109/vppc53923.2021.9699273.</w:t>
      </w:r>
    </w:p>
    <w:p>
      <w:pPr>
        <w:spacing w:after="60"/>
        <w:ind w:left="360" w:hanging="360"/>
        <w:jc w:val="both"/>
      </w:pPr>
      <w:r>
        <w:rPr>
          <w:rFonts w:ascii="Times New Roman" w:hAnsi="Times New Roman"/>
          <w:sz w:val="18"/>
        </w:rPr>
        <w:t xml:space="preserve">38. </w:t>
      </w:r>
      <w:r>
        <w:rPr>
          <w:rFonts w:ascii="Times New Roman" w:hAnsi="Times New Roman"/>
          <w:sz w:val="18"/>
        </w:rPr>
        <w:t>Natella, D., Vasca, F., “Battery State of Health Estimation via Reinforcement Learning,” 2021 European Control Conference (ECC), 1657-1662, 2021, doi: 10.23919/ecc54610.2021.9655199.</w:t>
      </w:r>
    </w:p>
    <w:p>
      <w:pPr>
        <w:spacing w:after="60"/>
        <w:ind w:left="360" w:hanging="360"/>
        <w:jc w:val="both"/>
      </w:pPr>
      <w:r>
        <w:rPr>
          <w:rFonts w:ascii="Times New Roman" w:hAnsi="Times New Roman"/>
          <w:sz w:val="18"/>
        </w:rPr>
        <w:t xml:space="preserve">39. </w:t>
      </w:r>
      <w:r>
        <w:rPr>
          <w:rFonts w:ascii="Times New Roman" w:hAnsi="Times New Roman"/>
          <w:sz w:val="18"/>
        </w:rPr>
        <w:t>Li, P., Cheng, Y., Shan, K., Fang, Y., “State-of-health estimation of lithium-ion battery based on feature transfer learning,” 2022 34th Chinese Control and Decision Conference (CCDC), 889-894, 2022, doi: 10.1109/ccdc55256.2022.10033695.</w:t>
      </w:r>
    </w:p>
    <w:p>
      <w:pPr>
        <w:spacing w:after="60"/>
        <w:ind w:left="360" w:hanging="360"/>
        <w:jc w:val="both"/>
      </w:pPr>
      <w:r>
        <w:rPr>
          <w:rFonts w:ascii="Times New Roman" w:hAnsi="Times New Roman"/>
          <w:sz w:val="18"/>
        </w:rPr>
        <w:t xml:space="preserve">40. </w:t>
      </w:r>
      <w:r>
        <w:rPr>
          <w:rFonts w:ascii="Times New Roman" w:hAnsi="Times New Roman"/>
          <w:sz w:val="18"/>
        </w:rPr>
        <w:t>Benlamine, K., Mesbahi, T., “Machine Learning Applied to Battery Prognostics based on Advanced State of Health Estimation,” 2022 IEEE Vehicle Power and Propulsion Conference (VPPC), 1-6, 2022, doi: 10.1109/vppc55846.2022.10003444.</w:t>
      </w:r>
    </w:p>
    <w:p>
      <w:pPr>
        <w:spacing w:after="60"/>
        <w:ind w:left="360" w:hanging="360"/>
        <w:jc w:val="both"/>
      </w:pPr>
      <w:r>
        <w:rPr>
          <w:rFonts w:ascii="Times New Roman" w:hAnsi="Times New Roman"/>
          <w:sz w:val="18"/>
        </w:rPr>
        <w:t xml:space="preserve">41. </w:t>
      </w:r>
      <w:r>
        <w:rPr>
          <w:rFonts w:ascii="Times New Roman" w:hAnsi="Times New Roman"/>
          <w:sz w:val="18"/>
        </w:rPr>
        <w:t>Duque, J., Kollmeyer, P. J., Naguib, M., Emadi, A., “Battery Dual Extended Kalman Filter State of Charge and Health Estimation Strategy for Traction Applications,” 2022 IEEE Transportation Electrification Conference &amp; Expo (ITEC), 975-980, 2022, doi: 10.1109/itec53557.2022.9813961.</w:t>
      </w:r>
    </w:p>
    <w:p>
      <w:pPr>
        <w:spacing w:after="60"/>
        <w:ind w:left="360" w:hanging="360"/>
        <w:jc w:val="both"/>
      </w:pPr>
      <w:r>
        <w:rPr>
          <w:rFonts w:ascii="Times New Roman" w:hAnsi="Times New Roman"/>
          <w:sz w:val="18"/>
        </w:rPr>
        <w:t xml:space="preserve">42. </w:t>
      </w:r>
      <w:r>
        <w:rPr>
          <w:rFonts w:ascii="Times New Roman" w:hAnsi="Times New Roman"/>
          <w:sz w:val="18"/>
        </w:rPr>
        <w:t>Bhaskar, K., Kumar, A., Bunce, J., Pressman, J., Burkell, N., Miller, N., et al., “State of Charge and State of Health estimation in large lithium-ion battery packs,” 2023 American Control Conference (ACC), 3075-3080, 2023, doi: 10.23919/acc55779.2023.10156326.</w:t>
      </w:r>
    </w:p>
    <w:p>
      <w:pPr>
        <w:spacing w:after="60"/>
        <w:ind w:left="360" w:hanging="360"/>
        <w:jc w:val="both"/>
      </w:pPr>
      <w:r>
        <w:rPr>
          <w:rFonts w:ascii="Times New Roman" w:hAnsi="Times New Roman"/>
          <w:sz w:val="18"/>
        </w:rPr>
        <w:t xml:space="preserve">43. </w:t>
      </w:r>
      <w:r>
        <w:rPr>
          <w:rFonts w:ascii="Times New Roman" w:hAnsi="Times New Roman"/>
          <w:sz w:val="18"/>
        </w:rPr>
        <w:t>Zhuge, Y., Yang, H., Wang, H., “Overview of Machine Learning-Enabled Battery State Estimation Methods,” 2023 IEEE Applied Power Electronics Conference and Exposition (APEC), 3028-3035, 2023, doi: 10.1109/apec43580.2023.10131605.</w:t>
      </w:r>
    </w:p>
    <w:p>
      <w:pPr>
        <w:spacing w:after="60"/>
        <w:ind w:left="360" w:hanging="360"/>
        <w:jc w:val="both"/>
      </w:pPr>
      <w:r>
        <w:rPr>
          <w:rFonts w:ascii="Times New Roman" w:hAnsi="Times New Roman"/>
          <w:sz w:val="18"/>
        </w:rPr>
        <w:t xml:space="preserve">44. </w:t>
      </w:r>
      <w:r>
        <w:rPr>
          <w:rFonts w:ascii="Times New Roman" w:hAnsi="Times New Roman"/>
          <w:sz w:val="18"/>
        </w:rPr>
        <w:t>Chen, J., Kollmeyer, P., Chiang, F., Emadi, A., “Lithium-ion Battery State-of-Health Estimation via Histogram Data, Principal Component Analysis, and Machine Learning,” 2023 IEEE Transportation Electrification Conference &amp; Expo (ITEC), 1-6, 2023, doi: 10.1109/itec55900.2023.10187012.</w:t>
      </w:r>
    </w:p>
    <w:p>
      <w:pPr>
        <w:spacing w:after="60"/>
        <w:ind w:left="360" w:hanging="360"/>
        <w:jc w:val="both"/>
      </w:pPr>
      <w:r>
        <w:rPr>
          <w:rFonts w:ascii="Times New Roman" w:hAnsi="Times New Roman"/>
          <w:sz w:val="18"/>
        </w:rPr>
        <w:t xml:space="preserve">45. </w:t>
      </w:r>
      <w:r>
        <w:rPr>
          <w:rFonts w:ascii="Times New Roman" w:hAnsi="Times New Roman"/>
          <w:sz w:val="18"/>
        </w:rPr>
        <w:t>Jiang, S., Shi, J., Borah, M., Moura, S., “Weaknesses and Improvements of the Extended Kalman Filter for Battery State-of-Charge and State-of-Health Estimation,” 2024 American Control Conference (ACC), 1441-1448, 2024, doi: 10.23919/acc60939.2024.10644628.</w:t>
      </w:r>
    </w:p>
    <w:p>
      <w:pPr>
        <w:spacing w:after="60"/>
        <w:ind w:left="360" w:hanging="360"/>
        <w:jc w:val="both"/>
      </w:pPr>
      <w:r>
        <w:rPr>
          <w:rFonts w:ascii="Times New Roman" w:hAnsi="Times New Roman"/>
          <w:sz w:val="18"/>
        </w:rPr>
        <w:t xml:space="preserve">46. </w:t>
      </w:r>
      <w:r>
        <w:rPr>
          <w:rFonts w:ascii="Times New Roman" w:hAnsi="Times New Roman"/>
          <w:sz w:val="18"/>
        </w:rPr>
        <w:t>Deng, Z., Hu, X., Lin, X., Che, Y., Xu, L., Guo, W., “Data-driven state of charge estimation for lithium-ion battery packs based on Gaussian process regression,” Energy, vol. 205, 118000, 2020, doi: 10.1016/j.energy.2020.118000.</w:t>
      </w:r>
    </w:p>
    <w:p>
      <w:pPr>
        <w:spacing w:after="60"/>
        <w:ind w:left="360" w:hanging="360"/>
        <w:jc w:val="both"/>
      </w:pPr>
      <w:r>
        <w:rPr>
          <w:rFonts w:ascii="Times New Roman" w:hAnsi="Times New Roman"/>
          <w:sz w:val="18"/>
        </w:rPr>
        <w:t xml:space="preserve">47. </w:t>
      </w:r>
      <w:r>
        <w:rPr>
          <w:rFonts w:ascii="Times New Roman" w:hAnsi="Times New Roman"/>
          <w:sz w:val="18"/>
        </w:rPr>
        <w:t>Chandran, V., Patil, C. K., Karthick, A., Ganeshaperumal, D., Rahim, R., Ghosh, A., “State of Charge Estimation of Lithium-Ion Battery for Electric Vehicles Using Machine Learning Algorithms,” World Electric Vehicle Journal, vol. 12, 38, 2021, doi: 10.3390/wevj12010038.</w:t>
      </w:r>
    </w:p>
    <w:p>
      <w:pPr>
        <w:spacing w:after="60"/>
        <w:ind w:left="360" w:hanging="360"/>
        <w:jc w:val="both"/>
      </w:pPr>
      <w:r>
        <w:rPr>
          <w:rFonts w:ascii="Times New Roman" w:hAnsi="Times New Roman"/>
          <w:sz w:val="18"/>
        </w:rPr>
        <w:t xml:space="preserve">48. </w:t>
      </w:r>
      <w:r>
        <w:rPr>
          <w:rFonts w:ascii="Times New Roman" w:hAnsi="Times New Roman"/>
          <w:sz w:val="18"/>
        </w:rPr>
        <w:t>Ragone, M., Yurkiv, V., Ramasubramanian, A., Kashir, B., Mashayek, F., “Data driven estimation of electric vehicle battery state-of-charge informed by automotive simulations and multi-physics modeling,” Journal of Power Sources, vol. 483, 229108, 2021, doi: 10.1016/j.jpowsour.2020.229108.</w:t>
      </w:r>
    </w:p>
    <w:p>
      <w:pPr>
        <w:spacing w:after="60"/>
        <w:ind w:left="360" w:hanging="360"/>
        <w:jc w:val="both"/>
      </w:pPr>
      <w:r>
        <w:rPr>
          <w:rFonts w:ascii="Times New Roman" w:hAnsi="Times New Roman"/>
          <w:sz w:val="18"/>
        </w:rPr>
        <w:t xml:space="preserve">49. </w:t>
      </w:r>
      <w:r>
        <w:rPr>
          <w:rFonts w:ascii="Times New Roman" w:hAnsi="Times New Roman"/>
          <w:sz w:val="18"/>
        </w:rPr>
        <w:t>Ren, X., Liu, S., Yu, X., Dong, X., “A method for state-of-charge estimation of lithium-ion batteries based on PSO-LSTM,” Energy, vol. 234, 121236, 2021, doi: 10.1016/j.energy.2021.121236.</w:t>
      </w:r>
    </w:p>
    <w:p>
      <w:pPr>
        <w:spacing w:after="60"/>
        <w:ind w:left="360" w:hanging="360"/>
        <w:jc w:val="both"/>
      </w:pPr>
      <w:r>
        <w:rPr>
          <w:rFonts w:ascii="Times New Roman" w:hAnsi="Times New Roman"/>
          <w:sz w:val="18"/>
        </w:rPr>
        <w:t xml:space="preserve">50. </w:t>
      </w:r>
      <w:r>
        <w:rPr>
          <w:rFonts w:ascii="Times New Roman" w:hAnsi="Times New Roman"/>
          <w:sz w:val="18"/>
        </w:rPr>
        <w:t>Khan, M. K., Houran, M. A., Kauhaniemi, K., Zafar, M. H., Mansoor, M., Rashid, S., “Efficient state of charge estimation of lithium-ion batteries in electric vehicles using evolutionary intelligence-assisted GLA–CNN–Bi-LSTM deep learning model,” Heliyon, vol. 10, e35183, 2024, doi: 10.1016/j.heliyon.2024.e35183.</w:t>
      </w:r>
    </w:p>
    <w:p>
      <w:pPr>
        <w:spacing w:after="60"/>
        <w:ind w:left="360" w:hanging="360"/>
        <w:jc w:val="both"/>
      </w:pPr>
      <w:r>
        <w:rPr>
          <w:rFonts w:ascii="Times New Roman" w:hAnsi="Times New Roman"/>
          <w:sz w:val="18"/>
        </w:rPr>
        <w:t xml:space="preserve">51. </w:t>
      </w:r>
      <w:r>
        <w:rPr>
          <w:rFonts w:ascii="Times New Roman" w:hAnsi="Times New Roman"/>
          <w:sz w:val="18"/>
        </w:rPr>
        <w:t>Naguib, M., Kollmeyer, P., Emadi, A., “Lithium-Ion Battery Pack Robust State of Charge Estimation, Cell Inconsistency, and Balancing: Review,” IEEE Access, vol. 9, 50570-50582, 2021, doi: 10.1109/access.2021.3068776.</w:t>
      </w:r>
    </w:p>
    <w:p>
      <w:pPr>
        <w:spacing w:after="60"/>
        <w:ind w:left="360" w:hanging="360"/>
        <w:jc w:val="both"/>
      </w:pPr>
      <w:r>
        <w:rPr>
          <w:rFonts w:ascii="Times New Roman" w:hAnsi="Times New Roman"/>
          <w:sz w:val="18"/>
        </w:rPr>
        <w:t xml:space="preserve">52. </w:t>
      </w:r>
      <w:r>
        <w:rPr>
          <w:rFonts w:ascii="Times New Roman" w:hAnsi="Times New Roman"/>
          <w:sz w:val="18"/>
        </w:rPr>
        <w:t>Zou, M., Wang, J., Yan, D., Li, Y., Tang, X., “Novel state of charge estimation method of containerized Lithium–Ion battery energy storage system based on deep learning,” Journal of Power Sources, vol. 624, 235609, 2024, doi: 10.1016/j.jpowsour.2024.235609.</w:t>
      </w:r>
    </w:p>
    <w:p>
      <w:pPr>
        <w:spacing w:after="60"/>
        <w:ind w:left="360" w:hanging="360"/>
        <w:jc w:val="both"/>
      </w:pPr>
      <w:r>
        <w:rPr>
          <w:rFonts w:ascii="Times New Roman" w:hAnsi="Times New Roman"/>
          <w:sz w:val="18"/>
        </w:rPr>
        <w:t xml:space="preserve">53. </w:t>
      </w:r>
      <w:r>
        <w:rPr>
          <w:rFonts w:ascii="Times New Roman" w:hAnsi="Times New Roman"/>
          <w:sz w:val="18"/>
        </w:rPr>
        <w:t>Tian, J., Xiong, R., Shen, W., Lu, J., Sun, F., “Flexible battery state of health and state of charge estimation using partial charging data and deep learning,” Energy Storage Materials, vol. 51, 372-381, 2022, doi: 10.1016/j.ensm.2022.06.053.</w:t>
      </w:r>
    </w:p>
    <w:p>
      <w:pPr>
        <w:spacing w:after="60"/>
        <w:ind w:left="360" w:hanging="360"/>
        <w:jc w:val="both"/>
      </w:pPr>
      <w:r>
        <w:rPr>
          <w:rFonts w:ascii="Times New Roman" w:hAnsi="Times New Roman"/>
          <w:sz w:val="18"/>
        </w:rPr>
        <w:t xml:space="preserve">54. </w:t>
      </w:r>
      <w:r>
        <w:rPr>
          <w:rFonts w:ascii="Times New Roman" w:hAnsi="Times New Roman"/>
          <w:sz w:val="18"/>
        </w:rPr>
        <w:t>Arandhakar, S., Nakka, J., “State of charge estimation of lithium ion battery for electric vehicle using cutting edge machine learning algorithms: A review,” Journal of Energy Storage, vol. 103, 114281, 2024, doi: 10.1016/j.est.2024.114281.</w:t>
      </w:r>
    </w:p>
    <w:p>
      <w:pPr>
        <w:spacing w:after="60"/>
        <w:ind w:left="360" w:hanging="360"/>
        <w:jc w:val="both"/>
      </w:pPr>
      <w:r>
        <w:rPr>
          <w:rFonts w:ascii="Times New Roman" w:hAnsi="Times New Roman"/>
          <w:sz w:val="18"/>
        </w:rPr>
        <w:t xml:space="preserve">55. </w:t>
      </w:r>
      <w:r>
        <w:rPr>
          <w:rFonts w:ascii="Times New Roman" w:hAnsi="Times New Roman"/>
          <w:sz w:val="18"/>
        </w:rPr>
        <w:t>Khan, U., Kirmani, S., Rafat, Y., Rehman, M. U., Alam, M. S., “Improved deep learning based state of charge estimation of lithium ion battery for electrified transportation,” Journal of Energy Storage, vol. 91, 111877, 2024, doi: 10.1016/j.est.2024.111877.</w:t>
      </w:r>
    </w:p>
    <w:p>
      <w:pPr>
        <w:spacing w:after="60"/>
        <w:ind w:left="360" w:hanging="360"/>
        <w:jc w:val="both"/>
      </w:pPr>
      <w:r>
        <w:rPr>
          <w:rFonts w:ascii="Times New Roman" w:hAnsi="Times New Roman"/>
          <w:sz w:val="18"/>
        </w:rPr>
        <w:t xml:space="preserve">56. </w:t>
      </w:r>
      <w:r>
        <w:rPr>
          <w:rFonts w:ascii="Times New Roman" w:hAnsi="Times New Roman"/>
          <w:sz w:val="18"/>
        </w:rPr>
        <w:t>Wang, J., Zuo, Z., Wei, Y., Jia, Y., Chen, B., Li, Y., et al., “State of charge estimation of lithium-ion battery based on GA-LSTM and improved IAKF,” Applied Energy, vol. 368, 123508, 2024, doi: 10.1016/j.apenergy.2024.123508.</w:t>
      </w:r>
    </w:p>
    <w:p>
      <w:pPr>
        <w:spacing w:after="60"/>
        <w:ind w:left="360" w:hanging="360"/>
        <w:jc w:val="both"/>
      </w:pPr>
      <w:r>
        <w:rPr>
          <w:rFonts w:ascii="Times New Roman" w:hAnsi="Times New Roman"/>
          <w:sz w:val="18"/>
        </w:rPr>
        <w:t xml:space="preserve">57. </w:t>
      </w:r>
      <w:r>
        <w:rPr>
          <w:rFonts w:ascii="Times New Roman" w:hAnsi="Times New Roman"/>
          <w:sz w:val="18"/>
        </w:rPr>
        <w:t>Buchicchio, E., De Angelis, A., Santoni, F., Carbone, P., Bianconi, F., Smeraldi, F., “Battery SOC estimation from EIS data based on machine learning and equivalent circuit model,” Energy, vol. 283, 128461, 2023, doi: 10.1016/j.energy.2023.128461.</w:t>
      </w:r>
    </w:p>
    <w:p>
      <w:pPr>
        <w:spacing w:after="60"/>
        <w:ind w:left="360" w:hanging="360"/>
        <w:jc w:val="both"/>
      </w:pPr>
      <w:r>
        <w:rPr>
          <w:rFonts w:ascii="Times New Roman" w:hAnsi="Times New Roman"/>
          <w:sz w:val="18"/>
        </w:rPr>
        <w:t xml:space="preserve">58. </w:t>
      </w:r>
      <w:r>
        <w:rPr>
          <w:rFonts w:ascii="Times New Roman" w:hAnsi="Times New Roman"/>
          <w:sz w:val="18"/>
        </w:rPr>
        <w:t>Galiounas, E., Tranter, T. G., Owen, R. E., Robinson, J. B., Shearing, P. R., Brett, D. J., “Battery state-of-charge estimation using machine learning analysis of ultrasonic signatures,” Energy and AI, vol. 10, 100188, 2022, doi: 10.1016/j.egyai.2022.100188.</w:t>
      </w:r>
    </w:p>
    <w:p>
      <w:pPr>
        <w:spacing w:after="60"/>
        <w:ind w:left="360" w:hanging="360"/>
        <w:jc w:val="both"/>
      </w:pPr>
      <w:r>
        <w:rPr>
          <w:rFonts w:ascii="Times New Roman" w:hAnsi="Times New Roman"/>
          <w:sz w:val="18"/>
        </w:rPr>
        <w:t xml:space="preserve">59. </w:t>
      </w:r>
      <w:r>
        <w:rPr>
          <w:rFonts w:ascii="Times New Roman" w:hAnsi="Times New Roman"/>
          <w:sz w:val="18"/>
        </w:rPr>
        <w:t>Li, X., Yuan, C., Li, X., Wang, Z., “State of health estimation for Li-Ion battery using incremental capacity analysis and Gaussian process regression,” Energy, vol. 190, 116467, 2020, doi: 10.1016/j.energy.2019.116467.</w:t>
      </w:r>
    </w:p>
    <w:p>
      <w:pPr>
        <w:spacing w:after="60"/>
        <w:ind w:left="360" w:hanging="360"/>
        <w:jc w:val="both"/>
      </w:pPr>
      <w:r>
        <w:rPr>
          <w:rFonts w:ascii="Times New Roman" w:hAnsi="Times New Roman"/>
          <w:sz w:val="18"/>
        </w:rPr>
        <w:t xml:space="preserve">60. </w:t>
      </w:r>
      <w:r>
        <w:rPr>
          <w:rFonts w:ascii="Times New Roman" w:hAnsi="Times New Roman"/>
          <w:sz w:val="18"/>
        </w:rPr>
        <w:t>Wang, Z., Yuan, C., Li, X., “Lithium Battery State-of-Health Estimation via Differential Thermal Voltammetry With Gaussian Process Regression,” IEEE Transactions on Transportation Electrification, vol. 7, 16-25, 2021, doi: 10.1109/tte.2020.3028784.</w:t>
      </w:r>
    </w:p>
    <w:p>
      <w:pPr>
        <w:spacing w:after="60"/>
        <w:ind w:left="360" w:hanging="360"/>
        <w:jc w:val="both"/>
      </w:pPr>
      <w:r>
        <w:rPr>
          <w:rFonts w:ascii="Times New Roman" w:hAnsi="Times New Roman"/>
          <w:sz w:val="18"/>
        </w:rPr>
        <w:t xml:space="preserve">61. </w:t>
      </w:r>
      <w:r>
        <w:rPr>
          <w:rFonts w:ascii="Times New Roman" w:hAnsi="Times New Roman"/>
          <w:sz w:val="18"/>
        </w:rPr>
        <w:t>Tagade, P., Hariharan, K. S., Ramachandran, S., Khandelwal, A., Naha, A., Kolake, S. M., et al., “Deep Gaussian process regression for lithium-ion battery health prognosis and degradation mode diagnosis,” Journal of Power Sources, vol. 445, 227281, 2020, doi: 10.1016/j.jpowsour.2019.227281.</w:t>
      </w:r>
    </w:p>
    <w:p>
      <w:pPr>
        <w:spacing w:after="60"/>
        <w:ind w:left="360" w:hanging="360"/>
        <w:jc w:val="both"/>
      </w:pPr>
      <w:r>
        <w:rPr>
          <w:rFonts w:ascii="Times New Roman" w:hAnsi="Times New Roman"/>
          <w:sz w:val="18"/>
        </w:rPr>
        <w:t xml:space="preserve">62. </w:t>
      </w:r>
      <w:r>
        <w:rPr>
          <w:rFonts w:ascii="Times New Roman" w:hAnsi="Times New Roman"/>
          <w:sz w:val="18"/>
        </w:rPr>
        <w:t>Deng, Z., Hu, X., Li, P., Lin, X., Bian, X., “Data-Driven Battery State of Health Estimation Based on Random Partial Charging Data,” IEEE Transactions on Power Electronics, vol. 37, 5021-5031, 2022, doi: 10.1109/tpel.2021.3134701.</w:t>
      </w:r>
    </w:p>
    <w:p>
      <w:pPr>
        <w:spacing w:after="60"/>
        <w:ind w:left="360" w:hanging="360"/>
        <w:jc w:val="both"/>
      </w:pPr>
      <w:r>
        <w:rPr>
          <w:rFonts w:ascii="Times New Roman" w:hAnsi="Times New Roman"/>
          <w:sz w:val="18"/>
        </w:rPr>
        <w:t xml:space="preserve">63. </w:t>
      </w:r>
      <w:r>
        <w:rPr>
          <w:rFonts w:ascii="Times New Roman" w:hAnsi="Times New Roman"/>
          <w:sz w:val="18"/>
        </w:rPr>
        <w:t>Zheng, K., Meng, J., Yang, Z., Zhou, F., Yang, K., Song, Z., “Refined lithium-ion battery state of health estimation with charging segment adjustment,” Applied Energy, vol. 375, 124077, 2024, doi: 10.1016/j.apenergy.2024.124077.</w:t>
      </w:r>
    </w:p>
    <w:p>
      <w:pPr>
        <w:spacing w:after="60"/>
        <w:ind w:left="360" w:hanging="360"/>
        <w:jc w:val="both"/>
      </w:pPr>
      <w:r>
        <w:rPr>
          <w:rFonts w:ascii="Times New Roman" w:hAnsi="Times New Roman"/>
          <w:sz w:val="18"/>
        </w:rPr>
        <w:t xml:space="preserve">64. </w:t>
      </w:r>
      <w:r>
        <w:rPr>
          <w:rFonts w:ascii="Times New Roman" w:hAnsi="Times New Roman"/>
          <w:sz w:val="18"/>
        </w:rPr>
        <w:t>Roman, D., Saxena, S., Robu, V., Pecht, M., Flynn, D., “Machine learning pipeline for battery state-of-health estimation,” Nature Machine Intelligence, vol. 3, 447-456, 2021, doi: 10.1038/s42256-021-00312-3.</w:t>
      </w:r>
    </w:p>
    <w:p>
      <w:pPr>
        <w:spacing w:after="60"/>
        <w:ind w:left="360" w:hanging="360"/>
        <w:jc w:val="both"/>
      </w:pPr>
      <w:r>
        <w:rPr>
          <w:rFonts w:ascii="Times New Roman" w:hAnsi="Times New Roman"/>
          <w:sz w:val="18"/>
        </w:rPr>
        <w:t xml:space="preserve">65. </w:t>
      </w:r>
      <w:r>
        <w:rPr>
          <w:rFonts w:ascii="Times New Roman" w:hAnsi="Times New Roman"/>
          <w:sz w:val="18"/>
        </w:rPr>
        <w:t>Zhao, J., Qu, X., Li, Y., Nan, J., Burke, A. F., “Real-time prediction of battery remaining useful life using hybrid-fusion deep neural networks,” Energy, vol. 328, 136618, 2025, doi: 10.1016/j.energy.2025.136618.</w:t>
      </w:r>
    </w:p>
    <w:p>
      <w:pPr>
        <w:spacing w:after="60"/>
        <w:ind w:left="360" w:hanging="360"/>
        <w:jc w:val="both"/>
      </w:pPr>
      <w:r>
        <w:rPr>
          <w:rFonts w:ascii="Times New Roman" w:hAnsi="Times New Roman"/>
          <w:sz w:val="18"/>
        </w:rPr>
        <w:t xml:space="preserve">66. </w:t>
      </w:r>
      <w:r>
        <w:rPr>
          <w:rFonts w:ascii="Times New Roman" w:hAnsi="Times New Roman"/>
          <w:sz w:val="18"/>
        </w:rPr>
        <w:t>Zhou, K. Q., Qin, Y., Yuen, C., “Graph neural network-based lithium-ion battery state of health estimation using partial discharging curve,” Journal of Energy Storage, vol. 100, 113502, 2024, doi: 10.1016/j.est.2024.113502.</w:t>
      </w:r>
    </w:p>
    <w:p>
      <w:pPr>
        <w:spacing w:after="60"/>
        <w:ind w:left="360" w:hanging="360"/>
        <w:jc w:val="both"/>
      </w:pPr>
      <w:r>
        <w:rPr>
          <w:rFonts w:ascii="Times New Roman" w:hAnsi="Times New Roman"/>
          <w:sz w:val="18"/>
        </w:rPr>
        <w:t xml:space="preserve">67. </w:t>
      </w:r>
      <w:r>
        <w:rPr>
          <w:rFonts w:ascii="Times New Roman" w:hAnsi="Times New Roman"/>
          <w:sz w:val="18"/>
        </w:rPr>
        <w:t>Zhao, B., Zhang, W., Zhang, Y., Zhang, C., Zhang, C., Zhang, J., “Lithium-ion battery remaining useful life prediction based on interpretable deep learning and network parameter optimization,” Applied Energy, vol. 379, 124713, 2025, doi: 10.1016/j.apenergy.2024.124713.</w:t>
      </w:r>
    </w:p>
    <w:p>
      <w:pPr>
        <w:spacing w:after="60"/>
        <w:ind w:left="360" w:hanging="360"/>
        <w:jc w:val="both"/>
      </w:pPr>
      <w:r>
        <w:rPr>
          <w:rFonts w:ascii="Times New Roman" w:hAnsi="Times New Roman"/>
          <w:sz w:val="18"/>
        </w:rPr>
        <w:t xml:space="preserve">68. </w:t>
      </w:r>
      <w:r>
        <w:rPr>
          <w:rFonts w:ascii="Times New Roman" w:hAnsi="Times New Roman"/>
          <w:sz w:val="18"/>
        </w:rPr>
        <w:t>Qiang, X., Liu, W., Lyu, Z., Ruan, H., Li, X., “A data-fusion-model method for state of health estimation of Li-ion battery packs based on partial charging curve,” Green Energy and Intelligent Transportation, vol. 3, 100169, 2024, doi: 10.1016/j.geits.2024.100169.</w:t>
      </w:r>
    </w:p>
    <w:p>
      <w:pPr>
        <w:spacing w:after="60"/>
        <w:ind w:left="360" w:hanging="360"/>
        <w:jc w:val="both"/>
      </w:pPr>
      <w:r>
        <w:rPr>
          <w:rFonts w:ascii="Times New Roman" w:hAnsi="Times New Roman"/>
          <w:sz w:val="18"/>
        </w:rPr>
        <w:t xml:space="preserve">69. </w:t>
      </w:r>
      <w:r>
        <w:rPr>
          <w:rFonts w:ascii="Times New Roman" w:hAnsi="Times New Roman"/>
          <w:sz w:val="18"/>
        </w:rPr>
        <w:t>Lu, J., Xiong, R., Tian, J., Wang, C., Sun, F., “Deep learning to estimate lithium-ion battery state of health without additional degradation experiments,” Nature Communications, vol. 14, Art. no. 2760, 2023, doi: 10.1038/s41467-023-38458-w.</w:t>
      </w:r>
    </w:p>
    <w:p>
      <w:pPr>
        <w:spacing w:after="60"/>
        <w:ind w:left="360" w:hanging="360"/>
        <w:jc w:val="both"/>
      </w:pPr>
      <w:r>
        <w:rPr>
          <w:rFonts w:ascii="Times New Roman" w:hAnsi="Times New Roman"/>
          <w:sz w:val="18"/>
        </w:rPr>
        <w:t xml:space="preserve">70. </w:t>
      </w:r>
      <w:r>
        <w:rPr>
          <w:rFonts w:ascii="Times New Roman" w:hAnsi="Times New Roman"/>
          <w:sz w:val="18"/>
        </w:rPr>
        <w:t>Yang, Y., “A machine-learning prediction method of lithium-ion battery life based on charge process for different applications,” Applied Energy, vol. 292, 116897, 2021, doi: 10.1016/j.apenergy.2021.116897.</w:t>
      </w:r>
    </w:p>
    <w:p>
      <w:pPr>
        <w:spacing w:after="60"/>
        <w:ind w:left="360" w:hanging="360"/>
        <w:jc w:val="both"/>
      </w:pPr>
      <w:r>
        <w:rPr>
          <w:rFonts w:ascii="Times New Roman" w:hAnsi="Times New Roman"/>
          <w:sz w:val="18"/>
        </w:rPr>
        <w:t xml:space="preserve">71. </w:t>
      </w:r>
      <w:r>
        <w:rPr>
          <w:rFonts w:ascii="Times New Roman" w:hAnsi="Times New Roman"/>
          <w:sz w:val="18"/>
        </w:rPr>
        <w:t>Fei, Z., Yang, F., Tsui, K. L., Li, L., Zhang, Z., “Early prediction of battery lifetime via a machine learning based framework,” Energy, vol. 225, 120205, 2021, doi: 10.1016/j.energy.2021.120205.</w:t>
      </w:r>
    </w:p>
    <w:p>
      <w:pPr>
        <w:spacing w:after="60"/>
        <w:ind w:left="360" w:hanging="360"/>
        <w:jc w:val="both"/>
      </w:pPr>
      <w:r>
        <w:rPr>
          <w:rFonts w:ascii="Times New Roman" w:hAnsi="Times New Roman"/>
          <w:sz w:val="18"/>
        </w:rPr>
        <w:t xml:space="preserve">72. </w:t>
      </w:r>
      <w:r>
        <w:rPr>
          <w:rFonts w:ascii="Times New Roman" w:hAnsi="Times New Roman"/>
          <w:sz w:val="18"/>
        </w:rPr>
        <w:t>Tong, Z., Miao, J., Tong, S., Lu, Y., “Early prediction of remaining useful life for Lithium-ion batteries based on a hybrid machine learning method,” Journal of Cleaner Production, vol. 317, 128265, 2021, doi: 10.1016/j.jclepro.2021.128265.</w:t>
      </w:r>
    </w:p>
    <w:p>
      <w:pPr>
        <w:spacing w:after="60"/>
        <w:ind w:left="360" w:hanging="360"/>
        <w:jc w:val="both"/>
      </w:pPr>
      <w:r>
        <w:rPr>
          <w:rFonts w:ascii="Times New Roman" w:hAnsi="Times New Roman"/>
          <w:sz w:val="18"/>
        </w:rPr>
        <w:t xml:space="preserve">73. </w:t>
      </w:r>
      <w:r>
        <w:rPr>
          <w:rFonts w:ascii="Times New Roman" w:hAnsi="Times New Roman"/>
          <w:sz w:val="18"/>
        </w:rPr>
        <w:t>Si, Q., Matsuda, S., Yamaji, Y., Momma, T., Tateyama, Y., “Data‐Driven Cycle Life Prediction of Lithium Metal‐Based Rechargeable Battery Based on Discharge/Charge Capacity and Relaxation Features,” Advanced Science, vol. 11, Art. no. 2402608, 2024, doi: 10.1002/advs.202402608.</w:t>
      </w:r>
    </w:p>
    <w:p>
      <w:pPr>
        <w:spacing w:after="60"/>
        <w:ind w:left="360" w:hanging="360"/>
        <w:jc w:val="both"/>
      </w:pPr>
      <w:r>
        <w:rPr>
          <w:rFonts w:ascii="Times New Roman" w:hAnsi="Times New Roman"/>
          <w:sz w:val="18"/>
        </w:rPr>
        <w:t xml:space="preserve">74. </w:t>
      </w:r>
      <w:r>
        <w:rPr>
          <w:rFonts w:ascii="Times New Roman" w:hAnsi="Times New Roman"/>
          <w:sz w:val="18"/>
        </w:rPr>
        <w:t>Zhao, S., Zhang, C., Wang, Y., “Lithium-ion battery capacity and remaining useful life prediction using board learning system and long short-term memory neural network,” Journal of Energy Storage, vol. 52, 104901, 2022, doi: 10.1016/j.est.2022.104901.</w:t>
      </w:r>
    </w:p>
    <w:p>
      <w:pPr>
        <w:spacing w:after="60"/>
        <w:ind w:left="360" w:hanging="360"/>
        <w:jc w:val="both"/>
      </w:pPr>
      <w:r>
        <w:rPr>
          <w:rFonts w:ascii="Times New Roman" w:hAnsi="Times New Roman"/>
          <w:sz w:val="18"/>
        </w:rPr>
        <w:t xml:space="preserve">75. </w:t>
      </w:r>
      <w:r>
        <w:rPr>
          <w:rFonts w:ascii="Times New Roman" w:hAnsi="Times New Roman"/>
          <w:sz w:val="18"/>
        </w:rPr>
        <w:t>Shi, J., Rivera, A., Wu, D., “Battery health management using physics-informed machine learning: Online degradation modeling and remaining useful life prediction,” Mechanical Systems and Signal Processing, vol. 179, 109347, 2022, doi: 10.1016/j.ymssp.2022.109347.</w:t>
      </w:r>
    </w:p>
    <w:p>
      <w:pPr>
        <w:spacing w:after="60"/>
        <w:ind w:left="360" w:hanging="360"/>
        <w:jc w:val="both"/>
      </w:pPr>
      <w:r>
        <w:rPr>
          <w:rFonts w:ascii="Times New Roman" w:hAnsi="Times New Roman"/>
          <w:sz w:val="18"/>
        </w:rPr>
        <w:t xml:space="preserve">76. </w:t>
      </w:r>
      <w:r>
        <w:rPr>
          <w:rFonts w:ascii="Times New Roman" w:hAnsi="Times New Roman"/>
          <w:sz w:val="18"/>
        </w:rPr>
        <w:t>Salem, N. M., Mohamed, A., “Physics-informed hybrid reinforcement learning for estimating lithium-ion battery state of health,” Scientific Reports, vol. 15, Art. no. 43819, 2025, doi: 10.1038/s41598-025-30602-4.</w:t>
      </w:r>
    </w:p>
    <w:p>
      <w:pPr>
        <w:spacing w:after="60"/>
        <w:ind w:left="360" w:hanging="360"/>
        <w:jc w:val="both"/>
      </w:pPr>
      <w:r>
        <w:rPr>
          <w:rFonts w:ascii="Times New Roman" w:hAnsi="Times New Roman"/>
          <w:sz w:val="18"/>
        </w:rPr>
        <w:t xml:space="preserve">77. </w:t>
      </w:r>
      <w:r>
        <w:rPr>
          <w:rFonts w:ascii="Times New Roman" w:hAnsi="Times New Roman"/>
          <w:sz w:val="18"/>
        </w:rPr>
        <w:t>Wang, S., Zhou, R., Ren, Y., Liu, H., Lin, Y., Lian, C., “A generalizable physics-informed neural network for lithium-ion battery SOH estimation utilizing partial charging segments,” Journal of Energy Chemistry, vol. 112, 977-986, 2026, doi: 10.1016/j.jechem.2025.08.093.</w:t>
      </w:r>
    </w:p>
    <w:p>
      <w:pPr>
        <w:spacing w:after="60"/>
        <w:ind w:left="360" w:hanging="360"/>
        <w:jc w:val="both"/>
      </w:pPr>
      <w:r>
        <w:rPr>
          <w:rFonts w:ascii="Times New Roman" w:hAnsi="Times New Roman"/>
          <w:sz w:val="18"/>
        </w:rPr>
        <w:t xml:space="preserve">78. </w:t>
      </w:r>
      <w:r>
        <w:rPr>
          <w:rFonts w:ascii="Times New Roman" w:hAnsi="Times New Roman"/>
          <w:sz w:val="18"/>
        </w:rPr>
        <w:t>Gao, K., Li, Q., Hu, L., Huang, J., Li, H., Wu, Y., “Physical informed neural network for SOH estimation of lithium-ion battery with electrochemical mechanism,” Energy, vol. 342, 139753, 2026, doi: 10.1016/j.energy.2025.139753.</w:t>
      </w:r>
    </w:p>
    <w:p>
      <w:pPr>
        <w:spacing w:after="60"/>
        <w:ind w:left="360" w:hanging="360"/>
        <w:jc w:val="both"/>
      </w:pPr>
      <w:r>
        <w:rPr>
          <w:rFonts w:ascii="Times New Roman" w:hAnsi="Times New Roman"/>
          <w:sz w:val="18"/>
        </w:rPr>
        <w:t xml:space="preserve">79. </w:t>
      </w:r>
      <w:r>
        <w:rPr>
          <w:rFonts w:ascii="Times New Roman" w:hAnsi="Times New Roman"/>
          <w:sz w:val="18"/>
        </w:rPr>
        <w:t>Deng, W., Le, H., Nguyen, K. T., Gogu, C., Medjaher, K., Morio, J., et al., “A generic physics-informed machine learning framework for battery remaining useful life prediction using small early-stage lifecycle data,” Applied Energy, vol. 384, 125314, 2025, doi: 10.1016/j.apenergy.2025.125314.</w:t>
      </w:r>
    </w:p>
    <w:p>
      <w:pPr>
        <w:spacing w:after="60"/>
        <w:ind w:left="360" w:hanging="360"/>
        <w:jc w:val="both"/>
      </w:pPr>
      <w:r>
        <w:rPr>
          <w:rFonts w:ascii="Times New Roman" w:hAnsi="Times New Roman"/>
          <w:sz w:val="18"/>
        </w:rPr>
        <w:t xml:space="preserve">80. </w:t>
      </w:r>
      <w:r>
        <w:rPr>
          <w:rFonts w:ascii="Times New Roman" w:hAnsi="Times New Roman"/>
          <w:sz w:val="18"/>
        </w:rPr>
        <w:t>Qi, Y., Wang, J., Lu, H., Chu, H., Chen, D., Jin, J., “Remaining useful life prediction for lithium-ion battery based on hybrid machine learning with Wiener process,” Journal of Energy Storage, vol. 136, 118415, 2025, doi: 10.1016/j.est.2025.118415.</w:t>
      </w:r>
    </w:p>
    <w:p>
      <w:pPr>
        <w:spacing w:after="60"/>
        <w:ind w:left="360" w:hanging="360"/>
        <w:jc w:val="both"/>
      </w:pPr>
      <w:r>
        <w:rPr>
          <w:rFonts w:ascii="Times New Roman" w:hAnsi="Times New Roman"/>
          <w:sz w:val="18"/>
        </w:rPr>
        <w:t xml:space="preserve">81. </w:t>
      </w:r>
      <w:r>
        <w:rPr>
          <w:rFonts w:ascii="Times New Roman" w:hAnsi="Times New Roman"/>
          <w:sz w:val="18"/>
        </w:rPr>
        <w:t>Fan, Y., Lin, Z., Wang, F., Zhang, J., “A hybrid approach for lithium-ion battery remaining useful life prediction using signal decomposition and machine learning,” Scientific Reports, vol. 15, Art. no. 8161, 2025, doi: 10.1038/s41598-025-92262-8.</w:t>
      </w:r>
    </w:p>
    <w:p>
      <w:pPr>
        <w:spacing w:after="60"/>
        <w:ind w:left="360" w:hanging="360"/>
        <w:jc w:val="both"/>
      </w:pPr>
      <w:r>
        <w:rPr>
          <w:rFonts w:ascii="Times New Roman" w:hAnsi="Times New Roman"/>
          <w:sz w:val="18"/>
        </w:rPr>
        <w:t xml:space="preserve">82. </w:t>
      </w:r>
      <w:r>
        <w:rPr>
          <w:rFonts w:ascii="Times New Roman" w:hAnsi="Times New Roman"/>
          <w:sz w:val="18"/>
        </w:rPr>
        <w:t>Zhao, J., Li, D., Li, Y., Shi, D., Nan, J., Burke, A. F., “Battery state of health estimation under fast charging via deep transfer learning,” iScience, vol. 28, 112235, 2025, doi: 10.1016/j.isci.2025.112235.</w:t>
      </w:r>
    </w:p>
    <w:p>
      <w:pPr>
        <w:spacing w:after="60"/>
        <w:ind w:left="360" w:hanging="360"/>
        <w:jc w:val="both"/>
      </w:pPr>
      <w:r>
        <w:rPr>
          <w:rFonts w:ascii="Times New Roman" w:hAnsi="Times New Roman"/>
          <w:sz w:val="18"/>
        </w:rPr>
        <w:t xml:space="preserve">83. </w:t>
      </w:r>
      <w:r>
        <w:rPr>
          <w:rFonts w:ascii="Times New Roman" w:hAnsi="Times New Roman"/>
          <w:sz w:val="18"/>
        </w:rPr>
        <w:t>Lin, M., Hu, D., Meng, J., Wu, J., “Transfer Learning-Based Lithium-Ion Battery State of Health Estimation With Electrochemical Impedance Spectroscopy,” IEEE Transactions on Transportation Electrification, vol. 11, 7910-7920, 2025, doi: 10.1109/tte.2025.3533540.</w:t>
      </w:r>
    </w:p>
    <w:p>
      <w:pPr>
        <w:spacing w:after="60"/>
        <w:ind w:left="360" w:hanging="360"/>
        <w:jc w:val="both"/>
      </w:pPr>
      <w:r>
        <w:rPr>
          <w:rFonts w:ascii="Times New Roman" w:hAnsi="Times New Roman"/>
          <w:sz w:val="18"/>
        </w:rPr>
        <w:t xml:space="preserve">84. </w:t>
      </w:r>
      <w:r>
        <w:rPr>
          <w:rFonts w:ascii="Times New Roman" w:hAnsi="Times New Roman"/>
          <w:sz w:val="18"/>
        </w:rPr>
        <w:t>Cao, Z., Gao, W., Fu, Y., Kurdkandi, N. V., Mi, C., “A general framework for lithium-ion battery state of health estimation: From laboratory tests to machine learning with transferability across domains,” Applied Energy, vol. 381, 125086, 2025, doi: 10.1016/j.apenergy.2024.125086.</w:t>
      </w:r>
    </w:p>
    <w:p>
      <w:pPr>
        <w:spacing w:after="60"/>
        <w:ind w:left="360" w:hanging="360"/>
        <w:jc w:val="both"/>
      </w:pPr>
      <w:r>
        <w:rPr>
          <w:rFonts w:ascii="Times New Roman" w:hAnsi="Times New Roman"/>
          <w:sz w:val="18"/>
        </w:rPr>
        <w:t xml:space="preserve">85. </w:t>
      </w:r>
      <w:r>
        <w:rPr>
          <w:rFonts w:ascii="Times New Roman" w:hAnsi="Times New Roman"/>
          <w:sz w:val="18"/>
        </w:rPr>
        <w:t>Sun, R., Chen, J., Piao, C., “Battery health features extraction and state of health estimation based on real-time online vehicle driving data,” Journal of Power Sources, vol. 645, 236784, 2025, doi: 10.1016/j.jpowsour.2025.236784.</w:t>
      </w:r>
    </w:p>
    <w:p>
      <w:pPr>
        <w:spacing w:after="60"/>
        <w:ind w:left="360" w:hanging="360"/>
        <w:jc w:val="both"/>
      </w:pPr>
      <w:r>
        <w:rPr>
          <w:rFonts w:ascii="Times New Roman" w:hAnsi="Times New Roman"/>
          <w:sz w:val="18"/>
        </w:rPr>
        <w:t xml:space="preserve">86. </w:t>
      </w:r>
      <w:r>
        <w:rPr>
          <w:rFonts w:ascii="Times New Roman" w:hAnsi="Times New Roman"/>
          <w:sz w:val="18"/>
        </w:rPr>
        <w:t>Cheng, F., Liu, H., “Charging strategies optimization for lithium-ion battery: Heterogeneous ensemble surrogate model-assisted advanced multi-objective optimization algorithm,” Energy Conversion and Management, vol. 342, 120170, 2025, doi: 10.1016/j.enconman.2025.120170.</w:t>
      </w:r>
    </w:p>
    <w:p>
      <w:pPr>
        <w:spacing w:after="60"/>
        <w:ind w:left="360" w:hanging="360"/>
        <w:jc w:val="both"/>
      </w:pPr>
      <w:r>
        <w:rPr>
          <w:rFonts w:ascii="Times New Roman" w:hAnsi="Times New Roman"/>
          <w:sz w:val="18"/>
        </w:rPr>
        <w:t xml:space="preserve">87. </w:t>
      </w:r>
      <w:r>
        <w:rPr>
          <w:rFonts w:ascii="Times New Roman" w:hAnsi="Times New Roman"/>
          <w:sz w:val="18"/>
        </w:rPr>
        <w:t>Dong, G., Feng, Y., Lou, Y., Zhang, M., Wei, J., “Data-Driven Fast Charging Optimization for Lithium-Ion Battery Using Bayesian Optimization With Fast Convergence,” IEEE Transactions on Transportation Electrification, vol. 10, 4173-4183, 2024, doi: 10.1109/tte.2023.3311813.</w:t>
      </w:r>
    </w:p>
    <w:p>
      <w:pPr>
        <w:spacing w:after="60"/>
        <w:ind w:left="360" w:hanging="360"/>
        <w:jc w:val="both"/>
      </w:pPr>
      <w:r>
        <w:rPr>
          <w:rFonts w:ascii="Times New Roman" w:hAnsi="Times New Roman"/>
          <w:sz w:val="18"/>
        </w:rPr>
        <w:t xml:space="preserve">88. </w:t>
      </w:r>
      <w:r>
        <w:rPr>
          <w:rFonts w:ascii="Times New Roman" w:hAnsi="Times New Roman"/>
          <w:sz w:val="18"/>
        </w:rPr>
        <w:t>Wei, Z., Yang, X., Li, Y., He, H., Li, W., Sauer, D. U., “Machine learning-based fast charging of lithium-ion battery by perceiving and regulating internal microscopic states,” Energy Storage Materials, vol. 56, 62-75, 2023, doi: 10.1016/j.ensm.2022.12.034.</w:t>
      </w:r>
    </w:p>
    <w:p>
      <w:pPr>
        <w:spacing w:after="60"/>
        <w:ind w:left="360" w:hanging="360"/>
        <w:jc w:val="both"/>
      </w:pPr>
      <w:r>
        <w:rPr>
          <w:rFonts w:ascii="Times New Roman" w:hAnsi="Times New Roman"/>
          <w:sz w:val="18"/>
        </w:rPr>
        <w:t xml:space="preserve">89. </w:t>
      </w:r>
      <w:r>
        <w:rPr>
          <w:rFonts w:ascii="Times New Roman" w:hAnsi="Times New Roman"/>
          <w:sz w:val="18"/>
        </w:rPr>
        <w:t>Li, Y., Li, K., Xie, Y., Liu, J., Fu, C., Liu, B., “Optimized charging of lithium-ion battery for electric vehicles: Adaptive multistage constant current–constant voltage charging strategy,” Renewable Energy, vol. 146, 2688-2699, 2020, doi: 10.1016/j.renene.2019.08.077.</w:t>
      </w:r>
    </w:p>
    <w:p>
      <w:pPr>
        <w:spacing w:after="60"/>
        <w:ind w:left="360" w:hanging="360"/>
        <w:jc w:val="both"/>
      </w:pPr>
      <w:r>
        <w:rPr>
          <w:rFonts w:ascii="Times New Roman" w:hAnsi="Times New Roman"/>
          <w:sz w:val="18"/>
        </w:rPr>
        <w:t xml:space="preserve">90. </w:t>
      </w:r>
      <w:r>
        <w:rPr>
          <w:rFonts w:ascii="Times New Roman" w:hAnsi="Times New Roman"/>
          <w:sz w:val="18"/>
        </w:rPr>
        <w:t>Fan, Z., Fu, Y., Liang, H., Gao, R., Liu, S., “A module-level charging optimization method of lithium-ion battery considering temperature gradient effect of liquid cooling and charging time,” Energy, vol. 265, 126331, 2023, doi: 10.1016/j.energy.2022.126331.</w:t>
      </w:r>
    </w:p>
    <w:p>
      <w:pPr>
        <w:spacing w:after="60"/>
        <w:ind w:left="360" w:hanging="360"/>
        <w:jc w:val="both"/>
      </w:pPr>
      <w:r>
        <w:rPr>
          <w:rFonts w:ascii="Times New Roman" w:hAnsi="Times New Roman"/>
          <w:sz w:val="18"/>
        </w:rPr>
        <w:t xml:space="preserve">91. </w:t>
      </w:r>
      <w:r>
        <w:rPr>
          <w:rFonts w:ascii="Times New Roman" w:hAnsi="Times New Roman"/>
          <w:sz w:val="18"/>
        </w:rPr>
        <w:t>Heydarian Ardakani, A., Abdollahi, F., “A fast balance optimization approach for charging enhancement of lithium-ion battery packs through deep reinforcement learning,” Journal of Energy Storage, vol. 89, 111755, 2024, doi: 10.1016/j.est.2024.111755.</w:t>
      </w:r>
    </w:p>
    <w:p>
      <w:pPr>
        <w:spacing w:after="60"/>
        <w:ind w:left="360" w:hanging="360"/>
        <w:jc w:val="both"/>
      </w:pPr>
      <w:r>
        <w:rPr>
          <w:rFonts w:ascii="Times New Roman" w:hAnsi="Times New Roman"/>
          <w:sz w:val="18"/>
        </w:rPr>
        <w:t xml:space="preserve">92. </w:t>
      </w:r>
      <w:r>
        <w:rPr>
          <w:rFonts w:ascii="Times New Roman" w:hAnsi="Times New Roman"/>
          <w:sz w:val="18"/>
        </w:rPr>
        <w:t>Duan, S., Xia, K., Li, J., Zhao, Z., Liu, H., “Optimization charging method of lithium-ion battery based on multi-objective BBO algorithm,” Journal of Energy Storage, vol. 91, 112046, 2024, doi: 10.1016/j.est.2024.112046.</w:t>
      </w:r>
    </w:p>
    <w:p>
      <w:pPr>
        <w:spacing w:after="60"/>
        <w:ind w:left="360" w:hanging="360"/>
        <w:jc w:val="both"/>
      </w:pPr>
      <w:r>
        <w:rPr>
          <w:rFonts w:ascii="Times New Roman" w:hAnsi="Times New Roman"/>
          <w:sz w:val="18"/>
        </w:rPr>
        <w:t xml:space="preserve">93. </w:t>
      </w:r>
      <w:r>
        <w:rPr>
          <w:rFonts w:ascii="Times New Roman" w:hAnsi="Times New Roman"/>
          <w:sz w:val="18"/>
        </w:rPr>
        <w:t>Wang, Y., Chen, X., Li, C., Yu, Y., Zhou, G., Wang, C., et al., “Temperature prediction of lithium-ion battery based on artificial neural network model,” Applied Thermal Engineering, vol. 228, 120482, 2023, doi: 10.1016/j.applthermaleng.2023.120482.</w:t>
      </w:r>
    </w:p>
    <w:p>
      <w:pPr>
        <w:spacing w:after="60"/>
        <w:ind w:left="360" w:hanging="360"/>
        <w:jc w:val="both"/>
      </w:pPr>
      <w:r>
        <w:rPr>
          <w:rFonts w:ascii="Times New Roman" w:hAnsi="Times New Roman"/>
          <w:sz w:val="18"/>
        </w:rPr>
        <w:t xml:space="preserve">94. </w:t>
      </w:r>
      <w:r>
        <w:rPr>
          <w:rFonts w:ascii="Times New Roman" w:hAnsi="Times New Roman"/>
          <w:sz w:val="18"/>
        </w:rPr>
        <w:t>Zhou, X., Guo, W., Shi, X., She, C., Zheng, Z., Zhou, J., et al., “Machine learning assisted multi-objective design optimization for battery thermal management system,” Applied Thermal Engineering, vol. 253, 123826, 2024, doi: 10.1016/j.applthermaleng.2024.123826.</w:t>
      </w:r>
    </w:p>
    <w:p>
      <w:pPr>
        <w:spacing w:after="60"/>
        <w:ind w:left="360" w:hanging="360"/>
        <w:jc w:val="both"/>
      </w:pPr>
      <w:r>
        <w:rPr>
          <w:rFonts w:ascii="Times New Roman" w:hAnsi="Times New Roman"/>
          <w:sz w:val="18"/>
        </w:rPr>
        <w:t xml:space="preserve">95. </w:t>
      </w:r>
      <w:r>
        <w:rPr>
          <w:rFonts w:ascii="Times New Roman" w:hAnsi="Times New Roman"/>
          <w:sz w:val="18"/>
        </w:rPr>
        <w:t>Yao, L., Fang, Z., Xiao, Y., Hou, J., Fu, Z., “An Intelligent Fault Diagnosis Method for Lithium Battery Systems Based on Grid Search Support Vector Machine,” Energy, vol. 214, 118866, 2021, doi: 10.1016/j.energy.2020.118866.</w:t>
      </w:r>
    </w:p>
    <w:p>
      <w:pPr>
        <w:spacing w:after="60"/>
        <w:ind w:left="360" w:hanging="360"/>
        <w:jc w:val="both"/>
      </w:pPr>
      <w:r>
        <w:rPr>
          <w:rFonts w:ascii="Times New Roman" w:hAnsi="Times New Roman"/>
          <w:sz w:val="18"/>
        </w:rPr>
        <w:t xml:space="preserve">96. </w:t>
      </w:r>
      <w:r>
        <w:rPr>
          <w:rFonts w:ascii="Times New Roman" w:hAnsi="Times New Roman"/>
          <w:sz w:val="18"/>
        </w:rPr>
        <w:t>Das Goswami, B. R., Abdisobbouhi, Y., Du, H., Mashayek, F., Kingston, T. A., Yurkiv, V., “Advancing battery safety: Integrating multiphysics and machine learning for thermal runaway prediction in lithium-ion battery module,” Journal of Power Sources, vol. 614, 235015, 2024, doi: 10.1016/j.jpowsour.2024.235015.</w:t>
      </w:r>
    </w:p>
    <w:p>
      <w:pPr>
        <w:spacing w:after="60"/>
        <w:ind w:left="360" w:hanging="360"/>
        <w:jc w:val="both"/>
      </w:pPr>
      <w:r>
        <w:rPr>
          <w:rFonts w:ascii="Times New Roman" w:hAnsi="Times New Roman"/>
          <w:sz w:val="18"/>
        </w:rPr>
        <w:t xml:space="preserve">97. </w:t>
      </w:r>
      <w:r>
        <w:rPr>
          <w:rFonts w:ascii="Times New Roman" w:hAnsi="Times New Roman"/>
          <w:sz w:val="18"/>
        </w:rPr>
        <w:t>Dong, C., Sun, D., “Multi-source domain transfer learning with small sample learning for thermal runaway diagnosis of lithium-ion battery,” Applied Energy, vol. 365, 123248, 2024, doi: 10.1016/j.apenergy.2024.123248.</w:t>
      </w:r>
    </w:p>
    <w:p>
      <w:pPr>
        <w:spacing w:after="60"/>
        <w:ind w:left="360" w:hanging="360"/>
        <w:jc w:val="both"/>
      </w:pPr>
      <w:r>
        <w:rPr>
          <w:rFonts w:ascii="Times New Roman" w:hAnsi="Times New Roman"/>
          <w:sz w:val="18"/>
        </w:rPr>
        <w:t xml:space="preserve">98. </w:t>
      </w:r>
      <w:r>
        <w:rPr>
          <w:rFonts w:ascii="Times New Roman" w:hAnsi="Times New Roman"/>
          <w:sz w:val="18"/>
        </w:rPr>
        <w:t>Rieger, L. H., Flores, E., Nielsen, K. F., Norby, P., Ayerbe, E., Winther, O., et al., “Uncertainty-aware and explainable machine learning for early prediction of battery degradation trajectory,” Digital Discovery, vol. 2, 112-122, 2023, doi: 10.1039/d2dd00067a.</w:t>
      </w:r>
    </w:p>
    <w:p>
      <w:pPr>
        <w:spacing w:after="60"/>
        <w:ind w:left="360" w:hanging="360"/>
        <w:jc w:val="both"/>
      </w:pPr>
      <w:r>
        <w:rPr>
          <w:rFonts w:ascii="Times New Roman" w:hAnsi="Times New Roman"/>
          <w:sz w:val="18"/>
        </w:rPr>
        <w:t xml:space="preserve">99. </w:t>
      </w:r>
      <w:r>
        <w:rPr>
          <w:rFonts w:ascii="Times New Roman" w:hAnsi="Times New Roman"/>
          <w:sz w:val="18"/>
        </w:rPr>
        <w:t>Si, Y., Zhou, X., Wang, Y., Zhang, T., Xiao, Y., Liu, Y., “Internal temperature sensing for lithium-ion battery under ultrahigh-rate discharge conditions using physics-informed neural network,” Applied Energy, vol. 408, 127394, 2026, doi: 10.1016/j.apenergy.2026.127394.</w:t>
      </w:r>
    </w:p>
    <w:p>
      <w:pPr>
        <w:spacing w:after="60"/>
        <w:ind w:left="360" w:hanging="360"/>
        <w:jc w:val="both"/>
      </w:pPr>
      <w:r>
        <w:rPr>
          <w:rFonts w:ascii="Times New Roman" w:hAnsi="Times New Roman"/>
          <w:sz w:val="18"/>
        </w:rPr>
        <w:t xml:space="preserve">100. </w:t>
      </w:r>
      <w:r>
        <w:rPr>
          <w:rFonts w:ascii="Times New Roman" w:hAnsi="Times New Roman"/>
          <w:sz w:val="18"/>
        </w:rPr>
        <w:t>Tang, X., Guo, Q., Li, M., Wei, C., Pan, Z., Wang, Y., “Performance analysis on liquid-cooled battery thermal management for electric vehicles based on machine learning,” Journal of Power Sources, vol. 494, 229727, 2021, doi: 10.1016/j.jpowsour.2021.229727.</w:t>
      </w:r>
    </w:p>
    <w:p>
      <w:pPr>
        <w:spacing w:after="60"/>
        <w:ind w:left="360" w:hanging="360"/>
        <w:jc w:val="both"/>
      </w:pPr>
      <w:r>
        <w:rPr>
          <w:rFonts w:ascii="Times New Roman" w:hAnsi="Times New Roman"/>
          <w:sz w:val="18"/>
        </w:rPr>
        <w:t xml:space="preserve">101. </w:t>
      </w:r>
      <w:r>
        <w:rPr>
          <w:rFonts w:ascii="Times New Roman" w:hAnsi="Times New Roman"/>
          <w:sz w:val="18"/>
        </w:rPr>
        <w:t>Chen, S., Zhang, G., Zhu, J., Feng, X., Wei, X., Ouyang, M., et al., “Multi-objective optimization design and experimental investigation for a parallel liquid cooling-based Lithium-ion battery module under fast charging,” Applied Thermal Engineering, vol. 211, 118503, 2022, doi: 10.1016/j.applthermaleng.2022.118503.</w:t>
      </w:r>
    </w:p>
    <w:p>
      <w:pPr>
        <w:spacing w:after="60"/>
        <w:ind w:left="360" w:hanging="360"/>
        <w:jc w:val="both"/>
      </w:pPr>
      <w:r>
        <w:rPr>
          <w:rFonts w:ascii="Times New Roman" w:hAnsi="Times New Roman"/>
          <w:sz w:val="18"/>
        </w:rPr>
        <w:t xml:space="preserve">102. </w:t>
      </w:r>
      <w:r>
        <w:rPr>
          <w:rFonts w:ascii="Times New Roman" w:hAnsi="Times New Roman"/>
          <w:sz w:val="18"/>
        </w:rPr>
        <w:t>Nam, K., Ahn, C., “Energy-Efficient Battery Thermal Management in Electric Vehicles Using Artificial-Neural-Network-Based Model Predictive Control,” World Electric Vehicle Journal, vol. 16, 279, 2025, doi: 10.3390/wevj16050279.</w:t>
      </w:r>
    </w:p>
    <w:p>
      <w:pPr>
        <w:spacing w:after="60"/>
        <w:ind w:left="360" w:hanging="360"/>
        <w:jc w:val="both"/>
      </w:pPr>
      <w:r>
        <w:rPr>
          <w:rFonts w:ascii="Times New Roman" w:hAnsi="Times New Roman"/>
          <w:sz w:val="18"/>
        </w:rPr>
        <w:t xml:space="preserve">103. </w:t>
      </w:r>
      <w:r>
        <w:rPr>
          <w:rFonts w:ascii="Times New Roman" w:hAnsi="Times New Roman"/>
          <w:sz w:val="18"/>
        </w:rPr>
        <w:t>Zhang, C., Zhao, S., Yang, Z., He, Y., “A multi-fault diagnosis method for lithium-ion battery pack using curvilinear Manhattan distance evaluation and voltage difference analysis,” Journal of Energy Storage, vol. 67, 107575, 2023, doi: 10.1016/j.est.2023.107575.</w:t>
      </w:r>
    </w:p>
    <w:p>
      <w:pPr>
        <w:spacing w:after="60"/>
        <w:ind w:left="360" w:hanging="360"/>
        <w:jc w:val="both"/>
      </w:pPr>
      <w:r>
        <w:rPr>
          <w:rFonts w:ascii="Times New Roman" w:hAnsi="Times New Roman"/>
          <w:sz w:val="18"/>
        </w:rPr>
        <w:t xml:space="preserve">104. </w:t>
      </w:r>
      <w:r>
        <w:rPr>
          <w:rFonts w:ascii="Times New Roman" w:hAnsi="Times New Roman"/>
          <w:sz w:val="18"/>
        </w:rPr>
        <w:t>Jia, Z., Wang, Z., Sun, Z., Sun, X., Liu, P., Ruzzenenti, F., “A multi-scenario data-driven approach for anomaly detection in electric vehicle battery systems,” eTransportation, vol. 24, 100418, 2025, doi: 10.1016/j.etran.2025.100418.</w:t>
      </w:r>
    </w:p>
    <w:p>
      <w:pPr>
        <w:spacing w:after="60"/>
        <w:ind w:left="360" w:hanging="360"/>
        <w:jc w:val="both"/>
      </w:pPr>
      <w:r>
        <w:rPr>
          <w:rFonts w:ascii="Times New Roman" w:hAnsi="Times New Roman"/>
          <w:sz w:val="18"/>
        </w:rPr>
        <w:t xml:space="preserve">105. </w:t>
      </w:r>
      <w:r>
        <w:rPr>
          <w:rFonts w:ascii="Times New Roman" w:hAnsi="Times New Roman"/>
          <w:sz w:val="18"/>
        </w:rPr>
        <w:t>Huang, Y., Cai, H., Lai, X., Zheng, Y., Han, X., Ren, D., et al., “Deep learning-driven detection of lithium-plating-type defects for battery manufacturing via formation and capacity grading data,” Journal of Energy Chemistry, vol. 108, 536-549, 2025, doi: 10.1016/j.jechem.2025.04.025.</w:t>
      </w:r>
    </w:p>
    <w:p>
      <w:pPr>
        <w:spacing w:after="60"/>
        <w:ind w:left="360" w:hanging="360"/>
        <w:jc w:val="both"/>
      </w:pPr>
      <w:r>
        <w:rPr>
          <w:rFonts w:ascii="Times New Roman" w:hAnsi="Times New Roman"/>
          <w:sz w:val="18"/>
        </w:rPr>
        <w:t xml:space="preserve">106. </w:t>
      </w:r>
      <w:r>
        <w:rPr>
          <w:rFonts w:ascii="Times New Roman" w:hAnsi="Times New Roman"/>
          <w:sz w:val="18"/>
        </w:rPr>
        <w:t>Jeong, J., Kwak, E., Kim, J. h., Oh, K. Y., “Prediction of thermal runaway for a lithium-ion battery through multiphysics-informed DeepONet with virtual data,” eTransportation, vol. 21, 100337, 2024, doi: 10.1016/j.etran.2024.100337.</w:t>
      </w:r>
    </w:p>
    <w:p>
      <w:pPr>
        <w:spacing w:after="60"/>
        <w:ind w:left="360" w:hanging="360"/>
        <w:jc w:val="both"/>
      </w:pPr>
      <w:r>
        <w:rPr>
          <w:rFonts w:ascii="Times New Roman" w:hAnsi="Times New Roman"/>
          <w:sz w:val="18"/>
        </w:rPr>
        <w:t xml:space="preserve">107. </w:t>
      </w:r>
      <w:r>
        <w:rPr>
          <w:rFonts w:ascii="Times New Roman" w:hAnsi="Times New Roman"/>
          <w:sz w:val="18"/>
        </w:rPr>
        <w:t>He, L., Tian, A., Ding, T., Dong, K., Wang, Y., Gao, Y., et al., “Lithium-ion battery state estimation based on adaptive physics-informed neural network of electrochemical model,” Measurement, vol. 257, 118985, 2026, doi: 10.1016/j.measurement.2025.118985.</w:t>
      </w:r>
    </w:p>
    <w:p>
      <w:pPr>
        <w:spacing w:after="60"/>
        <w:ind w:left="360" w:hanging="360"/>
        <w:jc w:val="both"/>
      </w:pPr>
      <w:r>
        <w:rPr>
          <w:rFonts w:ascii="Times New Roman" w:hAnsi="Times New Roman"/>
          <w:sz w:val="18"/>
        </w:rPr>
        <w:t xml:space="preserve">108. </w:t>
      </w:r>
      <w:r>
        <w:rPr>
          <w:rFonts w:ascii="Times New Roman" w:hAnsi="Times New Roman"/>
          <w:sz w:val="18"/>
        </w:rPr>
        <w:t>Xu, Z., Guo, Y., Saleh, J. H., “A physics-informed dynamic deep autoencoder for accurate state-of-health prediction of lithium-ion battery,” Neural Computing and Applications, vol. 34, 15997-16017, 2022, doi: 10.1007/s00521-022-07291-5.</w:t>
      </w:r>
    </w:p>
    <w:p>
      <w:pPr>
        <w:spacing w:after="60"/>
        <w:ind w:left="360" w:hanging="360"/>
        <w:jc w:val="both"/>
      </w:pPr>
      <w:r>
        <w:rPr>
          <w:rFonts w:ascii="Times New Roman" w:hAnsi="Times New Roman"/>
          <w:sz w:val="18"/>
        </w:rPr>
        <w:t xml:space="preserve">109. </w:t>
      </w:r>
      <w:r>
        <w:rPr>
          <w:rFonts w:ascii="Times New Roman" w:hAnsi="Times New Roman"/>
          <w:sz w:val="18"/>
        </w:rPr>
        <w:t>Lu, J., Xiong, R., Tian, J., Wang, C., Hsu, C. W., Tsou, N. T., et al., “Battery degradation prediction against uncertain future conditions with recurrent neural network enabled deep learning,” Energy Storage Materials, vol. 50, 139-151, 2022, doi: 10.1016/j.ensm.2022.05.007.</w:t>
      </w:r>
    </w:p>
    <w:p>
      <w:pPr>
        <w:spacing w:after="60"/>
        <w:ind w:left="360" w:hanging="360"/>
        <w:jc w:val="both"/>
      </w:pPr>
      <w:r>
        <w:rPr>
          <w:rFonts w:ascii="Times New Roman" w:hAnsi="Times New Roman"/>
          <w:sz w:val="18"/>
        </w:rPr>
        <w:t xml:space="preserve">110. </w:t>
      </w:r>
      <w:r>
        <w:rPr>
          <w:rFonts w:ascii="Times New Roman" w:hAnsi="Times New Roman"/>
          <w:sz w:val="18"/>
        </w:rPr>
        <w:t>Tao, J., Wang, S., Cao, W., Fernandez, C., Blaabjerg, F., “A Comprehensive Review of Multiple Physical and Data-Driven Model Fusion Methods for Accurate Lithium-Ion Battery Inner State Factor Estimation,” Batteries, vol. 10, 442, 2024, doi: 10.3390/batteries10120442.</w:t>
      </w:r>
    </w:p>
    <w:p>
      <w:pPr>
        <w:spacing w:after="60"/>
        <w:ind w:left="360" w:hanging="360"/>
        <w:jc w:val="both"/>
      </w:pPr>
      <w:r>
        <w:rPr>
          <w:rFonts w:ascii="Times New Roman" w:hAnsi="Times New Roman"/>
          <w:sz w:val="18"/>
        </w:rPr>
        <w:t xml:space="preserve">111. </w:t>
      </w:r>
      <w:r>
        <w:rPr>
          <w:rFonts w:ascii="Times New Roman" w:hAnsi="Times New Roman"/>
          <w:sz w:val="18"/>
        </w:rPr>
        <w:t>Wang, F., Zhao, Z., Zhai, Z., Shang, Z., Yan, R., Chen, X., “Explainability-driven model improvement for SOH estimation of lithium-ion battery,” Reliability Engineering &amp; System Safety, vol. 232, 109046, 2023, doi: 10.1016/j.ress.2022.109046.</w:t>
      </w:r>
    </w:p>
    <w:p>
      <w:pPr>
        <w:spacing w:after="60"/>
        <w:ind w:left="360" w:hanging="360"/>
        <w:jc w:val="both"/>
      </w:pPr>
      <w:r>
        <w:rPr>
          <w:rFonts w:ascii="Times New Roman" w:hAnsi="Times New Roman"/>
          <w:sz w:val="18"/>
        </w:rPr>
        <w:t xml:space="preserve">112. </w:t>
      </w:r>
      <w:r>
        <w:rPr>
          <w:rFonts w:ascii="Times New Roman" w:hAnsi="Times New Roman"/>
          <w:sz w:val="18"/>
        </w:rPr>
        <w:t>Liu, K., Niri, M. F., Apachitei, G., Lain, M., Greenwood, D., Marco, J., “Interpretable machine learning for battery capacities prediction and coating parameters analysis,” Control Engineering Practice, vol. 124, 105202, 2022, doi: 10.1016/j.conengprac.2022.105202.</w:t>
      </w:r>
    </w:p>
    <w:p>
      <w:pPr>
        <w:spacing w:after="60"/>
        <w:ind w:left="360" w:hanging="360"/>
        <w:jc w:val="both"/>
      </w:pPr>
      <w:r>
        <w:rPr>
          <w:rFonts w:ascii="Times New Roman" w:hAnsi="Times New Roman"/>
          <w:sz w:val="18"/>
        </w:rPr>
        <w:t xml:space="preserve">113. </w:t>
      </w:r>
      <w:r>
        <w:rPr>
          <w:rFonts w:ascii="Times New Roman" w:hAnsi="Times New Roman"/>
          <w:sz w:val="18"/>
        </w:rPr>
        <w:t>Liu, X., Peng, H., Li, B., Chen, X., Li, Z., Huang, J., et al., “Untangling Degradation Chemistries of Lithium‐Sulfur Batteries Through Interpretable Hybrid Machine Learning,” Angewandte Chemie International Edition, vol. 61, Art. no. e202214037, 2022, doi: 10.1002/anie.202214037.</w:t>
      </w:r>
    </w:p>
    <w:p>
      <w:pPr>
        <w:spacing w:after="60"/>
        <w:ind w:left="360" w:hanging="360"/>
        <w:jc w:val="both"/>
      </w:pPr>
      <w:r>
        <w:rPr>
          <w:rFonts w:ascii="Times New Roman" w:hAnsi="Times New Roman"/>
          <w:sz w:val="18"/>
        </w:rPr>
        <w:t xml:space="preserve">114. </w:t>
      </w:r>
      <w:r>
        <w:rPr>
          <w:rFonts w:ascii="Times New Roman" w:hAnsi="Times New Roman"/>
          <w:sz w:val="18"/>
        </w:rPr>
        <w:t>Eaty, N. D. K. M., Bagade, P., “Digital twin for electric vehicle battery management with incremental learning,” Expert Systems with Applications, vol. 229, 120444, 2023, doi: 10.1016/j.eswa.2023.120444.</w:t>
      </w:r>
    </w:p>
    <w:p>
      <w:pPr>
        <w:spacing w:after="60"/>
        <w:ind w:left="360" w:hanging="360"/>
        <w:jc w:val="both"/>
      </w:pPr>
      <w:r>
        <w:rPr>
          <w:rFonts w:ascii="Times New Roman" w:hAnsi="Times New Roman"/>
          <w:sz w:val="18"/>
        </w:rPr>
        <w:t xml:space="preserve">115. </w:t>
      </w:r>
      <w:r>
        <w:rPr>
          <w:rFonts w:ascii="Times New Roman" w:hAnsi="Times New Roman"/>
          <w:sz w:val="18"/>
        </w:rPr>
        <w:t>Yi, Y., Xia, C., Feng, C., Zhang, W., Fu, C., Qian, L., et al., “Digital twin-long short-term memory (LSTM) neural network based real-time temperature prediction and degradation model analysis for lithium-ion battery,” Journal of Energy Storage, vol. 64, 107203, 2023, doi: 10.1016/j.est.2023.107203.</w:t>
      </w:r>
    </w:p>
    <w:p>
      <w:pPr>
        <w:spacing w:after="60"/>
        <w:ind w:left="360" w:hanging="360"/>
        <w:jc w:val="both"/>
      </w:pPr>
      <w:r>
        <w:rPr>
          <w:rFonts w:ascii="Times New Roman" w:hAnsi="Times New Roman"/>
          <w:sz w:val="18"/>
        </w:rPr>
        <w:t xml:space="preserve">116. </w:t>
      </w:r>
      <w:r>
        <w:rPr>
          <w:rFonts w:ascii="Times New Roman" w:hAnsi="Times New Roman"/>
          <w:sz w:val="18"/>
        </w:rPr>
        <w:t>Zhang, Y., Zhao, M., “Cloud-based in-situ battery life prediction and classification using machine learning,” Energy Storage Materials, vol. 57, 346-359, 2023, doi: 10.1016/j.ensm.2023.02.035.</w:t>
      </w:r>
    </w:p>
    <w:p>
      <w:pPr>
        <w:spacing w:after="60"/>
        <w:ind w:left="360" w:hanging="360"/>
        <w:jc w:val="both"/>
      </w:pPr>
      <w:r>
        <w:rPr>
          <w:rFonts w:ascii="Times New Roman" w:hAnsi="Times New Roman"/>
          <w:sz w:val="18"/>
        </w:rPr>
        <w:t xml:space="preserve">117. </w:t>
      </w:r>
      <w:r>
        <w:rPr>
          <w:rFonts w:ascii="Times New Roman" w:hAnsi="Times New Roman"/>
          <w:sz w:val="18"/>
        </w:rPr>
        <w:t>Faraji-Niri, M., Rashid, M., Sansom, J., Sheikh, M., Widanage, D., Marco, J., “Accelerated state of health estimation of second life lithium-ion batteries via electrochemical impedance spectroscopy tests and machine learning techniques,” Journal of Energy Storage, vol. 58, 106295, 2023, doi: 10.1016/j.est.2022.106295.</w:t>
      </w:r>
    </w:p>
    <w:p>
      <w:pPr>
        <w:spacing w:after="60"/>
        <w:ind w:left="360" w:hanging="360"/>
        <w:jc w:val="both"/>
      </w:pPr>
      <w:r>
        <w:rPr>
          <w:rFonts w:ascii="Times New Roman" w:hAnsi="Times New Roman"/>
          <w:sz w:val="18"/>
        </w:rPr>
        <w:t xml:space="preserve">118. </w:t>
      </w:r>
      <w:r>
        <w:rPr>
          <w:rFonts w:ascii="Times New Roman" w:hAnsi="Times New Roman"/>
          <w:sz w:val="18"/>
        </w:rPr>
        <w:t>Zhang, Y., Tang, Q., Zhang, Y., Wang, J., Stimming, U., Lee, A. A., “Identifying degradation patterns of lithium ion batteries from impedance spectroscopy using machine learning,” Nature Communications, vol. 11, Art. no. 1706, 2020, doi: 10.1038/s41467-020-15235-7.</w:t>
      </w:r>
    </w:p>
    <w:p>
      <w:pPr>
        <w:spacing w:after="60"/>
        <w:ind w:left="360" w:hanging="360"/>
        <w:jc w:val="both"/>
      </w:pPr>
      <w:r>
        <w:rPr>
          <w:rFonts w:ascii="Times New Roman" w:hAnsi="Times New Roman"/>
          <w:sz w:val="18"/>
        </w:rPr>
        <w:t xml:space="preserve">119. </w:t>
      </w:r>
      <w:r>
        <w:rPr>
          <w:rFonts w:ascii="Times New Roman" w:hAnsi="Times New Roman"/>
          <w:sz w:val="18"/>
        </w:rPr>
        <w:t>Chen, J., Yao, Q., Kollmeyer, P., Vidal, C., Naguib, M., Panchal, S., et al., “Battery state-of-power estimation: A machine learning battery model with numerical searching approach,” Journal of Energy Storage, vol. 175, 123023, 2026, doi: 10.1016/j.est.2026.123023.</w:t>
      </w:r>
    </w:p>
    <w:p>
      <w:pPr>
        <w:spacing w:after="60"/>
        <w:ind w:left="360" w:hanging="360"/>
        <w:jc w:val="both"/>
      </w:pPr>
      <w:r>
        <w:rPr>
          <w:rFonts w:ascii="Times New Roman" w:hAnsi="Times New Roman"/>
          <w:sz w:val="18"/>
        </w:rPr>
        <w:t xml:space="preserve">120. </w:t>
      </w:r>
      <w:r>
        <w:rPr>
          <w:rFonts w:ascii="Times New Roman" w:hAnsi="Times New Roman"/>
          <w:sz w:val="18"/>
        </w:rPr>
        <w:t>Poh, W. Q. T., Xu, Y., Tan, R. T. P., “Data-Driven Estimation of Li-Ion Battery Health: Integrating GPT-4 With Distilled Lifelong Learning,” IEEE Transactions on Energy Conversion, vol. 40, 1682-1685, 2025, doi: 10.1109/tec.2025.3548400.</w:t>
      </w:r>
    </w:p>
    <w:p>
      <w:pPr>
        <w:spacing w:after="60"/>
        <w:ind w:left="360" w:hanging="360"/>
        <w:jc w:val="both"/>
      </w:pPr>
      <w:r>
        <w:rPr>
          <w:rFonts w:ascii="Times New Roman" w:hAnsi="Times New Roman"/>
          <w:sz w:val="18"/>
        </w:rPr>
        <w:t xml:space="preserve">121. </w:t>
      </w:r>
      <w:r>
        <w:rPr>
          <w:rFonts w:ascii="Times New Roman" w:hAnsi="Times New Roman"/>
          <w:sz w:val="18"/>
        </w:rPr>
        <w:t>Haghi, S., Hidalgo, M. F. V., Niri, M. F., Daub, R., Marco, J., “Machine Learning in Lithium‐Ion Battery Cell Production: A Comprehensive Mapping Study,” Batteries &amp; Supercaps, vol. 6, Art. no. e202300046, 2023, doi: 10.1002/batt.202300046.</w:t>
      </w:r>
    </w:p>
    <w:p>
      <w:pPr>
        <w:spacing w:after="60"/>
        <w:ind w:left="360" w:hanging="360"/>
        <w:jc w:val="both"/>
      </w:pPr>
      <w:r>
        <w:rPr>
          <w:rFonts w:ascii="Times New Roman" w:hAnsi="Times New Roman"/>
          <w:sz w:val="18"/>
        </w:rPr>
        <w:t xml:space="preserve">122. </w:t>
      </w:r>
      <w:r>
        <w:rPr>
          <w:rFonts w:ascii="Times New Roman" w:hAnsi="Times New Roman"/>
          <w:sz w:val="18"/>
        </w:rPr>
        <w:t>Nicodemo, N., Di Rienzo, R., Lagnoni, M., Bertei, A., Baronti, F., “Estimation of lithium-ion battery electrochemical properties from equivalent circuit model parameters using machine learning,” Journal of Energy Storage, vol. 99, 113257, 2024, doi: 10.1016/j.est.2024.113257.</w:t>
      </w:r>
    </w:p>
    <w:p>
      <w:pPr>
        <w:spacing w:after="60"/>
        <w:ind w:left="360" w:hanging="360"/>
        <w:jc w:val="both"/>
      </w:pPr>
      <w:r>
        <w:rPr>
          <w:rFonts w:ascii="Times New Roman" w:hAnsi="Times New Roman"/>
          <w:sz w:val="18"/>
        </w:rPr>
        <w:t xml:space="preserve">123. </w:t>
      </w:r>
      <w:r>
        <w:rPr>
          <w:rFonts w:ascii="Times New Roman" w:hAnsi="Times New Roman"/>
          <w:sz w:val="18"/>
        </w:rPr>
        <w:t>European Commission (on behalf of the UNECE Informal Working Group on Electric Vehicle Safety), “Proposal for Amendment 1 to UN Global Technical Regulation No. 20 (Electric vehicle safety): thermal-propagation requirements with two compliance options,” UN ECE working document ECE/TRANS/WP.29/GRSP/2026/4, 2026. Considered at the 79th GRSP session (June 2026); working group status report in ECE/TRANS/WP.29/GRSP/2026/3; pending before WP.29 as of 18 October 2026, with adoption listed for the 17-20 November 2026 session. [Online]. Available: https://unece.org/transport/events/wp29grsp-working-party-passive-safety-79th-session</w:t>
      </w:r>
    </w:p>
    <w:p>
      <w:pPr>
        <w:spacing w:after="60"/>
        <w:ind w:left="360" w:hanging="360"/>
        <w:jc w:val="both"/>
      </w:pPr>
      <w:r>
        <w:rPr>
          <w:rFonts w:ascii="Times New Roman" w:hAnsi="Times New Roman"/>
          <w:sz w:val="18"/>
        </w:rPr>
        <w:t xml:space="preserve">124. </w:t>
      </w:r>
      <w:r>
        <w:rPr>
          <w:rFonts w:ascii="Times New Roman" w:hAnsi="Times New Roman"/>
          <w:sz w:val="18"/>
        </w:rPr>
        <w:t>International Organization for Standardization, “Road vehicles — Safety and artificial intelligence,” ISO/PAS 8800:2024, 2024. Published December 2024. [Online]. Available: https://www.iso.org/standard/83303.html</w:t>
      </w:r>
    </w:p>
    <w:p>
      <w:pPr>
        <w:spacing w:after="60"/>
        <w:ind w:left="360" w:hanging="360"/>
        <w:jc w:val="both"/>
      </w:pPr>
      <w:r>
        <w:rPr>
          <w:rFonts w:ascii="Times New Roman" w:hAnsi="Times New Roman"/>
          <w:sz w:val="18"/>
        </w:rPr>
        <w:t xml:space="preserve">125. </w:t>
      </w:r>
      <w:r>
        <w:rPr>
          <w:rFonts w:ascii="Times New Roman" w:hAnsi="Times New Roman"/>
          <w:sz w:val="18"/>
        </w:rPr>
        <w:t>International Organization for Standardization, “Road vehicles — Safety of the intended functionality,” ISO 21448:2022,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