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structured scoping review and classification of 103 peer-reviewed studies, 2019–2026</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Tareq Shikdar</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moved from a promising addition to battery research to a load-bearing component of modern battery management systems (BMS). This paper presents a structured scoping review of 103 peer-reviewed journal articles published between 2019 and 2026 that apply machine learning to battery management tasks, assembled from a Crossref-verified pool of peer-reviewed journal articles and classified uniformly by management function, method family, chemistry, data source, and validation practice. The corpus is classified by management function (state of charge, state of health, remaining useful life, charging control, thermal management, fault and safety, and cross-cutting themes), by method family, by battery chemistry, by data source, and by validation practice.</w:t>
      </w:r>
    </w:p>
    <w:p>
      <w:pPr>
        <w:spacing w:after="160"/>
        <w:jc w:val="both"/>
      </w:pPr>
      <w:r>
        <w:rPr>
          <w:rFonts w:ascii="Times New Roman" w:hAnsi="Times New Roman"/>
          <w:sz w:val="20"/>
        </w:rPr>
        <w:t>The bibliometric analysis reveals a clear five-year evolution. Classical shallow learners such as Gaussian process regression and support vector machines dominated the early window, contributing 11 of the 23 corpus papers published from 2019 through 2021, with deep recurrent architectures rising sharply in 2022–2023. From 2022 onward, physics-informed and hybrid model–data approaches became one of the fastest-growing families, reaching 24 of 103 corpus papers, while optimization-augmented learning and transfer learning together account for a further 16 papers. The first large-language-model-based battery management studies appear in 2025–2026. Health estimation and prognostics remain the largest application cluster (35 papers), followed by the cross-cutting cluster (24), state estimation (17), fault and safety (9), charging control (8), and thermal management (8).</w:t>
      </w:r>
    </w:p>
    <w:p>
      <w:pPr>
        <w:spacing w:after="160"/>
        <w:jc w:val="both"/>
      </w:pPr>
      <w:r>
        <w:rPr>
          <w:rFonts w:ascii="Times New Roman" w:hAnsi="Times New Roman"/>
          <w:sz w:val="20"/>
        </w:rPr>
        <w:t>Three structural weaknesses persist across the five-year window. First, validation practice is heterogeneous and often weak: only 9 of 103 studies demonstrate their estimators on real vehicle or fleet data, while 17 rely on within-cell or k-fold splits that overstate generalization. Second, benchmark-data dependence is high but narrow; the Severson/Toyota, NASA, and CALCE datasets recur across ostensibly independent studies, inflating apparent comparability. Third, the laboratory-to-field gap remains the field’s defining challenge: sub-percent accuracy claims rarely survive chemistry, temperature, and current-profile shifts, and onboard compute constraints are discussed in a minority of works. The review’s sharpest finding is that physics-informed architectures, often assumed to improve reliability by construction, are validated less rigorously than purely data-driven peers (54% versus 73% strong-protocol share): physics priors reduce data demand but do not substitute for rigorous out-of-distribution testing. The review closes with a research agenda prioritizing cross-domain validation standards, uncertainty-aware and interpretable models, edge-deployable architectures, and the safe integration of foundation models into safety-critical BMS software.</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high-quality protocols in 2.5 months rather than the 18 months typical of manual experimentation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Function-specific reviews cover SOC estimation </w:t>
      </w:r>
      <w:r>
        <w:rPr>
          <w:rFonts w:ascii="Times New Roman" w:hAnsi="Times New Roman"/>
          <w:sz w:val="20"/>
        </w:rPr>
        <w:t>[16, 17]</w:t>
      </w:r>
      <w:r>
        <w:rPr>
          <w:rFonts w:ascii="Times New Roman" w:hAnsi="Times New Roman"/>
          <w:b w:val="0"/>
          <w:i w:val="0"/>
          <w:sz w:val="20"/>
        </w:rPr>
        <w:t xml:space="preserve">, SOH estimation </w:t>
      </w:r>
      <w:r>
        <w:rPr>
          <w:rFonts w:ascii="Times New Roman" w:hAnsi="Times New Roman"/>
          <w:sz w:val="20"/>
        </w:rPr>
        <w:t>[18]</w:t>
      </w:r>
      <w:r>
        <w:rPr>
          <w:rFonts w:ascii="Times New Roman" w:hAnsi="Times New Roman"/>
          <w:b w:val="0"/>
          <w:i w:val="0"/>
          <w:sz w:val="20"/>
        </w:rPr>
        <w:t xml:space="preserve">, and prognostics </w:t>
      </w:r>
      <w:r>
        <w:rPr>
          <w:rFonts w:ascii="Times New Roman" w:hAnsi="Times New Roman"/>
          <w:sz w:val="20"/>
        </w:rPr>
        <w:t>[19]</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[20]</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 What is largely missing is a cross-functional, quantitative account of the field’s trajectory: which method families are actually being used for which management tasks, on which data, validated how, and how that picture has shifted over the last five years.</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This paper makes four contributions. First, it assembles a verified corpus of 103 peer-reviewed journal articles (2019–2026) on machine learning for battery management, in which every reference’s bibliographic metadata was confirmed against the Crossref registry by direct DOI resolution. Second, it develops a two-axis classification framework — BMS function × method family — extended with chemistry, data-source, and validation-practice fields, and applies it uniformly to all 103 papers. Third, it quantifies the field’s five-year evolution across functions, methods, data, and validation (Section 3), identifying the shift from classical learners through deep sequence models to physics-informed hybrids, optimization-augmented learning, and early foundation-model applications. Fourth, it provides a critical, function-by-function review of what the corpus actually demonstrates (Sections 4–8) and distills a gap-driven research agenda (Section 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corpus mapped across battery-management functions and method families (91 primary-application papers; see Section 2.5 for terminology). Cell values are paper counts. The 12 corpus reviews are excluded here; the “of which reviews” column of Table 3 states the reconciliation directly, and no excluded review belongs to the physics-informed family, so that column’s corpus total of 24 (Table 2) is unchanged.</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four passes: a top-cited pass over 2020–2026 sorted by citation count; a relevance-sorted recency pass restricted to mid-2024 onward; and two dedicated relevance-sorted passes restricted to 2020–2022 and to 2023,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A function-quota selection step then drew 107 candidate articles from these, balancing the eight management functions and publication years; six landmark seed studies were confirmed or injected at this point (one already captured by the searches, five retrieved individually), giving 113 candidate articles. Full-text curation excluded 19 records — corrigenda, misindexed records, scope mismatches (for example, vehicle-level lifecycle assessment or charging-infrastructure demand modeling without a BMS function), and quota-driven trimming of over-represented function clusters — while 15 targeted additions were made from the screened pool for under-represented themes, a net change of −4 that yields the final corpus of 103 studies.</w:t>
      </w:r>
    </w:p>
    <w:p>
      <w:pPr>
        <w:keepNext/>
        <w:spacing w:after="80"/>
        <w:jc w:val="center"/>
      </w:pPr>
      <w:r>
        <w:drawing>
          <wp:inline xmlns:a="http://schemas.openxmlformats.org/drawingml/2006/main" xmlns:pic="http://schemas.openxmlformats.org/drawingml/2006/picture">
            <wp:extent cx="4480560" cy="3553548"/>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553548"/>
                    </a:xfrm>
                    <a:prstGeom prst="rect"/>
                  </pic:spPr>
                </pic:pic>
              </a:graphicData>
            </a:graphic>
          </wp:inline>
        </w:drawing>
      </w:r>
    </w:p>
    <w:p>
      <w:pPr>
        <w:keepLines/>
        <w:spacing w:after="200"/>
        <w:jc w:val="both"/>
      </w:pPr>
      <w:r>
        <w:rPr>
          <w:rFonts w:ascii="Times New Roman" w:hAnsi="Times New Roman"/>
          <w:b w:val="0"/>
          <w:i w:val="0"/>
          <w:sz w:val="18"/>
        </w:rPr>
        <w:t>Fig. 2 Study-selection flowchart. Records were retrieved from the Crossref REST API on 4–5 September 2026, deduplicated, screened at title level for battery and machine-learning relevance, screened at venue and document-type level, and curated to the final 103-study corpus.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2020–2026 (plus one 2019 field-defining seed)</w:t>
            </w:r>
          </w:p>
        </w:tc>
        <w:tc>
          <w:tcPr>
            <w:tcW w:type="dxa" w:w="3960"/>
          </w:tcPr>
          <w:p>
            <w:r/>
            <w:r>
              <w:rPr>
                <w:rFonts w:ascii="Times New Roman" w:hAnsi="Times New Roman"/>
                <w:b w:val="0"/>
                <w:i w:val="0"/>
                <w:sz w:val="17"/>
              </w:rPr>
              <w:t>Pre-2020 publications</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Classification was performed by the lead author from registry-verified titles and abstracts, with conservative coding: where a paper’s specifics could not be established confidently, broader categories were assigned. Three terms are used consistently hereafter: a </w:t>
      </w:r>
      <w:r>
        <w:rPr>
          <w:rFonts w:ascii="Times New Roman" w:hAnsi="Times New Roman"/>
          <w:b w:val="0"/>
          <w:i/>
          <w:sz w:val="20"/>
        </w:rPr>
        <w:t>corpus paper</w:t>
      </w:r>
      <w:r>
        <w:rPr>
          <w:rFonts w:ascii="Times New Roman" w:hAnsi="Times New Roman"/>
          <w:b w:val="0"/>
          <w:i w:val="0"/>
          <w:sz w:val="20"/>
        </w:rPr>
        <w:t xml:space="preserve"> is any of the 103 included studies; a </w:t>
      </w:r>
      <w:r>
        <w:rPr>
          <w:rFonts w:ascii="Times New Roman" w:hAnsi="Times New Roman"/>
          <w:b w:val="0"/>
          <w:i/>
          <w:sz w:val="20"/>
        </w:rPr>
        <w:t>primary study</w:t>
      </w:r>
      <w:r>
        <w:rPr>
          <w:rFonts w:ascii="Times New Roman" w:hAnsi="Times New Roman"/>
          <w:b w:val="0"/>
          <w:i w:val="0"/>
          <w:sz w:val="20"/>
        </w:rPr>
        <w:t xml:space="preserve"> (or </w:t>
      </w:r>
      <w:r>
        <w:rPr>
          <w:rFonts w:ascii="Times New Roman" w:hAnsi="Times New Roman"/>
          <w:b w:val="0"/>
          <w:i/>
          <w:sz w:val="20"/>
        </w:rPr>
        <w:t>primary-application paper</w:t>
      </w:r>
      <w:r>
        <w:rPr>
          <w:rFonts w:ascii="Times New Roman" w:hAnsi="Times New Roman"/>
          <w:b w:val="0"/>
          <w:i w:val="0"/>
          <w:sz w:val="20"/>
        </w:rPr>
        <w:t>) is one of the 91 whose contribution is a primary application rather than a review; and the 12 reviews are identified by the method-family field and are excluded from Fig. 1. Papers are assigned a single dominant value per field even where several apply. A co-author verification pass reviewed all 103 classifications, but because it was corrective rather than an independent blind double-coding, we report it as a checking pass and claim no inter-rater agreement statistic; the counts in Section 3 should accordingly be read as one documented coding of the corpus rather than as ground truth. The complete classified dataset is released with this paper precisely so that independent coders can check, correct, or extend it — and so that a formal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The classification fields were assigned by a single coder; no inter-rater reliability statistic is available.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The corpus spans 2019–2026 with a strongly increasing and then broadening profile: 9 papers in 2020, 13 in 2021, 13 in 2022, 22 in 2023, 20 in 2024, 18 in 2025, and 7 in the first half of 2026, plus the 2019 seed (Fig. 3). Two caveats apply to any reading of this trend. First, the corpus is a curated sample, not a census: it preferentially captures highly cited and recent work, so the shape of the curve partly reflects curation choices as well as field growth. Second, citation counts mechanically over-weight older publications; age-normalized, the post-2023 output is larger than the raw counts suggest. With those caveats, the profile is consistent with the field’s bibliometric explosion after 2019–2020 and with a maturing phase in which incremental single-function estimators increasingly compete with cross-cutting system-level contributions.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532490"/>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532490"/>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over the five-year window (Fig. 4, Table 2). Classical ML — Gaussian process regression, support vector machines, ensemble regressors, and shallow networks on engineered features — dominates the early corpus: 11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grows steadily, and becomes the modal family by 2024–2026: counted year by year, the family contributes 1 paper in 2020, 2 in 2021, 3 in 2022, 4 in 2023, 5 in 2024, 4 in 2025, and 5 in 2026 — 14 of its 24 corpus papers fall in 2024–2026, and it is the largest single component of the 7 papers published in 2026 (Table 2 gives the corpus-wide totals; Fig. 4 the yearly shares). Optimization-augmented learning (Bayesian optimization for protocol design, surrogate-assisted multi-objective schemes, and meta-heuristic-tuned networks) peaks in 2023–2024 (11 papers). Transfer and domain-adaptation approaches appear consistently from 2022 and accelerate in 2024–2025 (5 papers), reinforcement learning remains scarce but visible (1 corpus paper), and the first foundation-model and LLM-based studies appear in 2025–2026 (2 papers)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val="0"/>
          <w:i w:val="0"/>
          <w:sz w:val="18"/>
        </w:rPr>
        <w:t>Table 2 Method families in the corpus: representative techniques, strengths, and limitations</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29</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24</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Domain-tuned LLM agents for risk analysis and orchestration</w:t>
            </w:r>
          </w:p>
        </w:tc>
        <w:tc>
          <w:tcPr>
            <w:tcW w:type="dxa" w:w="2232"/>
          </w:tcPr>
          <w:p>
            <w:r/>
            <w:r>
              <w:rPr>
                <w:rFonts w:ascii="Times New Roman" w:hAnsi="Times New Roman"/>
                <w:b w:val="0"/>
                <w:i w:val="0"/>
                <w:sz w:val="17"/>
              </w:rPr>
              <w:t>Reasoning over heterogeneous text/system context</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2498774"/>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2498774"/>
                    </a:xfrm>
                    <a:prstGeom prst="rect"/>
                  </pic:spPr>
                </pic:pic>
              </a:graphicData>
            </a:graphic>
          </wp:inline>
        </w:drawing>
      </w:r>
    </w:p>
    <w:p>
      <w:pPr>
        <w:keepLines/>
        <w:spacing w:after="200"/>
        <w:jc w:val="both"/>
      </w:pPr>
      <w:r>
        <w:rPr>
          <w:rFonts w:ascii="Times New Roman" w:hAnsi="Times New Roman"/>
          <w:b w:val="0"/>
          <w:i w:val="0"/>
          <w:sz w:val="18"/>
        </w:rPr>
        <w:t>Fig. 4 Evolution of method-family shares in the corpus by publication year (share of papers published in each year). The 2019 seed (classical ML) is omitted for scale; families with fewer than two papers are pooled into their nearest parent family.</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vehicle-cloud orchestration) is appearing in mainstream energy journals at all.</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4). Fig. 5 matches the all-corpus totals of Table 3 (103 papers); Fig. 1, by contrast, is drawn over the 91-paper primary-application corpus and excludes the 12 reviews, with the per-function reconciliation stated in that figure’s caption and in Table 3’s “of which reviews” column. The concentration on SOH/RUL mirrors publication-volume patterns in the wider literature and reflects the strong commercial pull of lifetime prediction for warranties and second-life markets. By contrast, the thin representation of cell balancing is telling: balancing remains dominated by classical control practice, and ML has so far contributed mainly at the level of pack-level insight rather than as a balancing controller — the corpus’s most-cited balancing-related result is the demonstration that routine balancing can be dispensed with in well-managed packs, reducing hazardous lithium-plating side reactions </w:t>
      </w:r>
      <w:r>
        <w:rPr>
          <w:rFonts w:ascii="Times New Roman" w:hAnsi="Times New Roman"/>
          <w:sz w:val="20"/>
        </w:rPr>
        <w:t>[27]</w:t>
      </w:r>
      <w:r>
        <w:rPr>
          <w:rFonts w:ascii="Times New Roman" w:hAnsi="Times New Roman"/>
          <w:b w:val="0"/>
          <w:i w:val="0"/>
          <w:sz w:val="20"/>
        </w:rPr>
        <w:t>.</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Primary = Total − Reviews gives the primary-application counts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22</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12</w:t>
            </w:r>
          </w:p>
        </w:tc>
        <w:tc>
          <w:tcPr>
            <w:tcW w:type="dxa" w:w="979"/>
          </w:tcPr>
          <w:p>
            <w:pPr>
              <w:jc w:val="center"/>
            </w:pPr>
            <w:r/>
            <w:r>
              <w:rPr>
                <w:rFonts w:ascii="Times New Roman" w:hAnsi="Times New Roman"/>
                <w:b w:val="0"/>
                <w:i w:val="0"/>
                <w:sz w:val="17"/>
              </w:rPr>
              <w:t>91</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53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(14 papers), Energy (13), and Applied Energy (9) head the corpus, with Journal of Power Sources, Energy Storage Materials, and Reliability Engineering &amp; System Safety following; IEEE transactions account for most of the remainder. The implication for readers is that the ML-BMS literature’s center of gravity sits in energy-systems journals rather than in machine-learning venues — a sign that impact is currently demonstrated in application terms rather than in methodological novelty.</w:t>
      </w:r>
    </w:p>
    <w:p>
      <w:pPr>
        <w:keepNext/>
        <w:spacing w:after="80"/>
        <w:jc w:val="center"/>
      </w:pPr>
      <w:r>
        <w:drawing>
          <wp:inline xmlns:a="http://schemas.openxmlformats.org/drawingml/2006/main" xmlns:pic="http://schemas.openxmlformats.org/drawingml/2006/picture">
            <wp:extent cx="4480560" cy="2520315"/>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520315"/>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9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(Section 3.4); 12 are simulation-based; and 15 are reviews or perspectives that synthesize rather than generate data. Chemistry reporting is similarly skewed: 53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Twenty-four papers validate on cross-cell holdout protocols, the most defensible laboratory standard; but 12 papers use within-cell splits (training and testing on interleaved segments of the same cell’s life), 5 use k-fold cross-validation without cross-cell isolation, and 15 are reviews without primary validation. Only 9 studies validate a system online or on real vehicle/fleet data, and only 7 validate across chemistries.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7 cross-tabulates them: of the 10 papers whose primary data are real-vehicle or fleet streams, 8 are online-validated and 2 are validated by transfer or case-study protocols instead; the 9th online-validated study uses laboratory data.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cross-chemistry or cross-domain transfer studies make the strictest demands (10 papers). At the weaker end, within-cell splits (12 papers) and unsupervised k-fold cross-validation (5 papers) leak trajectory information between train and test sets, producing optimistic errors that do not survive cell-to-cell variability; the review literature has long warned of this, and the corpus quantifies the warning. Experimental-hardware demonstrations (19 papers) and online or real-vehicle demonstrations (9 papers) anchor the strong end of the spectrum, and it is these — not the largest architectures — that carry the field’s deployment evidence. Crossing validation practice with method family substantiates Section 3.2’s remark with numbers: 13 of the 24 physics-informed/hybrid papers (54%) use one of the strong protocols, against 49 of the other 67 primary-application papers (73%) — a physics prior does not, in itself, buy validation rigor.</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19</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9</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7 Cross-tabulation of fleet-data use against online validation (103 papers). Fleet-data use describes the primary data source; online validation describes the validation protocol; their overlap is 8 of 10 fleet-data papers. The right-hand column pools the validation categories of Table 5.</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 (Table 5)</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(transfer;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r/>
            <w:r>
              <w:rPr>
                <w:rFonts w:ascii="Times New Roman" w:hAnsi="Times New Roman"/>
                <w:b w:val="0"/>
                <w:i w:val="0"/>
                <w:sz w:val="17"/>
              </w:rPr>
              <w:t>1 (laboratory-data demonstration)</w:t>
            </w:r>
          </w:p>
        </w:tc>
        <w:tc>
          <w:tcPr>
            <w:tcW w:type="dxa" w:w="2340"/>
          </w:tcPr>
          <w:p>
            <w:pPr>
              <w:jc w:val="center"/>
            </w:pPr>
            <w:r/>
            <w:r>
              <w:rPr>
                <w:rFonts w:ascii="Times New Roman" w:hAnsi="Times New Roman"/>
                <w:b w:val="0"/>
                <w:i w:val="0"/>
                <w:sz w:val="17"/>
              </w:rPr>
              <w:t>92</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9</w:t>
            </w:r>
          </w:p>
        </w:tc>
        <w:tc>
          <w:tcPr>
            <w:tcW w:type="dxa" w:w="2340"/>
          </w:tcPr>
          <w:p>
            <w:pPr>
              <w:jc w:val="center"/>
            </w:pPr>
            <w:r/>
            <w:r>
              <w:rPr>
                <w:rFonts w:ascii="Times New Roman" w:hAnsi="Times New Roman"/>
                <w:b w:val="0"/>
                <w:i w:val="0"/>
                <w:sz w:val="17"/>
              </w:rPr>
              <w:t>94</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corpus papers — more than a fifth of the primary-application corpus — rest on the same three public benchmarks (MATR, NASA, CALCE; Fig. 7). Because these benchmarks together contain on the order of a few hundred cells, the field’s effective empirical sample has grown far more slowly than its publication count: output rose from single digits per year in 2019–2020 to 15–20 papers per year by 2023–2025, while benchmark-reuse kept pace step for step. We call this pattern benchmark saturation: the empirical base on which the community calibrates and compares estimators is approximately fixed while the literature multiplies on top of it, which inflates apparent comparability and hides dataset-specific failure modes.</w:t>
      </w:r>
    </w:p>
    <w:p>
      <w:pPr>
        <w:keepNext/>
        <w:spacing w:after="80"/>
        <w:jc w:val="center"/>
      </w:pPr>
      <w:r>
        <w:drawing>
          <wp:inline xmlns:a="http://schemas.openxmlformats.org/drawingml/2006/main" xmlns:pic="http://schemas.openxmlformats.org/drawingml/2006/picture">
            <wp:extent cx="4480560" cy="2498774"/>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498774"/>
                    </a:xfrm>
                    <a:prstGeom prst="rect"/>
                  </pic:spPr>
                </pic:pic>
              </a:graphicData>
            </a:graphic>
          </wp:inline>
        </w:drawing>
      </w:r>
    </w:p>
    <w:p>
      <w:pPr>
        <w:keepLines/>
        <w:spacing w:after="200"/>
        <w:jc w:val="both"/>
      </w:pPr>
      <w:r>
        <w:rPr>
          <w:rFonts w:ascii="Times New Roman" w:hAnsi="Times New Roman"/>
          <w:b w:val="0"/>
          <w:i w:val="0"/>
          <w:sz w:val="18"/>
        </w:rPr>
        <w:t>Fig. 7 Benchmark saturation. Papers using the three dominant public benchmarks per year (stacked bars, left axis) against total corpus output per year (line, right axis). Benchmark reuse tracks publication growth throughout the window: the empirical base does not broaden as the literature multiplies.</w:t>
      </w:r>
    </w:p>
    <w:p>
      <w:pPr>
        <w:keepNext/>
        <w:spacing w:after="80"/>
        <w:jc w:val="left"/>
      </w:pPr>
      <w:r>
        <w:rPr>
          <w:rFonts w:ascii="Times New Roman" w:hAnsi="Times New Roman"/>
          <w:b/>
          <w:i w:val="0"/>
          <w:sz w:val="20"/>
        </w:rPr>
        <w:t>3.5 Sensitivity analysis: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machine-learning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as conference_sensitivity.csv). Validation practice was classified conservatively from the indexed abstracts by keyword screening into four classes: hardware/experimental stated, public dataset, simulation-level, and not stated.</w:t>
      </w:r>
    </w:p>
    <w:p>
      <w:pPr>
        <w:keepNext/>
        <w:spacing w:after="80"/>
        <w:jc w:val="left"/>
      </w:pPr>
      <w:r>
        <w:rPr>
          <w:rFonts w:ascii="Times New Roman" w:hAnsi="Times New Roman"/>
          <w:b w:val="0"/>
          <w:i w:val="0"/>
          <w:sz w:val="18"/>
        </w:rPr>
        <w:t>Table 6 Conference sensitivity set: 14 machine-learning battery papers from control and transportation-electrification venues (2019–2025), Crossref-verified, with validation evidence stated in their indexed abstracts.</w:t>
      </w:r>
    </w:p>
    <w:tbl>
      <w:tblPr>
        <w:tblStyle w:val="TableGrid"/>
        <w:tblW w:type="auto" w:w="0"/>
        <w:jc w:val="center"/>
        <w:tblLayout w:type="fixed"/>
        <w:tblLook w:firstColumn="1" w:firstRow="1" w:lastColumn="0" w:lastRow="0" w:noHBand="0" w:noVBand="1" w:val="04A0"/>
        <w:tblLayout w:type="fixed"/>
      </w:tblPr>
      <w:tblGrid>
        <w:gridCol w:w="1872"/>
        <w:gridCol w:w="1296"/>
        <w:gridCol w:w="2880"/>
        <w:gridCol w:w="3311"/>
      </w:tblGrid>
      <w:tr>
        <w:trPr>
          <w:cantSplit/>
          <w:tblHeader/>
        </w:trPr>
        <w:tc>
          <w:tcPr>
            <w:tcW w:type="dxa" w:w="1872"/>
          </w:tcPr>
          <w:p>
            <w:pPr>
              <w:jc w:val="center"/>
            </w:pPr>
            <w:r/>
            <w:r>
              <w:rPr>
                <w:rFonts w:ascii="Times New Roman" w:hAnsi="Times New Roman"/>
                <w:b/>
                <w:sz w:val="17"/>
              </w:rPr>
              <w:t>Venue (year)</w:t>
            </w:r>
          </w:p>
        </w:tc>
        <w:tc>
          <w:tcPr>
            <w:tcW w:type="dxa" w:w="1296"/>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family (short)</w:t>
            </w:r>
          </w:p>
        </w:tc>
        <w:tc>
          <w:tcPr>
            <w:tcW w:type="dxa" w:w="3312"/>
          </w:tcPr>
          <w:p>
            <w:pPr>
              <w:jc w:val="center"/>
            </w:pPr>
            <w:r/>
            <w:r>
              <w:rPr>
                <w:rFonts w:ascii="Times New Roman" w:hAnsi="Times New Roman"/>
                <w:b/>
                <w:sz w:val="17"/>
              </w:rPr>
              <w:t>Validation evidence stated in indexed abstract</w:t>
            </w:r>
          </w:p>
        </w:tc>
      </w:tr>
      <w:tr>
        <w:trPr>
          <w:cantSplit/>
        </w:trPr>
        <w:tc>
          <w:tcPr>
            <w:tcW w:type="dxa" w:w="1872"/>
          </w:tcPr>
          <w:p>
            <w:pPr>
              <w:jc w:val="left"/>
            </w:pPr>
            <w:r/>
            <w:r>
              <w:rPr>
                <w:rFonts w:ascii="Times New Roman" w:hAnsi="Times New Roman"/>
                <w:b w:val="0"/>
                <w:i w:val="0"/>
                <w:sz w:val="17"/>
              </w:rPr>
              <w:t>ITEC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t>
            </w:r>
            <w:r>
              <w:rPr>
                <w:rFonts w:ascii="Times New Roman" w:hAnsi="Times New Roman"/>
                <w:sz w:val="17"/>
              </w:rPr>
              <w:t>[28]</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VPPC 2021</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[29]</w:t>
            </w:r>
          </w:p>
        </w:tc>
        <w:tc>
          <w:tcPr>
            <w:tcW w:type="dxa" w:w="3312"/>
          </w:tcPr>
          <w:p>
            <w:r/>
            <w:r>
              <w:rPr>
                <w:rFonts w:ascii="Times New Roman" w:hAnsi="Times New Roman"/>
                <w:b w:val="0"/>
                <w:i w:val="0"/>
                <w:sz w:val="17"/>
              </w:rPr>
              <w:t>Public dataset</w:t>
            </w:r>
          </w:p>
        </w:tc>
      </w:tr>
      <w:tr>
        <w:trPr>
          <w:cantSplit/>
        </w:trPr>
        <w:tc>
          <w:tcPr>
            <w:tcW w:type="dxa" w:w="1872"/>
          </w:tcPr>
          <w:p>
            <w:pPr>
              <w:jc w:val="left"/>
            </w:pPr>
            <w:r/>
            <w:r>
              <w:rPr>
                <w:rFonts w:ascii="Times New Roman" w:hAnsi="Times New Roman"/>
                <w:b w:val="0"/>
                <w:i w:val="0"/>
                <w:sz w:val="17"/>
              </w:rPr>
              <w:t>ITEC 2022</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[30]</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2023</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[31]</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2021</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[32]</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ITEC 2023</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[33]</w:t>
            </w:r>
          </w:p>
        </w:tc>
        <w:tc>
          <w:tcPr>
            <w:tcW w:type="dxa" w:w="3312"/>
          </w:tcPr>
          <w:p>
            <w:r/>
            <w:r>
              <w:rPr>
                <w:rFonts w:ascii="Times New Roman" w:hAnsi="Times New Roman"/>
                <w:b w:val="0"/>
                <w:i w:val="0"/>
                <w:sz w:val="17"/>
              </w:rPr>
              <w:t>Public dataset</w:t>
            </w:r>
          </w:p>
        </w:tc>
      </w:tr>
      <w:tr>
        <w:trPr>
          <w:cantSplit/>
        </w:trPr>
        <w:tc>
          <w:tcPr>
            <w:tcW w:type="dxa" w:w="1872"/>
          </w:tcPr>
          <w:p>
            <w:pPr>
              <w:jc w:val="left"/>
            </w:pPr>
            <w:r/>
            <w:r>
              <w:rPr>
                <w:rFonts w:ascii="Times New Roman" w:hAnsi="Times New Roman"/>
                <w:b w:val="0"/>
                <w:i w:val="0"/>
                <w:sz w:val="17"/>
              </w:rPr>
              <w:t>APEC 2023</w:t>
            </w:r>
          </w:p>
        </w:tc>
        <w:tc>
          <w:tcPr>
            <w:tcW w:type="dxa" w:w="1296"/>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[34]</w:t>
            </w:r>
          </w:p>
        </w:tc>
        <w:tc>
          <w:tcPr>
            <w:tcW w:type="dxa" w:w="3312"/>
          </w:tcPr>
          <w:p>
            <w:r/>
            <w:r>
              <w:rPr>
                <w:rFonts w:ascii="Times New Roman" w:hAnsi="Times New Roman"/>
                <w:b w:val="0"/>
                <w:i w:val="0"/>
                <w:sz w:val="17"/>
              </w:rPr>
              <w:t>Not applicable</w:t>
            </w:r>
          </w:p>
        </w:tc>
      </w:tr>
      <w:tr>
        <w:trPr>
          <w:cantSplit/>
        </w:trPr>
        <w:tc>
          <w:tcPr>
            <w:tcW w:type="dxa" w:w="1872"/>
          </w:tcPr>
          <w:p>
            <w:pPr>
              <w:jc w:val="left"/>
            </w:pPr>
            <w:r/>
            <w:r>
              <w:rPr>
                <w:rFonts w:ascii="Times New Roman" w:hAnsi="Times New Roman"/>
                <w:b w:val="0"/>
                <w:i w:val="0"/>
                <w:sz w:val="17"/>
              </w:rPr>
              <w:t>ECC 2021</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[35]</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CCDC 2022</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[36]</w:t>
            </w:r>
          </w:p>
        </w:tc>
        <w:tc>
          <w:tcPr>
            <w:tcW w:type="dxa" w:w="3312"/>
          </w:tcPr>
          <w:p>
            <w:r/>
            <w:r>
              <w:rPr>
                <w:rFonts w:ascii="Times New Roman" w:hAnsi="Times New Roman"/>
                <w:b w:val="0"/>
                <w:i w:val="0"/>
                <w:sz w:val="17"/>
              </w:rPr>
              <w:t>Hardware (stated); public data</w:t>
            </w:r>
          </w:p>
        </w:tc>
      </w:tr>
      <w:tr>
        <w:trPr>
          <w:cantSplit/>
        </w:trPr>
        <w:tc>
          <w:tcPr>
            <w:tcW w:type="dxa" w:w="1872"/>
          </w:tcPr>
          <w:p>
            <w:pPr>
              <w:jc w:val="left"/>
            </w:pPr>
            <w:r/>
            <w:r>
              <w:rPr>
                <w:rFonts w:ascii="Times New Roman" w:hAnsi="Times New Roman"/>
                <w:b w:val="0"/>
                <w:i w:val="0"/>
                <w:sz w:val="17"/>
              </w:rPr>
              <w:t>VPPC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[37]</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2024</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[38]</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VPPC 2022</w:t>
            </w:r>
          </w:p>
        </w:tc>
        <w:tc>
          <w:tcPr>
            <w:tcW w:type="dxa" w:w="1296"/>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[39]</w:t>
            </w:r>
          </w:p>
        </w:tc>
        <w:tc>
          <w:tcPr>
            <w:tcW w:type="dxa" w:w="3312"/>
          </w:tcPr>
          <w:p>
            <w:r/>
            <w:r>
              <w:rPr>
                <w:rFonts w:ascii="Times New Roman" w:hAnsi="Times New Roman"/>
                <w:b w:val="0"/>
                <w:i w:val="0"/>
                <w:sz w:val="17"/>
              </w:rPr>
              <w:t>Hardware (stated)</w:t>
            </w:r>
          </w:p>
        </w:tc>
      </w:tr>
      <w:tr>
        <w:trPr>
          <w:cantSplit/>
        </w:trPr>
        <w:tc>
          <w:tcPr>
            <w:tcW w:type="dxa" w:w="1872"/>
          </w:tcPr>
          <w:p>
            <w:pPr>
              <w:jc w:val="left"/>
            </w:pPr>
            <w:r/>
            <w:r>
              <w:rPr>
                <w:rFonts w:ascii="Times New Roman" w:hAnsi="Times New Roman"/>
                <w:b w:val="0"/>
                <w:i w:val="0"/>
                <w:sz w:val="17"/>
              </w:rPr>
              <w:t>VPPC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[40]</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VPPC 2021</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[41]</w:t>
            </w:r>
          </w:p>
        </w:tc>
        <w:tc>
          <w:tcPr>
            <w:tcW w:type="dxa" w:w="3312"/>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supports representativeness rather than a venue gap. Only 2 of the 14 conference papers (14%) state hardware or experimental validation in their indexed abstracts, 2 rest on public datasets, and 4 describe simulation-level validation — against 19 of the 91 primary-application journal papers (21%) with experimental-hardware demonstrations and a 68% strong-protocol share (Table 5). Indexed abstract-level transparency about validation is, if anything, lower on the conference path, with 5 of 14 abstracts stating no validation basis at all. Two caveats bound this finding: conference abstracts are frequently truncated in bibliographic indexes, so the comparison measures stated evidence rather than underlying practice; and the sensitivity set is a curated sample, not a census. Within those bounds, however, the journal-only corpus does not understate the field’s validation transparency — and the observation that neither venue type reports validation systematically strengthens, rather than weakens, the case for the reporting standards proposed in Section 9.7.</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[42]</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[43]</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[44]</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[16, 17]</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[45]</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[46]</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[47]</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[48]</w:t>
      </w:r>
      <w:r>
        <w:rPr>
          <w:rFonts w:ascii="Times New Roman" w:hAnsi="Times New Roman"/>
          <w:b w:val="0"/>
          <w:i w:val="0"/>
          <w:sz w:val="20"/>
        </w:rPr>
        <w:t xml:space="preserve">, unified frameworks estimate SOH and SOC jointly from partial charging data </w:t>
      </w:r>
      <w:r>
        <w:rPr>
          <w:rFonts w:ascii="Times New Roman" w:hAnsi="Times New Roman"/>
          <w:sz w:val="20"/>
        </w:rPr>
        <w:t>[49]</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[50, 51]</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[52]</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[53]</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now consistently below 1–2% SOC on the standard drive cycles, yet 13 of the 17 corpus SOC papers rest on laboratory-scale data and 12 on a single chemistry under curated profiles, and only one demonstrates fleet-scale operation </w:t>
      </w:r>
      <w:r>
        <w:rPr>
          <w:rFonts w:ascii="Times New Roman" w:hAnsi="Times New Roman"/>
          <w:sz w:val="20"/>
        </w:rPr>
        <w:t>[48]</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[20]</w:t>
      </w:r>
      <w:r>
        <w:rPr>
          <w:rFonts w:ascii="Times New Roman" w:hAnsi="Times New Roman"/>
          <w:b w:val="0"/>
          <w:i w:val="0"/>
          <w:sz w:val="20"/>
        </w:rPr>
        <w:t>. The SOC function is, in other words, an area where the research problem has largely been solved on laboratory terms but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[53]</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[54]</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(35 papers).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[55]</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[56]</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[57]</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[58]</w:t>
      </w:r>
      <w:r>
        <w:rPr>
          <w:rFonts w:ascii="Times New Roman" w:hAnsi="Times New Roman"/>
          <w:b w:val="0"/>
          <w:i w:val="0"/>
          <w:sz w:val="20"/>
        </w:rPr>
        <w:t xml:space="preserve">, and charging-segment adjustment refined features for vehicle-level use </w:t>
      </w:r>
      <w:r>
        <w:rPr>
          <w:rFonts w:ascii="Times New Roman" w:hAnsi="Times New Roman"/>
          <w:sz w:val="20"/>
        </w:rPr>
        <w:t>[59]</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[60]</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[60]</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[61]</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[62]</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[63]</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[64]</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[65]</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[66]</w:t>
      </w:r>
      <w:r>
        <w:rPr>
          <w:rFonts w:ascii="Times New Roman" w:hAnsi="Times New Roman"/>
          <w:b w:val="0"/>
          <w:i w:val="0"/>
          <w:sz w:val="20"/>
        </w:rPr>
        <w:t xml:space="preserve">, ML frameworks extract lifetime information from formation-style tests </w:t>
      </w:r>
      <w:r>
        <w:rPr>
          <w:rFonts w:ascii="Times New Roman" w:hAnsi="Times New Roman"/>
          <w:sz w:val="20"/>
        </w:rPr>
        <w:t>[67]</w:t>
      </w:r>
      <w:r>
        <w:rPr>
          <w:rFonts w:ascii="Times New Roman" w:hAnsi="Times New Roman"/>
          <w:b w:val="0"/>
          <w:i w:val="0"/>
          <w:sz w:val="20"/>
        </w:rPr>
        <w:t xml:space="preserve">, hybrid physics-plus-learned models give early RUL from limited cycles </w:t>
      </w:r>
      <w:r>
        <w:rPr>
          <w:rFonts w:ascii="Times New Roman" w:hAnsi="Times New Roman"/>
          <w:sz w:val="20"/>
        </w:rPr>
        <w:t>[68]</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[69]</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[70]</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[71]</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[72]</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[73]</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[74]</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[75]</w:t>
      </w:r>
      <w:r>
        <w:rPr>
          <w:rFonts w:ascii="Times New Roman" w:hAnsi="Times New Roman"/>
          <w:b w:val="0"/>
          <w:i w:val="0"/>
          <w:sz w:val="20"/>
        </w:rPr>
        <w:t xml:space="preserve">. Multi-feature hybrid schemes lift RUL accuracy across datasets </w:t>
      </w:r>
      <w:r>
        <w:rPr>
          <w:rFonts w:ascii="Times New Roman" w:hAnsi="Times New Roman"/>
          <w:sz w:val="20"/>
        </w:rPr>
        <w:t>[76]</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[77]</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[78]</w:t>
      </w:r>
      <w:r>
        <w:rPr>
          <w:rFonts w:ascii="Times New Roman" w:hAnsi="Times New Roman"/>
          <w:b w:val="0"/>
          <w:i w:val="0"/>
          <w:sz w:val="20"/>
        </w:rPr>
        <w:t xml:space="preserve">; transfer-learning-based EIS estimation crosses chemistries </w:t>
      </w:r>
      <w:r>
        <w:rPr>
          <w:rFonts w:ascii="Times New Roman" w:hAnsi="Times New Roman"/>
          <w:sz w:val="20"/>
        </w:rPr>
        <w:t>[79]</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[80]</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[81]</w:t>
      </w:r>
      <w:r>
        <w:rPr>
          <w:rFonts w:ascii="Times New Roman" w:hAnsi="Times New Roman"/>
          <w:b w:val="0"/>
          <w:i w:val="0"/>
          <w:sz w:val="20"/>
        </w:rPr>
        <w:t xml:space="preserve"> and reviews charting non-probabilistic estimation techniques </w:t>
      </w:r>
      <w:r>
        <w:rPr>
          <w:rFonts w:ascii="Times New Roman" w:hAnsi="Times New Roman"/>
          <w:sz w:val="20"/>
        </w:rPr>
        <w:t>[18]</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Accuracy claims cluster around SOH errors of 1–2% and RUL errors of tens of cycles, but these are established overwhelmingly on public benchmark cells: the Severson-MATR dataset alone appears in 11 corpus papers, NASA and CALCE in 12 more. Within-cell splits and k-fold protocols — which leak trajectory information between train and test — account for 10 of the 35 primary studies in the health-prognostics complex, and for 17 of the corpus as a whole.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19]</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protocols charging cells to 80% in around 10 minutes within 2.5 months — against roughly 18 months for the equivalent manual search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[82]</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[83]</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[84]</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[85]</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[86]</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[87]</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[88]</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[86]</w:t>
      </w:r>
      <w:r>
        <w:rPr>
          <w:rFonts w:ascii="Times New Roman" w:hAnsi="Times New Roman"/>
          <w:b w:val="0"/>
          <w:i w:val="0"/>
          <w:sz w:val="20"/>
        </w:rPr>
        <w:t xml:space="preserve"> and balance-aware pack charging </w:t>
      </w:r>
      <w:r>
        <w:rPr>
          <w:rFonts w:ascii="Times New Roman" w:hAnsi="Times New Roman"/>
          <w:sz w:val="20"/>
        </w:rPr>
        <w:t>[87]</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validate on laboratory hardware, and the remainder are simulation-only or optimization-method demonstrations.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[84]</w:t>
      </w:r>
      <w:r>
        <w:rPr>
          <w:rFonts w:ascii="Times New Roman" w:hAnsi="Times New Roman"/>
          <w:b w:val="0"/>
          <w:i w:val="0"/>
          <w:sz w:val="20"/>
        </w:rPr>
        <w:t xml:space="preserve"> are the most deployment-relevant results in this cluster.</w:t>
      </w:r>
    </w:p>
    <w:p>
      <w:pPr>
        <w:keepNext/>
        <w:spacing w:after="80"/>
        <w:jc w:val="left"/>
      </w:pPr>
      <w:r>
        <w:rPr>
          <w:rFonts w:ascii="Times New Roman" w:hAnsi="Times New Roman"/>
          <w:b w:val="0"/>
          <w:i w:val="0"/>
          <w:sz w:val="18"/>
        </w:rPr>
        <w:t>Table 8 Representative corpus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[45]</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[52]</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[60]</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[65]</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[75]</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2.5 versus 18 months to a protocol)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[84]</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[82]</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[89]</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[90]</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[91]</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[92]</w:t>
            </w:r>
            <w:r>
              <w:rPr>
                <w:rFonts w:ascii="Times New Roman" w:hAnsi="Times New Roman"/>
                <w:b w:val="0"/>
                <w:i w:val="0"/>
                <w:sz w:val="17"/>
              </w:rPr>
              <w:t xml:space="preserve">; cross-fleet runaway-diagnosis transfer (fleet data; small-sample diagnosis) </w:t>
            </w:r>
            <w:r>
              <w:rPr>
                <w:rFonts w:ascii="Times New Roman" w:hAnsi="Times New Roman"/>
                <w:sz w:val="17"/>
              </w:rPr>
              <w:t>[93]</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[94]</w:t>
            </w:r>
            <w:r>
              <w:rPr>
                <w:rFonts w:ascii="Times New Roman" w:hAnsi="Times New Roman"/>
                <w:b w:val="0"/>
                <w:i w:val="0"/>
                <w:sz w:val="17"/>
              </w:rPr>
              <w:t xml:space="preserve">; LLM vehicle-cloud management (fleet data; orchestration layer)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(8 papers) but a disproportionately safety-critical one. Data-driven temperature estimation ranges from ANN models predicting cell temperature across operating conditions </w:t>
      </w:r>
      <w:r>
        <w:rPr>
          <w:rFonts w:ascii="Times New Roman" w:hAnsi="Times New Roman"/>
          <w:sz w:val="20"/>
        </w:rPr>
        <w:t>[89]</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[95]</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[90, 96]</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[97]</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[98]</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[90, 96]</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[98]</w:t>
      </w:r>
      <w:r>
        <w:rPr>
          <w:rFonts w:ascii="Times New Roman" w:hAnsi="Times New Roman"/>
          <w:b w:val="0"/>
          <w:i w:val="0"/>
          <w:sz w:val="20"/>
        </w:rPr>
        <w:t>, but no corpus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(9 papers) divide into diagnosis of realized faults and prediction of impending hazards. On the diagnosis side, grid-search-optimized support vector machines classify sensor and connection faults </w:t>
      </w:r>
      <w:r>
        <w:rPr>
          <w:rFonts w:ascii="Times New Roman" w:hAnsi="Times New Roman"/>
          <w:sz w:val="20"/>
        </w:rPr>
        <w:t>[91]</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[99]</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[100]</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[101]</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[92]</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[102]</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[93]</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[102]</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Physics-informed and hybrid model–data learning is the corpus’s largest and fastest-rising methodological theme (24 papers across all functions). Beyond the prognostics applications of Section 5.4, physics-informed structures appear in state estimation </w:t>
      </w:r>
      <w:r>
        <w:rPr>
          <w:rFonts w:ascii="Times New Roman" w:hAnsi="Times New Roman"/>
          <w:sz w:val="20"/>
        </w:rPr>
        <w:t>[10, 103]</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[104]</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[105]</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[106]</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[107]</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[108]</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[109]</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[94]</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[55]</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[94]</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[110]</w:t>
      </w:r>
      <w:r>
        <w:rPr>
          <w:rFonts w:ascii="Times New Roman" w:hAnsi="Times New Roman"/>
          <w:b w:val="0"/>
          <w:i w:val="0"/>
          <w:sz w:val="20"/>
        </w:rPr>
        <w:t xml:space="preserve"> and couple LSTM surrogates with real-time thermal observation </w:t>
      </w:r>
      <w:r>
        <w:rPr>
          <w:rFonts w:ascii="Times New Roman" w:hAnsi="Times New Roman"/>
          <w:sz w:val="20"/>
        </w:rPr>
        <w:t>[111]</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[112]</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[113]</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[54]</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[53, 114]</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[115]</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[110]</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[112]</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[113]</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corpus’s youngest theme is generative: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and domain-knowledge-enhanced LLM agents orchestrate vehicle-cloud collaborative battery management </w:t>
      </w:r>
      <w:r>
        <w:rPr>
          <w:rFonts w:ascii="Times New Roman" w:hAnsi="Times New Roman"/>
          <w:sz w:val="20"/>
        </w:rPr>
        <w:t>[15]</w:t>
      </w:r>
      <w:r>
        <w:rPr>
          <w:rFonts w:ascii="Times New Roman" w:hAnsi="Times New Roman"/>
          <w:b w:val="0"/>
          <w:i w:val="0"/>
          <w:sz w:val="20"/>
        </w:rPr>
        <w:t>. These first studies position LLMs as reasoning and coordination layers above numerical estimators rather than as estimators themselves — a sensible division given that hallucination risk is intolerable in safety-critical state estimation. Their appearance in mainstream energy journals in 2025–2026 nonetheless marks a new phase: the management stack is beginning to absorb foundation-model components, and the corpus’s method-evolution data (Fig. 4) suggest the field expects this line to grow.</w:t>
      </w:r>
    </w:p>
    <w:p>
      <w:pPr>
        <w:spacing w:after="160"/>
        <w:jc w:val="both"/>
      </w:pPr>
      <w:r>
        <w:rPr>
          <w:rFonts w:ascii="Times New Roman" w:hAnsi="Times New Roman"/>
          <w:b w:val="0"/>
          <w:i w:val="0"/>
          <w:sz w:val="20"/>
        </w:rPr>
        <w:t>Because BMS software is safety-critical, this review positions foundation models not as better estimators but as orchestration layers, and it is worth making the division of labor explicit. Table 9 contrasts established practice for classical and deep learning estimators with what the first LLM studies actually demonstrate, and states the guardrails this review regards as mandatory before any LLM component touches a safety-relevant path. The right-hand column is normative guidance proposed here, not claims about the published studies; the published LLM work to date is confined to risk analysis and coordination, which is exactly where it belongs at this stage.</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Incident risk analysis </w:t>
            </w:r>
            <w:r>
              <w:rPr>
                <w:rFonts w:ascii="Times New Roman" w:hAnsi="Times New Roman"/>
                <w:sz w:val="17"/>
              </w:rPr>
              <w:t>[14]</w:t>
            </w:r>
            <w:r>
              <w:rPr>
                <w:rFonts w:ascii="Times New Roman" w:hAnsi="Times New Roman"/>
                <w:b w:val="0"/>
                <w:i w:val="0"/>
                <w:sz w:val="17"/>
              </w:rPr>
              <w:t xml:space="preserve">; vehicle-cloud orchestration </w:t>
            </w:r>
            <w:r>
              <w:rPr>
                <w:rFonts w:ascii="Times New Roman" w:hAnsi="Times New Roman"/>
                <w:sz w:val="17"/>
              </w:rPr>
              <w:t>[15]</w:t>
            </w:r>
          </w:p>
        </w:tc>
        <w:tc>
          <w:tcPr>
            <w:tcW w:type="dxa" w:w="2592"/>
          </w:tcPr>
          <w:p>
            <w:r/>
            <w:r>
              <w:rPr>
                <w:rFonts w:ascii="Times New Roman" w:hAnsi="Times New Roman"/>
                <w:b w:val="0"/>
                <w:i w:val="0"/>
                <w:sz w:val="17"/>
              </w:rPr>
              <w:t>Estimation stays with calibrated ML; LLM coordinates, summarizes, explains</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Not quantified in published studies</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[116]</w:t>
      </w:r>
      <w:r>
        <w:rPr>
          <w:rFonts w:ascii="Times New Roman" w:hAnsi="Times New Roman"/>
          <w:b w:val="0"/>
          <w:i w:val="0"/>
          <w:sz w:val="20"/>
        </w:rPr>
        <w:t xml:space="preserve">, complementing the coating-quality interpretability work </w:t>
      </w:r>
      <w:r>
        <w:rPr>
          <w:rFonts w:ascii="Times New Roman" w:hAnsi="Times New Roman"/>
          <w:sz w:val="20"/>
        </w:rPr>
        <w:t>[108]</w:t>
      </w:r>
      <w:r>
        <w:rPr>
          <w:rFonts w:ascii="Times New Roman" w:hAnsi="Times New Roman"/>
          <w:b w:val="0"/>
          <w:i w:val="0"/>
          <w:sz w:val="20"/>
        </w:rPr>
        <w:t xml:space="preserve"> and manufacturing defect detection </w:t>
      </w:r>
      <w:r>
        <w:rPr>
          <w:rFonts w:ascii="Times New Roman" w:hAnsi="Times New Roman"/>
          <w:sz w:val="20"/>
        </w:rPr>
        <w:t>[101]</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[27]</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[117]</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10, and then operationalized into a concrete reporting checklist in Section 9.7.</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primary studies corpus-wide use within-cell splits or unsupervised k-folds, and only 9 of all 103 papers demonstrate their systems online or on real fleets. Until cross-cell, cross-temperature, and cross-protocol holdout protocols become reporting norms, published accuracy figures will keep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[79, 80]</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The corpus’s papers rarely disclose split definitions, random seeds, or compute budgets — omissions that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the benchmark monoculture</w:t>
      </w:r>
    </w:p>
    <w:p>
      <w:pPr>
        <w:spacing w:after="160"/>
        <w:jc w:val="both"/>
      </w:pPr>
      <w:r>
        <w:rPr>
          <w:rFonts w:ascii="Times New Roman" w:hAnsi="Times New Roman"/>
          <w:b w:val="0"/>
          <w:i w:val="0"/>
          <w:sz w:val="20"/>
        </w:rPr>
        <w:t xml:space="preserve">Eleven corpus papers rest on a single public dataset (Severson-MATR), and NASA and CALCE sustain much of the remainder; 35 papers use private laboratory cells whose data are not released. The monoculture inflates apparent comparability and hides dataset-specific failure modes. Federated learning over fleet data, standardized anonymized fleet-data releases, and multi-institution cycling campaigns — in the spirit of the 179-cell pipeline </w:t>
      </w:r>
      <w:r>
        <w:rPr>
          <w:rFonts w:ascii="Times New Roman" w:hAnsi="Times New Roman"/>
          <w:sz w:val="20"/>
        </w:rPr>
        <w:t>[60]</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[70, 81]</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[70]</w:t>
      </w:r>
      <w:r>
        <w:rPr>
          <w:rFonts w:ascii="Times New Roman" w:hAnsi="Times New Roman"/>
          <w:b w:val="0"/>
          <w:i w:val="0"/>
          <w:sz w:val="20"/>
        </w:rPr>
        <w:t xml:space="preserve"> and real-time feature-extraction studies </w:t>
      </w:r>
      <w:r>
        <w:rPr>
          <w:rFonts w:ascii="Times New Roman" w:hAnsi="Times New Roman"/>
          <w:sz w:val="20"/>
        </w:rPr>
        <w:t>[81]</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interpretability, and certification</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[94]</w:t>
      </w:r>
      <w:r>
        <w:rPr>
          <w:rFonts w:ascii="Times New Roman" w:hAnsi="Times New Roman"/>
          <w:b w:val="0"/>
          <w:i w:val="0"/>
          <w:sz w:val="20"/>
        </w:rPr>
        <w:t xml:space="preserve">, explainability-driven </w:t>
      </w:r>
      <w:r>
        <w:rPr>
          <w:rFonts w:ascii="Times New Roman" w:hAnsi="Times New Roman"/>
          <w:sz w:val="20"/>
        </w:rPr>
        <w:t>[107]</w:t>
      </w:r>
      <w:r>
        <w:rPr>
          <w:rFonts w:ascii="Times New Roman" w:hAnsi="Times New Roman"/>
          <w:b w:val="0"/>
          <w:i w:val="0"/>
          <w:sz w:val="20"/>
        </w:rPr>
        <w:t xml:space="preserve">, and Gaussian-process lineages </w:t>
      </w:r>
      <w:r>
        <w:rPr>
          <w:rFonts w:ascii="Times New Roman" w:hAnsi="Times New Roman"/>
          <w:sz w:val="20"/>
        </w:rPr>
        <w:t>[55]</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first LLM-based management studies </w:t>
      </w:r>
      <w:r>
        <w:rPr>
          <w:rFonts w:ascii="Times New Roman" w:hAnsi="Times New Roman"/>
          <w:sz w:val="20"/>
        </w:rPr>
        <w:t>[14, 15]</w:t>
      </w:r>
      <w:r>
        <w:rPr>
          <w:rFonts w:ascii="Times New Roman" w:hAnsi="Times New Roman"/>
          <w:b w:val="0"/>
          <w:i w:val="0"/>
          <w:sz w:val="20"/>
        </w:rPr>
        <w:t xml:space="preserve"> suggest a division of labor worth formalizing: foundation models as reasoning, orchestration, and human-interface layers;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Cell balancing is nearly untouched by ML beyond pack-level insight </w:t>
      </w:r>
      <w:r>
        <w:rPr>
          <w:rFonts w:ascii="Times New Roman" w:hAnsi="Times New Roman"/>
          <w:sz w:val="20"/>
        </w:rPr>
        <w:t>[27]</w:t>
      </w:r>
      <w:r>
        <w:rPr>
          <w:rFonts w:ascii="Times New Roman" w:hAnsi="Times New Roman"/>
          <w:b w:val="0"/>
          <w:i w:val="0"/>
          <w:sz w:val="20"/>
        </w:rPr>
        <w:t xml:space="preserve">; charging control needs certifiable adaptive protocols; and thermal management remains simulation-dominated </w:t>
      </w:r>
      <w:r>
        <w:rPr>
          <w:rFonts w:ascii="Times New Roman" w:hAnsi="Times New Roman"/>
          <w:sz w:val="20"/>
        </w:rPr>
        <w:t>[25]</w:t>
      </w:r>
      <w:r>
        <w:rPr>
          <w:rFonts w:ascii="Times New Roman" w:hAnsi="Times New Roman"/>
          <w:b w:val="0"/>
          <w:i w:val="0"/>
          <w:sz w:val="20"/>
        </w:rPr>
        <w:t xml:space="preserve">. These functions share a property that explains their under-representation: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10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primary studies use within-cell or k-fold validation; 9/103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Benchmark monoculture</w:t>
            </w:r>
          </w:p>
        </w:tc>
        <w:tc>
          <w:tcPr>
            <w:tcW w:type="dxa" w:w="3672"/>
          </w:tcPr>
          <w:p>
            <w:r/>
            <w:r>
              <w:rPr>
                <w:rFonts w:ascii="Times New Roman" w:hAnsi="Times New Roman"/>
                <w:b w:val="0"/>
                <w:i w:val="0"/>
                <w:sz w:val="17"/>
              </w:rPr>
              <w:t>Single public dataset underlies 11 studies; NASA/CALCE sustain much of the rest</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(2 papers), charging control (8), thermal (8)</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11 proposes a twelve-item BMS-ML reporting checklist: the minimum metadata a study should disclose for its accuracy claims to be comparable, reproducible, and poolable in future syntheses. None of the items is onerous; each corresponds to a practice whose absence the corpus analysis showed to be distorting — undisclosed splits (Section 3.4), uncalibrated uncertainty (Section 8.2), unnamed datasets (Section 3.4), or unquantified compute (Section 9.3). We suggest journals adopt it as a submission checklist and that authors attach it to their released datasets.</w:t>
      </w:r>
    </w:p>
    <w:p>
      <w:pPr>
        <w:keepNext/>
        <w:spacing w:after="80"/>
        <w:jc w:val="left"/>
      </w:pPr>
      <w:r>
        <w:rPr>
          <w:rFonts w:ascii="Times New Roman" w:hAnsi="Times New Roman"/>
          <w:b w:val="0"/>
          <w:i w:val="0"/>
          <w:sz w:val="18"/>
        </w:rPr>
        <w:t>Table 11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4480560" cy="2036618"/>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4480560" cy="2036618"/>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[60]</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112]</w:t>
      </w:r>
      <w:r>
        <w:rPr>
          <w:rFonts w:ascii="Times New Roman" w:hAnsi="Times New Roman"/>
          <w:b w:val="0"/>
          <w:i w:val="0"/>
          <w:sz w:val="18"/>
        </w:rPr>
        <w:t xml:space="preserve">, optimization-augmented and transfer learning </w:t>
      </w:r>
      <w:r>
        <w:rPr>
          <w:rFonts w:ascii="Times New Roman" w:hAnsi="Times New Roman"/>
          <w:sz w:val="18"/>
        </w:rPr>
        <w:t>[93]</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the state of AI-powered battery management through a verified corpus of 103 peer-reviewed studies spanning 2019–2026, classified uniformly across management functions, method families, chemistries, data sources, and validation practices. Three conclusions stand out. First, the field has undergone a marked methodological evolution: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where learning systems have largely succeeded on laboratory terms; control functions (charging, thermal, balancing) remain demonstrably transformable but under-evidenced for deployment. Third, and most critically, the field’s published accuracy progress is not matched by validation progress: online or fleet-level demonstration appears in fewer than one study in ten, benchmark-data monoculture distorts the apparent state of the art, and the field’s favored remedy — physics-informed architecture — does not substitute for validation rigor: physics-informed papers are strong-protocol-validated less often than purely data-driven peers (54% versus 73%).</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classification and analysis, and drafted the manuscript. S.S.I.A., J.I.C., and T.S.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classified and Crossref-verified corpus of 103 studies is released as a machine-readable supplementary dataset (papers.csv), including per-paper citation counts and the screening statistics; together with the full analysis pipeline it is publicly available at https://github.com/touhidsiddiqueeraj-bit/-structured-scoping-review-and-classification-of-103-peer-reviewed-studies-about-AI-in-BMS.</w:t>
      </w:r>
    </w:p>
    <w:p>
      <w:pPr>
        <w:spacing w:after="80"/>
        <w:jc w:val="both"/>
      </w:pPr>
      <w:r>
        <w:rPr>
          <w:rFonts w:ascii="Times New Roman" w:hAnsi="Times New Roman"/>
          <w:b/>
          <w:sz w:val="20"/>
        </w:rPr>
        <w:t xml:space="preserve">Code availability. </w:t>
      </w:r>
      <w:r>
        <w:rPr>
          <w:rFonts w:ascii="Times New Roman" w:hAnsi="Times New Roman"/>
          <w:sz w:val="20"/>
        </w:rPr>
        <w:t>The complete search, screening, verification, and figure-generation scripts are publicly available at https://github.com/touhidsiddiqueeraj-bit/-structured-scoping-review-and-classification-of-103-peer-reviewed-studies-about-AI-in-BMS, so that every figure and count in Section 3 can be regenerated from the released dataset.</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an AI-assisted language model to support literature-pooling code, drafting, and language editing. All included references were independently verified against the Crossref registry by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Acknowledgment</w:t>
      </w:r>
    </w:p>
    <w:p>
      <w:pPr>
        <w:spacing w:after="160"/>
        <w:jc w:val="both"/>
      </w:pPr>
      <w:r>
        <w:rPr>
          <w:rFonts w:ascii="Times New Roman" w:hAnsi="Times New Roman"/>
          <w:sz w:val="20"/>
        </w:rPr>
        <w:t>The authors would like to acknowledge the use of writing-support and language-enhancement tools, including OpenAI ChatGPT, Grammarly, and QuillBot, during the preparation of this manuscript. These tools were used to assist with grammar correction, readability improvement, language refinement, and sentence restructuring. All technical content, analysis, interpretations, and research contributions are from the authors themselves.</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17.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18.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19. </w:t>
      </w:r>
      <w:r>
        <w:rPr>
          <w:rFonts w:ascii="Times New Roman" w:hAnsi="Times New Roman"/>
          <w:sz w:val="18"/>
        </w:rPr>
        <w:t>Li, X., Yu, D., Søren Byg, V., Daniel Ioan, S.,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20.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28.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29.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30.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31.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32.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33.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34.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35.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36.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37.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38.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39.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40.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41.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42.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43.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44.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45.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46.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47.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48.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49.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50.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51.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52.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53.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54.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55.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56.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57.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58.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59.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60.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61.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62.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63.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64.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65.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66.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67.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68.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69.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70.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71.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72.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73.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74.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75.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76.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77.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78.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79.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80.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81.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82.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83.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84.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85.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86.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87.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88.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89.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90.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91.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92.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93.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94.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95.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96.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97.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98.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99.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100.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101.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102.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103.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104.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105.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106.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107.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108.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109.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110.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111.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112.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113.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114.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115.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116.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117.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