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structured scoping review and classification of 103 peer-reviewed studies, 2019–2026</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become a load-bearing component of modern battery management systems (BMS). This scoping review classifies 103 peer-reviewed journal articles (2019–2026) on machine learning for battery management — drawn from a Crossref-verified, rule-based eligible pool of 799 records — uniformly by management function, method family, chemistry, data source, validation practice.</w:t>
      </w:r>
    </w:p>
    <w:p>
      <w:pPr>
        <w:spacing w:after="160"/>
        <w:jc w:val="both"/>
      </w:pPr>
      <w:r>
        <w:rPr>
          <w:rFonts w:ascii="Times New Roman" w:hAnsi="Times New Roman"/>
          <w:sz w:val="20"/>
        </w:rPr>
        <w:t>Within the corpus, method families stratify by period: classical shallow learners contribute 12 of the 23 papers published 2019–2021, deep sequence models dominate from 2022 onward, physics-informed and hybrid approaches reach 24 of 103 papers (22 primary), and the first large-language-model studies appear in 2025–2026. Health estimation and prognostics form the largest application cluster (35 papers), followed by the cross-cutting cluster (24), state estimation (17), fault and safety (9), charging control (8), thermal management (8), and cell balancing (2). Because the corpus was curated under function-and-year quotas, these distributions describe the sample rather than the field; function-level baselines from the quota-free eligible pool (query-theme tags validated against the classified subset) are reported alongside.</w:t>
      </w:r>
    </w:p>
    <w:p>
      <w:pPr>
        <w:spacing w:after="160"/>
        <w:jc w:val="both"/>
      </w:pPr>
      <w:r>
        <w:rPr>
          <w:rFonts w:ascii="Times New Roman" w:hAnsi="Times New Roman"/>
          <w:sz w:val="20"/>
        </w:rPr>
        <w:t>Three structural weaknesses emerge. First, validation practice is heterogeneous and often weak: only 8 of the 88 primary-application studies demonstrate their estimators online or on real vehicle or fleet data, while 17 rely on within-cell or k-fold splits that overstate generalization. Second, benchmark-data dependence is high but narrow: the Severson/Toyota, NASA, and CALCE datasets recur across ostensibly independent studies. Third, laboratory-condition accuracy claims are rarely tested against chemistry, temperature, and current-profile shifts — the field’s defining laboratory-to-field gap. Physics-informed architectures, often assumed more rigorous by construction, are not: neither stringency contrast with data-driven peers is statistically significant, and a label-noise sensitivity analysis brackets the strong-protocol share between 40% and 59%. The review closes with a research agenda prioritizing cross-domain validation standards, uncertainty-aware models, edge-deployable architectures, and the safe integration of foundation models into safety-critical BMS software.</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 What is largely missing is a cross-functional, quantitative account of the field’s trajectory: which method families are actually being used for which management tasks, on which data, validated how, and how that picture has shifted over the last five years.</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This paper makes four contributions. First, it assembles a verified corpus of 103 peer-reviewed journal articles (2019–2026) on machine learning for battery management, drawn from a rule-based eligible pool of 799 Crossref-verified records, in which every reference’s bibliographic metadata was confirmed against the Crossref registry by direct DOI resolution. Second, it develops a two-axis classification framework — BMS function × method family — extended with chemistry, data-source, and validation-practice fields, and applies it uniformly to all 103 papers. Third, it quantifies the corpus’s composition across functions, methods, data, and validation (Section 3), identifying the within-corpus shift from classical learners through deep sequence models to physics-informed hybrids, optimization-augmented learning, and early foundation-model applications, and anchoring function-level baselines on the quota-free eligible pool. Fourth, it provides a critical, function-by-function review of what the corpus actually demonstrates (Sections 4–8) and distills a gap-driven research agenda (Section 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mid-2024 onward; two dedicated relevance-sorted passes restricted to 2020–2022 and to 2023; and a mid-window 2021–2023 coverage pass,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A stratified selection step then drew 107 candidate articles from these, balancing the eight management functions and publication years. Within each function stratum the draw was deterministic rather than random: records were ranked by Crossref citation count and taken from the top of that ranking, with the ranking walked deeper specifically to cover recent publication years, which citation sorting alone would have starved. Six landmark seed studies were safeguarded at this point (one already captured by the searches, five retrieved individually), giving 112 candidates. Full-text curation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The 799 eligible records themselves are retained as a rule-based Tier-1 pool, released in full with per-record screening provenance, and serving two further purposes in this paper: pool-level function-tag baselines that are free of the subset’s quotas (Section 3.3), and a documented boundary on what the subset can support. Readers should hold the implication of the design plainly in view: function and year distributions inside the 103 partly reflect the quota and citation-ranking choices made here, not only the field’s shape, so all such distributions are reported as corpus composition, and the quota-free pool measurements are stated wherever they exist.</w:t>
      </w: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Records were retrieved from the Crossref REST API on 4–5 September 2026, deduplicated, screened at title level for battery and machine-learning relevance, screened at venue and document-type level, and curated to the final 103-study corpus.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three further review-type syntheses — two physics-informed, one classical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88 whose contribution is a primary application rather than a review; and the 15 review-labelled papers (12 method-family reviews plus 3 review-type syntheses coded under their dominant method family) are identified by the method-family and validation fields and are excluded from Fig. 1.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two quantitative buffers: the label-noise sensitivity analysis that propagates the observed coder-versus-label disagreement into the headline counts (Section 3.4), and the complete release of per-paper labels, coder sheets, and the itemized disagreements, so that any reader can re-run, check, correct, or extend the coding — and so that a formal full-text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classified corpus is additionally quota-curated rather than sampled: its function, year, and method distributions are conditioned on the stratified draw of Section 2.3, and the eligible pool from which it was drawn has its own retrieval-design shaping (unequal query coverage across years, Section 2.2), so neither level supports field-output trend measurement; distributional statements in Section 3 are therefore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balanced publication years by construction,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(55, 85, 139, 223, 56, 126, and 114 records for 2020–2026, plus one record Crossref-stamped 2027) measures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across the corpus (Fig. 4, Table 2) —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Method-family composition of the classified subset by publication year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method-theme query tags show no monotonic physics-informed trend once the retrieval windows’ unequal year coverage is accounted for, so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 which reproduce the subset’s full-text primary-function label for 53 of the 75 core-area papers found in the pool (71%, counting a hit when any of a record’s tags matches; Section 2.5) — give health estimation 158, state estimation 133, prognostics 103, thermal management 99, fault and safety 96, charging control 64, and cell balancing 38 of 799 records.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[27]</w:t>
      </w:r>
      <w:r>
        <w:rPr>
          <w:rFonts w:ascii="Times New Roman" w:hAnsi="Times New Roman"/>
          <w:b w:val="0"/>
          <w:i w:val="0"/>
          <w:sz w:val="20"/>
        </w:rPr>
        <w: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Twenty-four papers validate on cross-cell holdout protocols, the most defensible laboratory standard; but 12 papers use within-cell splits (training and testing on interleaved segments of the same cell’s life), 5 use k-fold cross-validation without cross-cell isolation, and 15 are reviews without primary validation. Only 8 studies validate a system online or on real vehicle/fleet data, and only 7 validate across chemistries.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cross-chemistry or cross-domain transfer studies make the strictest demands (10 papers). At the weaker end, within-cell splits (12 papers) and unsupervised k-fold cross-validation (5 papers) leak trajectory information between train and test sets, producing optimistic errors that do not survive cell-to-cell variability; the review literature has long warned of this, and the corpus quantifies the warning. Experimental-hardware demonstrations (20 papers) and online or real-vehicle demonstrations (8 papers) anchor the deployment end of the spectrum, and it is these — not the largest architectures — that carry the field’s deployment evidence. Crossing validation practice with method family substantiates Section 3.2’s remark with numbers: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Neither difference is statistically significant. To quantify how much these counts depend on the single-coder labels, a label-noise scenario analysis perturbs them directly. In each of 4,000 seeded Monte Carlo draws (seed 7), a label-flip rate is drawn from a Normal distribution centered on the observed coder-versus-label bucket error rate of the reliability study (0.40 and 0.30 for the two coders; mean 0.35) with standard deviation 0.02, truncated at zero; the drawn rate then flips strong/non-strong bucket labels at random across the 88 primary papers, and both the overall strong share and the physics-versus-other Fisher exact test are recomputed. The strong-protocol count spans 35–52 of the 88 primary papers (39.8–59.1%), and the family contrast remains non-significant in 94.9% of draws — a physics prior does not, in itself, demonstrably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 absorbing rule).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keepNext/>
        <w:spacing w:after="80"/>
        <w:jc w:val="left"/>
      </w:pPr>
      <w:r>
        <w:rPr>
          <w:rFonts w:ascii="Times New Roman" w:hAnsi="Times New Roman"/>
          <w:b/>
          <w:i w:val="0"/>
          <w:sz w:val="20"/>
        </w:rPr>
        <w:t>3.5 Sensitivity analysis: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in full as conference_sensitivity.csv).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[28]</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[29]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[30]</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[32]</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[33]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[35]</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[36]</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[37]</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[38]</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[39]</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[40]</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[41]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does not indicate a venue gap in stated validation evidence. Of the 8 learning-based conference papers, 2 (25%) state hardware or experimental validation in their indexed abstracts, 2 rest on public datasets, 1 describes simulation-level validation, and 3 state no validation basis at all — against 20 of the 88 primary-application journal papers (23%) with experimental-hardware demonstrations. Indexed abstract-level transparency about validation is, if anything, lower on the conference path.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9.7.</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[42]</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[43]</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[44]</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[45]</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[46]</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[47]</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[48]</w:t>
      </w:r>
      <w:r>
        <w:rPr>
          <w:rFonts w:ascii="Times New Roman" w:hAnsi="Times New Roman"/>
          <w:b w:val="0"/>
          <w:i w:val="0"/>
          <w:sz w:val="20"/>
        </w:rPr>
        <w:t xml:space="preserve">, unified frameworks estimate SOH and SOC jointly from partial charging data </w:t>
      </w:r>
      <w:r>
        <w:rPr>
          <w:rFonts w:ascii="Times New Roman" w:hAnsi="Times New Roman"/>
          <w:sz w:val="20"/>
        </w:rPr>
        <w:t>[49]</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[50, 51]</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[52]</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[53]</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[48]</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[53]</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[54]</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[55]</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[56]</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[57]</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[58]</w:t>
      </w:r>
      <w:r>
        <w:rPr>
          <w:rFonts w:ascii="Times New Roman" w:hAnsi="Times New Roman"/>
          <w:b w:val="0"/>
          <w:i w:val="0"/>
          <w:sz w:val="20"/>
        </w:rPr>
        <w:t xml:space="preserve">, and charging-segment adjustment refined features for vehicle-level use </w:t>
      </w:r>
      <w:r>
        <w:rPr>
          <w:rFonts w:ascii="Times New Roman" w:hAnsi="Times New Roman"/>
          <w:sz w:val="20"/>
        </w:rPr>
        <w:t>[59]</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[60]</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[60]</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[61]</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[62]</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[63]</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[64]</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[65]</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[66]</w:t>
      </w:r>
      <w:r>
        <w:rPr>
          <w:rFonts w:ascii="Times New Roman" w:hAnsi="Times New Roman"/>
          <w:b w:val="0"/>
          <w:i w:val="0"/>
          <w:sz w:val="20"/>
        </w:rPr>
        <w:t xml:space="preserve">, ML frameworks extract lifetime information from formation-style tests </w:t>
      </w:r>
      <w:r>
        <w:rPr>
          <w:rFonts w:ascii="Times New Roman" w:hAnsi="Times New Roman"/>
          <w:sz w:val="20"/>
        </w:rPr>
        <w:t>[67]</w:t>
      </w:r>
      <w:r>
        <w:rPr>
          <w:rFonts w:ascii="Times New Roman" w:hAnsi="Times New Roman"/>
          <w:b w:val="0"/>
          <w:i w:val="0"/>
          <w:sz w:val="20"/>
        </w:rPr>
        <w:t xml:space="preserve">, hybrid physics-plus-learned models give early RUL from limited cycles </w:t>
      </w:r>
      <w:r>
        <w:rPr>
          <w:rFonts w:ascii="Times New Roman" w:hAnsi="Times New Roman"/>
          <w:sz w:val="20"/>
        </w:rPr>
        <w:t>[68]</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[69]</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[70]</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[71]</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[72]</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[73]</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[74]</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[75]</w:t>
      </w:r>
      <w:r>
        <w:rPr>
          <w:rFonts w:ascii="Times New Roman" w:hAnsi="Times New Roman"/>
          <w:b w:val="0"/>
          <w:i w:val="0"/>
          <w:sz w:val="20"/>
        </w:rPr>
        <w:t xml:space="preserve">. Multi-feature hybrid schemes lift RUL accuracy across datasets </w:t>
      </w:r>
      <w:r>
        <w:rPr>
          <w:rFonts w:ascii="Times New Roman" w:hAnsi="Times New Roman"/>
          <w:sz w:val="20"/>
        </w:rPr>
        <w:t>[76]</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[77]</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[78]</w:t>
      </w:r>
      <w:r>
        <w:rPr>
          <w:rFonts w:ascii="Times New Roman" w:hAnsi="Times New Roman"/>
          <w:b w:val="0"/>
          <w:i w:val="0"/>
          <w:sz w:val="20"/>
        </w:rPr>
        <w:t xml:space="preserve">; transfer-learning-based EIS estimation crosses chemistries </w:t>
      </w:r>
      <w:r>
        <w:rPr>
          <w:rFonts w:ascii="Times New Roman" w:hAnsi="Times New Roman"/>
          <w:sz w:val="20"/>
        </w:rPr>
        <w:t>[79]</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[80]</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[81]</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[82]</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[83]</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[84]</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[85]</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[86]</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[87]</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[88]</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[86]</w:t>
      </w:r>
      <w:r>
        <w:rPr>
          <w:rFonts w:ascii="Times New Roman" w:hAnsi="Times New Roman"/>
          <w:b w:val="0"/>
          <w:i w:val="0"/>
          <w:sz w:val="20"/>
        </w:rPr>
        <w:t xml:space="preserve"> and balance-aware pack charging </w:t>
      </w:r>
      <w:r>
        <w:rPr>
          <w:rFonts w:ascii="Times New Roman" w:hAnsi="Times New Roman"/>
          <w:sz w:val="20"/>
        </w:rPr>
        <w:t>[87]</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[84]</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[45]</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[52]</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[60]</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[65]</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[75]</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[84]</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[82]</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[89]</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[90]</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[91]</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[92]</w:t>
            </w:r>
            <w:r>
              <w:rPr>
                <w:rFonts w:ascii="Times New Roman" w:hAnsi="Times New Roman"/>
                <w:b w:val="0"/>
                <w:i w:val="0"/>
                <w:sz w:val="17"/>
              </w:rPr>
              <w:t xml:space="preserve">; cross-fleet runaway-diagnosis transfer (fleet data; small-sample diagnosis) </w:t>
            </w:r>
            <w:r>
              <w:rPr>
                <w:rFonts w:ascii="Times New Roman" w:hAnsi="Times New Roman"/>
                <w:sz w:val="17"/>
              </w:rPr>
              <w:t>[93]</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[94]</w:t>
            </w:r>
            <w:r>
              <w:rPr>
                <w:rFonts w:ascii="Times New Roman" w:hAnsi="Times New Roman"/>
                <w:b w:val="0"/>
                <w:i w:val="0"/>
                <w:sz w:val="17"/>
              </w:rPr>
              <w:t xml:space="preserve">; LLM-based SOH estimation with uncertainty-aware field-vehicle control (field data; subset’s earliest LLM estimator; earlier LLM-based estimation exists outside the screened venues </w:t>
            </w:r>
            <w:r>
              <w:rPr>
                <w:rFonts w:ascii="Times New Roman" w:hAnsi="Times New Roman"/>
                <w:sz w:val="17"/>
              </w:rPr>
              <w:t>[95]</w:t>
            </w:r>
            <w:r>
              <w:rPr>
                <w:rFonts w:ascii="Times New Roman" w:hAnsi="Times New Roman"/>
                <w:b w:val="0"/>
                <w:i w:val="0"/>
                <w:sz w:val="17"/>
              </w:rPr>
              <w:t xml:space="preserve">)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[89]</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[96]</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[90, 97]</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[98]</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[99]</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[90, 97]</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[99]</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[91]</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[100]</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[101]</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[102]</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[92]</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[103]</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[93]</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[103]</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Physics-informed and hybrid model–data learning is the corpus’s most consistently rising methodological theme (24 family-coded papers across all functions; 22 of them primary applications; the only family with a monotonically non-decreasing primary trajectory within the curated subset, Section 3.2). Beyond the prognostics applications of Section 5.4, physics-informed structures appear in state estimation </w:t>
      </w:r>
      <w:r>
        <w:rPr>
          <w:rFonts w:ascii="Times New Roman" w:hAnsi="Times New Roman"/>
          <w:sz w:val="20"/>
        </w:rPr>
        <w:t>[10, 104]</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[105]</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[106]</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[107]</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[108]</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[109]</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[110]</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[94]</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[55]</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[94]</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[111]</w:t>
      </w:r>
      <w:r>
        <w:rPr>
          <w:rFonts w:ascii="Times New Roman" w:hAnsi="Times New Roman"/>
          <w:b w:val="0"/>
          <w:i w:val="0"/>
          <w:sz w:val="20"/>
        </w:rPr>
        <w:t xml:space="preserve"> and couple LSTM surrogates with real-time thermal observation </w:t>
      </w:r>
      <w:r>
        <w:rPr>
          <w:rFonts w:ascii="Times New Roman" w:hAnsi="Times New Roman"/>
          <w:sz w:val="20"/>
        </w:rPr>
        <w:t>[112]</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[113]</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[114]</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[54]</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[53, 115]</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[116]</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[111]</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[113]</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[114]</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field’s first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screened subset — LLM-based battery estimation exists earlier outside these venues </w:t>
            </w:r>
            <w:r>
              <w:rPr>
                <w:rFonts w:ascii="Times New Roman" w:hAnsi="Times New Roman"/>
                <w:sz w:val="17"/>
              </w:rPr>
              <w:t>[95]</w:t>
            </w:r>
            <w:r>
              <w:rPr>
                <w:rFonts w:ascii="Times New Roman" w:hAnsi="Times New Roman"/>
                <w:b w:val="0"/>
                <w:i w:val="0"/>
                <w:sz w:val="17"/>
              </w:rPr>
              <w:t xml:space="preserve">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[117]</w:t>
      </w:r>
      <w:r>
        <w:rPr>
          <w:rFonts w:ascii="Times New Roman" w:hAnsi="Times New Roman"/>
          <w:b w:val="0"/>
          <w:i w:val="0"/>
          <w:sz w:val="20"/>
        </w:rPr>
        <w:t xml:space="preserve">, complementing the coating-quality interpretability work </w:t>
      </w:r>
      <w:r>
        <w:rPr>
          <w:rFonts w:ascii="Times New Roman" w:hAnsi="Times New Roman"/>
          <w:sz w:val="20"/>
        </w:rPr>
        <w:t>[109]</w:t>
      </w:r>
      <w:r>
        <w:rPr>
          <w:rFonts w:ascii="Times New Roman" w:hAnsi="Times New Roman"/>
          <w:b w:val="0"/>
          <w:i w:val="0"/>
          <w:sz w:val="20"/>
        </w:rPr>
        <w:t xml:space="preserve"> and manufacturing defect detection </w:t>
      </w:r>
      <w:r>
        <w:rPr>
          <w:rFonts w:ascii="Times New Roman" w:hAnsi="Times New Roman"/>
          <w:sz w:val="20"/>
        </w:rPr>
        <w:t>[102]</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[27]</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[118]</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10, previewed against the field's milestones in Fig. 8, and then operationalized into a concrete reporting checklist in Section 9.7.</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keep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[79, 80]</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9.7),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[60]</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[70, 81]</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[70]</w:t>
      </w:r>
      <w:r>
        <w:rPr>
          <w:rFonts w:ascii="Times New Roman" w:hAnsi="Times New Roman"/>
          <w:b w:val="0"/>
          <w:i w:val="0"/>
          <w:sz w:val="20"/>
        </w:rPr>
        <w:t xml:space="preserve"> and real-time feature-extraction studies </w:t>
      </w:r>
      <w:r>
        <w:rPr>
          <w:rFonts w:ascii="Times New Roman" w:hAnsi="Times New Roman"/>
          <w:sz w:val="20"/>
        </w:rPr>
        <w:t>[81]</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interpretability, and certification</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[94]</w:t>
      </w:r>
      <w:r>
        <w:rPr>
          <w:rFonts w:ascii="Times New Roman" w:hAnsi="Times New Roman"/>
          <w:b w:val="0"/>
          <w:i w:val="0"/>
          <w:sz w:val="20"/>
        </w:rPr>
        <w:t xml:space="preserve">, explainability-driven </w:t>
      </w:r>
      <w:r>
        <w:rPr>
          <w:rFonts w:ascii="Times New Roman" w:hAnsi="Times New Roman"/>
          <w:sz w:val="20"/>
        </w:rPr>
        <w:t>[108]</w:t>
      </w:r>
      <w:r>
        <w:rPr>
          <w:rFonts w:ascii="Times New Roman" w:hAnsi="Times New Roman"/>
          <w:b w:val="0"/>
          <w:i w:val="0"/>
          <w:sz w:val="20"/>
        </w:rPr>
        <w:t xml:space="preserve">, and Gaussian-process lineages </w:t>
      </w:r>
      <w:r>
        <w:rPr>
          <w:rFonts w:ascii="Times New Roman" w:hAnsi="Times New Roman"/>
          <w:sz w:val="20"/>
        </w:rPr>
        <w:t>[55]</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and with LLM-based estimation prior art outside the screened venues)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[27]</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10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11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11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[60]</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113]</w:t>
      </w:r>
      <w:r>
        <w:rPr>
          <w:rFonts w:ascii="Times New Roman" w:hAnsi="Times New Roman"/>
          <w:b w:val="0"/>
          <w:i w:val="0"/>
          <w:sz w:val="18"/>
        </w:rPr>
        <w:t xml:space="preserve">, optimization-augmented and transfer learning </w:t>
      </w:r>
      <w:r>
        <w:rPr>
          <w:rFonts w:ascii="Times New Roman" w:hAnsi="Times New Roman"/>
          <w:sz w:val="18"/>
        </w:rPr>
        <w:t>[83, 93]</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the state of AI-powered battery management through a verified corpus of 103 peer-reviewed studies spanning 2019–2026, classified uniformly across management functions, method families, chemistries, data sources, and validation practices. Three conclusions stand out. First, within the corpus the method families stratify cleanly by period: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where learning systems report laboratory-regime success — on metrics that this review argues cannot be pooled across papers (Section 5.6); control functions (charging, thermal, balancing) remain demonstrably transformable but under-evidenced for deployment. Third, and most critically, the volume of published accuracy claims is not matched by validation rigor: online or fleet-level demonstration appears in fewer than one primary study in ten, benchmark concentration and private-data fragmentation distort the apparent state of the art, and the field’s favored remedy — physics-informed architecture — does not demonstrably substitute for validation rigor: physics-informed papers use strong protocols no more often than purely data-driven peers (36% versus 52% under the protocol-only definition, p = 0.32; 59% versus 74% under the broader definition, p = 0.19 — not statistically significant under either).</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and the screening statistics (stats.json).</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28.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29.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30.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31.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32.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33.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34.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35.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36.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37.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38.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39.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40.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41.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42.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43.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44.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45.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46.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47.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48.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49.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50.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51.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52.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53.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54.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55.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56.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57.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58.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59.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60.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61.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62.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63.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64.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65.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66.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67.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68.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69.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70.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71.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72.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73.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74.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75.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76.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77.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78.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79.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80.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81.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82.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83.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84.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85.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86.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87.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88.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89.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90.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91.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92.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93.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94.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95.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96.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97.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98.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99.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100.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101.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102.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103.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104.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105.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106.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107.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108.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109.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110.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111.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112.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113.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114.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115.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116.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117.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118.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